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kern w:val="44"/>
          <w:sz w:val="44"/>
          <w:szCs w:val="44"/>
        </w:rPr>
      </w:pPr>
    </w:p>
    <w:p>
      <w:pPr>
        <w:jc w:val="center"/>
        <w:rPr>
          <w:rFonts w:eastAsia="仿宋"/>
          <w:sz w:val="52"/>
          <w:szCs w:val="52"/>
        </w:rPr>
      </w:pPr>
    </w:p>
    <w:p>
      <w:pPr>
        <w:ind w:firstLine="1040"/>
        <w:rPr>
          <w:rFonts w:eastAsia="仿宋"/>
          <w:sz w:val="44"/>
          <w:szCs w:val="44"/>
        </w:rPr>
      </w:pPr>
    </w:p>
    <w:p>
      <w:pPr>
        <w:pStyle w:val="2"/>
      </w:pPr>
    </w:p>
    <w:p>
      <w:pPr>
        <w:ind w:firstLine="1040"/>
        <w:rPr>
          <w:rFonts w:eastAsia="仿宋"/>
          <w:sz w:val="44"/>
          <w:szCs w:val="44"/>
        </w:rPr>
      </w:pPr>
    </w:p>
    <w:p>
      <w:pPr>
        <w:ind w:firstLine="1040"/>
        <w:rPr>
          <w:rFonts w:eastAsia="仿宋"/>
          <w:sz w:val="44"/>
          <w:szCs w:val="44"/>
        </w:rPr>
      </w:pPr>
    </w:p>
    <w:p>
      <w:pPr>
        <w:ind w:firstLine="1040"/>
        <w:rPr>
          <w:rFonts w:eastAsia="仿宋"/>
          <w:color w:val="0000FF"/>
          <w:sz w:val="44"/>
          <w:szCs w:val="44"/>
        </w:rPr>
      </w:pPr>
      <w:bookmarkStart w:id="22" w:name="_GoBack"/>
      <w:bookmarkEnd w:id="22"/>
    </w:p>
    <w:p>
      <w:pPr>
        <w:adjustRightInd w:val="0"/>
        <w:snapToGrid w:val="0"/>
        <w:spacing w:line="288" w:lineRule="auto"/>
        <w:ind w:firstLine="360" w:firstLineChars="100"/>
        <w:rPr>
          <w:rFonts w:ascii="仿宋_GB2312" w:eastAsia="仿宋_GB2312"/>
          <w:color w:val="000000"/>
          <w:sz w:val="36"/>
          <w:szCs w:val="36"/>
          <w:u w:val="single"/>
        </w:rPr>
      </w:pPr>
      <w:r>
        <w:rPr>
          <w:rFonts w:hint="eastAsia" w:ascii="仿宋_GB2312" w:eastAsia="仿宋_GB2312"/>
          <w:color w:val="000000"/>
          <w:sz w:val="36"/>
          <w:szCs w:val="36"/>
        </w:rPr>
        <w:t>项目名称：</w:t>
      </w:r>
      <w:r>
        <w:rPr>
          <w:rFonts w:hint="eastAsia" w:ascii="仿宋_GB2312" w:eastAsia="仿宋_GB2312"/>
          <w:color w:val="000000"/>
          <w:sz w:val="36"/>
          <w:szCs w:val="36"/>
          <w:u w:val="single"/>
        </w:rPr>
        <w:t xml:space="preserve">昌吉州中医医院中医特色重点医院建设项目 </w:t>
      </w:r>
    </w:p>
    <w:p>
      <w:pPr>
        <w:adjustRightInd w:val="0"/>
        <w:snapToGrid w:val="0"/>
        <w:spacing w:line="288" w:lineRule="auto"/>
        <w:ind w:firstLine="360" w:firstLineChars="100"/>
        <w:rPr>
          <w:rFonts w:ascii="仿宋_GB2312" w:eastAsia="仿宋_GB2312"/>
          <w:sz w:val="36"/>
          <w:szCs w:val="36"/>
          <w:u w:val="single"/>
        </w:rPr>
      </w:pPr>
      <w:r>
        <w:rPr>
          <w:rFonts w:hint="eastAsia" w:ascii="仿宋_GB2312" w:eastAsia="仿宋_GB2312"/>
          <w:color w:val="000000"/>
          <w:sz w:val="36"/>
          <w:szCs w:val="36"/>
        </w:rPr>
        <w:t>建设单位</w:t>
      </w:r>
      <w:r>
        <w:rPr>
          <w:rFonts w:eastAsia="仿宋_GB2312"/>
          <w:sz w:val="36"/>
          <w:szCs w:val="36"/>
        </w:rPr>
        <w:t>(盖章)</w:t>
      </w:r>
      <w:r>
        <w:rPr>
          <w:rFonts w:hint="eastAsia" w:ascii="仿宋_GB2312" w:eastAsia="仿宋_GB2312"/>
          <w:color w:val="000000"/>
          <w:sz w:val="36"/>
          <w:szCs w:val="36"/>
        </w:rPr>
        <w:t>：</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 xml:space="preserve"> </w:t>
      </w:r>
      <w:r>
        <w:rPr>
          <w:rFonts w:hint="eastAsia" w:ascii="仿宋_GB2312" w:eastAsia="仿宋_GB2312"/>
          <w:color w:val="000000"/>
          <w:sz w:val="36"/>
          <w:szCs w:val="36"/>
          <w:u w:val="single"/>
        </w:rPr>
        <w:t xml:space="preserve">昌吉回族自治州中医医院          </w:t>
      </w:r>
      <w:r>
        <w:rPr>
          <w:rFonts w:hint="eastAsia" w:ascii="仿宋_GB2312" w:eastAsia="仿宋_GB2312"/>
          <w:sz w:val="36"/>
          <w:szCs w:val="36"/>
          <w:u w:val="single"/>
        </w:rPr>
        <w:t xml:space="preserve">               </w:t>
      </w:r>
    </w:p>
    <w:p>
      <w:pPr>
        <w:adjustRightInd w:val="0"/>
        <w:snapToGrid w:val="0"/>
        <w:spacing w:line="288" w:lineRule="auto"/>
        <w:ind w:firstLine="360" w:firstLineChars="10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 xml:space="preserve">二〇二二年二月         </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bookmarkEnd w:id="0"/>
    <w:p>
      <w:pPr>
        <w:adjustRightInd w:val="0"/>
        <w:snapToGrid w:val="0"/>
        <w:spacing w:line="288" w:lineRule="auto"/>
        <w:jc w:val="center"/>
        <w:rPr>
          <w:rFonts w:ascii="楷体_GB2312" w:eastAsia="楷体_GB2312"/>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r>
        <w:rPr>
          <w:rFonts w:hint="eastAsia" w:ascii="楷体_GB2312" w:eastAsia="楷体_GB2312"/>
          <w:sz w:val="36"/>
          <w:szCs w:val="36"/>
        </w:rPr>
        <w:t>中华人民共和国生态环境部制</w:t>
      </w:r>
    </w:p>
    <w:p>
      <w:pPr>
        <w:sectPr>
          <w:footerReference r:id="rId5" w:type="default"/>
          <w:pgSz w:w="11906" w:h="16838"/>
          <w:pgMar w:top="1440" w:right="1800" w:bottom="1440" w:left="1800" w:header="851" w:footer="992" w:gutter="0"/>
          <w:pgNumType w:start="1"/>
          <w:cols w:space="720" w:num="1"/>
          <w:docGrid w:type="lines" w:linePitch="312" w:charSpace="0"/>
        </w:sectPr>
      </w:pPr>
    </w:p>
    <w:p>
      <w:pPr>
        <w:pStyle w:val="1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17"/>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55"/>
        <w:gridCol w:w="1864"/>
        <w:gridCol w:w="1916"/>
        <w:gridCol w:w="2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建设项目名称</w:t>
            </w:r>
          </w:p>
        </w:tc>
        <w:tc>
          <w:tcPr>
            <w:tcW w:w="6715" w:type="dxa"/>
            <w:gridSpan w:val="3"/>
            <w:vAlign w:val="center"/>
          </w:tcPr>
          <w:p>
            <w:pPr>
              <w:adjustRightInd w:val="0"/>
              <w:snapToGrid w:val="0"/>
              <w:jc w:val="center"/>
              <w:rPr>
                <w:sz w:val="24"/>
              </w:rPr>
            </w:pPr>
            <w:r>
              <w:rPr>
                <w:color w:val="000000"/>
                <w:sz w:val="24"/>
              </w:rPr>
              <w:t xml:space="preserve">  昌吉州中医医院中医特色重点医院建设项目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项目代码</w:t>
            </w:r>
          </w:p>
        </w:tc>
        <w:tc>
          <w:tcPr>
            <w:tcW w:w="6715" w:type="dxa"/>
            <w:gridSpan w:val="3"/>
            <w:vAlign w:val="center"/>
          </w:tcPr>
          <w:p>
            <w:pPr>
              <w:adjustRightInd w:val="0"/>
              <w:snapToGrid w:val="0"/>
              <w:jc w:val="center"/>
              <w:rPr>
                <w:sz w:val="24"/>
              </w:rPr>
            </w:pPr>
            <w:r>
              <w:rPr>
                <w:sz w:val="24"/>
              </w:rPr>
              <w:t>2105-652301-04-01-166651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建设单位联系人</w:t>
            </w:r>
          </w:p>
        </w:tc>
        <w:tc>
          <w:tcPr>
            <w:tcW w:w="1864" w:type="dxa"/>
            <w:vAlign w:val="center"/>
          </w:tcPr>
          <w:p>
            <w:pPr>
              <w:adjustRightInd w:val="0"/>
              <w:snapToGrid w:val="0"/>
              <w:jc w:val="center"/>
              <w:rPr>
                <w:sz w:val="24"/>
              </w:rPr>
            </w:pPr>
            <w:r>
              <w:rPr>
                <w:rFonts w:hint="eastAsia"/>
                <w:sz w:val="24"/>
              </w:rPr>
              <w:t>霍宇涛</w:t>
            </w:r>
          </w:p>
        </w:tc>
        <w:tc>
          <w:tcPr>
            <w:tcW w:w="1916" w:type="dxa"/>
            <w:vAlign w:val="center"/>
          </w:tcPr>
          <w:p>
            <w:pPr>
              <w:adjustRightInd w:val="0"/>
              <w:snapToGrid w:val="0"/>
              <w:jc w:val="center"/>
              <w:rPr>
                <w:sz w:val="24"/>
              </w:rPr>
            </w:pPr>
            <w:r>
              <w:rPr>
                <w:sz w:val="24"/>
              </w:rPr>
              <w:t>联系方式</w:t>
            </w:r>
          </w:p>
        </w:tc>
        <w:tc>
          <w:tcPr>
            <w:tcW w:w="2935" w:type="dxa"/>
            <w:vAlign w:val="center"/>
          </w:tcPr>
          <w:p>
            <w:pPr>
              <w:adjustRightInd w:val="0"/>
              <w:snapToGrid w:val="0"/>
              <w:jc w:val="center"/>
              <w:rPr>
                <w:sz w:val="24"/>
              </w:rPr>
            </w:pPr>
            <w:r>
              <w:rPr>
                <w:rFonts w:hint="eastAsia"/>
                <w:sz w:val="24"/>
              </w:rPr>
              <w:t>18699551120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建设地点</w:t>
            </w:r>
          </w:p>
        </w:tc>
        <w:tc>
          <w:tcPr>
            <w:tcW w:w="6715" w:type="dxa"/>
            <w:gridSpan w:val="3"/>
            <w:vAlign w:val="center"/>
          </w:tcPr>
          <w:p>
            <w:pPr>
              <w:adjustRightInd w:val="0"/>
              <w:snapToGrid w:val="0"/>
              <w:jc w:val="center"/>
              <w:rPr>
                <w:sz w:val="24"/>
              </w:rPr>
            </w:pPr>
            <w:r>
              <w:rPr>
                <w:sz w:val="24"/>
                <w:u w:val="single"/>
              </w:rPr>
              <w:t>新疆维吾尔自治区昌吉回族自治州昌吉市建国西路110号昌吉州中医医院内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地理坐标</w:t>
            </w:r>
          </w:p>
        </w:tc>
        <w:tc>
          <w:tcPr>
            <w:tcW w:w="6715" w:type="dxa"/>
            <w:gridSpan w:val="3"/>
            <w:vAlign w:val="center"/>
          </w:tcPr>
          <w:p>
            <w:pPr>
              <w:adjustRightInd w:val="0"/>
              <w:snapToGrid w:val="0"/>
              <w:jc w:val="center"/>
            </w:pPr>
            <w:r>
              <w:rPr>
                <w:sz w:val="24"/>
              </w:rPr>
              <w:t>（ 87度</w:t>
            </w:r>
            <w:r>
              <w:rPr>
                <w:rFonts w:hint="eastAsia"/>
                <w:sz w:val="24"/>
              </w:rPr>
              <w:t>17</w:t>
            </w:r>
            <w:r>
              <w:rPr>
                <w:sz w:val="24"/>
              </w:rPr>
              <w:t>分</w:t>
            </w:r>
            <w:r>
              <w:rPr>
                <w:rFonts w:hint="eastAsia"/>
                <w:sz w:val="24"/>
              </w:rPr>
              <w:t>47.147</w:t>
            </w:r>
            <w:r>
              <w:rPr>
                <w:sz w:val="24"/>
              </w:rPr>
              <w:t>秒， 43度5</w:t>
            </w:r>
            <w:r>
              <w:rPr>
                <w:rFonts w:hint="eastAsia"/>
                <w:sz w:val="24"/>
              </w:rPr>
              <w:t>9</w:t>
            </w:r>
            <w:r>
              <w:rPr>
                <w:sz w:val="24"/>
              </w:rPr>
              <w:t>分57.417秒）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国民经济</w:t>
            </w:r>
          </w:p>
          <w:p>
            <w:pPr>
              <w:adjustRightInd w:val="0"/>
              <w:snapToGrid w:val="0"/>
              <w:jc w:val="center"/>
              <w:rPr>
                <w:sz w:val="24"/>
              </w:rPr>
            </w:pPr>
            <w:r>
              <w:rPr>
                <w:sz w:val="24"/>
              </w:rPr>
              <w:t>行业类别</w:t>
            </w:r>
          </w:p>
        </w:tc>
        <w:tc>
          <w:tcPr>
            <w:tcW w:w="1864" w:type="dxa"/>
            <w:vAlign w:val="center"/>
          </w:tcPr>
          <w:p>
            <w:pPr>
              <w:adjustRightInd w:val="0"/>
              <w:snapToGrid w:val="0"/>
              <w:jc w:val="center"/>
              <w:rPr>
                <w:sz w:val="24"/>
              </w:rPr>
            </w:pPr>
            <w:r>
              <w:rPr>
                <w:color w:val="000000"/>
                <w:sz w:val="24"/>
              </w:rPr>
              <w:t xml:space="preserve">Q8412 </w:t>
            </w:r>
            <w:bookmarkStart w:id="1" w:name="OLE_LINK91"/>
            <w:r>
              <w:rPr>
                <w:color w:val="000000"/>
                <w:sz w:val="24"/>
              </w:rPr>
              <w:t>中医医院</w:t>
            </w:r>
            <w:bookmarkEnd w:id="1"/>
          </w:p>
        </w:tc>
        <w:tc>
          <w:tcPr>
            <w:tcW w:w="1916" w:type="dxa"/>
            <w:vAlign w:val="center"/>
          </w:tcPr>
          <w:p>
            <w:pPr>
              <w:adjustRightInd w:val="0"/>
              <w:snapToGrid w:val="0"/>
              <w:jc w:val="center"/>
              <w:rPr>
                <w:sz w:val="24"/>
              </w:rPr>
            </w:pPr>
            <w:bookmarkStart w:id="2" w:name="_Hlk49843745"/>
            <w:r>
              <w:rPr>
                <w:sz w:val="24"/>
              </w:rPr>
              <w:t>建设项目</w:t>
            </w:r>
          </w:p>
          <w:p>
            <w:pPr>
              <w:adjustRightInd w:val="0"/>
              <w:snapToGrid w:val="0"/>
              <w:jc w:val="center"/>
              <w:rPr>
                <w:sz w:val="24"/>
              </w:rPr>
            </w:pPr>
            <w:r>
              <w:rPr>
                <w:sz w:val="24"/>
              </w:rPr>
              <w:t>行业类别</w:t>
            </w:r>
            <w:bookmarkEnd w:id="2"/>
          </w:p>
        </w:tc>
        <w:tc>
          <w:tcPr>
            <w:tcW w:w="2935" w:type="dxa"/>
            <w:vAlign w:val="center"/>
          </w:tcPr>
          <w:p>
            <w:pPr>
              <w:adjustRightInd w:val="0"/>
              <w:snapToGrid w:val="0"/>
              <w:jc w:val="center"/>
              <w:rPr>
                <w:sz w:val="24"/>
              </w:rPr>
            </w:pPr>
            <w:r>
              <w:rPr>
                <w:rFonts w:hint="eastAsia"/>
                <w:sz w:val="24"/>
              </w:rPr>
              <w:t>四十九、卫生84中108.医院841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建设性质</w:t>
            </w:r>
          </w:p>
        </w:tc>
        <w:tc>
          <w:tcPr>
            <w:tcW w:w="1864" w:type="dxa"/>
            <w:vAlign w:val="center"/>
          </w:tcPr>
          <w:p>
            <w:pPr>
              <w:adjustRightInd w:val="0"/>
              <w:snapToGrid w:val="0"/>
              <w:rPr>
                <w:sz w:val="24"/>
              </w:rPr>
            </w:pPr>
            <w:r>
              <w:rPr>
                <w:color w:val="000000"/>
                <w:sz w:val="24"/>
              </w:rPr>
              <w:sym w:font="Wingdings" w:char="00A8"/>
            </w:r>
            <w:r>
              <w:rPr>
                <w:sz w:val="24"/>
              </w:rPr>
              <w:t>新建（迁建）</w:t>
            </w:r>
          </w:p>
          <w:p>
            <w:pPr>
              <w:adjustRightInd w:val="0"/>
              <w:snapToGrid w:val="0"/>
              <w:rPr>
                <w:sz w:val="24"/>
              </w:rPr>
            </w:pPr>
            <w:r>
              <w:rPr>
                <w:b w:val="0"/>
                <w:bCs w:val="0"/>
                <w:sz w:val="24"/>
              </w:rPr>
              <w:sym w:font="Wingdings" w:char="00A8"/>
            </w:r>
            <w:r>
              <w:rPr>
                <w:sz w:val="24"/>
              </w:rPr>
              <w:t>改建</w:t>
            </w:r>
          </w:p>
          <w:p>
            <w:pPr>
              <w:adjustRightInd w:val="0"/>
              <w:snapToGrid w:val="0"/>
              <w:rPr>
                <w:sz w:val="24"/>
              </w:rPr>
            </w:pPr>
            <w:r>
              <w:rPr>
                <w:b w:val="0"/>
                <w:bCs w:val="0"/>
                <w:sz w:val="24"/>
              </w:rPr>
              <w:sym w:font="Wingdings" w:char="00FE"/>
            </w:r>
            <w:r>
              <w:rPr>
                <w:sz w:val="24"/>
              </w:rPr>
              <w:t>扩建</w:t>
            </w:r>
          </w:p>
          <w:p>
            <w:pPr>
              <w:adjustRightInd w:val="0"/>
              <w:snapToGrid w:val="0"/>
              <w:rPr>
                <w:sz w:val="24"/>
              </w:rPr>
            </w:pPr>
            <w:r>
              <w:rPr>
                <w:b w:val="0"/>
                <w:bCs w:val="0"/>
                <w:sz w:val="24"/>
              </w:rPr>
              <w:sym w:font="Wingdings" w:char="00A8"/>
            </w:r>
            <w:r>
              <w:rPr>
                <w:sz w:val="24"/>
              </w:rPr>
              <w:t>技术改造</w:t>
            </w:r>
          </w:p>
        </w:tc>
        <w:tc>
          <w:tcPr>
            <w:tcW w:w="1916" w:type="dxa"/>
            <w:vAlign w:val="center"/>
          </w:tcPr>
          <w:p>
            <w:pPr>
              <w:adjustRightInd w:val="0"/>
              <w:snapToGrid w:val="0"/>
              <w:jc w:val="center"/>
              <w:rPr>
                <w:sz w:val="24"/>
              </w:rPr>
            </w:pPr>
            <w:r>
              <w:rPr>
                <w:sz w:val="24"/>
              </w:rPr>
              <w:t>建设项目</w:t>
            </w:r>
          </w:p>
          <w:p>
            <w:pPr>
              <w:adjustRightInd w:val="0"/>
              <w:snapToGrid w:val="0"/>
              <w:jc w:val="center"/>
              <w:rPr>
                <w:sz w:val="24"/>
              </w:rPr>
            </w:pPr>
            <w:r>
              <w:rPr>
                <w:sz w:val="24"/>
              </w:rPr>
              <w:t>申报情形</w:t>
            </w:r>
          </w:p>
        </w:tc>
        <w:tc>
          <w:tcPr>
            <w:tcW w:w="2935" w:type="dxa"/>
            <w:vAlign w:val="center"/>
          </w:tcPr>
          <w:p>
            <w:pPr>
              <w:adjustRightInd w:val="0"/>
              <w:snapToGrid w:val="0"/>
              <w:rPr>
                <w:sz w:val="24"/>
              </w:rPr>
            </w:pPr>
            <w:r>
              <w:rPr>
                <w:b w:val="0"/>
                <w:bCs w:val="0"/>
                <w:sz w:val="24"/>
              </w:rPr>
              <w:sym w:font="Wingdings" w:char="00FE"/>
            </w:r>
            <w:r>
              <w:rPr>
                <w:sz w:val="24"/>
              </w:rPr>
              <w:t>首次申报项目</w:t>
            </w:r>
          </w:p>
          <w:p>
            <w:pPr>
              <w:adjustRightInd w:val="0"/>
              <w:snapToGrid w:val="0"/>
              <w:rPr>
                <w:sz w:val="24"/>
              </w:rPr>
            </w:pPr>
            <w:r>
              <w:rPr>
                <w:b w:val="0"/>
                <w:bCs w:val="0"/>
                <w:sz w:val="24"/>
              </w:rPr>
              <w:sym w:font="Wingdings" w:char="00A8"/>
            </w:r>
            <w:r>
              <w:rPr>
                <w:sz w:val="24"/>
              </w:rPr>
              <w:t>不予批准后再次申报项目</w:t>
            </w:r>
          </w:p>
          <w:p>
            <w:pPr>
              <w:adjustRightInd w:val="0"/>
              <w:snapToGrid w:val="0"/>
              <w:rPr>
                <w:sz w:val="24"/>
              </w:rPr>
            </w:pPr>
            <w:r>
              <w:rPr>
                <w:b w:val="0"/>
                <w:bCs w:val="0"/>
                <w:sz w:val="24"/>
              </w:rPr>
              <w:sym w:font="Wingdings" w:char="00A8"/>
            </w:r>
            <w:r>
              <w:rPr>
                <w:sz w:val="24"/>
              </w:rPr>
              <w:t>超五年重新审核项目</w:t>
            </w:r>
          </w:p>
          <w:p>
            <w:pPr>
              <w:adjustRightInd w:val="0"/>
              <w:snapToGrid w:val="0"/>
              <w:rPr>
                <w:sz w:val="24"/>
              </w:rPr>
            </w:pPr>
            <w:r>
              <w:rPr>
                <w:b w:val="0"/>
                <w:bCs w:val="0"/>
                <w:sz w:val="24"/>
              </w:rPr>
              <w:sym w:font="Wingdings" w:char="00A8"/>
            </w:r>
            <w:r>
              <w:rPr>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项目审批（核准/</w:t>
            </w:r>
          </w:p>
          <w:p>
            <w:pPr>
              <w:adjustRightInd w:val="0"/>
              <w:snapToGrid w:val="0"/>
              <w:jc w:val="center"/>
              <w:rPr>
                <w:sz w:val="24"/>
              </w:rPr>
            </w:pPr>
            <w:r>
              <w:rPr>
                <w:sz w:val="24"/>
              </w:rPr>
              <w:t>备案）部门（选填）</w:t>
            </w:r>
          </w:p>
        </w:tc>
        <w:tc>
          <w:tcPr>
            <w:tcW w:w="1864" w:type="dxa"/>
            <w:vAlign w:val="center"/>
          </w:tcPr>
          <w:p>
            <w:pPr>
              <w:adjustRightInd w:val="0"/>
              <w:snapToGrid w:val="0"/>
              <w:jc w:val="center"/>
              <w:rPr>
                <w:sz w:val="24"/>
              </w:rPr>
            </w:pPr>
            <w:r>
              <w:rPr>
                <w:sz w:val="24"/>
              </w:rPr>
              <w:t>昌吉州发展和改革委员会</w:t>
            </w:r>
          </w:p>
        </w:tc>
        <w:tc>
          <w:tcPr>
            <w:tcW w:w="1916" w:type="dxa"/>
            <w:vAlign w:val="center"/>
          </w:tcPr>
          <w:p>
            <w:pPr>
              <w:adjustRightInd w:val="0"/>
              <w:snapToGrid w:val="0"/>
              <w:jc w:val="center"/>
              <w:rPr>
                <w:sz w:val="24"/>
              </w:rPr>
            </w:pPr>
            <w:r>
              <w:rPr>
                <w:sz w:val="24"/>
              </w:rPr>
              <w:t>项目审批（核准/</w:t>
            </w:r>
          </w:p>
          <w:p>
            <w:pPr>
              <w:adjustRightInd w:val="0"/>
              <w:snapToGrid w:val="0"/>
              <w:jc w:val="center"/>
              <w:rPr>
                <w:sz w:val="24"/>
              </w:rPr>
            </w:pPr>
            <w:r>
              <w:rPr>
                <w:sz w:val="24"/>
              </w:rPr>
              <w:t>备案）文号（选填）</w:t>
            </w:r>
          </w:p>
        </w:tc>
        <w:tc>
          <w:tcPr>
            <w:tcW w:w="2935" w:type="dxa"/>
            <w:vAlign w:val="center"/>
          </w:tcPr>
          <w:p>
            <w:pPr>
              <w:adjustRightInd w:val="0"/>
              <w:snapToGrid w:val="0"/>
              <w:jc w:val="center"/>
              <w:rPr>
                <w:sz w:val="24"/>
              </w:rPr>
            </w:pPr>
            <w:r>
              <w:rPr>
                <w:sz w:val="24"/>
              </w:rPr>
              <w:t>昌州发改社会〔2021〕6号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总投资（万元）</w:t>
            </w:r>
          </w:p>
        </w:tc>
        <w:tc>
          <w:tcPr>
            <w:tcW w:w="1864" w:type="dxa"/>
            <w:vAlign w:val="center"/>
          </w:tcPr>
          <w:p>
            <w:pPr>
              <w:adjustRightInd w:val="0"/>
              <w:snapToGrid w:val="0"/>
              <w:jc w:val="center"/>
              <w:rPr>
                <w:sz w:val="24"/>
              </w:rPr>
            </w:pPr>
            <w:r>
              <w:rPr>
                <w:sz w:val="24"/>
              </w:rPr>
              <w:t>12500</w:t>
            </w:r>
          </w:p>
        </w:tc>
        <w:tc>
          <w:tcPr>
            <w:tcW w:w="1916" w:type="dxa"/>
            <w:tcMar>
              <w:top w:w="16" w:type="dxa"/>
              <w:left w:w="16" w:type="dxa"/>
              <w:right w:w="16" w:type="dxa"/>
            </w:tcMar>
            <w:vAlign w:val="center"/>
          </w:tcPr>
          <w:p>
            <w:pPr>
              <w:adjustRightInd w:val="0"/>
              <w:snapToGrid w:val="0"/>
              <w:jc w:val="center"/>
              <w:rPr>
                <w:sz w:val="24"/>
              </w:rPr>
            </w:pPr>
            <w:r>
              <w:rPr>
                <w:sz w:val="24"/>
              </w:rPr>
              <w:t>环保投资（万元）</w:t>
            </w:r>
          </w:p>
        </w:tc>
        <w:tc>
          <w:tcPr>
            <w:tcW w:w="2935" w:type="dxa"/>
            <w:vAlign w:val="center"/>
          </w:tcPr>
          <w:p>
            <w:pPr>
              <w:adjustRightInd w:val="0"/>
              <w:snapToGrid w:val="0"/>
              <w:jc w:val="center"/>
              <w:rPr>
                <w:sz w:val="24"/>
                <w:highlight w:val="yellow"/>
              </w:rPr>
            </w:pPr>
            <w:r>
              <w:rPr>
                <w:rFonts w:hint="eastAsia"/>
                <w:sz w:val="24"/>
              </w:rPr>
              <w:t>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环保投资占比（%）</w:t>
            </w:r>
          </w:p>
        </w:tc>
        <w:tc>
          <w:tcPr>
            <w:tcW w:w="1864" w:type="dxa"/>
            <w:vAlign w:val="center"/>
          </w:tcPr>
          <w:p>
            <w:pPr>
              <w:adjustRightInd w:val="0"/>
              <w:snapToGrid w:val="0"/>
              <w:jc w:val="center"/>
              <w:rPr>
                <w:sz w:val="24"/>
              </w:rPr>
            </w:pPr>
            <w:r>
              <w:rPr>
                <w:rFonts w:hint="eastAsia"/>
                <w:sz w:val="24"/>
              </w:rPr>
              <w:t>1.2</w:t>
            </w:r>
          </w:p>
        </w:tc>
        <w:tc>
          <w:tcPr>
            <w:tcW w:w="1916" w:type="dxa"/>
            <w:tcMar>
              <w:top w:w="16" w:type="dxa"/>
              <w:left w:w="16" w:type="dxa"/>
              <w:right w:w="16" w:type="dxa"/>
            </w:tcMar>
            <w:vAlign w:val="center"/>
          </w:tcPr>
          <w:p>
            <w:pPr>
              <w:adjustRightInd w:val="0"/>
              <w:snapToGrid w:val="0"/>
              <w:jc w:val="center"/>
              <w:rPr>
                <w:sz w:val="24"/>
              </w:rPr>
            </w:pPr>
            <w:r>
              <w:rPr>
                <w:sz w:val="24"/>
              </w:rPr>
              <w:t>施工工期</w:t>
            </w:r>
          </w:p>
        </w:tc>
        <w:tc>
          <w:tcPr>
            <w:tcW w:w="2935" w:type="dxa"/>
            <w:vAlign w:val="center"/>
          </w:tcPr>
          <w:p>
            <w:pPr>
              <w:adjustRightInd w:val="0"/>
              <w:snapToGrid w:val="0"/>
              <w:jc w:val="center"/>
              <w:rPr>
                <w:sz w:val="24"/>
                <w:highlight w:val="yellow"/>
              </w:rPr>
            </w:pPr>
            <w:r>
              <w:rPr>
                <w:sz w:val="24"/>
              </w:rPr>
              <w:t>28月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5" w:type="dxa"/>
            <w:tcMar>
              <w:top w:w="16" w:type="dxa"/>
              <w:left w:w="16" w:type="dxa"/>
              <w:right w:w="16" w:type="dxa"/>
            </w:tcMar>
            <w:vAlign w:val="center"/>
          </w:tcPr>
          <w:p>
            <w:pPr>
              <w:adjustRightInd w:val="0"/>
              <w:snapToGrid w:val="0"/>
              <w:jc w:val="center"/>
              <w:rPr>
                <w:sz w:val="24"/>
              </w:rPr>
            </w:pPr>
            <w:r>
              <w:rPr>
                <w:sz w:val="24"/>
              </w:rPr>
              <w:t>是否开工建设</w:t>
            </w:r>
          </w:p>
        </w:tc>
        <w:tc>
          <w:tcPr>
            <w:tcW w:w="1864" w:type="dxa"/>
            <w:vAlign w:val="center"/>
          </w:tcPr>
          <w:p>
            <w:pPr>
              <w:adjustRightInd w:val="0"/>
              <w:snapToGrid w:val="0"/>
              <w:rPr>
                <w:sz w:val="24"/>
              </w:rPr>
            </w:pPr>
            <w:r>
              <w:rPr>
                <w:b w:val="0"/>
                <w:bCs w:val="0"/>
                <w:sz w:val="24"/>
              </w:rPr>
              <w:sym w:font="Wingdings" w:char="00FE"/>
            </w:r>
            <w:r>
              <w:rPr>
                <w:sz w:val="24"/>
              </w:rPr>
              <w:t>否</w:t>
            </w:r>
          </w:p>
          <w:p>
            <w:pPr>
              <w:adjustRightInd w:val="0"/>
              <w:snapToGrid w:val="0"/>
              <w:rPr>
                <w:sz w:val="24"/>
              </w:rPr>
            </w:pPr>
            <w:r>
              <w:rPr>
                <w:b w:val="0"/>
                <w:bCs w:val="0"/>
                <w:sz w:val="24"/>
              </w:rPr>
              <w:sym w:font="Wingdings" w:char="00A8"/>
            </w:r>
            <w:r>
              <w:rPr>
                <w:sz w:val="24"/>
              </w:rPr>
              <w:t>是：</w:t>
            </w:r>
          </w:p>
        </w:tc>
        <w:tc>
          <w:tcPr>
            <w:tcW w:w="1916" w:type="dxa"/>
            <w:tcMar>
              <w:top w:w="16" w:type="dxa"/>
              <w:left w:w="16" w:type="dxa"/>
              <w:right w:w="16" w:type="dxa"/>
            </w:tcMar>
            <w:vAlign w:val="center"/>
          </w:tcPr>
          <w:p>
            <w:pPr>
              <w:adjustRightInd w:val="0"/>
              <w:snapToGrid w:val="0"/>
              <w:jc w:val="center"/>
              <w:rPr>
                <w:sz w:val="24"/>
              </w:rPr>
            </w:pPr>
            <w:r>
              <w:rPr>
                <w:sz w:val="24"/>
              </w:rPr>
              <w:t>用地（用海）</w:t>
            </w:r>
          </w:p>
          <w:p>
            <w:pPr>
              <w:adjustRightInd w:val="0"/>
              <w:snapToGrid w:val="0"/>
              <w:jc w:val="center"/>
              <w:rPr>
                <w:sz w:val="24"/>
              </w:rPr>
            </w:pPr>
            <w:r>
              <w:rPr>
                <w:sz w:val="24"/>
              </w:rPr>
              <w:t>面积（m</w:t>
            </w:r>
            <w:r>
              <w:rPr>
                <w:sz w:val="24"/>
                <w:vertAlign w:val="superscript"/>
              </w:rPr>
              <w:t>2</w:t>
            </w:r>
            <w:r>
              <w:rPr>
                <w:sz w:val="24"/>
              </w:rPr>
              <w:t>）</w:t>
            </w:r>
          </w:p>
        </w:tc>
        <w:tc>
          <w:tcPr>
            <w:tcW w:w="2935" w:type="dxa"/>
            <w:vAlign w:val="center"/>
          </w:tcPr>
          <w:p>
            <w:pPr>
              <w:adjustRightInd w:val="0"/>
              <w:snapToGrid w:val="0"/>
              <w:jc w:val="center"/>
              <w:rPr>
                <w:sz w:val="24"/>
                <w:highlight w:val="yellow"/>
              </w:rPr>
            </w:pPr>
            <w:r>
              <w:rPr>
                <w:sz w:val="24"/>
              </w:rPr>
              <w:t>在原</w:t>
            </w:r>
            <w:r>
              <w:rPr>
                <w:rFonts w:hint="eastAsia"/>
                <w:sz w:val="24"/>
              </w:rPr>
              <w:t>项目</w:t>
            </w:r>
            <w:r>
              <w:rPr>
                <w:sz w:val="24"/>
              </w:rPr>
              <w:t>区进行扩建，不新增用地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155" w:type="dxa"/>
            <w:vAlign w:val="center"/>
          </w:tcPr>
          <w:p>
            <w:pPr>
              <w:adjustRightInd w:val="0"/>
              <w:snapToGrid w:val="0"/>
              <w:jc w:val="center"/>
              <w:rPr>
                <w:sz w:val="24"/>
              </w:rPr>
            </w:pPr>
            <w:r>
              <w:rPr>
                <w:sz w:val="24"/>
              </w:rPr>
              <w:t>专项评价设置情况</w:t>
            </w:r>
          </w:p>
        </w:tc>
        <w:tc>
          <w:tcPr>
            <w:tcW w:w="6715" w:type="dxa"/>
            <w:gridSpan w:val="3"/>
            <w:vAlign w:val="center"/>
          </w:tcPr>
          <w:p>
            <w:pPr>
              <w:adjustRightInd w:val="0"/>
              <w:snapToGrid w:val="0"/>
              <w:jc w:val="center"/>
              <w:rPr>
                <w:sz w:val="24"/>
              </w:rPr>
            </w:pPr>
            <w:r>
              <w:rPr>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155" w:type="dxa"/>
            <w:vAlign w:val="center"/>
          </w:tcPr>
          <w:p>
            <w:pPr>
              <w:adjustRightInd w:val="0"/>
              <w:snapToGrid w:val="0"/>
              <w:jc w:val="center"/>
              <w:rPr>
                <w:sz w:val="24"/>
              </w:rPr>
            </w:pPr>
            <w:r>
              <w:rPr>
                <w:sz w:val="24"/>
              </w:rPr>
              <w:t>规划情况</w:t>
            </w:r>
          </w:p>
        </w:tc>
        <w:tc>
          <w:tcPr>
            <w:tcW w:w="6715" w:type="dxa"/>
            <w:gridSpan w:val="3"/>
            <w:vAlign w:val="center"/>
          </w:tcPr>
          <w:p>
            <w:pPr>
              <w:adjustRightInd w:val="0"/>
              <w:snapToGrid w:val="0"/>
              <w:spacing w:line="360" w:lineRule="auto"/>
              <w:jc w:val="center"/>
              <w:rPr>
                <w:sz w:val="24"/>
              </w:rPr>
            </w:pPr>
            <w:r>
              <w:rPr>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2155" w:type="dxa"/>
            <w:vAlign w:val="center"/>
          </w:tcPr>
          <w:p>
            <w:pPr>
              <w:adjustRightInd w:val="0"/>
              <w:snapToGrid w:val="0"/>
              <w:jc w:val="center"/>
              <w:rPr>
                <w:sz w:val="24"/>
              </w:rPr>
            </w:pPr>
            <w:r>
              <w:rPr>
                <w:sz w:val="24"/>
              </w:rPr>
              <w:t>规划环境影响</w:t>
            </w:r>
          </w:p>
          <w:p>
            <w:pPr>
              <w:adjustRightInd w:val="0"/>
              <w:snapToGrid w:val="0"/>
              <w:jc w:val="center"/>
              <w:rPr>
                <w:sz w:val="24"/>
              </w:rPr>
            </w:pPr>
            <w:r>
              <w:rPr>
                <w:sz w:val="24"/>
              </w:rPr>
              <w:t>评价情况</w:t>
            </w:r>
          </w:p>
        </w:tc>
        <w:tc>
          <w:tcPr>
            <w:tcW w:w="6715" w:type="dxa"/>
            <w:gridSpan w:val="3"/>
            <w:vAlign w:val="center"/>
          </w:tcPr>
          <w:p>
            <w:pPr>
              <w:autoSpaceDE w:val="0"/>
              <w:autoSpaceDN w:val="0"/>
              <w:adjustRightInd w:val="0"/>
              <w:spacing w:line="360" w:lineRule="auto"/>
              <w:jc w:val="center"/>
              <w:rPr>
                <w:kern w:val="0"/>
                <w:sz w:val="24"/>
              </w:rPr>
            </w:pPr>
            <w:r>
              <w:rPr>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2155" w:type="dxa"/>
            <w:vAlign w:val="center"/>
          </w:tcPr>
          <w:p>
            <w:pPr>
              <w:adjustRightInd w:val="0"/>
              <w:snapToGrid w:val="0"/>
              <w:jc w:val="center"/>
              <w:rPr>
                <w:sz w:val="24"/>
              </w:rPr>
            </w:pPr>
            <w:r>
              <w:rPr>
                <w:sz w:val="24"/>
              </w:rPr>
              <w:t>规划及规划环境</w:t>
            </w:r>
          </w:p>
          <w:p>
            <w:pPr>
              <w:adjustRightInd w:val="0"/>
              <w:snapToGrid w:val="0"/>
              <w:jc w:val="center"/>
              <w:rPr>
                <w:sz w:val="24"/>
              </w:rPr>
            </w:pPr>
            <w:r>
              <w:rPr>
                <w:sz w:val="24"/>
              </w:rPr>
              <w:t>影响评价符合性分析</w:t>
            </w:r>
          </w:p>
        </w:tc>
        <w:tc>
          <w:tcPr>
            <w:tcW w:w="6715" w:type="dxa"/>
            <w:gridSpan w:val="3"/>
            <w:vAlign w:val="center"/>
          </w:tcPr>
          <w:p>
            <w:pPr>
              <w:autoSpaceDE w:val="0"/>
              <w:autoSpaceDN w:val="0"/>
              <w:adjustRightInd w:val="0"/>
              <w:spacing w:line="360" w:lineRule="auto"/>
              <w:jc w:val="center"/>
              <w:rPr>
                <w:kern w:val="0"/>
                <w:sz w:val="24"/>
              </w:rPr>
            </w:pPr>
            <w:r>
              <w:rPr>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55" w:type="dxa"/>
            <w:vAlign w:val="center"/>
          </w:tcPr>
          <w:p>
            <w:pPr>
              <w:autoSpaceDE w:val="0"/>
              <w:autoSpaceDN w:val="0"/>
              <w:adjustRightInd w:val="0"/>
              <w:spacing w:line="360" w:lineRule="auto"/>
              <w:jc w:val="center"/>
              <w:rPr>
                <w:kern w:val="0"/>
                <w:sz w:val="24"/>
              </w:rPr>
            </w:pPr>
            <w:r>
              <w:rPr>
                <w:kern w:val="0"/>
                <w:sz w:val="24"/>
              </w:rPr>
              <w:t>其他符合性分析</w:t>
            </w:r>
          </w:p>
        </w:tc>
        <w:tc>
          <w:tcPr>
            <w:tcW w:w="6715" w:type="dxa"/>
            <w:gridSpan w:val="3"/>
            <w:vAlign w:val="center"/>
          </w:tcPr>
          <w:p>
            <w:pPr>
              <w:spacing w:line="360" w:lineRule="auto"/>
              <w:rPr>
                <w:b/>
                <w:bCs/>
                <w:sz w:val="24"/>
              </w:rPr>
            </w:pPr>
            <w:r>
              <w:rPr>
                <w:b/>
                <w:bCs/>
                <w:sz w:val="24"/>
              </w:rPr>
              <w:t>1.产业政策符合性分析</w:t>
            </w:r>
          </w:p>
          <w:p>
            <w:pPr>
              <w:spacing w:line="360" w:lineRule="auto"/>
              <w:ind w:firstLine="480" w:firstLineChars="200"/>
              <w:rPr>
                <w:sz w:val="24"/>
              </w:rPr>
            </w:pPr>
            <w:r>
              <w:rPr>
                <w:sz w:val="24"/>
              </w:rPr>
              <w:t>本项目为昌吉州中医医院中医特色重点医院建设项目，建设康复楼及配套服务设施工程，包括针灸科、康复科、脑病科、疼痛科、心病科、骨科六个特色治疗室建设。根据国家《产业结构调整指导目录》（2019年本）</w:t>
            </w:r>
            <w:r>
              <w:rPr>
                <w:rFonts w:hint="eastAsia"/>
                <w:sz w:val="24"/>
              </w:rPr>
              <w:t>及修订</w:t>
            </w:r>
            <w:r>
              <w:rPr>
                <w:sz w:val="24"/>
              </w:rPr>
              <w:t>，本项目不属于</w:t>
            </w:r>
            <w:r>
              <w:rPr>
                <w:rFonts w:hint="eastAsia"/>
                <w:sz w:val="24"/>
              </w:rPr>
              <w:t>“</w:t>
            </w:r>
            <w:r>
              <w:rPr>
                <w:sz w:val="24"/>
              </w:rPr>
              <w:t>限制类、淘汰类</w:t>
            </w:r>
            <w:r>
              <w:rPr>
                <w:rFonts w:hint="eastAsia"/>
                <w:sz w:val="24"/>
              </w:rPr>
              <w:t>”</w:t>
            </w:r>
            <w:r>
              <w:rPr>
                <w:sz w:val="24"/>
              </w:rPr>
              <w:t>，属于鼓励类项目中</w:t>
            </w:r>
            <w:r>
              <w:rPr>
                <w:rFonts w:hint="eastAsia"/>
                <w:sz w:val="24"/>
              </w:rPr>
              <w:t>“</w:t>
            </w:r>
            <w:r>
              <w:rPr>
                <w:sz w:val="24"/>
              </w:rPr>
              <w:t>三十七、卫生健康</w:t>
            </w:r>
            <w:r>
              <w:rPr>
                <w:rFonts w:hint="eastAsia"/>
                <w:sz w:val="24"/>
              </w:rPr>
              <w:t>”</w:t>
            </w:r>
            <w:r>
              <w:rPr>
                <w:sz w:val="24"/>
              </w:rPr>
              <w:t>中</w:t>
            </w:r>
            <w:r>
              <w:rPr>
                <w:rFonts w:hint="eastAsia"/>
                <w:sz w:val="24"/>
              </w:rPr>
              <w:t>“</w:t>
            </w:r>
            <w:r>
              <w:rPr>
                <w:sz w:val="24"/>
              </w:rPr>
              <w:t>5、医疗卫生服务设施建设</w:t>
            </w:r>
            <w:r>
              <w:rPr>
                <w:rFonts w:hint="eastAsia"/>
                <w:sz w:val="24"/>
              </w:rPr>
              <w:t>”的</w:t>
            </w:r>
            <w:r>
              <w:rPr>
                <w:sz w:val="24"/>
              </w:rPr>
              <w:t>规定范畴，符合国家产业政策。</w:t>
            </w:r>
          </w:p>
          <w:p>
            <w:pPr>
              <w:pStyle w:val="30"/>
              <w:spacing w:line="360" w:lineRule="auto"/>
              <w:ind w:firstLine="0" w:firstLineChars="0"/>
              <w:rPr>
                <w:b/>
                <w:bCs/>
              </w:rPr>
            </w:pPr>
            <w:r>
              <w:rPr>
                <w:b/>
                <w:bCs/>
              </w:rPr>
              <w:t>2.</w:t>
            </w:r>
            <w:r>
              <w:rPr>
                <w:rFonts w:hint="eastAsia"/>
                <w:b/>
                <w:bCs/>
              </w:rPr>
              <w:t>“</w:t>
            </w:r>
            <w:r>
              <w:rPr>
                <w:b/>
                <w:bCs/>
              </w:rPr>
              <w:t>三线一单</w:t>
            </w:r>
            <w:r>
              <w:rPr>
                <w:rFonts w:hint="eastAsia"/>
                <w:b/>
                <w:bCs/>
              </w:rPr>
              <w:t>”</w:t>
            </w:r>
            <w:r>
              <w:rPr>
                <w:b/>
                <w:bCs/>
              </w:rPr>
              <w:t>符合性分析</w:t>
            </w:r>
          </w:p>
          <w:p>
            <w:pPr>
              <w:pStyle w:val="30"/>
              <w:spacing w:line="360" w:lineRule="auto"/>
              <w:ind w:firstLine="0" w:firstLineChars="0"/>
              <w:rPr>
                <w:b/>
                <w:bCs/>
              </w:rPr>
            </w:pPr>
            <w:r>
              <w:rPr>
                <w:b/>
                <w:bCs/>
              </w:rPr>
              <w:t>2.1</w:t>
            </w:r>
            <w:r>
              <w:rPr>
                <w:rFonts w:hint="eastAsia"/>
                <w:b/>
                <w:bCs/>
              </w:rPr>
              <w:t>与</w:t>
            </w:r>
            <w:r>
              <w:rPr>
                <w:b/>
                <w:bCs/>
              </w:rPr>
              <w:t>《新疆维吾尔自治区“三线一单”生态环境分区管控方案》符合性分析</w:t>
            </w:r>
          </w:p>
          <w:p>
            <w:pPr>
              <w:spacing w:line="360" w:lineRule="auto"/>
              <w:ind w:firstLine="480" w:firstLineChars="200"/>
              <w:rPr>
                <w:sz w:val="24"/>
              </w:rPr>
            </w:pPr>
            <w:r>
              <w:rPr>
                <w:sz w:val="24"/>
              </w:rPr>
              <w:t>新疆维吾尔自治区</w:t>
            </w:r>
            <w:r>
              <w:rPr>
                <w:rFonts w:hint="eastAsia"/>
                <w:sz w:val="24"/>
              </w:rPr>
              <w:t>“</w:t>
            </w:r>
            <w:r>
              <w:rPr>
                <w:sz w:val="24"/>
              </w:rPr>
              <w:t>三线一单</w:t>
            </w:r>
            <w:r>
              <w:rPr>
                <w:rFonts w:hint="eastAsia"/>
                <w:sz w:val="24"/>
              </w:rPr>
              <w:t>”</w:t>
            </w:r>
            <w:r>
              <w:rPr>
                <w:sz w:val="24"/>
              </w:rPr>
              <w:t>生态分区管控方案已于2021年2月由自治区人民政府发布并实施。在此分析本工程与自治区</w:t>
            </w:r>
            <w:r>
              <w:rPr>
                <w:rFonts w:hint="eastAsia"/>
                <w:sz w:val="24"/>
              </w:rPr>
              <w:t>“</w:t>
            </w:r>
            <w:r>
              <w:rPr>
                <w:sz w:val="24"/>
              </w:rPr>
              <w:t>三线一单</w:t>
            </w:r>
            <w:r>
              <w:rPr>
                <w:rFonts w:hint="eastAsia"/>
                <w:sz w:val="24"/>
              </w:rPr>
              <w:t>”</w:t>
            </w:r>
            <w:r>
              <w:rPr>
                <w:sz w:val="24"/>
              </w:rPr>
              <w:t>生态分区管控方案的相符性，见下表1-</w:t>
            </w:r>
            <w:r>
              <w:rPr>
                <w:rFonts w:hint="eastAsia"/>
                <w:sz w:val="24"/>
              </w:rPr>
              <w:t>1</w:t>
            </w:r>
            <w:r>
              <w:rPr>
                <w:sz w:val="24"/>
              </w:rPr>
              <w:t>。</w:t>
            </w:r>
          </w:p>
          <w:p>
            <w:pPr>
              <w:pStyle w:val="21"/>
              <w:ind w:firstLine="422"/>
              <w:rPr>
                <w:rFonts w:hint="default"/>
              </w:rPr>
            </w:pPr>
            <w:r>
              <w:rPr>
                <w:rFonts w:hint="default"/>
              </w:rPr>
              <w:t>表1-</w:t>
            </w:r>
            <w:r>
              <w:t>1</w:t>
            </w:r>
            <w:r>
              <w:rPr>
                <w:rFonts w:hint="default"/>
              </w:rPr>
              <w:t xml:space="preserve">  本工程与</w:t>
            </w:r>
            <w:r>
              <w:t>“</w:t>
            </w:r>
            <w:r>
              <w:rPr>
                <w:rFonts w:hint="default"/>
              </w:rPr>
              <w:t>三线一单</w:t>
            </w:r>
            <w:r>
              <w:t>”</w:t>
            </w:r>
            <w:r>
              <w:rPr>
                <w:rFonts w:hint="default"/>
              </w:rPr>
              <w:t>符合性分析</w:t>
            </w:r>
          </w:p>
          <w:tbl>
            <w:tblPr>
              <w:tblStyle w:val="18"/>
              <w:tblW w:w="66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3"/>
              <w:gridCol w:w="3511"/>
              <w:gridCol w:w="1766"/>
              <w:gridCol w:w="7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jc w:val="center"/>
              </w:trPr>
              <w:tc>
                <w:tcPr>
                  <w:tcW w:w="693" w:type="dxa"/>
                  <w:tcBorders>
                    <w:bottom w:val="single" w:color="auto" w:sz="12" w:space="0"/>
                  </w:tcBorders>
                  <w:vAlign w:val="center"/>
                </w:tcPr>
                <w:p>
                  <w:pPr>
                    <w:jc w:val="center"/>
                    <w:rPr>
                      <w:b/>
                      <w:bCs/>
                    </w:rPr>
                  </w:pPr>
                  <w:r>
                    <w:rPr>
                      <w:b/>
                      <w:bCs/>
                    </w:rPr>
                    <w:t>内容</w:t>
                  </w:r>
                </w:p>
              </w:tc>
              <w:tc>
                <w:tcPr>
                  <w:tcW w:w="3511" w:type="dxa"/>
                  <w:tcBorders>
                    <w:bottom w:val="single" w:color="auto" w:sz="12" w:space="0"/>
                  </w:tcBorders>
                  <w:vAlign w:val="center"/>
                </w:tcPr>
                <w:p>
                  <w:pPr>
                    <w:pStyle w:val="29"/>
                    <w:spacing w:line="240" w:lineRule="auto"/>
                    <w:rPr>
                      <w:b/>
                      <w:bCs/>
                    </w:rPr>
                  </w:pPr>
                  <w:r>
                    <w:rPr>
                      <w:b/>
                      <w:bCs/>
                    </w:rPr>
                    <w:t>具体要求</w:t>
                  </w:r>
                </w:p>
              </w:tc>
              <w:tc>
                <w:tcPr>
                  <w:tcW w:w="1766" w:type="dxa"/>
                  <w:tcBorders>
                    <w:bottom w:val="single" w:color="auto" w:sz="12" w:space="0"/>
                  </w:tcBorders>
                  <w:vAlign w:val="center"/>
                </w:tcPr>
                <w:p>
                  <w:pPr>
                    <w:jc w:val="center"/>
                    <w:rPr>
                      <w:b/>
                      <w:bCs/>
                    </w:rPr>
                  </w:pPr>
                  <w:r>
                    <w:rPr>
                      <w:b/>
                      <w:bCs/>
                    </w:rPr>
                    <w:t>本项目建设内容</w:t>
                  </w:r>
                </w:p>
              </w:tc>
              <w:tc>
                <w:tcPr>
                  <w:tcW w:w="708" w:type="dxa"/>
                  <w:tcBorders>
                    <w:bottom w:val="single" w:color="auto" w:sz="12" w:space="0"/>
                  </w:tcBorders>
                  <w:vAlign w:val="center"/>
                </w:tcPr>
                <w:p>
                  <w:pPr>
                    <w:jc w:val="center"/>
                    <w:rPr>
                      <w:b/>
                      <w:bCs/>
                    </w:rPr>
                  </w:pPr>
                  <w:r>
                    <w:rPr>
                      <w:b/>
                      <w:bCs/>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dxa"/>
                  <w:tcBorders>
                    <w:top w:val="single" w:color="auto" w:sz="12" w:space="0"/>
                    <w:tl2br w:val="nil"/>
                    <w:tr2bl w:val="nil"/>
                  </w:tcBorders>
                  <w:vAlign w:val="center"/>
                </w:tcPr>
                <w:p>
                  <w:pPr>
                    <w:wordWrap w:val="0"/>
                    <w:topLinePunct/>
                    <w:snapToGrid w:val="0"/>
                    <w:jc w:val="center"/>
                  </w:pPr>
                  <w:r>
                    <w:t>生态保护红线</w:t>
                  </w:r>
                </w:p>
              </w:tc>
              <w:tc>
                <w:tcPr>
                  <w:tcW w:w="3511" w:type="dxa"/>
                  <w:tcBorders>
                    <w:top w:val="single" w:color="auto" w:sz="12" w:space="0"/>
                    <w:tl2br w:val="nil"/>
                    <w:tr2bl w:val="nil"/>
                  </w:tcBorders>
                  <w:vAlign w:val="center"/>
                </w:tcPr>
                <w:p>
                  <w:pPr>
                    <w:adjustRightInd w:val="0"/>
                    <w:snapToGrid w:val="0"/>
                    <w:jc w:val="center"/>
                  </w:pPr>
                  <w:r>
                    <w:t>生态保护红线是生态空间范围内具有特殊重要生态功能必须实行强制性保护的区域。相关规划环评应将生态空间管控作为重要内容，规划区涉及生态保护红线，在规划环评结论和审查意见中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766" w:type="dxa"/>
                  <w:tcBorders>
                    <w:top w:val="single" w:color="auto" w:sz="12" w:space="0"/>
                    <w:tl2br w:val="nil"/>
                    <w:tr2bl w:val="nil"/>
                  </w:tcBorders>
                  <w:vAlign w:val="center"/>
                </w:tcPr>
                <w:p>
                  <w:pPr>
                    <w:wordWrap w:val="0"/>
                    <w:topLinePunct/>
                    <w:snapToGrid w:val="0"/>
                    <w:jc w:val="left"/>
                  </w:pPr>
                  <w:r>
                    <w:t>根据目前新疆维吾尔自治区生态保护红线成果，本项目选址区域不占用生态保护红线。</w:t>
                  </w:r>
                </w:p>
              </w:tc>
              <w:tc>
                <w:tcPr>
                  <w:tcW w:w="708" w:type="dxa"/>
                  <w:tcBorders>
                    <w:top w:val="single" w:color="auto" w:sz="12" w:space="0"/>
                    <w:tl2br w:val="nil"/>
                    <w:tr2bl w:val="nil"/>
                  </w:tcBorders>
                  <w:vAlign w:val="center"/>
                </w:tcPr>
                <w:p>
                  <w:pPr>
                    <w:wordWrap w:val="0"/>
                    <w:topLinePunct/>
                    <w:snapToGrid w:val="0"/>
                    <w:jc w:val="cente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dxa"/>
                  <w:tcBorders>
                    <w:tl2br w:val="nil"/>
                    <w:tr2bl w:val="nil"/>
                  </w:tcBorders>
                  <w:vAlign w:val="center"/>
                </w:tcPr>
                <w:p>
                  <w:pPr>
                    <w:wordWrap w:val="0"/>
                    <w:topLinePunct/>
                    <w:snapToGrid w:val="0"/>
                    <w:jc w:val="center"/>
                  </w:pPr>
                  <w:r>
                    <w:t>资源利用上线</w:t>
                  </w:r>
                </w:p>
              </w:tc>
              <w:tc>
                <w:tcPr>
                  <w:tcW w:w="3511" w:type="dxa"/>
                  <w:tcBorders>
                    <w:tl2br w:val="nil"/>
                    <w:tr2bl w:val="nil"/>
                  </w:tcBorders>
                  <w:vAlign w:val="center"/>
                </w:tcPr>
                <w:p>
                  <w:pPr>
                    <w:adjustRightInd w:val="0"/>
                    <w:snapToGrid w:val="0"/>
                    <w:jc w:val="center"/>
                  </w:pPr>
                  <w: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总量控制要求。</w:t>
                  </w:r>
                </w:p>
              </w:tc>
              <w:tc>
                <w:tcPr>
                  <w:tcW w:w="1766" w:type="dxa"/>
                  <w:tcBorders>
                    <w:tl2br w:val="nil"/>
                    <w:tr2bl w:val="nil"/>
                  </w:tcBorders>
                  <w:vAlign w:val="center"/>
                </w:tcPr>
                <w:p>
                  <w:pPr>
                    <w:wordWrap w:val="0"/>
                    <w:topLinePunct/>
                    <w:snapToGrid w:val="0"/>
                    <w:jc w:val="left"/>
                  </w:pPr>
                  <w:r>
                    <w:t>本项目运营过程中消耗一定电、水，项目资源消耗量相对区域资源利用总量较少。本项目的水使用量符合资源利用上线要求。</w:t>
                  </w:r>
                </w:p>
              </w:tc>
              <w:tc>
                <w:tcPr>
                  <w:tcW w:w="708" w:type="dxa"/>
                  <w:tcBorders>
                    <w:tl2br w:val="nil"/>
                    <w:tr2bl w:val="nil"/>
                  </w:tcBorders>
                  <w:vAlign w:val="center"/>
                </w:tcPr>
                <w:p>
                  <w:pPr>
                    <w:wordWrap w:val="0"/>
                    <w:topLinePunct/>
                    <w:snapToGrid w:val="0"/>
                    <w:jc w:val="cente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dxa"/>
                  <w:tcBorders>
                    <w:tl2br w:val="nil"/>
                    <w:tr2bl w:val="nil"/>
                  </w:tcBorders>
                  <w:vAlign w:val="center"/>
                </w:tcPr>
                <w:p>
                  <w:pPr>
                    <w:wordWrap w:val="0"/>
                    <w:topLinePunct/>
                    <w:snapToGrid w:val="0"/>
                    <w:jc w:val="center"/>
                  </w:pPr>
                  <w:r>
                    <w:t>环境质量底线</w:t>
                  </w:r>
                </w:p>
              </w:tc>
              <w:tc>
                <w:tcPr>
                  <w:tcW w:w="3511" w:type="dxa"/>
                  <w:tcBorders>
                    <w:tl2br w:val="nil"/>
                    <w:tr2bl w:val="nil"/>
                  </w:tcBorders>
                  <w:vAlign w:val="center"/>
                </w:tcPr>
                <w:p>
                  <w:pPr>
                    <w:pStyle w:val="29"/>
                    <w:spacing w:line="240" w:lineRule="auto"/>
                  </w:pPr>
                  <w:r>
                    <w:t>资源是环境的载体，资源利用上线是个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766" w:type="dxa"/>
                  <w:tcBorders>
                    <w:tl2br w:val="nil"/>
                    <w:tr2bl w:val="nil"/>
                  </w:tcBorders>
                  <w:vAlign w:val="center"/>
                </w:tcPr>
                <w:p>
                  <w:pPr>
                    <w:wordWrap w:val="0"/>
                    <w:topLinePunct/>
                    <w:snapToGrid w:val="0"/>
                    <w:jc w:val="left"/>
                  </w:pPr>
                  <w:r>
                    <w:t>大气环境：</w:t>
                  </w:r>
                  <w:r>
                    <w:rPr>
                      <w:rFonts w:hint="eastAsia"/>
                    </w:rPr>
                    <w:t>运营期</w:t>
                  </w:r>
                  <w:r>
                    <w:t>大气污染物达标排放，排放总量少，对周围环境影响小</w:t>
                  </w:r>
                  <w:r>
                    <w:rPr>
                      <w:rFonts w:hint="eastAsia"/>
                    </w:rPr>
                    <w:t>；</w:t>
                  </w:r>
                  <w:r>
                    <w:t>水环境：</w:t>
                  </w:r>
                  <w:r>
                    <w:rPr>
                      <w:rFonts w:hint="eastAsia"/>
                    </w:rPr>
                    <w:t>运营期</w:t>
                  </w:r>
                  <w:r>
                    <w:t>废水进行预消毒后采用二级处理（生化反应池+二沉池）+消毒工艺，排入市政</w:t>
                  </w:r>
                  <w:r>
                    <w:rPr>
                      <w:rFonts w:hint="eastAsia"/>
                    </w:rPr>
                    <w:t>污水</w:t>
                  </w:r>
                  <w:r>
                    <w:t>管网</w:t>
                  </w:r>
                  <w:r>
                    <w:rPr>
                      <w:rFonts w:hint="eastAsia"/>
                    </w:rPr>
                    <w:t>；</w:t>
                  </w:r>
                  <w:r>
                    <w:t>声环境：项目无较大的噪声源，声环境质量良好</w:t>
                  </w:r>
                  <w:r>
                    <w:rPr>
                      <w:rFonts w:hint="eastAsia"/>
                    </w:rPr>
                    <w:t>；</w:t>
                  </w:r>
                  <w:r>
                    <w:t>固体废物：分类暂存医疗废物暂存间，做到无害处理，定期交由有资质的单位统一处理。</w:t>
                  </w:r>
                </w:p>
              </w:tc>
              <w:tc>
                <w:tcPr>
                  <w:tcW w:w="708" w:type="dxa"/>
                  <w:tcBorders>
                    <w:tl2br w:val="nil"/>
                    <w:tr2bl w:val="nil"/>
                  </w:tcBorders>
                  <w:vAlign w:val="center"/>
                </w:tcPr>
                <w:p>
                  <w:pPr>
                    <w:wordWrap w:val="0"/>
                    <w:topLinePunct/>
                    <w:snapToGrid w:val="0"/>
                    <w:jc w:val="cente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dxa"/>
                  <w:tcBorders>
                    <w:tl2br w:val="nil"/>
                    <w:tr2bl w:val="nil"/>
                  </w:tcBorders>
                  <w:vAlign w:val="center"/>
                </w:tcPr>
                <w:p>
                  <w:pPr>
                    <w:wordWrap w:val="0"/>
                    <w:topLinePunct/>
                    <w:snapToGrid w:val="0"/>
                    <w:jc w:val="center"/>
                  </w:pPr>
                  <w:r>
                    <w:t>环境准入清单</w:t>
                  </w:r>
                </w:p>
              </w:tc>
              <w:tc>
                <w:tcPr>
                  <w:tcW w:w="3511" w:type="dxa"/>
                  <w:tcBorders>
                    <w:tl2br w:val="nil"/>
                    <w:tr2bl w:val="nil"/>
                  </w:tcBorders>
                  <w:vAlign w:val="center"/>
                </w:tcPr>
                <w:p>
                  <w:pPr>
                    <w:adjustRightInd w:val="0"/>
                    <w:snapToGrid w:val="0"/>
                    <w:jc w:val="center"/>
                  </w:pPr>
                  <w:r>
                    <w:t>环境准入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清单，充分发挥清单对产业发展和项目准入的指导和约束作用。</w:t>
                  </w:r>
                </w:p>
              </w:tc>
              <w:tc>
                <w:tcPr>
                  <w:tcW w:w="1766" w:type="dxa"/>
                  <w:tcBorders>
                    <w:tl2br w:val="nil"/>
                    <w:tr2bl w:val="nil"/>
                  </w:tcBorders>
                  <w:vAlign w:val="center"/>
                </w:tcPr>
                <w:p>
                  <w:pPr>
                    <w:wordWrap w:val="0"/>
                    <w:topLinePunct/>
                    <w:snapToGrid w:val="0"/>
                    <w:jc w:val="left"/>
                  </w:pPr>
                  <w:r>
                    <w:t>本项目未列入《新疆重点生态功能区产业准入清单》中限制类和禁止类。</w:t>
                  </w:r>
                </w:p>
              </w:tc>
              <w:tc>
                <w:tcPr>
                  <w:tcW w:w="708" w:type="dxa"/>
                  <w:tcBorders>
                    <w:tl2br w:val="nil"/>
                    <w:tr2bl w:val="nil"/>
                  </w:tcBorders>
                  <w:vAlign w:val="center"/>
                </w:tcPr>
                <w:p>
                  <w:pPr>
                    <w:wordWrap w:val="0"/>
                    <w:topLinePunct/>
                    <w:snapToGrid w:val="0"/>
                    <w:jc w:val="center"/>
                  </w:pPr>
                  <w:r>
                    <w:t>符合</w:t>
                  </w:r>
                </w:p>
              </w:tc>
            </w:tr>
          </w:tbl>
          <w:p>
            <w:pPr>
              <w:pStyle w:val="30"/>
              <w:spacing w:line="360" w:lineRule="auto"/>
              <w:ind w:firstLine="0" w:firstLineChars="0"/>
              <w:rPr>
                <w:b/>
                <w:bCs/>
              </w:rPr>
            </w:pPr>
            <w:r>
              <w:rPr>
                <w:b/>
                <w:bCs/>
              </w:rPr>
              <w:t>2.2</w:t>
            </w:r>
            <w:r>
              <w:rPr>
                <w:rFonts w:hint="eastAsia"/>
                <w:b/>
                <w:bCs/>
              </w:rPr>
              <w:t>与</w:t>
            </w:r>
            <w:r>
              <w:rPr>
                <w:b/>
                <w:bCs/>
              </w:rPr>
              <w:t>《昌吉回族自治州“三线一单”生态环境分区管控方案及生态环境准入清单》符合性分析</w:t>
            </w:r>
          </w:p>
          <w:p>
            <w:pPr>
              <w:pStyle w:val="30"/>
              <w:spacing w:line="360" w:lineRule="auto"/>
              <w:ind w:firstLine="0" w:firstLineChars="0"/>
              <w:rPr>
                <w:b/>
                <w:bCs/>
              </w:rPr>
            </w:pPr>
            <w:r>
              <w:rPr>
                <w:b/>
                <w:bCs/>
              </w:rPr>
              <w:t>2.2.1生态保护红线</w:t>
            </w:r>
          </w:p>
          <w:p>
            <w:pPr>
              <w:spacing w:line="360" w:lineRule="auto"/>
              <w:ind w:firstLine="480" w:firstLineChars="200"/>
              <w:rPr>
                <w:sz w:val="24"/>
              </w:rPr>
            </w:pPr>
            <w:r>
              <w:rPr>
                <w:sz w:val="24"/>
              </w:rPr>
              <w:t>根据《昌吉回族自治州</w:t>
            </w:r>
            <w:r>
              <w:rPr>
                <w:rFonts w:hint="eastAsia"/>
                <w:sz w:val="24"/>
              </w:rPr>
              <w:t>“</w:t>
            </w:r>
            <w:r>
              <w:rPr>
                <w:sz w:val="24"/>
              </w:rPr>
              <w:t>三线一单</w:t>
            </w:r>
            <w:r>
              <w:rPr>
                <w:rFonts w:hint="eastAsia"/>
                <w:sz w:val="24"/>
              </w:rPr>
              <w:t>”</w:t>
            </w:r>
            <w:r>
              <w:rPr>
                <w:sz w:val="24"/>
              </w:rPr>
              <w:t>生态环境分区管控方案（草案）》要求：按照</w:t>
            </w:r>
            <w:r>
              <w:rPr>
                <w:rFonts w:hint="eastAsia"/>
                <w:sz w:val="24"/>
              </w:rPr>
              <w:t>“</w:t>
            </w:r>
            <w:r>
              <w:rPr>
                <w:sz w:val="24"/>
              </w:rPr>
              <w:t>生态功能不降低、面积不减少、性质不改变</w:t>
            </w:r>
            <w:r>
              <w:rPr>
                <w:rFonts w:hint="eastAsia"/>
                <w:sz w:val="24"/>
              </w:rPr>
              <w:t>”</w:t>
            </w:r>
            <w:r>
              <w:rPr>
                <w:sz w:val="24"/>
              </w:rPr>
              <w:t>的基本要求，生态空间得到优化和保护，生态保护红线得到严格管控。生态功能保持稳定，生物多样性水平稳步提升，生态空间保护体系基本建立。本项目位于新疆维吾尔自治区昌吉回族自治州昌吉市建国西路110号昌吉州中医医院内，周边无自然保护区、风景名胜区、同时不在生态保护红线范围内。</w:t>
            </w:r>
          </w:p>
          <w:p>
            <w:pPr>
              <w:pStyle w:val="30"/>
              <w:spacing w:line="360" w:lineRule="auto"/>
              <w:ind w:firstLine="0" w:firstLineChars="0"/>
              <w:rPr>
                <w:b/>
                <w:bCs/>
              </w:rPr>
            </w:pPr>
            <w:r>
              <w:rPr>
                <w:b/>
                <w:bCs/>
              </w:rPr>
              <w:t>2.2.2环境质量底线</w:t>
            </w:r>
          </w:p>
          <w:p>
            <w:pPr>
              <w:spacing w:line="360" w:lineRule="auto"/>
              <w:ind w:firstLine="480" w:firstLineChars="200"/>
              <w:rPr>
                <w:sz w:val="24"/>
              </w:rPr>
            </w:pPr>
            <w:r>
              <w:rPr>
                <w:sz w:val="24"/>
              </w:rPr>
              <w:t>区域环境空气属于《环境空气质量标准》（GB3095-2012）中二类功能区、地表水水环境功能属于《地表水环境质量标准》（GB3838-2002）中</w:t>
            </w:r>
            <w:r>
              <w:rPr>
                <w:rFonts w:hint="eastAsia"/>
                <w:sz w:val="24"/>
              </w:rPr>
              <w:t>IV</w:t>
            </w:r>
            <w:r>
              <w:rPr>
                <w:sz w:val="24"/>
              </w:rPr>
              <w:t>类功能区、区域声环境属于《声环境质量标准》（GB3096-2008）中</w:t>
            </w:r>
            <w:r>
              <w:rPr>
                <w:rFonts w:hint="eastAsia"/>
                <w:sz w:val="24"/>
              </w:rPr>
              <w:t>1</w:t>
            </w:r>
            <w:r>
              <w:rPr>
                <w:sz w:val="24"/>
              </w:rPr>
              <w:t>类功能区。本项目产生的三废均能有效处理，采取相应治理措施后可达标排放。因此本项目建设不会对当地环境质量底线造成冲击。</w:t>
            </w:r>
          </w:p>
          <w:p>
            <w:pPr>
              <w:pStyle w:val="30"/>
              <w:spacing w:line="360" w:lineRule="auto"/>
              <w:ind w:firstLine="0" w:firstLineChars="0"/>
              <w:rPr>
                <w:b/>
                <w:bCs/>
              </w:rPr>
            </w:pPr>
            <w:r>
              <w:rPr>
                <w:b/>
                <w:bCs/>
              </w:rPr>
              <w:t>2.2.3资源利用上线</w:t>
            </w:r>
          </w:p>
          <w:p>
            <w:pPr>
              <w:spacing w:line="360" w:lineRule="auto"/>
              <w:ind w:firstLine="480" w:firstLineChars="200"/>
              <w:rPr>
                <w:sz w:val="24"/>
              </w:rPr>
            </w:pPr>
            <w:r>
              <w:rPr>
                <w:sz w:val="24"/>
              </w:rPr>
              <w:t>项目用水由市政供水管网供给，水源充足；项目能源主要为电能，用电由市政供电系统提供，项目建设不涉及基本农田，土地资源消耗符合相关要求。因此项目符合资源利用上线要求。</w:t>
            </w:r>
          </w:p>
          <w:p>
            <w:pPr>
              <w:pStyle w:val="6"/>
            </w:pPr>
            <w:r>
              <w:t>2.2.4生态环境准入清单</w:t>
            </w:r>
          </w:p>
          <w:p>
            <w:pPr>
              <w:pStyle w:val="31"/>
              <w:ind w:firstLine="480"/>
            </w:pPr>
            <w:r>
              <w:t>生态环境准入清单是基于生态保护红线、环境质量底线和资源利用上线，以清单方式列出的禁止、限制等差别化环境准入条件和要求。结合《昌吉回族自治州区域空间生态环境评价暨“三线一单”生态环境准入清单》文件，项目符合《昌吉回族自治州区域空间生态环境评价暨</w:t>
            </w:r>
            <w:r>
              <w:rPr>
                <w:rFonts w:hint="eastAsia"/>
              </w:rPr>
              <w:t>“</w:t>
            </w:r>
            <w:r>
              <w:t>三线一单</w:t>
            </w:r>
            <w:r>
              <w:rPr>
                <w:rFonts w:hint="eastAsia"/>
              </w:rPr>
              <w:t>”</w:t>
            </w:r>
            <w:r>
              <w:t>”生态环境准入清单》文件要求</w:t>
            </w:r>
            <w:r>
              <w:rPr>
                <w:rFonts w:hint="eastAsia"/>
              </w:rPr>
              <w:t>，环境管控单元编码：ZH65230130001，</w:t>
            </w:r>
            <w:r>
              <w:t>具体位置见附图。与其符合情况见下表1-2。</w:t>
            </w:r>
          </w:p>
          <w:p>
            <w:pPr>
              <w:pStyle w:val="21"/>
              <w:ind w:firstLine="422"/>
              <w:rPr>
                <w:rFonts w:hint="default"/>
              </w:rPr>
            </w:pPr>
            <w:r>
              <w:rPr>
                <w:rFonts w:hint="default"/>
              </w:rPr>
              <w:t>表1-2  与《昌吉回族自治州“三线一单”生态环境分区管控方案及生态环境准入清单》符合性分析</w:t>
            </w:r>
          </w:p>
          <w:tbl>
            <w:tblPr>
              <w:tblStyle w:val="18"/>
              <w:tblW w:w="66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841"/>
              <w:gridCol w:w="2100"/>
              <w:gridCol w:w="7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dxa"/>
                  <w:tcBorders>
                    <w:bottom w:val="single" w:color="000000" w:sz="12" w:space="0"/>
                    <w:tl2br w:val="nil"/>
                    <w:tr2bl w:val="nil"/>
                  </w:tcBorders>
                  <w:vAlign w:val="center"/>
                </w:tcPr>
                <w:p>
                  <w:pPr>
                    <w:pStyle w:val="32"/>
                    <w:ind w:firstLine="0" w:firstLineChars="0"/>
                    <w:rPr>
                      <w:b/>
                      <w:bCs w:val="0"/>
                    </w:rPr>
                  </w:pPr>
                  <w:r>
                    <w:rPr>
                      <w:b/>
                      <w:bCs w:val="0"/>
                    </w:rPr>
                    <w:t>管控名称</w:t>
                  </w:r>
                </w:p>
              </w:tc>
              <w:tc>
                <w:tcPr>
                  <w:tcW w:w="2841" w:type="dxa"/>
                  <w:tcBorders>
                    <w:bottom w:val="single" w:color="000000" w:sz="12" w:space="0"/>
                    <w:tl2br w:val="nil"/>
                    <w:tr2bl w:val="nil"/>
                  </w:tcBorders>
                  <w:vAlign w:val="center"/>
                </w:tcPr>
                <w:p>
                  <w:pPr>
                    <w:pStyle w:val="32"/>
                    <w:ind w:firstLine="422"/>
                    <w:rPr>
                      <w:b/>
                      <w:bCs w:val="0"/>
                    </w:rPr>
                  </w:pPr>
                  <w:r>
                    <w:rPr>
                      <w:b/>
                      <w:bCs w:val="0"/>
                    </w:rPr>
                    <w:t>管控要求</w:t>
                  </w:r>
                </w:p>
              </w:tc>
              <w:tc>
                <w:tcPr>
                  <w:tcW w:w="2100" w:type="dxa"/>
                  <w:tcBorders>
                    <w:bottom w:val="single" w:color="000000" w:sz="12" w:space="0"/>
                    <w:tl2br w:val="nil"/>
                    <w:tr2bl w:val="nil"/>
                  </w:tcBorders>
                  <w:vAlign w:val="center"/>
                </w:tcPr>
                <w:p>
                  <w:pPr>
                    <w:pStyle w:val="32"/>
                    <w:ind w:firstLine="0" w:firstLineChars="0"/>
                    <w:rPr>
                      <w:b/>
                      <w:bCs w:val="0"/>
                    </w:rPr>
                  </w:pPr>
                  <w:r>
                    <w:rPr>
                      <w:b/>
                      <w:bCs w:val="0"/>
                    </w:rPr>
                    <w:t>项目概况</w:t>
                  </w:r>
                </w:p>
              </w:tc>
              <w:tc>
                <w:tcPr>
                  <w:tcW w:w="791" w:type="dxa"/>
                  <w:tcBorders>
                    <w:bottom w:val="single" w:color="000000" w:sz="12" w:space="0"/>
                    <w:tl2br w:val="nil"/>
                    <w:tr2bl w:val="nil"/>
                  </w:tcBorders>
                  <w:vAlign w:val="center"/>
                </w:tcPr>
                <w:p>
                  <w:pPr>
                    <w:pStyle w:val="32"/>
                    <w:ind w:firstLine="0" w:firstLineChars="0"/>
                    <w:rPr>
                      <w:b/>
                      <w:bCs w:val="0"/>
                    </w:rPr>
                  </w:pPr>
                  <w:r>
                    <w:rPr>
                      <w:b/>
                      <w:bCs w:val="0"/>
                    </w:rPr>
                    <w:t>符合情况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dxa"/>
                  <w:tcBorders>
                    <w:top w:val="single" w:color="000000" w:sz="12" w:space="0"/>
                    <w:tl2br w:val="nil"/>
                    <w:tr2bl w:val="nil"/>
                  </w:tcBorders>
                  <w:vAlign w:val="center"/>
                </w:tcPr>
                <w:p>
                  <w:pPr>
                    <w:pStyle w:val="32"/>
                    <w:ind w:firstLine="0" w:firstLineChars="0"/>
                  </w:pPr>
                  <w:r>
                    <w:t>空间布局约束</w:t>
                  </w:r>
                </w:p>
              </w:tc>
              <w:tc>
                <w:tcPr>
                  <w:tcW w:w="2841" w:type="dxa"/>
                  <w:tcBorders>
                    <w:top w:val="single" w:color="000000" w:sz="12" w:space="0"/>
                    <w:tl2br w:val="nil"/>
                    <w:tr2bl w:val="nil"/>
                  </w:tcBorders>
                  <w:vAlign w:val="center"/>
                </w:tcPr>
                <w:p>
                  <w:pPr>
                    <w:pStyle w:val="31"/>
                    <w:spacing w:line="240" w:lineRule="auto"/>
                    <w:ind w:firstLine="0" w:firstLineChars="0"/>
                    <w:jc w:val="left"/>
                    <w:rPr>
                      <w:rFonts w:cs="Times New Roman"/>
                      <w:bCs/>
                      <w:kern w:val="2"/>
                      <w:sz w:val="21"/>
                    </w:rPr>
                  </w:pPr>
                  <w:r>
                    <w:rPr>
                      <w:rFonts w:cs="Times New Roman"/>
                      <w:bCs/>
                      <w:kern w:val="2"/>
                      <w:sz w:val="21"/>
                    </w:rPr>
                    <w:t>1、执行自治区总体准入要求中关于一般环境管控单元的准入要求（表2-4 A7.1）。</w:t>
                  </w:r>
                </w:p>
              </w:tc>
              <w:tc>
                <w:tcPr>
                  <w:tcW w:w="2100" w:type="dxa"/>
                  <w:tcBorders>
                    <w:top w:val="single" w:color="000000" w:sz="12" w:space="0"/>
                    <w:tl2br w:val="nil"/>
                    <w:tr2bl w:val="nil"/>
                  </w:tcBorders>
                  <w:vAlign w:val="center"/>
                </w:tcPr>
                <w:p>
                  <w:pPr>
                    <w:pStyle w:val="32"/>
                    <w:ind w:firstLine="0" w:firstLineChars="0"/>
                    <w:jc w:val="left"/>
                  </w:pPr>
                  <w:r>
                    <w:t>本项目符合表2-4 A7.1中一般环境管控单元的准入要求。</w:t>
                  </w:r>
                </w:p>
              </w:tc>
              <w:tc>
                <w:tcPr>
                  <w:tcW w:w="791" w:type="dxa"/>
                  <w:tcBorders>
                    <w:top w:val="single" w:color="000000" w:sz="12" w:space="0"/>
                    <w:tl2br w:val="nil"/>
                    <w:tr2bl w:val="nil"/>
                  </w:tcBorders>
                  <w:vAlign w:val="center"/>
                </w:tcPr>
                <w:p>
                  <w:pPr>
                    <w:pStyle w:val="32"/>
                    <w:ind w:firstLine="0" w:firstLineChars="0"/>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dxa"/>
                  <w:tcBorders>
                    <w:tl2br w:val="nil"/>
                    <w:tr2bl w:val="nil"/>
                  </w:tcBorders>
                  <w:vAlign w:val="center"/>
                </w:tcPr>
                <w:p>
                  <w:pPr>
                    <w:pStyle w:val="32"/>
                    <w:ind w:firstLine="0" w:firstLineChars="0"/>
                  </w:pPr>
                  <w:r>
                    <w:t>污染物排放管控</w:t>
                  </w:r>
                </w:p>
              </w:tc>
              <w:tc>
                <w:tcPr>
                  <w:tcW w:w="2841" w:type="dxa"/>
                  <w:tcBorders>
                    <w:tl2br w:val="nil"/>
                    <w:tr2bl w:val="nil"/>
                  </w:tcBorders>
                  <w:vAlign w:val="center"/>
                </w:tcPr>
                <w:p>
                  <w:pPr>
                    <w:pStyle w:val="34"/>
                    <w:jc w:val="left"/>
                    <w:rPr>
                      <w:rFonts w:eastAsia="宋体"/>
                      <w:bCs/>
                      <w:color w:val="auto"/>
                      <w:kern w:val="2"/>
                      <w:szCs w:val="21"/>
                    </w:rPr>
                  </w:pPr>
                  <w:r>
                    <w:rPr>
                      <w:rFonts w:eastAsia="宋体"/>
                      <w:bCs/>
                      <w:color w:val="auto"/>
                      <w:kern w:val="2"/>
                      <w:szCs w:val="21"/>
                    </w:rPr>
                    <w:t>1、执行自治区总体准入要求中关于一般环境管控单元的准入要求（表2-4 A7.2）。</w:t>
                  </w:r>
                </w:p>
              </w:tc>
              <w:tc>
                <w:tcPr>
                  <w:tcW w:w="2100" w:type="dxa"/>
                  <w:tcBorders>
                    <w:tl2br w:val="nil"/>
                    <w:tr2bl w:val="nil"/>
                  </w:tcBorders>
                  <w:vAlign w:val="center"/>
                </w:tcPr>
                <w:p>
                  <w:pPr>
                    <w:pStyle w:val="32"/>
                    <w:ind w:firstLine="0" w:firstLineChars="0"/>
                    <w:jc w:val="both"/>
                  </w:pPr>
                  <w:r>
                    <w:t>本项目符合表2-4 A7.1中一般环境管控单元的准入要求。</w:t>
                  </w:r>
                </w:p>
              </w:tc>
              <w:tc>
                <w:tcPr>
                  <w:tcW w:w="791" w:type="dxa"/>
                  <w:tcBorders>
                    <w:tl2br w:val="nil"/>
                    <w:tr2bl w:val="nil"/>
                  </w:tcBorders>
                  <w:vAlign w:val="center"/>
                </w:tcPr>
                <w:p>
                  <w:pPr>
                    <w:pStyle w:val="32"/>
                    <w:ind w:firstLine="0" w:firstLineChars="0"/>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dxa"/>
                  <w:tcBorders>
                    <w:tl2br w:val="nil"/>
                    <w:tr2bl w:val="nil"/>
                  </w:tcBorders>
                  <w:vAlign w:val="center"/>
                </w:tcPr>
                <w:p>
                  <w:pPr>
                    <w:pStyle w:val="32"/>
                    <w:ind w:firstLine="0" w:firstLineChars="0"/>
                  </w:pPr>
                  <w:r>
                    <w:t>环境风险防控</w:t>
                  </w:r>
                </w:p>
              </w:tc>
              <w:tc>
                <w:tcPr>
                  <w:tcW w:w="2841" w:type="dxa"/>
                  <w:tcBorders>
                    <w:tl2br w:val="nil"/>
                    <w:tr2bl w:val="nil"/>
                  </w:tcBorders>
                  <w:vAlign w:val="center"/>
                </w:tcPr>
                <w:p>
                  <w:pPr>
                    <w:pStyle w:val="34"/>
                    <w:jc w:val="left"/>
                    <w:rPr>
                      <w:rFonts w:eastAsia="宋体"/>
                      <w:bCs/>
                      <w:color w:val="auto"/>
                      <w:kern w:val="2"/>
                      <w:szCs w:val="21"/>
                    </w:rPr>
                  </w:pPr>
                  <w:r>
                    <w:rPr>
                      <w:rFonts w:eastAsia="宋体"/>
                      <w:bCs/>
                      <w:color w:val="auto"/>
                      <w:kern w:val="2"/>
                      <w:szCs w:val="21"/>
                    </w:rPr>
                    <w:t>1、执行自治区总体准入要求中关于一般环境管控单元的准入要求（表2-4 A7.3）。</w:t>
                  </w:r>
                </w:p>
              </w:tc>
              <w:tc>
                <w:tcPr>
                  <w:tcW w:w="2100" w:type="dxa"/>
                  <w:tcBorders>
                    <w:tl2br w:val="nil"/>
                    <w:tr2bl w:val="nil"/>
                  </w:tcBorders>
                  <w:vAlign w:val="center"/>
                </w:tcPr>
                <w:p>
                  <w:pPr>
                    <w:pStyle w:val="35"/>
                    <w:jc w:val="both"/>
                    <w:rPr>
                      <w:rFonts w:hint="default"/>
                    </w:rPr>
                  </w:pPr>
                  <w:r>
                    <w:rPr>
                      <w:rFonts w:hint="default"/>
                    </w:rPr>
                    <w:t>本项目符合表2-4 A7.1中一般环境管控单元的准入要求。</w:t>
                  </w:r>
                </w:p>
              </w:tc>
              <w:tc>
                <w:tcPr>
                  <w:tcW w:w="791" w:type="dxa"/>
                  <w:tcBorders>
                    <w:tl2br w:val="nil"/>
                    <w:tr2bl w:val="nil"/>
                  </w:tcBorders>
                  <w:vAlign w:val="center"/>
                </w:tcPr>
                <w:p>
                  <w:pPr>
                    <w:pStyle w:val="32"/>
                    <w:ind w:firstLine="0" w:firstLineChars="0"/>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dxa"/>
                  <w:tcBorders>
                    <w:tl2br w:val="nil"/>
                    <w:tr2bl w:val="nil"/>
                  </w:tcBorders>
                  <w:vAlign w:val="center"/>
                </w:tcPr>
                <w:p>
                  <w:pPr>
                    <w:pStyle w:val="32"/>
                    <w:ind w:firstLine="0" w:firstLineChars="0"/>
                  </w:pPr>
                  <w:r>
                    <w:t>资源利用效率</w:t>
                  </w:r>
                </w:p>
              </w:tc>
              <w:tc>
                <w:tcPr>
                  <w:tcW w:w="2841" w:type="dxa"/>
                  <w:tcBorders>
                    <w:tl2br w:val="nil"/>
                    <w:tr2bl w:val="nil"/>
                  </w:tcBorders>
                  <w:vAlign w:val="center"/>
                </w:tcPr>
                <w:p>
                  <w:pPr>
                    <w:pStyle w:val="34"/>
                    <w:jc w:val="left"/>
                    <w:rPr>
                      <w:rFonts w:eastAsia="宋体"/>
                      <w:bCs/>
                      <w:color w:val="auto"/>
                      <w:kern w:val="2"/>
                      <w:szCs w:val="21"/>
                    </w:rPr>
                  </w:pPr>
                  <w:r>
                    <w:rPr>
                      <w:rFonts w:eastAsia="宋体"/>
                      <w:bCs/>
                      <w:color w:val="auto"/>
                      <w:kern w:val="2"/>
                      <w:szCs w:val="21"/>
                    </w:rPr>
                    <w:t>1、执行自治区总体准入要求中关于一般环境管控单元的准入要求（表2-4 A7.4）。</w:t>
                  </w:r>
                </w:p>
              </w:tc>
              <w:tc>
                <w:tcPr>
                  <w:tcW w:w="2100" w:type="dxa"/>
                  <w:tcBorders>
                    <w:tl2br w:val="nil"/>
                    <w:tr2bl w:val="nil"/>
                  </w:tcBorders>
                  <w:vAlign w:val="center"/>
                </w:tcPr>
                <w:p>
                  <w:pPr>
                    <w:pStyle w:val="32"/>
                    <w:ind w:firstLine="0" w:firstLineChars="0"/>
                    <w:jc w:val="both"/>
                  </w:pPr>
                  <w:r>
                    <w:t>本项目符合表2-4 A7.1中一般环境管控单元的准入要求。</w:t>
                  </w:r>
                </w:p>
              </w:tc>
              <w:tc>
                <w:tcPr>
                  <w:tcW w:w="791" w:type="dxa"/>
                  <w:tcBorders>
                    <w:tl2br w:val="nil"/>
                    <w:tr2bl w:val="nil"/>
                  </w:tcBorders>
                  <w:vAlign w:val="center"/>
                </w:tcPr>
                <w:p>
                  <w:pPr>
                    <w:pStyle w:val="32"/>
                    <w:ind w:firstLine="0" w:firstLineChars="0"/>
                  </w:pPr>
                  <w:r>
                    <w:t>符合</w:t>
                  </w:r>
                </w:p>
              </w:tc>
            </w:tr>
          </w:tbl>
          <w:p>
            <w:pPr>
              <w:pStyle w:val="30"/>
              <w:spacing w:line="360" w:lineRule="auto"/>
              <w:ind w:firstLineChars="0"/>
            </w:pPr>
            <w:r>
              <w:t>综上所述，本项目符合《昌吉回族自治州“三线一单”生态环境分区管控方案及生态环境准入清单》</w:t>
            </w:r>
            <w:r>
              <w:rPr>
                <w:rFonts w:hint="eastAsia"/>
              </w:rPr>
              <w:t>中的</w:t>
            </w:r>
            <w:r>
              <w:t>相关要求。</w:t>
            </w:r>
          </w:p>
          <w:p>
            <w:pPr>
              <w:pStyle w:val="30"/>
              <w:spacing w:line="360" w:lineRule="auto"/>
              <w:ind w:firstLine="0" w:firstLineChars="0"/>
              <w:rPr>
                <w:b/>
                <w:bCs/>
              </w:rPr>
            </w:pPr>
            <w:r>
              <w:rPr>
                <w:b/>
                <w:bCs/>
              </w:rPr>
              <w:t>3.</w:t>
            </w:r>
            <w:bookmarkStart w:id="3" w:name="bookmark4"/>
            <w:bookmarkStart w:id="4" w:name="bookmark3"/>
            <w:bookmarkStart w:id="5" w:name="bookmark5"/>
            <w:r>
              <w:rPr>
                <w:b/>
                <w:bCs/>
              </w:rPr>
              <w:t>与《关于加强乌鲁木齐、昌吉、石河子、五家渠区域环境同防同治的意见</w:t>
            </w:r>
            <w:bookmarkEnd w:id="3"/>
            <w:bookmarkEnd w:id="4"/>
            <w:bookmarkEnd w:id="5"/>
            <w:r>
              <w:rPr>
                <w:b/>
                <w:bCs/>
              </w:rPr>
              <w:t>》的符合性分析</w:t>
            </w:r>
          </w:p>
          <w:p>
            <w:pPr>
              <w:spacing w:line="360" w:lineRule="auto"/>
              <w:ind w:firstLine="480" w:firstLineChars="200"/>
              <w:rPr>
                <w:sz w:val="24"/>
              </w:rPr>
            </w:pPr>
            <w:r>
              <w:rPr>
                <w:sz w:val="24"/>
              </w:rPr>
              <w:t>本项目为昌吉州中医医院中医特色重点医院建设项目，根据《关于加强乌鲁木齐、昌吉、石河子、五家渠区域环境同防同治的意见》（新政发〔2016〕140号）中相关内容，重点区域不再布局建设煤化工、电解铝、燃煤存发电机组、金属硅、碳化硅、聚氯乙烯(电石法)、焦炭(含半焦)等行业的新增产能项目</w:t>
            </w:r>
            <w:r>
              <w:rPr>
                <w:rFonts w:hint="eastAsia"/>
                <w:sz w:val="24"/>
              </w:rPr>
              <w:t>，</w:t>
            </w:r>
            <w:r>
              <w:rPr>
                <w:sz w:val="24"/>
              </w:rPr>
              <w:t>本项目不属于上述行业。本项目符合《关于加强乌鲁木齐、昌吉、石河子、五家渠区域环境同防同治的意见》中的相关要求。</w:t>
            </w:r>
          </w:p>
          <w:p>
            <w:pPr>
              <w:pStyle w:val="30"/>
              <w:spacing w:line="360" w:lineRule="auto"/>
              <w:ind w:firstLine="0" w:firstLineChars="0"/>
              <w:rPr>
                <w:b/>
                <w:bCs/>
              </w:rPr>
            </w:pPr>
            <w:r>
              <w:rPr>
                <w:b/>
                <w:bCs/>
              </w:rPr>
              <w:t>4.与《昌吉州卫生健康事业发展十四五规划》的符合性分析</w:t>
            </w:r>
          </w:p>
          <w:p>
            <w:pPr>
              <w:pStyle w:val="30"/>
              <w:spacing w:line="360" w:lineRule="auto"/>
            </w:pPr>
            <w:r>
              <w:t>本项目为昌吉州中医医院中医特色重点医院建设项目，根据《昌吉州卫生健康事业发展十四五规划》中相关内容提出：建立以昌吉州中医医院为龙头，各县市中医医院为骨干，提供覆盖全民和全生命周期的中医药服务。到2022年，实现县办中医医疗机构全覆盖，实现社区卫生服</w:t>
            </w:r>
            <w:r>
              <w:rPr>
                <w:rFonts w:hint="eastAsia"/>
              </w:rPr>
              <w:t>务</w:t>
            </w:r>
            <w:r>
              <w:t>中心和乡镇卫生院100%设置中医馆、配备中医医师。本项目建设是加强昌吉州中医民族医药服务体系建设，是提高当地中医医疗水平的需要，符合《昌吉州卫生健康事业发展十四五规划》中相关要求。</w:t>
            </w:r>
          </w:p>
          <w:p>
            <w:pPr>
              <w:pStyle w:val="30"/>
              <w:spacing w:line="360" w:lineRule="auto"/>
              <w:ind w:firstLine="0" w:firstLineChars="0"/>
              <w:rPr>
                <w:b/>
                <w:bCs/>
              </w:rPr>
            </w:pPr>
            <w:r>
              <w:rPr>
                <w:b/>
                <w:bCs/>
              </w:rPr>
              <w:t>5.土地利用政策符合性分析</w:t>
            </w:r>
          </w:p>
          <w:p>
            <w:pPr>
              <w:spacing w:line="360" w:lineRule="auto"/>
              <w:ind w:firstLine="480" w:firstLineChars="200"/>
              <w:rPr>
                <w:sz w:val="24"/>
              </w:rPr>
            </w:pPr>
            <w:r>
              <w:rPr>
                <w:sz w:val="24"/>
              </w:rPr>
              <w:t>本项目已取得昌吉州自然资源局《用地预审与选址意见书》（编号：6500013926），根据昌吉市自然资源局出具的《昌吉市土地利用规划图》（附图），项目所在区域为</w:t>
            </w:r>
            <w:r>
              <w:rPr>
                <w:rFonts w:hint="eastAsia"/>
                <w:sz w:val="24"/>
              </w:rPr>
              <w:t>医疗卫生用地，</w:t>
            </w:r>
            <w:r>
              <w:rPr>
                <w:sz w:val="24"/>
              </w:rPr>
              <w:t>同时，根据昌吉市自然资源局《关于中医特色重点医院项目用地的选址初审意见》（附图），本项目土地权属为国有，类型为建设用地。项目符合规划要求。</w:t>
            </w:r>
          </w:p>
          <w:p>
            <w:pPr>
              <w:pStyle w:val="6"/>
            </w:pPr>
            <w:r>
              <w:t>6.项目选址合理性分析</w:t>
            </w:r>
          </w:p>
          <w:p>
            <w:pPr>
              <w:spacing w:line="360" w:lineRule="auto"/>
              <w:ind w:firstLine="480" w:firstLineChars="200"/>
              <w:rPr>
                <w:sz w:val="24"/>
              </w:rPr>
            </w:pPr>
            <w:r>
              <w:rPr>
                <w:rFonts w:hint="eastAsia"/>
                <w:sz w:val="24"/>
              </w:rPr>
              <w:t>本</w:t>
            </w:r>
            <w:r>
              <w:rPr>
                <w:sz w:val="24"/>
              </w:rPr>
              <w:t>项目位于新疆昌吉回族自治州昌吉市建国西路110号昌吉州中医医院内，为独立建筑，用地性质为公共服务设施建设用地，总占地面积3450m</w:t>
            </w:r>
            <w:r>
              <w:rPr>
                <w:sz w:val="24"/>
                <w:vertAlign w:val="superscript"/>
              </w:rPr>
              <w:t>2</w:t>
            </w:r>
            <w:r>
              <w:rPr>
                <w:sz w:val="24"/>
              </w:rPr>
              <w:t>，项目现状为停车场，沥青路面，场地平整，不占用农田、耕地，符合国家现行的土地使用政策。项目东侧为昌吉州中医医院</w:t>
            </w:r>
            <w:r>
              <w:rPr>
                <w:rFonts w:hint="eastAsia"/>
                <w:sz w:val="24"/>
              </w:rPr>
              <w:t>门诊楼</w:t>
            </w:r>
            <w:r>
              <w:rPr>
                <w:sz w:val="24"/>
              </w:rPr>
              <w:t>，南侧为家属楼，西侧为工商银行，北侧为昌吉州中医医院办公综合楼。</w:t>
            </w:r>
          </w:p>
          <w:p>
            <w:pPr>
              <w:spacing w:line="360" w:lineRule="auto"/>
              <w:ind w:firstLine="480" w:firstLineChars="200"/>
              <w:rPr>
                <w:sz w:val="24"/>
              </w:rPr>
            </w:pPr>
          </w:p>
          <w:p>
            <w:pPr>
              <w:spacing w:line="360" w:lineRule="auto"/>
              <w:ind w:firstLine="480" w:firstLineChars="200"/>
              <w:rPr>
                <w:sz w:val="24"/>
              </w:rPr>
            </w:pPr>
          </w:p>
          <w:p/>
          <w:p>
            <w:pPr>
              <w:pStyle w:val="4"/>
            </w:pPr>
          </w:p>
          <w:p/>
          <w:p>
            <w:pPr>
              <w:pStyle w:val="4"/>
            </w:pPr>
          </w:p>
          <w:p/>
          <w:p/>
          <w:p>
            <w:pPr>
              <w:pStyle w:val="4"/>
            </w:pPr>
          </w:p>
          <w:p/>
          <w:p>
            <w:pPr>
              <w:autoSpaceDE w:val="0"/>
              <w:autoSpaceDN w:val="0"/>
              <w:adjustRightInd w:val="0"/>
              <w:spacing w:line="360" w:lineRule="auto"/>
            </w:pPr>
          </w:p>
          <w:p>
            <w:pPr>
              <w:pStyle w:val="2"/>
            </w:pPr>
          </w:p>
          <w:p>
            <w:pPr>
              <w:pStyle w:val="3"/>
              <w:rPr>
                <w:kern w:val="0"/>
                <w:sz w:val="24"/>
              </w:rPr>
            </w:pPr>
          </w:p>
          <w:p>
            <w:pPr>
              <w:pStyle w:val="3"/>
              <w:rPr>
                <w:kern w:val="0"/>
                <w:sz w:val="24"/>
              </w:rPr>
            </w:pPr>
          </w:p>
          <w:p>
            <w:pPr>
              <w:pStyle w:val="3"/>
              <w:rPr>
                <w:kern w:val="0"/>
                <w:sz w:val="24"/>
              </w:rPr>
            </w:pPr>
          </w:p>
          <w:p>
            <w:pPr>
              <w:pStyle w:val="3"/>
              <w:rPr>
                <w:kern w:val="0"/>
                <w:sz w:val="24"/>
              </w:rPr>
            </w:pPr>
          </w:p>
          <w:p>
            <w:pPr>
              <w:pStyle w:val="3"/>
              <w:rPr>
                <w:kern w:val="0"/>
                <w:sz w:val="24"/>
              </w:rPr>
            </w:pPr>
          </w:p>
          <w:p>
            <w:pPr>
              <w:pStyle w:val="3"/>
              <w:rPr>
                <w:kern w:val="0"/>
                <w:sz w:val="24"/>
              </w:rPr>
            </w:pPr>
          </w:p>
          <w:p>
            <w:pPr>
              <w:pStyle w:val="3"/>
              <w:rPr>
                <w:kern w:val="0"/>
                <w:sz w:val="24"/>
              </w:rPr>
            </w:pPr>
          </w:p>
          <w:p>
            <w:pPr>
              <w:pStyle w:val="3"/>
              <w:rPr>
                <w:kern w:val="0"/>
                <w:sz w:val="24"/>
              </w:rPr>
            </w:pPr>
          </w:p>
        </w:tc>
      </w:tr>
    </w:tbl>
    <w:p>
      <w:pPr>
        <w:pStyle w:val="1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7"/>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2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7" w:hRule="atLeast"/>
          <w:jc w:val="center"/>
        </w:trPr>
        <w:tc>
          <w:tcPr>
            <w:tcW w:w="850" w:type="dxa"/>
            <w:vAlign w:val="center"/>
          </w:tcPr>
          <w:p>
            <w:pPr>
              <w:pStyle w:val="16"/>
              <w:adjustRightInd w:val="0"/>
              <w:snapToGrid w:val="0"/>
              <w:spacing w:before="0" w:beforeAutospacing="0" w:after="0" w:afterAutospacing="0"/>
              <w:jc w:val="center"/>
              <w:rPr>
                <w:rFonts w:ascii="Times New Roman" w:hAnsi="Times New Roman"/>
                <w:szCs w:val="24"/>
                <w:highlight w:val="yellow"/>
              </w:rPr>
            </w:pPr>
            <w:r>
              <w:rPr>
                <w:rFonts w:ascii="Times New Roman" w:hAnsi="Times New Roman"/>
                <w:szCs w:val="24"/>
              </w:rPr>
              <w:t>建设内容</w:t>
            </w:r>
          </w:p>
        </w:tc>
        <w:tc>
          <w:tcPr>
            <w:tcW w:w="8210" w:type="dxa"/>
          </w:tcPr>
          <w:p>
            <w:pPr>
              <w:pStyle w:val="6"/>
            </w:pPr>
            <w:r>
              <w:t>1.工程建设内容及规模</w:t>
            </w:r>
          </w:p>
          <w:p>
            <w:pPr>
              <w:adjustRightInd w:val="0"/>
              <w:snapToGrid w:val="0"/>
              <w:spacing w:line="360" w:lineRule="auto"/>
              <w:ind w:firstLine="480" w:firstLineChars="200"/>
              <w:rPr>
                <w:sz w:val="24"/>
              </w:rPr>
            </w:pPr>
            <w:r>
              <w:rPr>
                <w:sz w:val="24"/>
              </w:rPr>
              <w:t>昌吉州中医医院中医特色重点医院建设项目，为</w:t>
            </w:r>
            <w:r>
              <w:rPr>
                <w:rFonts w:hint="eastAsia"/>
                <w:sz w:val="24"/>
              </w:rPr>
              <w:t>扩建</w:t>
            </w:r>
            <w:r>
              <w:rPr>
                <w:sz w:val="24"/>
              </w:rPr>
              <w:t>项目，建设内容主要为</w:t>
            </w:r>
            <w:r>
              <w:rPr>
                <w:rFonts w:hint="eastAsia"/>
                <w:sz w:val="24"/>
              </w:rPr>
              <w:t>建设</w:t>
            </w:r>
            <w:r>
              <w:rPr>
                <w:sz w:val="24"/>
              </w:rPr>
              <w:t>1栋康复楼，用地面积3450</w:t>
            </w:r>
            <w:r>
              <w:rPr>
                <w:rFonts w:hint="eastAsia"/>
                <w:sz w:val="24"/>
                <w:szCs w:val="32"/>
              </w:rPr>
              <w:t>m</w:t>
            </w:r>
            <w:r>
              <w:rPr>
                <w:rFonts w:hint="eastAsia"/>
                <w:sz w:val="24"/>
                <w:szCs w:val="32"/>
                <w:vertAlign w:val="superscript"/>
              </w:rPr>
              <w:t>2</w:t>
            </w:r>
            <w:r>
              <w:rPr>
                <w:sz w:val="24"/>
              </w:rPr>
              <w:t>，总建筑面积12</w:t>
            </w:r>
            <w:r>
              <w:rPr>
                <w:rFonts w:hint="eastAsia"/>
                <w:sz w:val="24"/>
              </w:rPr>
              <w:t>310.47m</w:t>
            </w:r>
            <w:r>
              <w:rPr>
                <w:rFonts w:hint="eastAsia"/>
                <w:sz w:val="24"/>
                <w:szCs w:val="32"/>
                <w:vertAlign w:val="superscript"/>
              </w:rPr>
              <w:t>2</w:t>
            </w:r>
            <w:r>
              <w:rPr>
                <w:sz w:val="24"/>
              </w:rPr>
              <w:t>，其中：地上建筑面积为1</w:t>
            </w:r>
            <w:r>
              <w:rPr>
                <w:rFonts w:hint="eastAsia"/>
                <w:sz w:val="24"/>
              </w:rPr>
              <w:t>1218.23</w:t>
            </w:r>
            <w:r>
              <w:rPr>
                <w:rFonts w:hint="eastAsia"/>
                <w:sz w:val="24"/>
                <w:szCs w:val="32"/>
              </w:rPr>
              <w:t>m</w:t>
            </w:r>
            <w:r>
              <w:rPr>
                <w:rFonts w:hint="eastAsia"/>
                <w:sz w:val="24"/>
                <w:szCs w:val="32"/>
                <w:vertAlign w:val="superscript"/>
              </w:rPr>
              <w:t>2</w:t>
            </w:r>
            <w:r>
              <w:rPr>
                <w:sz w:val="24"/>
              </w:rPr>
              <w:t>，地下建筑面积1</w:t>
            </w:r>
            <w:r>
              <w:rPr>
                <w:rFonts w:hint="eastAsia"/>
                <w:sz w:val="24"/>
              </w:rPr>
              <w:t>092.24</w:t>
            </w:r>
            <w:r>
              <w:rPr>
                <w:rFonts w:hint="eastAsia"/>
                <w:sz w:val="24"/>
                <w:szCs w:val="32"/>
              </w:rPr>
              <w:t>m</w:t>
            </w:r>
            <w:r>
              <w:rPr>
                <w:rFonts w:hint="eastAsia"/>
                <w:sz w:val="24"/>
                <w:szCs w:val="32"/>
                <w:vertAlign w:val="superscript"/>
              </w:rPr>
              <w:t>2</w:t>
            </w:r>
            <w:r>
              <w:rPr>
                <w:rFonts w:hint="eastAsia"/>
                <w:sz w:val="24"/>
              </w:rPr>
              <w:t>，</w:t>
            </w:r>
            <w:r>
              <w:rPr>
                <w:sz w:val="24"/>
              </w:rPr>
              <w:t>主体为框架结构，地上</w:t>
            </w:r>
            <w:r>
              <w:rPr>
                <w:rFonts w:hint="eastAsia"/>
                <w:sz w:val="24"/>
              </w:rPr>
              <w:t>十</w:t>
            </w:r>
            <w:r>
              <w:rPr>
                <w:sz w:val="24"/>
              </w:rPr>
              <w:t>层，地下一层</w:t>
            </w:r>
            <w:r>
              <w:rPr>
                <w:rFonts w:hint="eastAsia"/>
                <w:sz w:val="24"/>
              </w:rPr>
              <w:t>，</w:t>
            </w:r>
            <w:r>
              <w:rPr>
                <w:color w:val="000000"/>
                <w:sz w:val="24"/>
              </w:rPr>
              <w:t>新增床位数</w:t>
            </w:r>
            <w:r>
              <w:rPr>
                <w:rFonts w:hint="eastAsia"/>
                <w:color w:val="000000"/>
                <w:sz w:val="24"/>
              </w:rPr>
              <w:t>204</w:t>
            </w:r>
            <w:r>
              <w:rPr>
                <w:color w:val="000000"/>
                <w:sz w:val="24"/>
              </w:rPr>
              <w:t>张。</w:t>
            </w:r>
            <w:r>
              <w:rPr>
                <w:sz w:val="24"/>
              </w:rPr>
              <w:t>整体布局</w:t>
            </w:r>
            <w:r>
              <w:rPr>
                <w:rFonts w:hint="eastAsia"/>
                <w:sz w:val="24"/>
              </w:rPr>
              <w:t>如下</w:t>
            </w:r>
            <w:r>
              <w:rPr>
                <w:sz w:val="24"/>
              </w:rPr>
              <w:t>：</w:t>
            </w:r>
          </w:p>
          <w:p>
            <w:pPr>
              <w:adjustRightInd w:val="0"/>
              <w:snapToGrid w:val="0"/>
              <w:spacing w:line="360" w:lineRule="auto"/>
              <w:ind w:firstLine="480" w:firstLineChars="200"/>
              <w:rPr>
                <w:sz w:val="24"/>
              </w:rPr>
            </w:pPr>
            <w:r>
              <w:rPr>
                <w:sz w:val="24"/>
              </w:rPr>
              <w:t>地下一层：主要用作</w:t>
            </w:r>
            <w:r>
              <w:rPr>
                <w:rFonts w:hint="eastAsia"/>
                <w:sz w:val="24"/>
              </w:rPr>
              <w:t>设备间</w:t>
            </w:r>
            <w:r>
              <w:rPr>
                <w:sz w:val="24"/>
              </w:rPr>
              <w:t>；</w:t>
            </w:r>
          </w:p>
          <w:p>
            <w:pPr>
              <w:adjustRightInd w:val="0"/>
              <w:snapToGrid w:val="0"/>
              <w:spacing w:line="360" w:lineRule="auto"/>
              <w:ind w:firstLine="480" w:firstLineChars="200"/>
              <w:rPr>
                <w:sz w:val="24"/>
              </w:rPr>
            </w:pPr>
            <w:r>
              <w:rPr>
                <w:sz w:val="24"/>
              </w:rPr>
              <w:t>一层：主要设置中医</w:t>
            </w:r>
            <w:r>
              <w:rPr>
                <w:rFonts w:hint="eastAsia"/>
                <w:sz w:val="24"/>
              </w:rPr>
              <w:t>文化展示区、休息室</w:t>
            </w:r>
            <w:r>
              <w:rPr>
                <w:sz w:val="24"/>
              </w:rPr>
              <w:t>、</w:t>
            </w:r>
            <w:r>
              <w:rPr>
                <w:rFonts w:hint="eastAsia"/>
                <w:sz w:val="24"/>
              </w:rPr>
              <w:t>安保</w:t>
            </w:r>
            <w:r>
              <w:rPr>
                <w:sz w:val="24"/>
              </w:rPr>
              <w:t>室、</w:t>
            </w:r>
            <w:r>
              <w:rPr>
                <w:rFonts w:hint="eastAsia"/>
                <w:sz w:val="24"/>
              </w:rPr>
              <w:t>特需门诊</w:t>
            </w:r>
            <w:r>
              <w:rPr>
                <w:sz w:val="24"/>
              </w:rPr>
              <w:t>及</w:t>
            </w:r>
            <w:r>
              <w:rPr>
                <w:rFonts w:hint="eastAsia"/>
                <w:sz w:val="24"/>
              </w:rPr>
              <w:t>自动服务区</w:t>
            </w:r>
            <w:r>
              <w:rPr>
                <w:sz w:val="24"/>
              </w:rPr>
              <w:t>；</w:t>
            </w:r>
          </w:p>
          <w:p>
            <w:pPr>
              <w:adjustRightInd w:val="0"/>
              <w:snapToGrid w:val="0"/>
              <w:spacing w:line="360" w:lineRule="auto"/>
              <w:ind w:firstLine="480" w:firstLineChars="200"/>
              <w:rPr>
                <w:sz w:val="24"/>
              </w:rPr>
            </w:pPr>
            <w:r>
              <w:rPr>
                <w:sz w:val="24"/>
              </w:rPr>
              <w:t>二层：主要设置康复训练治疗室、</w:t>
            </w:r>
            <w:r>
              <w:rPr>
                <w:rFonts w:hint="eastAsia"/>
                <w:sz w:val="24"/>
              </w:rPr>
              <w:t>针灸门诊及推拿门诊</w:t>
            </w:r>
            <w:r>
              <w:rPr>
                <w:sz w:val="24"/>
              </w:rPr>
              <w:t>；</w:t>
            </w:r>
          </w:p>
          <w:p>
            <w:pPr>
              <w:adjustRightInd w:val="0"/>
              <w:snapToGrid w:val="0"/>
              <w:spacing w:line="360" w:lineRule="auto"/>
              <w:ind w:firstLine="480" w:firstLineChars="200"/>
              <w:rPr>
                <w:sz w:val="24"/>
              </w:rPr>
            </w:pPr>
            <w:r>
              <w:rPr>
                <w:sz w:val="24"/>
              </w:rPr>
              <w:t>三层：主要设置灸疗室</w:t>
            </w:r>
            <w:r>
              <w:rPr>
                <w:rFonts w:hint="eastAsia"/>
                <w:sz w:val="24"/>
              </w:rPr>
              <w:t>和理疗中心</w:t>
            </w:r>
            <w:r>
              <w:rPr>
                <w:sz w:val="24"/>
              </w:rPr>
              <w:t>；</w:t>
            </w:r>
          </w:p>
          <w:p>
            <w:pPr>
              <w:adjustRightInd w:val="0"/>
              <w:snapToGrid w:val="0"/>
              <w:spacing w:line="360" w:lineRule="auto"/>
              <w:ind w:firstLine="480" w:firstLineChars="200"/>
              <w:rPr>
                <w:sz w:val="24"/>
              </w:rPr>
            </w:pPr>
            <w:r>
              <w:rPr>
                <w:sz w:val="24"/>
              </w:rPr>
              <w:t>四层-六层：主要设置康复科</w:t>
            </w:r>
            <w:r>
              <w:rPr>
                <w:rFonts w:hint="eastAsia"/>
                <w:sz w:val="24"/>
              </w:rPr>
              <w:t>（其中五层、六层各层床位34床）</w:t>
            </w:r>
            <w:r>
              <w:rPr>
                <w:sz w:val="24"/>
              </w:rPr>
              <w:t>；</w:t>
            </w:r>
          </w:p>
          <w:p>
            <w:pPr>
              <w:adjustRightInd w:val="0"/>
              <w:snapToGrid w:val="0"/>
              <w:spacing w:line="360" w:lineRule="auto"/>
              <w:ind w:firstLine="480" w:firstLineChars="200"/>
              <w:rPr>
                <w:sz w:val="24"/>
              </w:rPr>
            </w:pPr>
            <w:r>
              <w:rPr>
                <w:sz w:val="24"/>
              </w:rPr>
              <w:t>七层-八层：主要设置</w:t>
            </w:r>
            <w:r>
              <w:rPr>
                <w:rFonts w:hint="eastAsia"/>
                <w:sz w:val="24"/>
              </w:rPr>
              <w:t>针灸</w:t>
            </w:r>
            <w:r>
              <w:rPr>
                <w:sz w:val="24"/>
              </w:rPr>
              <w:t>科</w:t>
            </w:r>
            <w:r>
              <w:rPr>
                <w:rFonts w:hint="eastAsia"/>
                <w:sz w:val="24"/>
              </w:rPr>
              <w:t>，各层床位34床；</w:t>
            </w:r>
          </w:p>
          <w:p>
            <w:pPr>
              <w:adjustRightInd w:val="0"/>
              <w:snapToGrid w:val="0"/>
              <w:spacing w:line="360" w:lineRule="auto"/>
              <w:ind w:firstLine="480" w:firstLineChars="200"/>
              <w:rPr>
                <w:sz w:val="24"/>
              </w:rPr>
            </w:pPr>
            <w:r>
              <w:rPr>
                <w:rFonts w:hint="eastAsia"/>
                <w:sz w:val="24"/>
              </w:rPr>
              <w:t>九层：</w:t>
            </w:r>
            <w:r>
              <w:rPr>
                <w:sz w:val="24"/>
              </w:rPr>
              <w:t>主要设置</w:t>
            </w:r>
            <w:r>
              <w:rPr>
                <w:rFonts w:hint="eastAsia"/>
                <w:sz w:val="24"/>
              </w:rPr>
              <w:t>整脊科和针灸科，本层床位34床；</w:t>
            </w:r>
          </w:p>
          <w:p>
            <w:pPr>
              <w:pStyle w:val="2"/>
              <w:spacing w:before="0" w:after="0" w:line="360" w:lineRule="auto"/>
              <w:ind w:firstLine="480" w:firstLineChars="200"/>
              <w:rPr>
                <w:kern w:val="2"/>
                <w:sz w:val="24"/>
                <w:szCs w:val="24"/>
              </w:rPr>
            </w:pPr>
            <w:r>
              <w:rPr>
                <w:rFonts w:hint="eastAsia"/>
                <w:kern w:val="2"/>
                <w:sz w:val="24"/>
                <w:szCs w:val="24"/>
              </w:rPr>
              <w:t>十层：</w:t>
            </w:r>
            <w:r>
              <w:rPr>
                <w:kern w:val="2"/>
                <w:sz w:val="24"/>
                <w:szCs w:val="24"/>
              </w:rPr>
              <w:t>主要设置</w:t>
            </w:r>
            <w:r>
              <w:rPr>
                <w:rFonts w:hint="eastAsia"/>
                <w:kern w:val="2"/>
                <w:sz w:val="24"/>
                <w:szCs w:val="24"/>
              </w:rPr>
              <w:t>办公室、储物间、值班室及病房，本层床位34床。</w:t>
            </w:r>
          </w:p>
          <w:p>
            <w:pPr>
              <w:pStyle w:val="2"/>
              <w:spacing w:before="0" w:after="0" w:line="360" w:lineRule="auto"/>
              <w:ind w:firstLine="480" w:firstLineChars="200"/>
              <w:rPr>
                <w:kern w:val="2"/>
                <w:sz w:val="24"/>
                <w:szCs w:val="24"/>
              </w:rPr>
            </w:pPr>
            <w:r>
              <w:rPr>
                <w:kern w:val="2"/>
                <w:sz w:val="24"/>
                <w:szCs w:val="24"/>
              </w:rPr>
              <w:t>具体详见表2-1。</w:t>
            </w:r>
          </w:p>
          <w:p>
            <w:pPr>
              <w:pStyle w:val="21"/>
              <w:ind w:firstLine="422"/>
              <w:rPr>
                <w:rFonts w:hint="default"/>
              </w:rPr>
            </w:pPr>
            <w:r>
              <w:rPr>
                <w:rFonts w:hint="default"/>
              </w:rPr>
              <w:t>表2-1  项目工程组成一览表</w:t>
            </w:r>
          </w:p>
          <w:tbl>
            <w:tblPr>
              <w:tblStyle w:val="17"/>
              <w:tblW w:w="815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48"/>
              <w:gridCol w:w="888"/>
              <w:gridCol w:w="5663"/>
              <w:gridCol w:w="65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tcBorders>
                    <w:bottom w:val="single" w:color="000000" w:sz="12" w:space="0"/>
                    <w:right w:val="single" w:color="auto" w:sz="4" w:space="0"/>
                  </w:tcBorders>
                  <w:vAlign w:val="center"/>
                </w:tcPr>
                <w:p>
                  <w:pPr>
                    <w:jc w:val="center"/>
                    <w:rPr>
                      <w:b/>
                      <w:bCs/>
                      <w:kern w:val="0"/>
                      <w:szCs w:val="21"/>
                    </w:rPr>
                  </w:pPr>
                  <w:r>
                    <w:rPr>
                      <w:b/>
                      <w:bCs/>
                      <w:kern w:val="0"/>
                      <w:szCs w:val="21"/>
                    </w:rPr>
                    <w:t>工程类别</w:t>
                  </w:r>
                </w:p>
              </w:tc>
              <w:tc>
                <w:tcPr>
                  <w:tcW w:w="544" w:type="pct"/>
                  <w:tcBorders>
                    <w:left w:val="single" w:color="auto" w:sz="4" w:space="0"/>
                    <w:bottom w:val="single" w:color="000000" w:sz="12" w:space="0"/>
                    <w:right w:val="single" w:color="auto" w:sz="4" w:space="0"/>
                  </w:tcBorders>
                  <w:vAlign w:val="center"/>
                </w:tcPr>
                <w:p>
                  <w:pPr>
                    <w:jc w:val="center"/>
                    <w:rPr>
                      <w:b/>
                      <w:bCs/>
                      <w:kern w:val="0"/>
                      <w:szCs w:val="21"/>
                    </w:rPr>
                  </w:pPr>
                  <w:r>
                    <w:rPr>
                      <w:b/>
                      <w:bCs/>
                      <w:kern w:val="0"/>
                      <w:szCs w:val="21"/>
                    </w:rPr>
                    <w:t>工程名称</w:t>
                  </w:r>
                </w:p>
              </w:tc>
              <w:tc>
                <w:tcPr>
                  <w:tcW w:w="3470" w:type="pct"/>
                  <w:tcBorders>
                    <w:left w:val="single" w:color="auto" w:sz="4" w:space="0"/>
                    <w:bottom w:val="single" w:color="000000" w:sz="12" w:space="0"/>
                  </w:tcBorders>
                  <w:vAlign w:val="center"/>
                </w:tcPr>
                <w:p>
                  <w:pPr>
                    <w:jc w:val="center"/>
                    <w:rPr>
                      <w:b/>
                      <w:bCs/>
                      <w:kern w:val="0"/>
                      <w:szCs w:val="21"/>
                    </w:rPr>
                  </w:pPr>
                  <w:r>
                    <w:rPr>
                      <w:b/>
                      <w:bCs/>
                      <w:kern w:val="0"/>
                      <w:szCs w:val="21"/>
                    </w:rPr>
                    <w:t>工程规模与内容</w:t>
                  </w:r>
                </w:p>
              </w:tc>
              <w:tc>
                <w:tcPr>
                  <w:tcW w:w="403" w:type="pct"/>
                  <w:tcBorders>
                    <w:left w:val="single" w:color="auto" w:sz="4" w:space="0"/>
                    <w:bottom w:val="single" w:color="000000" w:sz="12" w:space="0"/>
                  </w:tcBorders>
                  <w:vAlign w:val="center"/>
                </w:tcPr>
                <w:p>
                  <w:pPr>
                    <w:jc w:val="center"/>
                    <w:rPr>
                      <w:b/>
                      <w:bCs/>
                      <w:color w:val="000000"/>
                    </w:rPr>
                  </w:pPr>
                  <w:r>
                    <w:rPr>
                      <w:b/>
                      <w:bCs/>
                      <w:color w:val="000000"/>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tcBorders>
                    <w:top w:val="single" w:color="000000" w:sz="12" w:space="0"/>
                    <w:right w:val="single" w:color="auto" w:sz="4" w:space="0"/>
                  </w:tcBorders>
                  <w:vAlign w:val="center"/>
                </w:tcPr>
                <w:p>
                  <w:pPr>
                    <w:jc w:val="center"/>
                    <w:rPr>
                      <w:kern w:val="0"/>
                      <w:szCs w:val="21"/>
                    </w:rPr>
                  </w:pPr>
                  <w:r>
                    <w:rPr>
                      <w:kern w:val="0"/>
                      <w:szCs w:val="21"/>
                    </w:rPr>
                    <w:t>主体</w:t>
                  </w:r>
                </w:p>
                <w:p>
                  <w:pPr>
                    <w:jc w:val="center"/>
                    <w:rPr>
                      <w:kern w:val="0"/>
                      <w:szCs w:val="21"/>
                    </w:rPr>
                  </w:pPr>
                  <w:r>
                    <w:rPr>
                      <w:kern w:val="0"/>
                      <w:szCs w:val="21"/>
                    </w:rPr>
                    <w:t>工程</w:t>
                  </w:r>
                </w:p>
              </w:tc>
              <w:tc>
                <w:tcPr>
                  <w:tcW w:w="544" w:type="pct"/>
                  <w:tcBorders>
                    <w:top w:val="single" w:color="000000" w:sz="12" w:space="0"/>
                    <w:left w:val="single" w:color="auto" w:sz="4" w:space="0"/>
                    <w:bottom w:val="single" w:color="auto" w:sz="4" w:space="0"/>
                    <w:right w:val="single" w:color="auto" w:sz="4" w:space="0"/>
                  </w:tcBorders>
                  <w:vAlign w:val="center"/>
                </w:tcPr>
                <w:p>
                  <w:pPr>
                    <w:jc w:val="center"/>
                    <w:rPr>
                      <w:kern w:val="0"/>
                      <w:szCs w:val="21"/>
                      <w:highlight w:val="yellow"/>
                    </w:rPr>
                  </w:pPr>
                  <w:r>
                    <w:rPr>
                      <w:kern w:val="0"/>
                      <w:szCs w:val="21"/>
                    </w:rPr>
                    <w:t>康复楼</w:t>
                  </w:r>
                </w:p>
              </w:tc>
              <w:tc>
                <w:tcPr>
                  <w:tcW w:w="3470" w:type="pct"/>
                  <w:tcBorders>
                    <w:top w:val="single" w:color="000000" w:sz="12" w:space="0"/>
                    <w:left w:val="single" w:color="auto" w:sz="4" w:space="0"/>
                    <w:bottom w:val="single" w:color="auto" w:sz="4" w:space="0"/>
                  </w:tcBorders>
                  <w:vAlign w:val="center"/>
                </w:tcPr>
                <w:p>
                  <w:pPr>
                    <w:jc w:val="center"/>
                    <w:rPr>
                      <w:kern w:val="0"/>
                      <w:szCs w:val="21"/>
                      <w:highlight w:val="yellow"/>
                    </w:rPr>
                  </w:pPr>
                  <w:r>
                    <w:rPr>
                      <w:kern w:val="0"/>
                      <w:szCs w:val="21"/>
                    </w:rPr>
                    <w:t>康复楼主体为框架结构，</w:t>
                  </w:r>
                  <w:r>
                    <w:rPr>
                      <w:color w:val="000000"/>
                    </w:rPr>
                    <w:t>共</w:t>
                  </w:r>
                  <w:r>
                    <w:rPr>
                      <w:rFonts w:hint="eastAsia"/>
                      <w:color w:val="000000"/>
                    </w:rPr>
                    <w:t>11</w:t>
                  </w:r>
                  <w:r>
                    <w:rPr>
                      <w:color w:val="000000"/>
                    </w:rPr>
                    <w:t>层（地上</w:t>
                  </w:r>
                  <w:r>
                    <w:rPr>
                      <w:rFonts w:hint="eastAsia"/>
                      <w:color w:val="000000"/>
                    </w:rPr>
                    <w:t>10</w:t>
                  </w:r>
                  <w:r>
                    <w:rPr>
                      <w:color w:val="000000"/>
                    </w:rPr>
                    <w:t>层</w:t>
                  </w:r>
                  <w:r>
                    <w:rPr>
                      <w:rFonts w:hint="eastAsia"/>
                      <w:color w:val="000000"/>
                    </w:rPr>
                    <w:t>、</w:t>
                  </w:r>
                  <w:r>
                    <w:rPr>
                      <w:color w:val="000000"/>
                    </w:rPr>
                    <w:t>地下1层），</w:t>
                  </w:r>
                  <w:r>
                    <w:rPr>
                      <w:kern w:val="0"/>
                      <w:szCs w:val="21"/>
                    </w:rPr>
                    <w:t>总建筑面积</w:t>
                  </w:r>
                  <w:r>
                    <w:rPr>
                      <w:color w:val="000000"/>
                    </w:rPr>
                    <w:t>12310.47</w:t>
                  </w:r>
                  <w:r>
                    <w:rPr>
                      <w:rFonts w:hint="eastAsia"/>
                      <w:color w:val="000000"/>
                    </w:rPr>
                    <w:t>m</w:t>
                  </w:r>
                  <w:r>
                    <w:rPr>
                      <w:rFonts w:hint="eastAsia"/>
                      <w:color w:val="000000"/>
                      <w:vertAlign w:val="superscript"/>
                    </w:rPr>
                    <w:t>2</w:t>
                  </w:r>
                  <w:r>
                    <w:rPr>
                      <w:rFonts w:hint="eastAsia"/>
                      <w:color w:val="000000"/>
                    </w:rPr>
                    <w:t>，</w:t>
                  </w:r>
                  <w:r>
                    <w:rPr>
                      <w:color w:val="000000"/>
                    </w:rPr>
                    <w:t>设有</w:t>
                  </w:r>
                  <w:r>
                    <w:rPr>
                      <w:rFonts w:hint="eastAsia"/>
                      <w:color w:val="000000"/>
                    </w:rPr>
                    <w:t>204</w:t>
                  </w:r>
                  <w:r>
                    <w:rPr>
                      <w:color w:val="000000"/>
                    </w:rPr>
                    <w:t>张床位</w:t>
                  </w:r>
                </w:p>
              </w:tc>
              <w:tc>
                <w:tcPr>
                  <w:tcW w:w="403" w:type="pct"/>
                  <w:tcBorders>
                    <w:top w:val="single" w:color="000000" w:sz="12" w:space="0"/>
                    <w:left w:val="single" w:color="auto" w:sz="4" w:space="0"/>
                    <w:bottom w:val="single" w:color="auto" w:sz="4" w:space="0"/>
                  </w:tcBorders>
                  <w:vAlign w:val="center"/>
                </w:tcPr>
                <w:p>
                  <w:pPr>
                    <w:jc w:val="center"/>
                    <w:rPr>
                      <w:color w:val="000000"/>
                    </w:rPr>
                  </w:pPr>
                  <w:r>
                    <w:rPr>
                      <w:color w:val="000000"/>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vMerge w:val="restart"/>
                  <w:tcBorders>
                    <w:right w:val="single" w:color="auto" w:sz="4" w:space="0"/>
                  </w:tcBorders>
                  <w:vAlign w:val="center"/>
                </w:tcPr>
                <w:p>
                  <w:pPr>
                    <w:jc w:val="center"/>
                    <w:rPr>
                      <w:kern w:val="0"/>
                      <w:szCs w:val="21"/>
                      <w:lang w:eastAsia="en-US"/>
                    </w:rPr>
                  </w:pPr>
                  <w:r>
                    <w:rPr>
                      <w:kern w:val="0"/>
                      <w:szCs w:val="21"/>
                      <w:lang w:eastAsia="en-US"/>
                    </w:rPr>
                    <w:t>公用</w:t>
                  </w:r>
                </w:p>
                <w:p>
                  <w:pPr>
                    <w:jc w:val="center"/>
                    <w:rPr>
                      <w:szCs w:val="21"/>
                      <w:highlight w:val="yellow"/>
                    </w:rPr>
                  </w:pPr>
                  <w:r>
                    <w:rPr>
                      <w:kern w:val="0"/>
                      <w:szCs w:val="21"/>
                      <w:lang w:eastAsia="en-US"/>
                    </w:rPr>
                    <w:t>工程</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供热工程</w:t>
                  </w:r>
                </w:p>
              </w:tc>
              <w:tc>
                <w:tcPr>
                  <w:tcW w:w="3470" w:type="pct"/>
                  <w:tcBorders>
                    <w:top w:val="single" w:color="auto" w:sz="4" w:space="0"/>
                    <w:left w:val="single" w:color="auto" w:sz="4" w:space="0"/>
                    <w:bottom w:val="single" w:color="auto" w:sz="4" w:space="0"/>
                  </w:tcBorders>
                  <w:vAlign w:val="center"/>
                </w:tcPr>
                <w:p>
                  <w:pPr>
                    <w:jc w:val="center"/>
                    <w:rPr>
                      <w:kern w:val="0"/>
                      <w:szCs w:val="21"/>
                    </w:rPr>
                  </w:pPr>
                  <w:r>
                    <w:rPr>
                      <w:kern w:val="0"/>
                      <w:szCs w:val="21"/>
                    </w:rPr>
                    <w:t>依托医院原有供热管网</w:t>
                  </w:r>
                </w:p>
              </w:tc>
              <w:tc>
                <w:tcPr>
                  <w:tcW w:w="403" w:type="pct"/>
                  <w:tcBorders>
                    <w:top w:val="single" w:color="auto" w:sz="4" w:space="0"/>
                    <w:left w:val="single" w:color="auto" w:sz="4" w:space="0"/>
                    <w:bottom w:val="single" w:color="auto" w:sz="4" w:space="0"/>
                  </w:tcBorders>
                  <w:vAlign w:val="center"/>
                </w:tcPr>
                <w:p>
                  <w:pPr>
                    <w:jc w:val="center"/>
                    <w:rPr>
                      <w:kern w:val="0"/>
                      <w:szCs w:val="21"/>
                    </w:rPr>
                  </w:pPr>
                  <w:r>
                    <w:rPr>
                      <w:color w:val="000000"/>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vMerge w:val="continue"/>
                  <w:tcBorders>
                    <w:right w:val="single" w:color="auto" w:sz="4" w:space="0"/>
                  </w:tcBorders>
                  <w:vAlign w:val="center"/>
                </w:tcPr>
                <w:p>
                  <w:pPr>
                    <w:jc w:val="center"/>
                    <w:rPr>
                      <w:kern w:val="0"/>
                      <w:szCs w:val="21"/>
                      <w:highlight w:val="yellow"/>
                    </w:rPr>
                  </w:pP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供电工程</w:t>
                  </w:r>
                </w:p>
              </w:tc>
              <w:tc>
                <w:tcPr>
                  <w:tcW w:w="3470" w:type="pct"/>
                  <w:tcBorders>
                    <w:top w:val="single" w:color="auto" w:sz="4" w:space="0"/>
                    <w:left w:val="single" w:color="auto" w:sz="4" w:space="0"/>
                    <w:bottom w:val="single" w:color="auto" w:sz="4" w:space="0"/>
                  </w:tcBorders>
                  <w:vAlign w:val="center"/>
                </w:tcPr>
                <w:p>
                  <w:pPr>
                    <w:jc w:val="center"/>
                    <w:rPr>
                      <w:kern w:val="0"/>
                      <w:szCs w:val="21"/>
                    </w:rPr>
                  </w:pPr>
                  <w:r>
                    <w:rPr>
                      <w:kern w:val="0"/>
                      <w:szCs w:val="21"/>
                    </w:rPr>
                    <w:t>依托医院原有供电设施</w:t>
                  </w:r>
                </w:p>
              </w:tc>
              <w:tc>
                <w:tcPr>
                  <w:tcW w:w="403" w:type="pct"/>
                  <w:tcBorders>
                    <w:top w:val="single" w:color="auto" w:sz="4" w:space="0"/>
                    <w:left w:val="single" w:color="auto" w:sz="4" w:space="0"/>
                    <w:bottom w:val="single" w:color="auto" w:sz="4" w:space="0"/>
                  </w:tcBorders>
                  <w:vAlign w:val="center"/>
                </w:tcPr>
                <w:p>
                  <w:pPr>
                    <w:jc w:val="center"/>
                    <w:rPr>
                      <w:kern w:val="0"/>
                      <w:szCs w:val="21"/>
                    </w:rPr>
                  </w:pPr>
                  <w:r>
                    <w:rPr>
                      <w:color w:val="000000"/>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vMerge w:val="continue"/>
                  <w:tcBorders>
                    <w:right w:val="single" w:color="auto" w:sz="4" w:space="0"/>
                  </w:tcBorders>
                  <w:vAlign w:val="center"/>
                </w:tcPr>
                <w:p>
                  <w:pPr>
                    <w:jc w:val="center"/>
                    <w:rPr>
                      <w:kern w:val="0"/>
                      <w:szCs w:val="21"/>
                      <w:highlight w:val="yellow"/>
                    </w:rPr>
                  </w:pP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供水工程</w:t>
                  </w:r>
                </w:p>
              </w:tc>
              <w:tc>
                <w:tcPr>
                  <w:tcW w:w="3470" w:type="pct"/>
                  <w:tcBorders>
                    <w:top w:val="single" w:color="auto" w:sz="4" w:space="0"/>
                    <w:left w:val="single" w:color="auto" w:sz="4" w:space="0"/>
                    <w:bottom w:val="single" w:color="auto" w:sz="4" w:space="0"/>
                  </w:tcBorders>
                  <w:vAlign w:val="center"/>
                </w:tcPr>
                <w:p>
                  <w:pPr>
                    <w:jc w:val="center"/>
                    <w:rPr>
                      <w:kern w:val="0"/>
                      <w:szCs w:val="21"/>
                    </w:rPr>
                  </w:pPr>
                  <w:r>
                    <w:rPr>
                      <w:kern w:val="0"/>
                      <w:szCs w:val="21"/>
                    </w:rPr>
                    <w:t>依托医院原有供水管网</w:t>
                  </w:r>
                </w:p>
              </w:tc>
              <w:tc>
                <w:tcPr>
                  <w:tcW w:w="403" w:type="pct"/>
                  <w:tcBorders>
                    <w:top w:val="single" w:color="auto" w:sz="4" w:space="0"/>
                    <w:left w:val="single" w:color="auto" w:sz="4" w:space="0"/>
                    <w:bottom w:val="single" w:color="auto" w:sz="4" w:space="0"/>
                  </w:tcBorders>
                  <w:vAlign w:val="center"/>
                </w:tcPr>
                <w:p>
                  <w:pPr>
                    <w:jc w:val="center"/>
                    <w:rPr>
                      <w:kern w:val="0"/>
                      <w:szCs w:val="21"/>
                    </w:rPr>
                  </w:pPr>
                  <w:r>
                    <w:rPr>
                      <w:color w:val="000000"/>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vMerge w:val="restart"/>
                  <w:tcBorders>
                    <w:right w:val="single" w:color="auto" w:sz="4" w:space="0"/>
                  </w:tcBorders>
                  <w:vAlign w:val="center"/>
                </w:tcPr>
                <w:p>
                  <w:pPr>
                    <w:jc w:val="center"/>
                    <w:rPr>
                      <w:kern w:val="0"/>
                      <w:szCs w:val="21"/>
                      <w:lang w:eastAsia="en-US"/>
                    </w:rPr>
                  </w:pPr>
                  <w:r>
                    <w:rPr>
                      <w:kern w:val="0"/>
                      <w:szCs w:val="21"/>
                      <w:lang w:eastAsia="en-US"/>
                    </w:rPr>
                    <w:t>环保</w:t>
                  </w:r>
                </w:p>
                <w:p>
                  <w:pPr>
                    <w:jc w:val="center"/>
                    <w:rPr>
                      <w:kern w:val="0"/>
                      <w:szCs w:val="21"/>
                      <w:lang w:eastAsia="en-US"/>
                    </w:rPr>
                  </w:pPr>
                  <w:r>
                    <w:rPr>
                      <w:kern w:val="0"/>
                      <w:szCs w:val="21"/>
                      <w:lang w:eastAsia="en-US"/>
                    </w:rPr>
                    <w:t>工程</w:t>
                  </w:r>
                </w:p>
                <w:p>
                  <w:pPr>
                    <w:jc w:val="center"/>
                    <w:rPr>
                      <w:kern w:val="0"/>
                      <w:szCs w:val="21"/>
                    </w:rPr>
                  </w:pP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废气</w:t>
                  </w:r>
                </w:p>
              </w:tc>
              <w:tc>
                <w:tcPr>
                  <w:tcW w:w="3470" w:type="pct"/>
                  <w:tcBorders>
                    <w:top w:val="single" w:color="auto" w:sz="4" w:space="0"/>
                    <w:left w:val="single" w:color="auto" w:sz="4" w:space="0"/>
                    <w:bottom w:val="single" w:color="auto" w:sz="4" w:space="0"/>
                  </w:tcBorders>
                  <w:vAlign w:val="center"/>
                </w:tcPr>
                <w:p>
                  <w:pPr>
                    <w:jc w:val="center"/>
                    <w:rPr>
                      <w:kern w:val="0"/>
                      <w:szCs w:val="21"/>
                    </w:rPr>
                  </w:pPr>
                  <w:r>
                    <w:rPr>
                      <w:rFonts w:hint="eastAsia"/>
                      <w:kern w:val="0"/>
                      <w:szCs w:val="21"/>
                    </w:rPr>
                    <w:t>依托医院原有活性炭吸附设施</w:t>
                  </w:r>
                </w:p>
              </w:tc>
              <w:tc>
                <w:tcPr>
                  <w:tcW w:w="403" w:type="pct"/>
                  <w:tcBorders>
                    <w:top w:val="single" w:color="auto" w:sz="4" w:space="0"/>
                    <w:left w:val="single" w:color="auto" w:sz="4" w:space="0"/>
                    <w:bottom w:val="single" w:color="auto" w:sz="4" w:space="0"/>
                  </w:tcBorders>
                  <w:vAlign w:val="center"/>
                </w:tcPr>
                <w:p>
                  <w:pPr>
                    <w:jc w:val="center"/>
                    <w:rPr>
                      <w:kern w:val="0"/>
                      <w:szCs w:val="21"/>
                      <w:highlight w:val="yellow"/>
                    </w:rPr>
                  </w:pPr>
                  <w:r>
                    <w:rPr>
                      <w:color w:val="000000"/>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vMerge w:val="continue"/>
                  <w:tcBorders>
                    <w:right w:val="single" w:color="auto" w:sz="4" w:space="0"/>
                  </w:tcBorders>
                  <w:vAlign w:val="center"/>
                </w:tcPr>
                <w:p>
                  <w:pPr>
                    <w:jc w:val="center"/>
                    <w:rPr>
                      <w:kern w:val="0"/>
                      <w:szCs w:val="21"/>
                    </w:rPr>
                  </w:pP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color w:val="000000"/>
                      <w:kern w:val="0"/>
                      <w:szCs w:val="21"/>
                    </w:rPr>
                  </w:pPr>
                  <w:r>
                    <w:rPr>
                      <w:color w:val="000000"/>
                      <w:kern w:val="0"/>
                      <w:szCs w:val="21"/>
                    </w:rPr>
                    <w:t>废水</w:t>
                  </w:r>
                </w:p>
              </w:tc>
              <w:tc>
                <w:tcPr>
                  <w:tcW w:w="3470" w:type="pct"/>
                  <w:tcBorders>
                    <w:top w:val="single" w:color="auto" w:sz="4" w:space="0"/>
                    <w:left w:val="single" w:color="auto" w:sz="4" w:space="0"/>
                    <w:bottom w:val="single" w:color="auto" w:sz="4" w:space="0"/>
                  </w:tcBorders>
                  <w:vAlign w:val="center"/>
                </w:tcPr>
                <w:p>
                  <w:pPr>
                    <w:jc w:val="center"/>
                    <w:rPr>
                      <w:color w:val="000000"/>
                      <w:kern w:val="0"/>
                      <w:szCs w:val="21"/>
                      <w:highlight w:val="yellow"/>
                    </w:rPr>
                  </w:pPr>
                  <w:r>
                    <w:rPr>
                      <w:color w:val="000000"/>
                    </w:rPr>
                    <w:t>项目产生的</w:t>
                  </w:r>
                  <w:r>
                    <w:rPr>
                      <w:rFonts w:hint="eastAsia"/>
                      <w:color w:val="000000"/>
                    </w:rPr>
                    <w:t>医疗废水进入医院</w:t>
                  </w:r>
                  <w:r>
                    <w:rPr>
                      <w:color w:val="000000"/>
                    </w:rPr>
                    <w:t>原有</w:t>
                  </w:r>
                  <w:r>
                    <w:rPr>
                      <w:rFonts w:hint="eastAsia"/>
                      <w:color w:val="000000"/>
                    </w:rPr>
                    <w:t>污水处理站，</w:t>
                  </w:r>
                  <w:r>
                    <w:rPr>
                      <w:color w:val="000000"/>
                    </w:rPr>
                    <w:t>经地埋式一体化污水处理设施（调节池→生物接触氧化→次氯酸钠消毒）处理后，达到《医疗机构水污染物排放标准》（GB18466-2005）中表2综合医疗机构和其他医疗机构水污染物排放标准后，</w:t>
                  </w:r>
                  <w:r>
                    <w:rPr>
                      <w:kern w:val="0"/>
                      <w:szCs w:val="21"/>
                    </w:rPr>
                    <w:t>排入市政</w:t>
                  </w:r>
                  <w:r>
                    <w:rPr>
                      <w:rFonts w:hint="eastAsia"/>
                      <w:kern w:val="0"/>
                      <w:szCs w:val="21"/>
                    </w:rPr>
                    <w:t>污水</w:t>
                  </w:r>
                  <w:r>
                    <w:rPr>
                      <w:kern w:val="0"/>
                      <w:szCs w:val="21"/>
                    </w:rPr>
                    <w:t>管网</w:t>
                  </w:r>
                </w:p>
              </w:tc>
              <w:tc>
                <w:tcPr>
                  <w:tcW w:w="403" w:type="pct"/>
                  <w:tcBorders>
                    <w:top w:val="single" w:color="auto" w:sz="4" w:space="0"/>
                    <w:left w:val="single" w:color="auto" w:sz="4" w:space="0"/>
                    <w:bottom w:val="single" w:color="auto" w:sz="4" w:space="0"/>
                  </w:tcBorders>
                  <w:vAlign w:val="center"/>
                </w:tcPr>
                <w:p>
                  <w:pPr>
                    <w:jc w:val="center"/>
                    <w:rPr>
                      <w:color w:val="000000"/>
                      <w:kern w:val="0"/>
                      <w:szCs w:val="21"/>
                      <w:highlight w:val="yellow"/>
                    </w:rPr>
                  </w:pPr>
                  <w:r>
                    <w:rPr>
                      <w:color w:val="000000"/>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vMerge w:val="continue"/>
                  <w:tcBorders>
                    <w:right w:val="single" w:color="auto" w:sz="4" w:space="0"/>
                  </w:tcBorders>
                  <w:vAlign w:val="center"/>
                </w:tcPr>
                <w:p>
                  <w:pPr>
                    <w:jc w:val="center"/>
                    <w:rPr>
                      <w:kern w:val="0"/>
                      <w:szCs w:val="21"/>
                    </w:rPr>
                  </w:pP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噪声</w:t>
                  </w:r>
                </w:p>
              </w:tc>
              <w:tc>
                <w:tcPr>
                  <w:tcW w:w="3470" w:type="pct"/>
                  <w:tcBorders>
                    <w:top w:val="single" w:color="auto" w:sz="4" w:space="0"/>
                    <w:left w:val="single" w:color="auto" w:sz="4" w:space="0"/>
                    <w:bottom w:val="single" w:color="auto" w:sz="4" w:space="0"/>
                  </w:tcBorders>
                  <w:vAlign w:val="center"/>
                </w:tcPr>
                <w:p>
                  <w:pPr>
                    <w:jc w:val="center"/>
                    <w:rPr>
                      <w:kern w:val="0"/>
                      <w:szCs w:val="21"/>
                      <w:highlight w:val="yellow"/>
                    </w:rPr>
                  </w:pPr>
                  <w:r>
                    <w:rPr>
                      <w:color w:val="000000"/>
                    </w:rPr>
                    <w:t>隔音减震</w:t>
                  </w:r>
                  <w:r>
                    <w:rPr>
                      <w:rFonts w:hint="eastAsia"/>
                      <w:color w:val="000000"/>
                    </w:rPr>
                    <w:t>、</w:t>
                  </w:r>
                  <w:r>
                    <w:rPr>
                      <w:color w:val="000000"/>
                    </w:rPr>
                    <w:t>距离衰减</w:t>
                  </w:r>
                  <w:r>
                    <w:rPr>
                      <w:rFonts w:hint="eastAsia"/>
                      <w:color w:val="000000"/>
                    </w:rPr>
                    <w:t>、</w:t>
                  </w:r>
                  <w:r>
                    <w:rPr>
                      <w:color w:val="000000"/>
                    </w:rPr>
                    <w:t>增加绿化面积等措施</w:t>
                  </w:r>
                </w:p>
              </w:tc>
              <w:tc>
                <w:tcPr>
                  <w:tcW w:w="403" w:type="pct"/>
                  <w:tcBorders>
                    <w:top w:val="single" w:color="auto" w:sz="4" w:space="0"/>
                    <w:left w:val="single" w:color="auto" w:sz="4" w:space="0"/>
                    <w:bottom w:val="single" w:color="auto" w:sz="4" w:space="0"/>
                  </w:tcBorders>
                  <w:vAlign w:val="center"/>
                </w:tcPr>
                <w:p>
                  <w:pPr>
                    <w:jc w:val="center"/>
                    <w:rPr>
                      <w:kern w:val="0"/>
                      <w:szCs w:val="21"/>
                      <w:highlight w:val="yellow"/>
                    </w:rPr>
                  </w:pPr>
                  <w:r>
                    <w:rPr>
                      <w:color w:val="000000"/>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vMerge w:val="continue"/>
                  <w:tcBorders>
                    <w:right w:val="single" w:color="auto" w:sz="4" w:space="0"/>
                  </w:tcBorders>
                  <w:vAlign w:val="center"/>
                </w:tcPr>
                <w:p>
                  <w:pPr>
                    <w:jc w:val="center"/>
                    <w:rPr>
                      <w:kern w:val="0"/>
                      <w:szCs w:val="21"/>
                    </w:rPr>
                  </w:pPr>
                </w:p>
              </w:tc>
              <w:tc>
                <w:tcPr>
                  <w:tcW w:w="544" w:type="pct"/>
                  <w:tcBorders>
                    <w:top w:val="single" w:color="auto" w:sz="4" w:space="0"/>
                    <w:left w:val="single" w:color="auto" w:sz="4" w:space="0"/>
                    <w:bottom w:val="single" w:color="000000" w:sz="12" w:space="0"/>
                    <w:right w:val="single" w:color="auto" w:sz="4" w:space="0"/>
                  </w:tcBorders>
                  <w:vAlign w:val="center"/>
                </w:tcPr>
                <w:p>
                  <w:pPr>
                    <w:jc w:val="center"/>
                    <w:rPr>
                      <w:kern w:val="0"/>
                      <w:szCs w:val="21"/>
                    </w:rPr>
                  </w:pPr>
                  <w:r>
                    <w:rPr>
                      <w:kern w:val="0"/>
                      <w:szCs w:val="21"/>
                    </w:rPr>
                    <w:t>固废</w:t>
                  </w:r>
                </w:p>
              </w:tc>
              <w:tc>
                <w:tcPr>
                  <w:tcW w:w="3470" w:type="pct"/>
                  <w:tcBorders>
                    <w:top w:val="single" w:color="auto" w:sz="4" w:space="0"/>
                    <w:left w:val="single" w:color="auto" w:sz="4" w:space="0"/>
                    <w:bottom w:val="single" w:color="000000" w:sz="12" w:space="0"/>
                  </w:tcBorders>
                  <w:vAlign w:val="center"/>
                </w:tcPr>
                <w:p>
                  <w:pPr>
                    <w:jc w:val="center"/>
                    <w:rPr>
                      <w:kern w:val="0"/>
                      <w:szCs w:val="21"/>
                      <w:highlight w:val="yellow"/>
                    </w:rPr>
                  </w:pPr>
                  <w:r>
                    <w:rPr>
                      <w:color w:val="000000"/>
                    </w:rPr>
                    <w:t>项目医疗垃圾</w:t>
                  </w:r>
                  <w:r>
                    <w:rPr>
                      <w:rFonts w:hint="eastAsia"/>
                      <w:color w:val="000000"/>
                    </w:rPr>
                    <w:t>依托</w:t>
                  </w:r>
                  <w:r>
                    <w:rPr>
                      <w:color w:val="000000"/>
                    </w:rPr>
                    <w:t>原有医疗废物暂存间，与原有项目医疗垃圾一起定期交由有资质的医疗废物处置单位处置</w:t>
                  </w:r>
                  <w:r>
                    <w:rPr>
                      <w:rFonts w:hint="eastAsia"/>
                      <w:color w:val="000000"/>
                    </w:rPr>
                    <w:t>；</w:t>
                  </w:r>
                  <w:r>
                    <w:rPr>
                      <w:color w:val="000000"/>
                    </w:rPr>
                    <w:t>生活垃圾存于生活垃圾收集箱，与原有项目生活垃圾一起交由环卫部门处置</w:t>
                  </w:r>
                </w:p>
              </w:tc>
              <w:tc>
                <w:tcPr>
                  <w:tcW w:w="403" w:type="pct"/>
                  <w:tcBorders>
                    <w:top w:val="single" w:color="auto" w:sz="4" w:space="0"/>
                    <w:left w:val="single" w:color="auto" w:sz="4" w:space="0"/>
                    <w:bottom w:val="single" w:color="000000" w:sz="12" w:space="0"/>
                  </w:tcBorders>
                  <w:vAlign w:val="center"/>
                </w:tcPr>
                <w:p>
                  <w:pPr>
                    <w:jc w:val="center"/>
                    <w:rPr>
                      <w:kern w:val="0"/>
                      <w:szCs w:val="21"/>
                      <w:highlight w:val="yellow"/>
                    </w:rPr>
                  </w:pPr>
                  <w:r>
                    <w:rPr>
                      <w:color w:val="000000"/>
                    </w:rPr>
                    <w:t>依托</w:t>
                  </w:r>
                </w:p>
              </w:tc>
            </w:tr>
          </w:tbl>
          <w:p>
            <w:pPr>
              <w:pStyle w:val="6"/>
            </w:pPr>
            <w:r>
              <w:t>2.</w:t>
            </w:r>
            <w:r>
              <w:rPr>
                <w:rFonts w:hint="eastAsia"/>
              </w:rPr>
              <w:t>医疗</w:t>
            </w:r>
            <w:r>
              <w:t>设备</w:t>
            </w:r>
          </w:p>
          <w:p>
            <w:pPr>
              <w:adjustRightInd w:val="0"/>
              <w:snapToGrid w:val="0"/>
              <w:spacing w:line="360" w:lineRule="auto"/>
              <w:ind w:firstLine="480" w:firstLineChars="200"/>
              <w:rPr>
                <w:bCs/>
                <w:sz w:val="24"/>
              </w:rPr>
            </w:pPr>
            <w:r>
              <w:rPr>
                <w:bCs/>
                <w:sz w:val="24"/>
              </w:rPr>
              <w:t>本项目选择设备的原则为设备的配套技术与制造技术先进、节能、性能稳定可靠、价格经济合理、适用性强、操作和维修方便。</w:t>
            </w:r>
          </w:p>
          <w:p>
            <w:pPr>
              <w:adjustRightInd w:val="0"/>
              <w:snapToGrid w:val="0"/>
              <w:spacing w:line="360" w:lineRule="auto"/>
              <w:ind w:firstLine="480" w:firstLineChars="200"/>
              <w:rPr>
                <w:bCs/>
                <w:sz w:val="24"/>
              </w:rPr>
            </w:pPr>
            <w:r>
              <w:rPr>
                <w:bCs/>
                <w:sz w:val="24"/>
              </w:rPr>
              <w:t>本项目主要医疗设备情况见表2-2</w:t>
            </w:r>
            <w:r>
              <w:rPr>
                <w:rFonts w:hint="eastAsia"/>
                <w:bCs/>
                <w:sz w:val="24"/>
              </w:rPr>
              <w:t>。</w:t>
            </w:r>
          </w:p>
          <w:p>
            <w:pPr>
              <w:pStyle w:val="21"/>
              <w:ind w:firstLine="422"/>
              <w:rPr>
                <w:rFonts w:hint="default"/>
              </w:rPr>
            </w:pPr>
            <w:r>
              <w:rPr>
                <w:rFonts w:hint="default"/>
              </w:rPr>
              <w:t>表2-2 项目</w:t>
            </w:r>
            <w:r>
              <w:t>医疗</w:t>
            </w:r>
            <w:r>
              <w:rPr>
                <w:rFonts w:hint="default"/>
              </w:rPr>
              <w:t>设备配置表</w:t>
            </w:r>
          </w:p>
          <w:tbl>
            <w:tblPr>
              <w:tblStyle w:val="17"/>
              <w:tblW w:w="7938" w:type="dxa"/>
              <w:tblInd w:w="5"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512"/>
              <w:gridCol w:w="2862"/>
              <w:gridCol w:w="1317"/>
              <w:gridCol w:w="2247"/>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tcBorders>
                    <w:bottom w:val="single" w:color="000000" w:sz="12" w:space="0"/>
                  </w:tcBorders>
                  <w:vAlign w:val="center"/>
                </w:tcPr>
                <w:p>
                  <w:pPr>
                    <w:widowControl/>
                    <w:jc w:val="center"/>
                    <w:textAlignment w:val="center"/>
                    <w:rPr>
                      <w:b/>
                      <w:bCs/>
                      <w:szCs w:val="21"/>
                    </w:rPr>
                  </w:pPr>
                  <w:r>
                    <w:rPr>
                      <w:b/>
                      <w:bCs/>
                      <w:kern w:val="0"/>
                      <w:szCs w:val="21"/>
                      <w:lang w:bidi="ar"/>
                    </w:rPr>
                    <w:t>序号</w:t>
                  </w:r>
                </w:p>
              </w:tc>
              <w:tc>
                <w:tcPr>
                  <w:tcW w:w="2862" w:type="dxa"/>
                  <w:tcBorders>
                    <w:bottom w:val="single" w:color="000000" w:sz="12" w:space="0"/>
                  </w:tcBorders>
                  <w:vAlign w:val="center"/>
                </w:tcPr>
                <w:p>
                  <w:pPr>
                    <w:widowControl/>
                    <w:jc w:val="center"/>
                    <w:textAlignment w:val="center"/>
                    <w:rPr>
                      <w:b/>
                      <w:bCs/>
                      <w:szCs w:val="21"/>
                    </w:rPr>
                  </w:pPr>
                  <w:r>
                    <w:rPr>
                      <w:b/>
                      <w:bCs/>
                      <w:kern w:val="0"/>
                      <w:szCs w:val="21"/>
                      <w:lang w:bidi="ar"/>
                    </w:rPr>
                    <w:t>仪器设备名称</w:t>
                  </w:r>
                </w:p>
              </w:tc>
              <w:tc>
                <w:tcPr>
                  <w:tcW w:w="1317" w:type="dxa"/>
                  <w:tcBorders>
                    <w:bottom w:val="single" w:color="000000" w:sz="12" w:space="0"/>
                  </w:tcBorders>
                  <w:vAlign w:val="center"/>
                </w:tcPr>
                <w:p>
                  <w:pPr>
                    <w:widowControl/>
                    <w:jc w:val="center"/>
                    <w:textAlignment w:val="center"/>
                    <w:rPr>
                      <w:b/>
                      <w:bCs/>
                      <w:kern w:val="0"/>
                      <w:szCs w:val="21"/>
                      <w:lang w:bidi="ar"/>
                    </w:rPr>
                  </w:pPr>
                  <w:r>
                    <w:rPr>
                      <w:b/>
                      <w:bCs/>
                      <w:kern w:val="0"/>
                      <w:szCs w:val="21"/>
                      <w:lang w:bidi="ar"/>
                    </w:rPr>
                    <w:t>数量（台/套）</w:t>
                  </w:r>
                </w:p>
              </w:tc>
              <w:tc>
                <w:tcPr>
                  <w:tcW w:w="2247" w:type="dxa"/>
                  <w:tcBorders>
                    <w:bottom w:val="single" w:color="000000" w:sz="12" w:space="0"/>
                  </w:tcBorders>
                  <w:vAlign w:val="center"/>
                </w:tcPr>
                <w:p>
                  <w:pPr>
                    <w:widowControl/>
                    <w:jc w:val="center"/>
                    <w:textAlignment w:val="center"/>
                    <w:rPr>
                      <w:b/>
                      <w:bCs/>
                      <w:kern w:val="0"/>
                      <w:szCs w:val="21"/>
                      <w:lang w:bidi="ar"/>
                    </w:rPr>
                  </w:pPr>
                  <w:r>
                    <w:rPr>
                      <w:b/>
                      <w:bCs/>
                      <w:kern w:val="0"/>
                      <w:szCs w:val="21"/>
                      <w:lang w:bidi="ar"/>
                    </w:rPr>
                    <w:t>品牌/产地</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938" w:type="dxa"/>
                  <w:gridSpan w:val="4"/>
                  <w:tcBorders>
                    <w:top w:val="single" w:color="000000" w:sz="12" w:space="0"/>
                    <w:bottom w:val="single" w:color="auto" w:sz="4" w:space="0"/>
                  </w:tcBorders>
                  <w:vAlign w:val="center"/>
                </w:tcPr>
                <w:p>
                  <w:pPr>
                    <w:widowControl/>
                    <w:jc w:val="center"/>
                    <w:textAlignment w:val="center"/>
                    <w:rPr>
                      <w:kern w:val="0"/>
                      <w:szCs w:val="21"/>
                      <w:highlight w:val="yellow"/>
                      <w:lang w:bidi="ar"/>
                    </w:rPr>
                  </w:pPr>
                  <w:r>
                    <w:rPr>
                      <w:b/>
                      <w:bCs/>
                      <w:kern w:val="0"/>
                      <w:szCs w:val="21"/>
                      <w:lang w:bidi="ar"/>
                    </w:rPr>
                    <w:t>中医骨伤</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tcBorders>
                    <w:top w:val="single" w:color="auto" w:sz="4" w:space="0"/>
                  </w:tcBorders>
                  <w:vAlign w:val="center"/>
                </w:tcPr>
                <w:p>
                  <w:pPr>
                    <w:widowControl/>
                    <w:jc w:val="center"/>
                    <w:textAlignment w:val="center"/>
                    <w:rPr>
                      <w:kern w:val="0"/>
                      <w:szCs w:val="21"/>
                      <w:lang w:bidi="ar"/>
                    </w:rPr>
                  </w:pPr>
                  <w:r>
                    <w:rPr>
                      <w:kern w:val="0"/>
                      <w:szCs w:val="21"/>
                      <w:lang w:bidi="ar"/>
                    </w:rPr>
                    <w:t>1</w:t>
                  </w:r>
                </w:p>
              </w:tc>
              <w:tc>
                <w:tcPr>
                  <w:tcW w:w="2862" w:type="dxa"/>
                  <w:tcBorders>
                    <w:top w:val="single" w:color="auto" w:sz="4" w:space="0"/>
                  </w:tcBorders>
                  <w:vAlign w:val="center"/>
                </w:tcPr>
                <w:p>
                  <w:pPr>
                    <w:widowControl/>
                    <w:jc w:val="center"/>
                    <w:textAlignment w:val="center"/>
                    <w:rPr>
                      <w:kern w:val="0"/>
                      <w:szCs w:val="21"/>
                      <w:lang w:bidi="ar"/>
                    </w:rPr>
                  </w:pPr>
                  <w:r>
                    <w:rPr>
                      <w:rFonts w:hint="eastAsia"/>
                      <w:kern w:val="0"/>
                      <w:szCs w:val="21"/>
                      <w:lang w:bidi="ar"/>
                    </w:rPr>
                    <w:t>脊柱（疼痛）内镜手术系统</w:t>
                  </w:r>
                </w:p>
              </w:tc>
              <w:tc>
                <w:tcPr>
                  <w:tcW w:w="1317" w:type="dxa"/>
                  <w:tcBorders>
                    <w:top w:val="single" w:color="auto" w:sz="4" w:space="0"/>
                  </w:tcBorders>
                  <w:vAlign w:val="center"/>
                </w:tcPr>
                <w:p>
                  <w:pPr>
                    <w:widowControl/>
                    <w:jc w:val="center"/>
                    <w:textAlignment w:val="center"/>
                    <w:rPr>
                      <w:kern w:val="0"/>
                      <w:szCs w:val="21"/>
                      <w:lang w:bidi="ar"/>
                    </w:rPr>
                  </w:pPr>
                  <w:r>
                    <w:rPr>
                      <w:rFonts w:hint="eastAsia"/>
                      <w:kern w:val="0"/>
                      <w:szCs w:val="21"/>
                      <w:lang w:bidi="ar"/>
                    </w:rPr>
                    <w:t>1</w:t>
                  </w:r>
                </w:p>
              </w:tc>
              <w:tc>
                <w:tcPr>
                  <w:tcW w:w="2247" w:type="dxa"/>
                  <w:tcBorders>
                    <w:top w:val="single" w:color="auto" w:sz="4" w:space="0"/>
                  </w:tcBorders>
                  <w:vAlign w:val="center"/>
                </w:tcPr>
                <w:p>
                  <w:pPr>
                    <w:widowControl/>
                    <w:jc w:val="center"/>
                    <w:textAlignment w:val="center"/>
                    <w:rPr>
                      <w:kern w:val="0"/>
                      <w:szCs w:val="21"/>
                      <w:lang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2</w:t>
                  </w:r>
                </w:p>
              </w:tc>
              <w:tc>
                <w:tcPr>
                  <w:tcW w:w="2862" w:type="dxa"/>
                  <w:vAlign w:val="center"/>
                </w:tcPr>
                <w:p>
                  <w:pPr>
                    <w:widowControl/>
                    <w:jc w:val="center"/>
                    <w:textAlignment w:val="center"/>
                    <w:rPr>
                      <w:kern w:val="0"/>
                      <w:szCs w:val="21"/>
                      <w:lang w:bidi="ar"/>
                    </w:rPr>
                  </w:pPr>
                  <w:r>
                    <w:rPr>
                      <w:rFonts w:hint="eastAsia"/>
                      <w:kern w:val="0"/>
                      <w:szCs w:val="21"/>
                      <w:lang w:bidi="ar"/>
                    </w:rPr>
                    <w:t>麻醉监护仪</w:t>
                  </w:r>
                </w:p>
              </w:tc>
              <w:tc>
                <w:tcPr>
                  <w:tcW w:w="1317" w:type="dxa"/>
                  <w:vAlign w:val="center"/>
                </w:tcPr>
                <w:p>
                  <w:pPr>
                    <w:widowControl/>
                    <w:jc w:val="center"/>
                    <w:textAlignment w:val="center"/>
                    <w:rPr>
                      <w:kern w:val="0"/>
                      <w:szCs w:val="21"/>
                      <w:lang w:bidi="ar"/>
                    </w:rPr>
                  </w:pPr>
                  <w:r>
                    <w:rPr>
                      <w:rFonts w:hint="eastAsia"/>
                      <w:kern w:val="0"/>
                      <w:szCs w:val="21"/>
                      <w:lang w:bidi="ar"/>
                    </w:rPr>
                    <w:t>2</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3</w:t>
                  </w:r>
                </w:p>
              </w:tc>
              <w:tc>
                <w:tcPr>
                  <w:tcW w:w="2862" w:type="dxa"/>
                  <w:vAlign w:val="center"/>
                </w:tcPr>
                <w:p>
                  <w:pPr>
                    <w:widowControl/>
                    <w:jc w:val="center"/>
                    <w:textAlignment w:val="center"/>
                    <w:rPr>
                      <w:kern w:val="0"/>
                      <w:szCs w:val="21"/>
                      <w:lang w:bidi="ar"/>
                    </w:rPr>
                  </w:pPr>
                  <w:r>
                    <w:rPr>
                      <w:rStyle w:val="50"/>
                      <w:lang w:val="en-US" w:eastAsia="zh-CN" w:bidi="ar"/>
                    </w:rPr>
                    <w:t>微波治疗机</w:t>
                  </w:r>
                </w:p>
              </w:tc>
              <w:tc>
                <w:tcPr>
                  <w:tcW w:w="1317" w:type="dxa"/>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2</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4</w:t>
                  </w:r>
                </w:p>
              </w:tc>
              <w:tc>
                <w:tcPr>
                  <w:tcW w:w="2862" w:type="dxa"/>
                  <w:vAlign w:val="center"/>
                </w:tcPr>
                <w:p>
                  <w:pPr>
                    <w:widowControl/>
                    <w:jc w:val="center"/>
                    <w:textAlignment w:val="center"/>
                    <w:rPr>
                      <w:kern w:val="0"/>
                      <w:szCs w:val="21"/>
                      <w:lang w:bidi="ar"/>
                    </w:rPr>
                  </w:pPr>
                  <w:r>
                    <w:rPr>
                      <w:rFonts w:hint="eastAsia"/>
                      <w:kern w:val="0"/>
                      <w:szCs w:val="21"/>
                      <w:lang w:bidi="ar"/>
                    </w:rPr>
                    <w:t>多功能电动手术床</w:t>
                  </w:r>
                </w:p>
              </w:tc>
              <w:tc>
                <w:tcPr>
                  <w:tcW w:w="1317" w:type="dxa"/>
                  <w:vAlign w:val="center"/>
                </w:tcPr>
                <w:p>
                  <w:pPr>
                    <w:widowControl/>
                    <w:jc w:val="center"/>
                    <w:textAlignment w:val="center"/>
                    <w:rPr>
                      <w:kern w:val="0"/>
                      <w:szCs w:val="21"/>
                      <w:lang w:bidi="ar"/>
                    </w:rPr>
                  </w:pPr>
                  <w:r>
                    <w:rPr>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5</w:t>
                  </w:r>
                </w:p>
              </w:tc>
              <w:tc>
                <w:tcPr>
                  <w:tcW w:w="2862" w:type="dxa"/>
                  <w:vAlign w:val="center"/>
                </w:tcPr>
                <w:p>
                  <w:pPr>
                    <w:widowControl/>
                    <w:jc w:val="center"/>
                    <w:textAlignment w:val="center"/>
                    <w:rPr>
                      <w:rFonts w:hint="eastAsia"/>
                      <w:kern w:val="0"/>
                      <w:szCs w:val="21"/>
                      <w:lang w:bidi="ar"/>
                    </w:rPr>
                  </w:pPr>
                  <w:r>
                    <w:rPr>
                      <w:rFonts w:ascii="宋体" w:hAnsi="宋体" w:eastAsia="宋体" w:cs="宋体"/>
                      <w:b w:val="0"/>
                      <w:bCs w:val="0"/>
                      <w:i w:val="0"/>
                      <w:iCs w:val="0"/>
                      <w:color w:val="000000"/>
                      <w:kern w:val="0"/>
                      <w:sz w:val="22"/>
                      <w:szCs w:val="22"/>
                      <w:lang w:val="en-US" w:eastAsia="zh-CN" w:bidi="ar"/>
                    </w:rPr>
                    <w:t>自动气压止血带</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2</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938" w:type="dxa"/>
                  <w:gridSpan w:val="4"/>
                  <w:vAlign w:val="center"/>
                </w:tcPr>
                <w:p>
                  <w:pPr>
                    <w:widowControl/>
                    <w:jc w:val="center"/>
                    <w:textAlignment w:val="center"/>
                    <w:rPr>
                      <w:kern w:val="0"/>
                      <w:szCs w:val="21"/>
                      <w:lang w:bidi="ar"/>
                    </w:rPr>
                  </w:pPr>
                  <w:r>
                    <w:rPr>
                      <w:b/>
                      <w:bCs/>
                      <w:kern w:val="0"/>
                      <w:szCs w:val="21"/>
                      <w:lang w:bidi="ar"/>
                    </w:rPr>
                    <w:t>脑卒中中心</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1</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神经外科动力系统</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2</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脑外手术器械</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3</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等离子刀</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kern w:val="0"/>
                      <w:szCs w:val="21"/>
                      <w:lang w:bidi="ar"/>
                    </w:rPr>
                    <w:t>4</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多功能监护仪（中心静脉压）</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rFonts w:hint="eastAsia"/>
                      <w:kern w:val="0"/>
                      <w:szCs w:val="21"/>
                      <w:lang w:bidi="ar"/>
                    </w:rPr>
                    <w:t>5</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颅内检测系统</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6</w:t>
                  </w:r>
                </w:p>
              </w:tc>
              <w:tc>
                <w:tcPr>
                  <w:tcW w:w="2862" w:type="dxa"/>
                  <w:vAlign w:val="center"/>
                </w:tcPr>
                <w:p>
                  <w:pPr>
                    <w:widowControl/>
                    <w:jc w:val="center"/>
                    <w:textAlignment w:val="center"/>
                    <w:rPr>
                      <w:kern w:val="0"/>
                      <w:szCs w:val="21"/>
                      <w:lang w:bidi="ar"/>
                    </w:rPr>
                  </w:pPr>
                  <w:r>
                    <w:rPr>
                      <w:rFonts w:hint="eastAsia"/>
                      <w:kern w:val="0"/>
                      <w:szCs w:val="21"/>
                      <w:lang w:bidi="ar"/>
                    </w:rPr>
                    <w:t>空气波压力治疗系统（便携式）</w:t>
                  </w:r>
                </w:p>
              </w:tc>
              <w:tc>
                <w:tcPr>
                  <w:tcW w:w="1317" w:type="dxa"/>
                  <w:vAlign w:val="center"/>
                </w:tcPr>
                <w:p>
                  <w:pPr>
                    <w:widowControl/>
                    <w:jc w:val="center"/>
                    <w:textAlignment w:val="center"/>
                    <w:rPr>
                      <w:rFonts w:hint="eastAsia" w:eastAsia="宋体"/>
                      <w:kern w:val="0"/>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7</w:t>
                  </w:r>
                </w:p>
              </w:tc>
              <w:tc>
                <w:tcPr>
                  <w:tcW w:w="2862" w:type="dxa"/>
                  <w:vAlign w:val="center"/>
                </w:tcPr>
                <w:p>
                  <w:pPr>
                    <w:widowControl/>
                    <w:jc w:val="center"/>
                    <w:textAlignment w:val="center"/>
                    <w:rPr>
                      <w:kern w:val="0"/>
                      <w:szCs w:val="21"/>
                      <w:lang w:bidi="ar"/>
                    </w:rPr>
                  </w:pPr>
                  <w:r>
                    <w:rPr>
                      <w:rFonts w:hint="eastAsia"/>
                      <w:kern w:val="0"/>
                      <w:szCs w:val="21"/>
                      <w:lang w:bidi="ar"/>
                    </w:rPr>
                    <w:t>呼吸机</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938" w:type="dxa"/>
                  <w:gridSpan w:val="4"/>
                  <w:vAlign w:val="center"/>
                </w:tcPr>
                <w:p>
                  <w:pPr>
                    <w:widowControl/>
                    <w:jc w:val="center"/>
                    <w:rPr>
                      <w:kern w:val="0"/>
                      <w:szCs w:val="21"/>
                      <w:highlight w:val="yellow"/>
                      <w:lang w:bidi="ar"/>
                    </w:rPr>
                  </w:pPr>
                  <w:r>
                    <w:rPr>
                      <w:rFonts w:hint="eastAsia"/>
                      <w:b/>
                      <w:bCs/>
                      <w:kern w:val="0"/>
                      <w:szCs w:val="21"/>
                      <w:lang w:bidi="ar"/>
                    </w:rPr>
                    <w:t>心病科</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1</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内瘘检测仪</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2</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 xml:space="preserve"> 血管内超声</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3</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 xml:space="preserve"> 体外反搏泵</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kern w:val="0"/>
                      <w:szCs w:val="21"/>
                      <w:lang w:bidi="ar"/>
                    </w:rPr>
                    <w:t>4</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 xml:space="preserve"> 肺功能仪</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rFonts w:hint="eastAsia"/>
                      <w:kern w:val="0"/>
                      <w:szCs w:val="21"/>
                      <w:lang w:bidi="ar"/>
                    </w:rPr>
                    <w:t>5</w:t>
                  </w:r>
                </w:p>
              </w:tc>
              <w:tc>
                <w:tcPr>
                  <w:tcW w:w="2862" w:type="dxa"/>
                  <w:vAlign w:val="center"/>
                </w:tcPr>
                <w:p>
                  <w:pPr>
                    <w:widowControl/>
                    <w:jc w:val="center"/>
                    <w:textAlignment w:val="center"/>
                    <w:rPr>
                      <w:kern w:val="0"/>
                      <w:szCs w:val="21"/>
                      <w:lang w:bidi="ar"/>
                    </w:rPr>
                  </w:pPr>
                  <w:r>
                    <w:rPr>
                      <w:rFonts w:ascii="宋体" w:hAnsi="宋体" w:eastAsia="宋体" w:cs="宋体"/>
                      <w:b w:val="0"/>
                      <w:bCs w:val="0"/>
                      <w:i w:val="0"/>
                      <w:iCs w:val="0"/>
                      <w:color w:val="000000"/>
                      <w:kern w:val="0"/>
                      <w:sz w:val="22"/>
                      <w:szCs w:val="22"/>
                      <w:lang w:val="en-US" w:eastAsia="zh-CN" w:bidi="ar"/>
                    </w:rPr>
                    <w:t>彩色多普勒超声诊断仪（心脏）</w:t>
                  </w:r>
                </w:p>
              </w:tc>
              <w:tc>
                <w:tcPr>
                  <w:tcW w:w="1317" w:type="dxa"/>
                  <w:vAlign w:val="center"/>
                </w:tcPr>
                <w:p>
                  <w:pPr>
                    <w:widowControl/>
                    <w:jc w:val="center"/>
                    <w:textAlignment w:val="center"/>
                    <w:rPr>
                      <w:rFonts w:hint="eastAsia" w:eastAsia="宋体"/>
                      <w:kern w:val="0"/>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6</w:t>
                  </w:r>
                </w:p>
              </w:tc>
              <w:tc>
                <w:tcPr>
                  <w:tcW w:w="2862" w:type="dxa"/>
                  <w:vAlign w:val="center"/>
                </w:tcPr>
                <w:p>
                  <w:pPr>
                    <w:widowControl/>
                    <w:jc w:val="center"/>
                    <w:textAlignment w:val="center"/>
                    <w:rPr>
                      <w:kern w:val="0"/>
                      <w:szCs w:val="21"/>
                      <w:lang w:bidi="ar"/>
                    </w:rPr>
                  </w:pPr>
                  <w:r>
                    <w:rPr>
                      <w:rFonts w:ascii="宋体" w:hAnsi="宋体" w:eastAsia="宋体" w:cs="宋体"/>
                      <w:b w:val="0"/>
                      <w:bCs w:val="0"/>
                      <w:i w:val="0"/>
                      <w:iCs w:val="0"/>
                      <w:color w:val="000000"/>
                      <w:kern w:val="0"/>
                      <w:sz w:val="22"/>
                      <w:szCs w:val="22"/>
                      <w:lang w:val="en-US" w:eastAsia="zh-CN" w:bidi="ar"/>
                    </w:rPr>
                    <w:t>心电监护仪</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7</w:t>
                  </w:r>
                </w:p>
              </w:tc>
              <w:tc>
                <w:tcPr>
                  <w:tcW w:w="2862" w:type="dxa"/>
                  <w:vAlign w:val="center"/>
                </w:tcPr>
                <w:p>
                  <w:pPr>
                    <w:widowControl/>
                    <w:jc w:val="center"/>
                    <w:textAlignment w:val="center"/>
                    <w:rPr>
                      <w:kern w:val="0"/>
                      <w:szCs w:val="21"/>
                      <w:lang w:bidi="ar"/>
                    </w:rPr>
                  </w:pPr>
                  <w:r>
                    <w:rPr>
                      <w:rFonts w:ascii="宋体" w:hAnsi="宋体" w:eastAsia="宋体" w:cs="宋体"/>
                      <w:b w:val="0"/>
                      <w:bCs w:val="0"/>
                      <w:i w:val="0"/>
                      <w:iCs w:val="0"/>
                      <w:color w:val="000000"/>
                      <w:kern w:val="0"/>
                      <w:sz w:val="22"/>
                      <w:szCs w:val="22"/>
                      <w:lang w:val="en-US" w:eastAsia="zh-CN" w:bidi="ar"/>
                    </w:rPr>
                    <w:t>心电监护仪</w:t>
                  </w:r>
                </w:p>
              </w:tc>
              <w:tc>
                <w:tcPr>
                  <w:tcW w:w="1317" w:type="dxa"/>
                  <w:vAlign w:val="center"/>
                </w:tcPr>
                <w:p>
                  <w:pPr>
                    <w:widowControl/>
                    <w:jc w:val="center"/>
                    <w:textAlignment w:val="center"/>
                    <w:rPr>
                      <w:rFonts w:hint="eastAsia"/>
                      <w:kern w:val="0"/>
                      <w:szCs w:val="21"/>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8</w:t>
                  </w:r>
                </w:p>
              </w:tc>
              <w:tc>
                <w:tcPr>
                  <w:tcW w:w="2862" w:type="dxa"/>
                  <w:vAlign w:val="center"/>
                </w:tcPr>
                <w:p>
                  <w:pPr>
                    <w:widowControl/>
                    <w:jc w:val="center"/>
                    <w:textAlignment w:val="center"/>
                    <w:rPr>
                      <w:kern w:val="0"/>
                      <w:szCs w:val="21"/>
                      <w:lang w:bidi="ar"/>
                    </w:rPr>
                  </w:pPr>
                  <w:r>
                    <w:rPr>
                      <w:rFonts w:ascii="宋体" w:hAnsi="宋体" w:eastAsia="宋体" w:cs="宋体"/>
                      <w:b w:val="0"/>
                      <w:bCs w:val="0"/>
                      <w:i w:val="0"/>
                      <w:iCs w:val="0"/>
                      <w:color w:val="000000"/>
                      <w:kern w:val="0"/>
                      <w:sz w:val="22"/>
                      <w:szCs w:val="22"/>
                      <w:lang w:val="en-US" w:eastAsia="zh-CN" w:bidi="ar"/>
                    </w:rPr>
                    <w:t>心电监护仪（模块）</w:t>
                  </w:r>
                </w:p>
              </w:tc>
              <w:tc>
                <w:tcPr>
                  <w:tcW w:w="1317" w:type="dxa"/>
                  <w:vAlign w:val="center"/>
                </w:tcPr>
                <w:p>
                  <w:pPr>
                    <w:widowControl/>
                    <w:jc w:val="center"/>
                    <w:textAlignment w:val="center"/>
                    <w:rPr>
                      <w:rFonts w:hint="eastAsia"/>
                      <w:kern w:val="0"/>
                      <w:szCs w:val="21"/>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9</w:t>
                  </w:r>
                </w:p>
              </w:tc>
              <w:tc>
                <w:tcPr>
                  <w:tcW w:w="2862" w:type="dxa"/>
                  <w:vAlign w:val="center"/>
                </w:tcPr>
                <w:p>
                  <w:pPr>
                    <w:widowControl/>
                    <w:jc w:val="center"/>
                    <w:textAlignment w:val="center"/>
                    <w:rPr>
                      <w:kern w:val="0"/>
                      <w:szCs w:val="21"/>
                      <w:lang w:bidi="ar"/>
                    </w:rPr>
                  </w:pPr>
                  <w:r>
                    <w:rPr>
                      <w:rFonts w:ascii="宋体" w:hAnsi="宋体" w:eastAsia="宋体" w:cs="宋体"/>
                      <w:b w:val="0"/>
                      <w:bCs w:val="0"/>
                      <w:i w:val="0"/>
                      <w:iCs w:val="0"/>
                      <w:color w:val="000000"/>
                      <w:kern w:val="0"/>
                      <w:sz w:val="22"/>
                      <w:szCs w:val="22"/>
                      <w:lang w:val="en-US" w:eastAsia="zh-CN" w:bidi="ar"/>
                    </w:rPr>
                    <w:t>呼吸睡眠检测仪</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4</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10</w:t>
                  </w:r>
                </w:p>
              </w:tc>
              <w:tc>
                <w:tcPr>
                  <w:tcW w:w="2862" w:type="dxa"/>
                  <w:vAlign w:val="center"/>
                </w:tcPr>
                <w:p>
                  <w:pPr>
                    <w:widowControl/>
                    <w:jc w:val="center"/>
                    <w:textAlignment w:val="center"/>
                    <w:rPr>
                      <w:kern w:val="0"/>
                      <w:szCs w:val="21"/>
                      <w:lang w:bidi="ar"/>
                    </w:rPr>
                  </w:pPr>
                  <w:r>
                    <w:rPr>
                      <w:rFonts w:hint="eastAsia" w:ascii="宋体" w:hAnsi="宋体" w:eastAsia="宋体" w:cs="宋体"/>
                      <w:b w:val="0"/>
                      <w:bCs w:val="0"/>
                      <w:i w:val="0"/>
                      <w:iCs w:val="0"/>
                      <w:color w:val="000000"/>
                      <w:kern w:val="0"/>
                      <w:sz w:val="22"/>
                      <w:szCs w:val="22"/>
                      <w:lang w:val="en-US" w:eastAsia="zh-CN" w:bidi="ar"/>
                    </w:rPr>
                    <w:t>呼吸睡眠多导检测仪</w:t>
                  </w:r>
                </w:p>
              </w:tc>
              <w:tc>
                <w:tcPr>
                  <w:tcW w:w="1317" w:type="dxa"/>
                  <w:vAlign w:val="center"/>
                </w:tcPr>
                <w:p>
                  <w:pPr>
                    <w:widowControl/>
                    <w:jc w:val="center"/>
                    <w:textAlignment w:val="center"/>
                    <w:rPr>
                      <w:rFonts w:hint="eastAsia"/>
                      <w:kern w:val="0"/>
                      <w:szCs w:val="21"/>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11</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冠状动脉腔内旋磨仪</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938" w:type="dxa"/>
                  <w:gridSpan w:val="4"/>
                  <w:vAlign w:val="center"/>
                </w:tcPr>
                <w:p>
                  <w:pPr>
                    <w:widowControl/>
                    <w:jc w:val="center"/>
                    <w:textAlignment w:val="center"/>
                    <w:rPr>
                      <w:kern w:val="0"/>
                      <w:szCs w:val="21"/>
                      <w:highlight w:val="yellow"/>
                      <w:lang w:bidi="ar"/>
                    </w:rPr>
                  </w:pPr>
                  <w:r>
                    <w:rPr>
                      <w:rFonts w:hint="eastAsia"/>
                      <w:b/>
                      <w:bCs/>
                      <w:kern w:val="0"/>
                      <w:szCs w:val="21"/>
                      <w:lang w:bidi="ar"/>
                    </w:rPr>
                    <w:t>针灸科</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1</w:t>
                  </w:r>
                </w:p>
              </w:tc>
              <w:tc>
                <w:tcPr>
                  <w:tcW w:w="2862" w:type="dxa"/>
                  <w:vAlign w:val="center"/>
                </w:tcPr>
                <w:p>
                  <w:pPr>
                    <w:widowControl/>
                    <w:jc w:val="center"/>
                    <w:textAlignment w:val="center"/>
                    <w:rPr>
                      <w:kern w:val="0"/>
                      <w:szCs w:val="21"/>
                      <w:lang w:bidi="ar"/>
                    </w:rPr>
                  </w:pPr>
                  <w:r>
                    <w:rPr>
                      <w:rFonts w:hint="eastAsia"/>
                      <w:kern w:val="0"/>
                      <w:szCs w:val="21"/>
                      <w:lang w:bidi="ar"/>
                    </w:rPr>
                    <w:t>经颅磁刺激仪（带随动头架）</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2</w:t>
                  </w:r>
                </w:p>
              </w:tc>
              <w:tc>
                <w:tcPr>
                  <w:tcW w:w="2862" w:type="dxa"/>
                  <w:vAlign w:val="center"/>
                </w:tcPr>
                <w:p>
                  <w:pPr>
                    <w:widowControl/>
                    <w:jc w:val="center"/>
                    <w:textAlignment w:val="center"/>
                    <w:rPr>
                      <w:kern w:val="0"/>
                      <w:szCs w:val="21"/>
                      <w:lang w:bidi="ar"/>
                    </w:rPr>
                  </w:pPr>
                  <w:r>
                    <w:rPr>
                      <w:rFonts w:hint="eastAsia"/>
                      <w:kern w:val="0"/>
                      <w:szCs w:val="21"/>
                      <w:lang w:bidi="ar"/>
                    </w:rPr>
                    <w:t>五脏相音辨识系统</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3</w:t>
                  </w:r>
                </w:p>
              </w:tc>
              <w:tc>
                <w:tcPr>
                  <w:tcW w:w="2862" w:type="dxa"/>
                  <w:vAlign w:val="center"/>
                </w:tcPr>
                <w:p>
                  <w:pPr>
                    <w:widowControl/>
                    <w:jc w:val="center"/>
                    <w:textAlignment w:val="center"/>
                    <w:rPr>
                      <w:kern w:val="0"/>
                      <w:szCs w:val="21"/>
                      <w:lang w:bidi="ar"/>
                    </w:rPr>
                  </w:pPr>
                  <w:r>
                    <w:rPr>
                      <w:rFonts w:hint="eastAsia"/>
                      <w:kern w:val="0"/>
                      <w:szCs w:val="21"/>
                      <w:lang w:bidi="ar"/>
                    </w:rPr>
                    <w:t>中医脉象仪</w:t>
                  </w:r>
                </w:p>
              </w:tc>
              <w:tc>
                <w:tcPr>
                  <w:tcW w:w="1317" w:type="dxa"/>
                  <w:vAlign w:val="center"/>
                </w:tcPr>
                <w:p>
                  <w:pPr>
                    <w:widowControl/>
                    <w:jc w:val="center"/>
                    <w:textAlignment w:val="center"/>
                    <w:rPr>
                      <w:rFonts w:hint="eastAsia" w:eastAsia="宋体"/>
                      <w:kern w:val="0"/>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kern w:val="0"/>
                      <w:szCs w:val="21"/>
                      <w:lang w:bidi="ar"/>
                    </w:rPr>
                    <w:t>4</w:t>
                  </w:r>
                </w:p>
              </w:tc>
              <w:tc>
                <w:tcPr>
                  <w:tcW w:w="2862" w:type="dxa"/>
                  <w:vAlign w:val="center"/>
                </w:tcPr>
                <w:p>
                  <w:pPr>
                    <w:widowControl/>
                    <w:jc w:val="center"/>
                    <w:textAlignment w:val="center"/>
                    <w:rPr>
                      <w:kern w:val="0"/>
                      <w:szCs w:val="21"/>
                      <w:lang w:bidi="ar"/>
                    </w:rPr>
                  </w:pPr>
                  <w:r>
                    <w:rPr>
                      <w:rFonts w:hint="eastAsia"/>
                      <w:kern w:val="0"/>
                      <w:szCs w:val="21"/>
                      <w:lang w:bidi="ar"/>
                    </w:rPr>
                    <w:t>中医舌像仪</w:t>
                  </w:r>
                </w:p>
              </w:tc>
              <w:tc>
                <w:tcPr>
                  <w:tcW w:w="1317" w:type="dxa"/>
                  <w:vAlign w:val="center"/>
                </w:tcPr>
                <w:p>
                  <w:pPr>
                    <w:widowControl/>
                    <w:jc w:val="center"/>
                    <w:textAlignment w:val="center"/>
                    <w:rPr>
                      <w:kern w:val="0"/>
                      <w:szCs w:val="21"/>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rFonts w:hint="eastAsia"/>
                      <w:kern w:val="0"/>
                      <w:szCs w:val="21"/>
                      <w:lang w:bidi="ar"/>
                    </w:rPr>
                    <w:t>5</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经络检测分析仪</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6</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脉动治疗仪</w:t>
                  </w:r>
                </w:p>
              </w:tc>
              <w:tc>
                <w:tcPr>
                  <w:tcW w:w="1317"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7</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深层肌肉振动仪</w:t>
                  </w:r>
                </w:p>
              </w:tc>
              <w:tc>
                <w:tcPr>
                  <w:tcW w:w="1317"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8</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针刀镜</w:t>
                  </w:r>
                </w:p>
              </w:tc>
              <w:tc>
                <w:tcPr>
                  <w:tcW w:w="1317"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9</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ascii="宋体" w:hAnsi="宋体" w:eastAsia="宋体" w:cs="宋体"/>
                      <w:b w:val="0"/>
                      <w:bCs w:val="0"/>
                      <w:i w:val="0"/>
                      <w:iCs w:val="0"/>
                      <w:color w:val="000000"/>
                      <w:kern w:val="0"/>
                      <w:sz w:val="22"/>
                      <w:szCs w:val="22"/>
                      <w:lang w:val="en-US" w:eastAsia="zh-CN" w:bidi="ar"/>
                    </w:rPr>
                    <w:t>电子灸治疗仪</w:t>
                  </w:r>
                </w:p>
              </w:tc>
              <w:tc>
                <w:tcPr>
                  <w:tcW w:w="1317"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6</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10</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ascii="宋体" w:hAnsi="宋体" w:eastAsia="宋体" w:cs="宋体"/>
                      <w:b w:val="0"/>
                      <w:bCs w:val="0"/>
                      <w:i w:val="0"/>
                      <w:iCs w:val="0"/>
                      <w:color w:val="000000"/>
                      <w:kern w:val="0"/>
                      <w:sz w:val="22"/>
                      <w:szCs w:val="22"/>
                      <w:lang w:val="en-US" w:eastAsia="zh-CN" w:bidi="ar"/>
                    </w:rPr>
                    <w:t>微波治疗仪</w:t>
                  </w:r>
                </w:p>
              </w:tc>
              <w:tc>
                <w:tcPr>
                  <w:tcW w:w="1317"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11</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ascii="宋体" w:hAnsi="宋体" w:eastAsia="宋体" w:cs="宋体"/>
                      <w:b w:val="0"/>
                      <w:bCs w:val="0"/>
                      <w:i w:val="0"/>
                      <w:iCs w:val="0"/>
                      <w:color w:val="000000"/>
                      <w:kern w:val="0"/>
                      <w:sz w:val="22"/>
                      <w:szCs w:val="22"/>
                      <w:lang w:val="en-US" w:eastAsia="zh-CN" w:bidi="ar"/>
                    </w:rPr>
                    <w:t>坐式温灸仪</w:t>
                  </w:r>
                </w:p>
              </w:tc>
              <w:tc>
                <w:tcPr>
                  <w:tcW w:w="1317"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3</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12</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ascii="宋体" w:hAnsi="宋体" w:eastAsia="宋体" w:cs="宋体"/>
                      <w:b w:val="0"/>
                      <w:bCs w:val="0"/>
                      <w:i w:val="0"/>
                      <w:iCs w:val="0"/>
                      <w:color w:val="000000"/>
                      <w:kern w:val="0"/>
                      <w:sz w:val="22"/>
                      <w:szCs w:val="22"/>
                      <w:lang w:val="en-US" w:eastAsia="zh-CN" w:bidi="ar"/>
                    </w:rPr>
                    <w:t>低频热敷综合治疗仪</w:t>
                  </w:r>
                </w:p>
              </w:tc>
              <w:tc>
                <w:tcPr>
                  <w:tcW w:w="1317"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3</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13</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ascii="宋体" w:hAnsi="宋体" w:eastAsia="宋体" w:cs="宋体"/>
                      <w:b w:val="0"/>
                      <w:bCs w:val="0"/>
                      <w:i w:val="0"/>
                      <w:iCs w:val="0"/>
                      <w:color w:val="000000"/>
                      <w:kern w:val="0"/>
                      <w:sz w:val="22"/>
                      <w:szCs w:val="22"/>
                      <w:lang w:val="en-US" w:eastAsia="zh-CN" w:bidi="ar"/>
                    </w:rPr>
                    <w:t>中频干扰电治疗仪</w:t>
                  </w:r>
                </w:p>
              </w:tc>
              <w:tc>
                <w:tcPr>
                  <w:tcW w:w="1317"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14</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高能红外治疗仪</w:t>
                  </w:r>
                </w:p>
              </w:tc>
              <w:tc>
                <w:tcPr>
                  <w:tcW w:w="1317"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val="en-US" w:eastAsia="zh-CN"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15</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体外冲击波治疗仪</w:t>
                  </w:r>
                </w:p>
              </w:tc>
              <w:tc>
                <w:tcPr>
                  <w:tcW w:w="1317"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938" w:type="dxa"/>
                  <w:gridSpan w:val="4"/>
                  <w:vAlign w:val="center"/>
                </w:tcPr>
                <w:p>
                  <w:pPr>
                    <w:widowControl/>
                    <w:jc w:val="center"/>
                    <w:textAlignment w:val="center"/>
                    <w:rPr>
                      <w:kern w:val="0"/>
                      <w:szCs w:val="21"/>
                      <w:highlight w:val="yellow"/>
                      <w:lang w:bidi="ar"/>
                    </w:rPr>
                  </w:pPr>
                  <w:r>
                    <w:rPr>
                      <w:rFonts w:hint="eastAsia"/>
                      <w:b/>
                      <w:bCs/>
                      <w:kern w:val="0"/>
                      <w:szCs w:val="21"/>
                      <w:lang w:bidi="ar"/>
                    </w:rPr>
                    <w:t>疼痛科</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1</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疼痛治疗仪</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2</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体外冲击波治疗仪</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3</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冲击波镇痛仪</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kern w:val="0"/>
                      <w:szCs w:val="21"/>
                      <w:lang w:bidi="ar"/>
                    </w:rPr>
                    <w:t>4</w:t>
                  </w:r>
                </w:p>
              </w:tc>
              <w:tc>
                <w:tcPr>
                  <w:tcW w:w="286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神经疼痛磁刺激治疗系统</w:t>
                  </w:r>
                </w:p>
              </w:tc>
              <w:tc>
                <w:tcPr>
                  <w:tcW w:w="1317"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rFonts w:hint="eastAsia"/>
                      <w:kern w:val="0"/>
                      <w:szCs w:val="21"/>
                      <w:lang w:bidi="ar"/>
                    </w:rPr>
                    <w:t>5</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癌痛治疗仪</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6</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低频治疗仪</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rFonts w:hint="eastAsia"/>
                      <w:kern w:val="0"/>
                      <w:szCs w:val="21"/>
                      <w:lang w:bidi="ar"/>
                    </w:rPr>
                    <w:t>7</w:t>
                  </w:r>
                </w:p>
              </w:tc>
              <w:tc>
                <w:tcPr>
                  <w:tcW w:w="2862" w:type="dxa"/>
                  <w:vAlign w:val="center"/>
                </w:tcPr>
                <w:p>
                  <w:pPr>
                    <w:widowControl/>
                    <w:jc w:val="center"/>
                    <w:textAlignment w:val="center"/>
                    <w:rPr>
                      <w:kern w:val="0"/>
                      <w:szCs w:val="21"/>
                      <w:lang w:bidi="ar"/>
                    </w:rPr>
                  </w:pPr>
                  <w:r>
                    <w:rPr>
                      <w:rFonts w:ascii="宋体" w:hAnsi="宋体" w:eastAsia="宋体" w:cs="宋体"/>
                      <w:b w:val="0"/>
                      <w:bCs w:val="0"/>
                      <w:i w:val="0"/>
                      <w:iCs w:val="0"/>
                      <w:color w:val="000000"/>
                      <w:kern w:val="0"/>
                      <w:sz w:val="22"/>
                      <w:szCs w:val="22"/>
                      <w:lang w:val="en-US" w:eastAsia="zh-CN" w:bidi="ar"/>
                    </w:rPr>
                    <w:t>射频电极针</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val="en-US" w:eastAsia="zh-CN" w:bidi="ar"/>
                    </w:rPr>
                    <w:t>2</w:t>
                  </w:r>
                </w:p>
              </w:tc>
              <w:tc>
                <w:tcPr>
                  <w:tcW w:w="2247" w:type="dxa"/>
                  <w:vAlign w:val="center"/>
                </w:tcPr>
                <w:p>
                  <w:pPr>
                    <w:widowControl/>
                    <w:jc w:val="center"/>
                    <w:textAlignment w:val="center"/>
                    <w:rPr>
                      <w:kern w:val="0"/>
                      <w:szCs w:val="21"/>
                      <w:lang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8</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ascii="宋体" w:hAnsi="宋体" w:eastAsia="宋体" w:cs="宋体"/>
                      <w:b w:val="0"/>
                      <w:bCs w:val="0"/>
                      <w:i w:val="0"/>
                      <w:iCs w:val="0"/>
                      <w:color w:val="000000"/>
                      <w:kern w:val="0"/>
                      <w:sz w:val="22"/>
                      <w:szCs w:val="22"/>
                      <w:lang w:val="en-US" w:eastAsia="zh-CN" w:bidi="ar"/>
                    </w:rPr>
                    <w:t>黑金咬骨钳</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9</w:t>
                  </w:r>
                </w:p>
              </w:tc>
              <w:tc>
                <w:tcPr>
                  <w:tcW w:w="2862" w:type="dxa"/>
                  <w:vAlign w:val="center"/>
                </w:tcPr>
                <w:p>
                  <w:pPr>
                    <w:widowControl/>
                    <w:jc w:val="center"/>
                    <w:textAlignment w:val="center"/>
                    <w:rPr>
                      <w:rFonts w:hint="eastAsia" w:ascii="Times New Roman" w:hAnsi="Times New Roman" w:eastAsia="宋体" w:cs="Times New Roman"/>
                      <w:kern w:val="0"/>
                      <w:sz w:val="21"/>
                      <w:szCs w:val="21"/>
                      <w:lang w:val="en-US" w:eastAsia="zh-CN" w:bidi="ar"/>
                    </w:rPr>
                  </w:pPr>
                  <w:r>
                    <w:rPr>
                      <w:rFonts w:hint="eastAsia"/>
                      <w:kern w:val="0"/>
                      <w:szCs w:val="21"/>
                      <w:lang w:bidi="ar"/>
                    </w:rPr>
                    <w:t>低温镇痛仪</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938" w:type="dxa"/>
                  <w:gridSpan w:val="4"/>
                  <w:vAlign w:val="center"/>
                </w:tcPr>
                <w:p>
                  <w:pPr>
                    <w:widowControl/>
                    <w:jc w:val="center"/>
                    <w:rPr>
                      <w:kern w:val="0"/>
                      <w:szCs w:val="21"/>
                      <w:highlight w:val="yellow"/>
                      <w:lang w:bidi="ar"/>
                    </w:rPr>
                  </w:pPr>
                  <w:r>
                    <w:rPr>
                      <w:rFonts w:hint="eastAsia"/>
                      <w:b/>
                      <w:bCs/>
                      <w:kern w:val="0"/>
                      <w:szCs w:val="21"/>
                      <w:lang w:bidi="ar"/>
                    </w:rPr>
                    <w:t>康复中心</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1</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负压理疗罐</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2</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深层肌肉放松仪</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3</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微波治疗仪</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kern w:val="0"/>
                      <w:szCs w:val="21"/>
                      <w:lang w:bidi="ar"/>
                    </w:rPr>
                    <w:t>4</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经颅磁刺激仪（带随动头架）</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rFonts w:hint="eastAsia"/>
                      <w:kern w:val="0"/>
                      <w:szCs w:val="21"/>
                      <w:lang w:bidi="ar"/>
                    </w:rPr>
                    <w:t>5</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超短波治疗仪</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6</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高能量冲击波治疗仪</w:t>
                  </w:r>
                </w:p>
              </w:tc>
              <w:tc>
                <w:tcPr>
                  <w:tcW w:w="1317" w:type="dxa"/>
                  <w:vAlign w:val="center"/>
                </w:tcPr>
                <w:p>
                  <w:pPr>
                    <w:widowControl/>
                    <w:jc w:val="center"/>
                    <w:textAlignment w:val="center"/>
                    <w:rPr>
                      <w:rFonts w:hint="eastAsia" w:ascii="Times New Roman" w:hAnsi="Times New Roman" w:eastAsia="宋体" w:cs="Times New Roman"/>
                      <w:kern w:val="0"/>
                      <w:sz w:val="21"/>
                      <w:szCs w:val="21"/>
                      <w:highlight w:val="yellow"/>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进口</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7</w:t>
                  </w:r>
                </w:p>
              </w:tc>
              <w:tc>
                <w:tcPr>
                  <w:tcW w:w="2862" w:type="dxa"/>
                  <w:vAlign w:val="center"/>
                </w:tcPr>
                <w:p>
                  <w:pPr>
                    <w:widowControl/>
                    <w:jc w:val="center"/>
                    <w:rPr>
                      <w:kern w:val="0"/>
                      <w:szCs w:val="21"/>
                      <w:lang w:bidi="ar"/>
                    </w:rPr>
                  </w:pPr>
                  <w:r>
                    <w:rPr>
                      <w:rFonts w:ascii="宋体" w:hAnsi="宋体" w:eastAsia="宋体" w:cs="宋体"/>
                      <w:b w:val="0"/>
                      <w:bCs w:val="0"/>
                      <w:i w:val="0"/>
                      <w:iCs w:val="0"/>
                      <w:color w:val="000000"/>
                      <w:kern w:val="0"/>
                      <w:sz w:val="22"/>
                      <w:szCs w:val="22"/>
                      <w:lang w:val="en-US" w:eastAsia="zh-CN" w:bidi="ar"/>
                    </w:rPr>
                    <w:t>激光治疗仪频谱仪</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8</w:t>
                  </w:r>
                </w:p>
              </w:tc>
              <w:tc>
                <w:tcPr>
                  <w:tcW w:w="2862" w:type="dxa"/>
                  <w:vAlign w:val="center"/>
                </w:tcPr>
                <w:p>
                  <w:pPr>
                    <w:widowControl/>
                    <w:jc w:val="center"/>
                    <w:rPr>
                      <w:kern w:val="0"/>
                      <w:szCs w:val="21"/>
                      <w:lang w:bidi="ar"/>
                    </w:rPr>
                  </w:pPr>
                  <w:r>
                    <w:rPr>
                      <w:rFonts w:ascii="宋体" w:hAnsi="宋体" w:eastAsia="宋体" w:cs="宋体"/>
                      <w:b w:val="0"/>
                      <w:bCs w:val="0"/>
                      <w:i w:val="0"/>
                      <w:iCs w:val="0"/>
                      <w:color w:val="000000"/>
                      <w:kern w:val="0"/>
                      <w:sz w:val="22"/>
                      <w:szCs w:val="22"/>
                      <w:lang w:val="en-US" w:eastAsia="zh-CN" w:bidi="ar"/>
                    </w:rPr>
                    <w:t>高能红外治疗仪</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9</w:t>
                  </w:r>
                </w:p>
              </w:tc>
              <w:tc>
                <w:tcPr>
                  <w:tcW w:w="2862" w:type="dxa"/>
                  <w:vAlign w:val="center"/>
                </w:tcPr>
                <w:p>
                  <w:pPr>
                    <w:widowControl/>
                    <w:jc w:val="center"/>
                    <w:rPr>
                      <w:kern w:val="0"/>
                      <w:szCs w:val="21"/>
                      <w:lang w:bidi="ar"/>
                    </w:rPr>
                  </w:pPr>
                  <w:r>
                    <w:rPr>
                      <w:rFonts w:hint="eastAsia"/>
                      <w:kern w:val="0"/>
                      <w:szCs w:val="21"/>
                      <w:lang w:bidi="ar"/>
                    </w:rPr>
                    <w:t>中风治疗仪</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highlight w:val="yellow"/>
                      <w:lang w:bidi="ar"/>
                    </w:rPr>
                  </w:pPr>
                  <w:r>
                    <w:rPr>
                      <w:rFonts w:hint="eastAsia"/>
                      <w:kern w:val="0"/>
                      <w:szCs w:val="21"/>
                      <w:lang w:bidi="ar"/>
                    </w:rPr>
                    <w:t>10</w:t>
                  </w:r>
                </w:p>
              </w:tc>
              <w:tc>
                <w:tcPr>
                  <w:tcW w:w="2862" w:type="dxa"/>
                  <w:vAlign w:val="center"/>
                </w:tcPr>
                <w:p>
                  <w:pPr>
                    <w:widowControl/>
                    <w:jc w:val="center"/>
                    <w:rPr>
                      <w:kern w:val="0"/>
                      <w:szCs w:val="21"/>
                      <w:lang w:bidi="ar"/>
                    </w:rPr>
                  </w:pPr>
                  <w:r>
                    <w:rPr>
                      <w:rFonts w:hint="eastAsia"/>
                      <w:kern w:val="0"/>
                      <w:szCs w:val="21"/>
                      <w:lang w:bidi="ar"/>
                    </w:rPr>
                    <w:t>多通道生物反馈治疗仪</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11</w:t>
                  </w:r>
                </w:p>
              </w:tc>
              <w:tc>
                <w:tcPr>
                  <w:tcW w:w="2862" w:type="dxa"/>
                  <w:vAlign w:val="center"/>
                </w:tcPr>
                <w:p>
                  <w:pPr>
                    <w:widowControl/>
                    <w:jc w:val="center"/>
                    <w:rPr>
                      <w:kern w:val="0"/>
                      <w:szCs w:val="21"/>
                      <w:lang w:bidi="ar"/>
                    </w:rPr>
                  </w:pPr>
                  <w:r>
                    <w:rPr>
                      <w:rFonts w:hint="eastAsia"/>
                      <w:kern w:val="0"/>
                      <w:szCs w:val="21"/>
                      <w:lang w:bidi="ar"/>
                    </w:rPr>
                    <w:t>微波治疗仪</w:t>
                  </w:r>
                </w:p>
              </w:tc>
              <w:tc>
                <w:tcPr>
                  <w:tcW w:w="1317" w:type="dxa"/>
                  <w:vAlign w:val="center"/>
                </w:tcPr>
                <w:p>
                  <w:pPr>
                    <w:widowControl/>
                    <w:jc w:val="center"/>
                    <w:textAlignment w:val="center"/>
                    <w:rPr>
                      <w:kern w:val="0"/>
                      <w:szCs w:val="21"/>
                      <w:highlight w:val="yellow"/>
                      <w:lang w:bidi="ar"/>
                    </w:rPr>
                  </w:pPr>
                  <w:r>
                    <w:rPr>
                      <w:rFonts w:hint="eastAsia"/>
                      <w:kern w:val="0"/>
                      <w:szCs w:val="21"/>
                      <w:lang w:bidi="ar"/>
                    </w:rPr>
                    <w:t>1</w:t>
                  </w:r>
                </w:p>
              </w:tc>
              <w:tc>
                <w:tcPr>
                  <w:tcW w:w="2247" w:type="dxa"/>
                  <w:vAlign w:val="center"/>
                </w:tcPr>
                <w:p>
                  <w:pPr>
                    <w:widowControl/>
                    <w:jc w:val="center"/>
                    <w:textAlignment w:val="center"/>
                    <w:rPr>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512" w:type="dxa"/>
                  <w:vAlign w:val="center"/>
                </w:tcPr>
                <w:p>
                  <w:pPr>
                    <w:widowControl/>
                    <w:jc w:val="center"/>
                    <w:textAlignment w:val="center"/>
                    <w:rPr>
                      <w:kern w:val="0"/>
                      <w:szCs w:val="21"/>
                      <w:lang w:bidi="ar"/>
                    </w:rPr>
                  </w:pPr>
                  <w:r>
                    <w:rPr>
                      <w:rFonts w:hint="eastAsia"/>
                      <w:kern w:val="0"/>
                      <w:szCs w:val="21"/>
                      <w:lang w:bidi="ar"/>
                    </w:rPr>
                    <w:t>12</w:t>
                  </w:r>
                </w:p>
              </w:tc>
              <w:tc>
                <w:tcPr>
                  <w:tcW w:w="2862" w:type="dxa"/>
                  <w:vAlign w:val="center"/>
                </w:tcPr>
                <w:p>
                  <w:pPr>
                    <w:widowControl/>
                    <w:jc w:val="center"/>
                    <w:rPr>
                      <w:rFonts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低周波治疗仪</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13</w:t>
                  </w:r>
                </w:p>
              </w:tc>
              <w:tc>
                <w:tcPr>
                  <w:tcW w:w="2862" w:type="dxa"/>
                  <w:vAlign w:val="center"/>
                </w:tcPr>
                <w:p>
                  <w:pPr>
                    <w:widowControl/>
                    <w:jc w:val="center"/>
                    <w:rPr>
                      <w:rFonts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磁振热治疗仪</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3</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rFonts w:hint="eastAsia"/>
                      <w:kern w:val="0"/>
                      <w:szCs w:val="21"/>
                      <w:lang w:bidi="ar"/>
                    </w:rPr>
                    <w:t>14</w:t>
                  </w:r>
                </w:p>
              </w:tc>
              <w:tc>
                <w:tcPr>
                  <w:tcW w:w="2862" w:type="dxa"/>
                  <w:vAlign w:val="center"/>
                </w:tcPr>
                <w:p>
                  <w:pPr>
                    <w:widowControl/>
                    <w:jc w:val="center"/>
                    <w:rPr>
                      <w:rFonts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智能通络治疗仪</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15</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多功能艾灸仪</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19</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16</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神经智能治疗仪</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4</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17</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中药雾化吸入设备</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18</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中药灌洗设备</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19</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康复直立床</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3</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20</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腰椎稳定肌训练反馈系统</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21</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踝关节康复机器人</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22</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主被动训练反馈系统</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23</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盆底康复训练系统</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24</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上肢无轨迹康复训练系统</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25</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认知康复训练系统</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26</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中药熏蒸床（躺式)</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2</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27</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2.0 AR互动数字仿生训练系统</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28</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汉语失语症心理语言评价与治疗系统(儿童、成人综合版)</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29</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言语功能检测处理系统（构音评估与训练系统)</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30</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低强度脉冲式超声波治疗仪</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31</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男性性功能多参数检测仪</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32</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磁电生理治疗仪</w:t>
                  </w:r>
                </w:p>
              </w:tc>
              <w:tc>
                <w:tcPr>
                  <w:tcW w:w="1317" w:type="dxa"/>
                  <w:vAlign w:val="center"/>
                </w:tcPr>
                <w:p>
                  <w:pPr>
                    <w:widowControl/>
                    <w:jc w:val="center"/>
                    <w:textAlignment w:val="center"/>
                    <w:rPr>
                      <w:rFonts w:hint="eastAsia"/>
                      <w:kern w:val="0"/>
                      <w:szCs w:val="21"/>
                      <w:lang w:val="en-US" w:eastAsia="zh-CN" w:bidi="ar"/>
                    </w:rPr>
                  </w:pPr>
                  <w:r>
                    <w:rPr>
                      <w:rFonts w:hint="eastAsia"/>
                      <w:kern w:val="0"/>
                      <w:szCs w:val="21"/>
                      <w:lang w:bidi="ar"/>
                    </w:rPr>
                    <w:t>1</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33</w:t>
                  </w:r>
                </w:p>
              </w:tc>
              <w:tc>
                <w:tcPr>
                  <w:tcW w:w="2862" w:type="dxa"/>
                  <w:vAlign w:val="center"/>
                </w:tcPr>
                <w:p>
                  <w:pPr>
                    <w:widowControl/>
                    <w:jc w:val="center"/>
                    <w:rPr>
                      <w:rFonts w:hint="eastAsia" w:ascii="Times New Roman" w:hAnsi="Times New Roman" w:eastAsia="宋体" w:cs="Times New Roman"/>
                      <w:kern w:val="0"/>
                      <w:sz w:val="21"/>
                      <w:szCs w:val="21"/>
                      <w:lang w:val="en-US" w:eastAsia="zh-CN" w:bidi="ar"/>
                    </w:rPr>
                  </w:pPr>
                  <w:r>
                    <w:rPr>
                      <w:rFonts w:ascii="宋体" w:hAnsi="宋体" w:eastAsia="宋体" w:cs="宋体"/>
                      <w:b w:val="0"/>
                      <w:bCs w:val="0"/>
                      <w:i w:val="0"/>
                      <w:iCs w:val="0"/>
                      <w:color w:val="000000"/>
                      <w:kern w:val="0"/>
                      <w:sz w:val="22"/>
                      <w:szCs w:val="22"/>
                      <w:lang w:val="en-US" w:eastAsia="zh-CN" w:bidi="ar"/>
                    </w:rPr>
                    <w:t>整脊床</w:t>
                  </w:r>
                </w:p>
              </w:tc>
              <w:tc>
                <w:tcPr>
                  <w:tcW w:w="1317" w:type="dxa"/>
                  <w:vAlign w:val="center"/>
                </w:tcPr>
                <w:p>
                  <w:pPr>
                    <w:widowControl/>
                    <w:jc w:val="center"/>
                    <w:textAlignment w:val="center"/>
                    <w:rPr>
                      <w:rFonts w:hint="default"/>
                      <w:kern w:val="0"/>
                      <w:szCs w:val="21"/>
                      <w:lang w:val="en-US" w:eastAsia="zh-CN" w:bidi="ar"/>
                    </w:rPr>
                  </w:pPr>
                  <w:r>
                    <w:rPr>
                      <w:rFonts w:hint="eastAsia"/>
                      <w:kern w:val="0"/>
                      <w:szCs w:val="21"/>
                      <w:lang w:val="en-US" w:eastAsia="zh-CN" w:bidi="ar"/>
                    </w:rPr>
                    <w:t>3</w:t>
                  </w:r>
                </w:p>
              </w:tc>
              <w:tc>
                <w:tcPr>
                  <w:tcW w:w="2247"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938" w:type="dxa"/>
                  <w:gridSpan w:val="4"/>
                  <w:vAlign w:val="center"/>
                </w:tcPr>
                <w:p>
                  <w:pPr>
                    <w:widowControl/>
                    <w:jc w:val="center"/>
                    <w:textAlignment w:val="center"/>
                    <w:rPr>
                      <w:kern w:val="0"/>
                      <w:szCs w:val="21"/>
                      <w:lang w:bidi="ar"/>
                    </w:rPr>
                  </w:pPr>
                  <w:r>
                    <w:rPr>
                      <w:b/>
                      <w:bCs/>
                      <w:kern w:val="0"/>
                      <w:szCs w:val="21"/>
                      <w:lang w:bidi="ar"/>
                    </w:rPr>
                    <w:t>药剂科</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1</w:t>
                  </w:r>
                </w:p>
              </w:tc>
              <w:tc>
                <w:tcPr>
                  <w:tcW w:w="2862" w:type="dxa"/>
                  <w:vAlign w:val="center"/>
                </w:tcPr>
                <w:p>
                  <w:pPr>
                    <w:widowControl/>
                    <w:jc w:val="center"/>
                    <w:textAlignment w:val="center"/>
                    <w:rPr>
                      <w:kern w:val="0"/>
                      <w:szCs w:val="21"/>
                      <w:lang w:bidi="ar"/>
                    </w:rPr>
                  </w:pPr>
                  <w:r>
                    <w:rPr>
                      <w:kern w:val="0"/>
                      <w:szCs w:val="21"/>
                      <w:lang w:bidi="ar"/>
                    </w:rPr>
                    <w:t>中药煎药设备</w:t>
                  </w:r>
                </w:p>
              </w:tc>
              <w:tc>
                <w:tcPr>
                  <w:tcW w:w="1317" w:type="dxa"/>
                  <w:vAlign w:val="center"/>
                </w:tcPr>
                <w:p>
                  <w:pPr>
                    <w:widowControl/>
                    <w:jc w:val="center"/>
                    <w:textAlignment w:val="center"/>
                    <w:rPr>
                      <w:kern w:val="0"/>
                      <w:szCs w:val="21"/>
                      <w:lang w:bidi="ar"/>
                    </w:rPr>
                  </w:pPr>
                  <w:r>
                    <w:rPr>
                      <w:rFonts w:hint="eastAsia"/>
                      <w:kern w:val="0"/>
                      <w:szCs w:val="21"/>
                      <w:lang w:bidi="ar"/>
                    </w:rPr>
                    <w:t>12</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2</w:t>
                  </w:r>
                </w:p>
              </w:tc>
              <w:tc>
                <w:tcPr>
                  <w:tcW w:w="2862" w:type="dxa"/>
                  <w:vAlign w:val="center"/>
                </w:tcPr>
                <w:p>
                  <w:pPr>
                    <w:widowControl/>
                    <w:jc w:val="center"/>
                    <w:textAlignment w:val="center"/>
                    <w:rPr>
                      <w:kern w:val="0"/>
                      <w:szCs w:val="21"/>
                      <w:lang w:bidi="ar"/>
                    </w:rPr>
                  </w:pPr>
                  <w:r>
                    <w:rPr>
                      <w:kern w:val="0"/>
                      <w:szCs w:val="21"/>
                      <w:lang w:bidi="ar"/>
                    </w:rPr>
                    <w:t>膏方浓缩设备</w:t>
                  </w:r>
                </w:p>
              </w:tc>
              <w:tc>
                <w:tcPr>
                  <w:tcW w:w="1317" w:type="dxa"/>
                  <w:vAlign w:val="center"/>
                </w:tcPr>
                <w:p>
                  <w:pPr>
                    <w:widowControl/>
                    <w:jc w:val="center"/>
                    <w:textAlignment w:val="center"/>
                    <w:rPr>
                      <w:kern w:val="0"/>
                      <w:szCs w:val="21"/>
                      <w:lang w:bidi="ar"/>
                    </w:rPr>
                  </w:pPr>
                  <w:r>
                    <w:rPr>
                      <w:rFonts w:hint="eastAsia"/>
                      <w:kern w:val="0"/>
                      <w:szCs w:val="21"/>
                      <w:lang w:bidi="ar"/>
                    </w:rPr>
                    <w:t>4</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kern w:val="0"/>
                      <w:szCs w:val="21"/>
                      <w:lang w:bidi="ar"/>
                    </w:rPr>
                  </w:pPr>
                  <w:r>
                    <w:rPr>
                      <w:kern w:val="0"/>
                      <w:szCs w:val="21"/>
                      <w:lang w:bidi="ar"/>
                    </w:rPr>
                    <w:t>3</w:t>
                  </w:r>
                </w:p>
              </w:tc>
              <w:tc>
                <w:tcPr>
                  <w:tcW w:w="2862" w:type="dxa"/>
                  <w:vAlign w:val="center"/>
                </w:tcPr>
                <w:p>
                  <w:pPr>
                    <w:widowControl/>
                    <w:jc w:val="center"/>
                    <w:textAlignment w:val="center"/>
                    <w:rPr>
                      <w:kern w:val="0"/>
                      <w:szCs w:val="21"/>
                      <w:lang w:bidi="ar"/>
                    </w:rPr>
                  </w:pPr>
                  <w:r>
                    <w:rPr>
                      <w:kern w:val="0"/>
                      <w:szCs w:val="21"/>
                      <w:lang w:bidi="ar"/>
                    </w:rPr>
                    <w:t>中药包装设备</w:t>
                  </w:r>
                </w:p>
              </w:tc>
              <w:tc>
                <w:tcPr>
                  <w:tcW w:w="1317" w:type="dxa"/>
                  <w:vAlign w:val="center"/>
                </w:tcPr>
                <w:p>
                  <w:pPr>
                    <w:widowControl/>
                    <w:jc w:val="center"/>
                    <w:textAlignment w:val="center"/>
                    <w:rPr>
                      <w:kern w:val="0"/>
                      <w:szCs w:val="21"/>
                      <w:lang w:bidi="ar"/>
                    </w:rPr>
                  </w:pPr>
                  <w:r>
                    <w:rPr>
                      <w:rFonts w:hint="eastAsia"/>
                      <w:kern w:val="0"/>
                      <w:szCs w:val="21"/>
                      <w:lang w:bidi="ar"/>
                    </w:rPr>
                    <w:t>4</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938" w:type="dxa"/>
                  <w:gridSpan w:val="4"/>
                  <w:vAlign w:val="center"/>
                </w:tcPr>
                <w:p>
                  <w:pPr>
                    <w:widowControl/>
                    <w:jc w:val="center"/>
                    <w:textAlignment w:val="center"/>
                    <w:rPr>
                      <w:kern w:val="0"/>
                      <w:szCs w:val="21"/>
                      <w:lang w:bidi="ar"/>
                    </w:rPr>
                  </w:pPr>
                  <w:r>
                    <w:rPr>
                      <w:b/>
                      <w:bCs/>
                      <w:kern w:val="0"/>
                      <w:szCs w:val="21"/>
                      <w:lang w:val="en-US" w:eastAsia="zh-CN" w:bidi="ar"/>
                    </w:rPr>
                    <w:t>基础类设备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1</w:t>
                  </w:r>
                </w:p>
              </w:tc>
              <w:tc>
                <w:tcPr>
                  <w:tcW w:w="2862" w:type="dxa"/>
                  <w:vAlign w:val="center"/>
                </w:tcPr>
                <w:p>
                  <w:pPr>
                    <w:widowControl/>
                    <w:jc w:val="center"/>
                    <w:textAlignment w:val="center"/>
                    <w:rPr>
                      <w:kern w:val="0"/>
                      <w:szCs w:val="21"/>
                      <w:lang w:bidi="ar"/>
                    </w:rPr>
                  </w:pPr>
                  <w:r>
                    <w:rPr>
                      <w:rFonts w:hint="eastAsia"/>
                      <w:kern w:val="0"/>
                      <w:szCs w:val="21"/>
                      <w:lang w:bidi="ar"/>
                    </w:rPr>
                    <w:t>双摇床</w:t>
                  </w:r>
                </w:p>
              </w:tc>
              <w:tc>
                <w:tcPr>
                  <w:tcW w:w="1317"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120</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2</w:t>
                  </w:r>
                </w:p>
              </w:tc>
              <w:tc>
                <w:tcPr>
                  <w:tcW w:w="2862" w:type="dxa"/>
                  <w:vAlign w:val="center"/>
                </w:tcPr>
                <w:p>
                  <w:pPr>
                    <w:widowControl/>
                    <w:jc w:val="center"/>
                    <w:textAlignment w:val="center"/>
                    <w:rPr>
                      <w:kern w:val="0"/>
                      <w:szCs w:val="21"/>
                      <w:lang w:bidi="ar"/>
                    </w:rPr>
                  </w:pPr>
                  <w:r>
                    <w:rPr>
                      <w:rFonts w:hint="eastAsia"/>
                      <w:kern w:val="0"/>
                      <w:szCs w:val="21"/>
                      <w:lang w:bidi="ar"/>
                    </w:rPr>
                    <w:t>床头柜</w:t>
                  </w:r>
                </w:p>
              </w:tc>
              <w:tc>
                <w:tcPr>
                  <w:tcW w:w="1317"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146</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kern w:val="0"/>
                      <w:szCs w:val="21"/>
                      <w:lang w:bidi="ar"/>
                    </w:rPr>
                    <w:t>3</w:t>
                  </w:r>
                </w:p>
              </w:tc>
              <w:tc>
                <w:tcPr>
                  <w:tcW w:w="2862" w:type="dxa"/>
                  <w:vAlign w:val="center"/>
                </w:tcPr>
                <w:p>
                  <w:pPr>
                    <w:widowControl/>
                    <w:jc w:val="center"/>
                    <w:textAlignment w:val="center"/>
                    <w:rPr>
                      <w:kern w:val="0"/>
                      <w:szCs w:val="21"/>
                      <w:lang w:bidi="ar"/>
                    </w:rPr>
                  </w:pPr>
                  <w:r>
                    <w:rPr>
                      <w:rFonts w:hint="eastAsia"/>
                      <w:kern w:val="0"/>
                      <w:szCs w:val="21"/>
                      <w:lang w:bidi="ar"/>
                    </w:rPr>
                    <w:t>移动式消毒机</w:t>
                  </w:r>
                </w:p>
              </w:tc>
              <w:tc>
                <w:tcPr>
                  <w:tcW w:w="1317" w:type="dxa"/>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31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kern w:val="0"/>
                      <w:szCs w:val="21"/>
                      <w:lang w:bidi="ar"/>
                    </w:rPr>
                    <w:t>4</w:t>
                  </w:r>
                </w:p>
              </w:tc>
              <w:tc>
                <w:tcPr>
                  <w:tcW w:w="2862" w:type="dxa"/>
                  <w:vAlign w:val="center"/>
                </w:tcPr>
                <w:p>
                  <w:pPr>
                    <w:widowControl/>
                    <w:jc w:val="center"/>
                    <w:textAlignment w:val="center"/>
                    <w:rPr>
                      <w:kern w:val="0"/>
                      <w:szCs w:val="21"/>
                      <w:lang w:bidi="ar"/>
                    </w:rPr>
                  </w:pPr>
                  <w:r>
                    <w:rPr>
                      <w:rFonts w:hint="eastAsia"/>
                      <w:kern w:val="0"/>
                      <w:szCs w:val="21"/>
                      <w:lang w:bidi="ar"/>
                    </w:rPr>
                    <w:t>挂式消毒机</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4</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5</w:t>
                  </w:r>
                </w:p>
              </w:tc>
              <w:tc>
                <w:tcPr>
                  <w:tcW w:w="2862" w:type="dxa"/>
                  <w:vAlign w:val="center"/>
                </w:tcPr>
                <w:p>
                  <w:pPr>
                    <w:widowControl/>
                    <w:jc w:val="center"/>
                    <w:textAlignment w:val="center"/>
                    <w:rPr>
                      <w:kern w:val="0"/>
                      <w:szCs w:val="21"/>
                      <w:lang w:bidi="ar"/>
                    </w:rPr>
                  </w:pPr>
                  <w:r>
                    <w:rPr>
                      <w:rFonts w:hint="eastAsia"/>
                      <w:kern w:val="0"/>
                      <w:szCs w:val="21"/>
                      <w:lang w:bidi="ar"/>
                    </w:rPr>
                    <w:t>床单元消毒机</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2</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6</w:t>
                  </w:r>
                </w:p>
              </w:tc>
              <w:tc>
                <w:tcPr>
                  <w:tcW w:w="2862" w:type="dxa"/>
                  <w:vAlign w:val="center"/>
                </w:tcPr>
                <w:p>
                  <w:pPr>
                    <w:widowControl/>
                    <w:jc w:val="center"/>
                    <w:textAlignment w:val="center"/>
                    <w:rPr>
                      <w:kern w:val="0"/>
                      <w:szCs w:val="21"/>
                      <w:lang w:bidi="ar"/>
                    </w:rPr>
                  </w:pPr>
                  <w:r>
                    <w:rPr>
                      <w:rFonts w:hint="eastAsia"/>
                      <w:kern w:val="0"/>
                      <w:szCs w:val="21"/>
                      <w:lang w:bidi="ar"/>
                    </w:rPr>
                    <w:t>输液泵</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7</w:t>
                  </w:r>
                </w:p>
              </w:tc>
              <w:tc>
                <w:tcPr>
                  <w:tcW w:w="2862" w:type="dxa"/>
                  <w:vAlign w:val="center"/>
                </w:tcPr>
                <w:p>
                  <w:pPr>
                    <w:widowControl/>
                    <w:jc w:val="center"/>
                    <w:textAlignment w:val="center"/>
                    <w:rPr>
                      <w:kern w:val="0"/>
                      <w:szCs w:val="21"/>
                      <w:lang w:bidi="ar"/>
                    </w:rPr>
                  </w:pPr>
                  <w:r>
                    <w:rPr>
                      <w:rFonts w:hint="eastAsia"/>
                      <w:kern w:val="0"/>
                      <w:szCs w:val="21"/>
                      <w:lang w:bidi="ar"/>
                    </w:rPr>
                    <w:t>四道微量泵</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4</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8</w:t>
                  </w:r>
                </w:p>
              </w:tc>
              <w:tc>
                <w:tcPr>
                  <w:tcW w:w="2862" w:type="dxa"/>
                  <w:vAlign w:val="center"/>
                </w:tcPr>
                <w:p>
                  <w:pPr>
                    <w:widowControl/>
                    <w:jc w:val="center"/>
                    <w:textAlignment w:val="center"/>
                    <w:rPr>
                      <w:kern w:val="0"/>
                      <w:szCs w:val="21"/>
                      <w:lang w:bidi="ar"/>
                    </w:rPr>
                  </w:pPr>
                  <w:r>
                    <w:rPr>
                      <w:rFonts w:hint="eastAsia"/>
                      <w:kern w:val="0"/>
                      <w:szCs w:val="21"/>
                      <w:lang w:bidi="ar"/>
                    </w:rPr>
                    <w:t>六道微量泵</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4</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9</w:t>
                  </w:r>
                </w:p>
              </w:tc>
              <w:tc>
                <w:tcPr>
                  <w:tcW w:w="2862" w:type="dxa"/>
                  <w:vAlign w:val="center"/>
                </w:tcPr>
                <w:p>
                  <w:pPr>
                    <w:widowControl/>
                    <w:jc w:val="center"/>
                    <w:textAlignment w:val="center"/>
                    <w:rPr>
                      <w:kern w:val="0"/>
                      <w:szCs w:val="21"/>
                      <w:lang w:bidi="ar"/>
                    </w:rPr>
                  </w:pPr>
                  <w:r>
                    <w:rPr>
                      <w:rFonts w:hint="eastAsia"/>
                      <w:kern w:val="0"/>
                      <w:szCs w:val="21"/>
                      <w:lang w:bidi="ar"/>
                    </w:rPr>
                    <w:t>双道微量泵</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12" w:type="dxa"/>
                  <w:vAlign w:val="center"/>
                </w:tcPr>
                <w:p>
                  <w:pPr>
                    <w:widowControl/>
                    <w:jc w:val="center"/>
                    <w:textAlignment w:val="center"/>
                    <w:rPr>
                      <w:rFonts w:ascii="Times New Roman" w:hAnsi="Times New Roman" w:eastAsia="宋体" w:cs="Times New Roman"/>
                      <w:kern w:val="0"/>
                      <w:sz w:val="21"/>
                      <w:szCs w:val="21"/>
                      <w:highlight w:val="yellow"/>
                      <w:lang w:val="en-US" w:eastAsia="zh-CN" w:bidi="ar"/>
                    </w:rPr>
                  </w:pPr>
                  <w:r>
                    <w:rPr>
                      <w:rFonts w:hint="eastAsia"/>
                      <w:kern w:val="0"/>
                      <w:szCs w:val="21"/>
                      <w:lang w:bidi="ar"/>
                    </w:rPr>
                    <w:t>10</w:t>
                  </w:r>
                </w:p>
              </w:tc>
              <w:tc>
                <w:tcPr>
                  <w:tcW w:w="2862" w:type="dxa"/>
                  <w:vAlign w:val="center"/>
                </w:tcPr>
                <w:p>
                  <w:pPr>
                    <w:widowControl/>
                    <w:jc w:val="center"/>
                    <w:textAlignment w:val="center"/>
                    <w:rPr>
                      <w:kern w:val="0"/>
                      <w:szCs w:val="21"/>
                      <w:lang w:bidi="ar"/>
                    </w:rPr>
                  </w:pPr>
                  <w:r>
                    <w:rPr>
                      <w:rFonts w:hint="eastAsia"/>
                      <w:kern w:val="0"/>
                      <w:szCs w:val="21"/>
                      <w:lang w:bidi="ar"/>
                    </w:rPr>
                    <w:t>中医治疗床</w:t>
                  </w:r>
                </w:p>
              </w:tc>
              <w:tc>
                <w:tcPr>
                  <w:tcW w:w="1317"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1</w:t>
                  </w:r>
                </w:p>
              </w:tc>
              <w:tc>
                <w:tcPr>
                  <w:tcW w:w="2247" w:type="dxa"/>
                  <w:vAlign w:val="center"/>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11</w:t>
                  </w:r>
                </w:p>
              </w:tc>
              <w:tc>
                <w:tcPr>
                  <w:tcW w:w="0" w:type="auto"/>
                </w:tcPr>
                <w:p>
                  <w:pPr>
                    <w:widowControl/>
                    <w:jc w:val="center"/>
                    <w:textAlignment w:val="center"/>
                    <w:rPr>
                      <w:kern w:val="0"/>
                      <w:szCs w:val="21"/>
                      <w:lang w:bidi="ar"/>
                    </w:rPr>
                  </w:pPr>
                  <w:r>
                    <w:rPr>
                      <w:rFonts w:hint="eastAsia"/>
                      <w:kern w:val="0"/>
                      <w:szCs w:val="21"/>
                      <w:lang w:bidi="ar"/>
                    </w:rPr>
                    <w:t>手术床（1.9</w:t>
                  </w:r>
                  <w:r>
                    <w:rPr>
                      <w:rFonts w:hint="eastAsia"/>
                      <w:kern w:val="0"/>
                      <w:szCs w:val="21"/>
                      <w:lang w:val="en-US" w:eastAsia="zh-CN" w:bidi="ar"/>
                    </w:rPr>
                    <w:t>×</w:t>
                  </w:r>
                  <w:r>
                    <w:rPr>
                      <w:rFonts w:hint="eastAsia"/>
                      <w:kern w:val="0"/>
                      <w:szCs w:val="21"/>
                      <w:lang w:bidi="ar"/>
                    </w:rPr>
                    <w:t>0.7M)</w:t>
                  </w:r>
                </w:p>
              </w:tc>
              <w:tc>
                <w:tcPr>
                  <w:tcW w:w="0" w:type="auto"/>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2</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12</w:t>
                  </w:r>
                </w:p>
              </w:tc>
              <w:tc>
                <w:tcPr>
                  <w:tcW w:w="0" w:type="auto"/>
                </w:tcPr>
                <w:p>
                  <w:pPr>
                    <w:widowControl/>
                    <w:jc w:val="center"/>
                    <w:textAlignment w:val="center"/>
                    <w:rPr>
                      <w:kern w:val="0"/>
                      <w:szCs w:val="21"/>
                      <w:lang w:bidi="ar"/>
                    </w:rPr>
                  </w:pPr>
                  <w:r>
                    <w:rPr>
                      <w:rFonts w:hint="eastAsia"/>
                      <w:kern w:val="0"/>
                      <w:szCs w:val="21"/>
                      <w:lang w:bidi="ar"/>
                    </w:rPr>
                    <w:t>治疗床</w:t>
                  </w:r>
                </w:p>
              </w:tc>
              <w:tc>
                <w:tcPr>
                  <w:tcW w:w="0" w:type="auto"/>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7</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13</w:t>
                  </w:r>
                </w:p>
              </w:tc>
              <w:tc>
                <w:tcPr>
                  <w:tcW w:w="0" w:type="auto"/>
                </w:tcPr>
                <w:p>
                  <w:pPr>
                    <w:widowControl/>
                    <w:jc w:val="center"/>
                    <w:textAlignment w:val="center"/>
                    <w:rPr>
                      <w:kern w:val="0"/>
                      <w:szCs w:val="21"/>
                      <w:lang w:bidi="ar"/>
                    </w:rPr>
                  </w:pPr>
                  <w:r>
                    <w:rPr>
                      <w:rFonts w:hint="eastAsia"/>
                      <w:kern w:val="0"/>
                      <w:szCs w:val="21"/>
                      <w:lang w:bidi="ar"/>
                    </w:rPr>
                    <w:t>治疗车</w:t>
                  </w:r>
                </w:p>
              </w:tc>
              <w:tc>
                <w:tcPr>
                  <w:tcW w:w="0" w:type="auto"/>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8</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ascii="Times New Roman" w:hAnsi="Times New Roman" w:eastAsia="宋体" w:cs="Times New Roman"/>
                      <w:kern w:val="0"/>
                      <w:sz w:val="21"/>
                      <w:szCs w:val="21"/>
                      <w:lang w:val="en-US" w:eastAsia="zh-CN" w:bidi="ar"/>
                    </w:rPr>
                  </w:pPr>
                  <w:r>
                    <w:rPr>
                      <w:rFonts w:hint="eastAsia"/>
                      <w:kern w:val="0"/>
                      <w:szCs w:val="21"/>
                      <w:lang w:bidi="ar"/>
                    </w:rPr>
                    <w:t>14</w:t>
                  </w:r>
                </w:p>
              </w:tc>
              <w:tc>
                <w:tcPr>
                  <w:tcW w:w="0" w:type="auto"/>
                </w:tcPr>
                <w:p>
                  <w:pPr>
                    <w:widowControl/>
                    <w:jc w:val="center"/>
                    <w:textAlignment w:val="center"/>
                    <w:rPr>
                      <w:kern w:val="0"/>
                      <w:szCs w:val="21"/>
                      <w:lang w:bidi="ar"/>
                    </w:rPr>
                  </w:pPr>
                  <w:r>
                    <w:rPr>
                      <w:rFonts w:hint="eastAsia"/>
                      <w:kern w:val="0"/>
                      <w:szCs w:val="21"/>
                      <w:lang w:bidi="ar"/>
                    </w:rPr>
                    <w:t>诊断床</w:t>
                  </w:r>
                </w:p>
              </w:tc>
              <w:tc>
                <w:tcPr>
                  <w:tcW w:w="0" w:type="auto"/>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22</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15</w:t>
                  </w:r>
                </w:p>
              </w:tc>
              <w:tc>
                <w:tcPr>
                  <w:tcW w:w="0" w:type="auto"/>
                </w:tcPr>
                <w:p>
                  <w:pPr>
                    <w:widowControl/>
                    <w:jc w:val="center"/>
                    <w:textAlignment w:val="center"/>
                    <w:rPr>
                      <w:kern w:val="0"/>
                      <w:szCs w:val="21"/>
                      <w:lang w:bidi="ar"/>
                    </w:rPr>
                  </w:pPr>
                  <w:r>
                    <w:rPr>
                      <w:rFonts w:hint="eastAsia"/>
                      <w:kern w:val="0"/>
                      <w:szCs w:val="21"/>
                      <w:lang w:bidi="ar"/>
                    </w:rPr>
                    <w:t>诊查床</w:t>
                  </w:r>
                </w:p>
              </w:tc>
              <w:tc>
                <w:tcPr>
                  <w:tcW w:w="0" w:type="auto"/>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3</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16</w:t>
                  </w:r>
                </w:p>
              </w:tc>
              <w:tc>
                <w:tcPr>
                  <w:tcW w:w="0" w:type="auto"/>
                </w:tcPr>
                <w:p>
                  <w:pPr>
                    <w:widowControl/>
                    <w:jc w:val="center"/>
                    <w:textAlignment w:val="center"/>
                    <w:rPr>
                      <w:kern w:val="0"/>
                      <w:szCs w:val="21"/>
                      <w:lang w:bidi="ar"/>
                    </w:rPr>
                  </w:pPr>
                  <w:r>
                    <w:rPr>
                      <w:rFonts w:hint="eastAsia"/>
                      <w:kern w:val="0"/>
                      <w:szCs w:val="21"/>
                      <w:lang w:bidi="ar"/>
                    </w:rPr>
                    <w:t>治疗床（带洞</w:t>
                  </w:r>
                  <w:r>
                    <w:rPr>
                      <w:rFonts w:hint="eastAsia"/>
                      <w:kern w:val="0"/>
                      <w:szCs w:val="21"/>
                      <w:lang w:eastAsia="zh-CN" w:bidi="ar"/>
                    </w:rPr>
                    <w:t>）</w:t>
                  </w:r>
                </w:p>
              </w:tc>
              <w:tc>
                <w:tcPr>
                  <w:tcW w:w="0" w:type="auto"/>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8</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17</w:t>
                  </w:r>
                </w:p>
              </w:tc>
              <w:tc>
                <w:tcPr>
                  <w:tcW w:w="0" w:type="auto"/>
                </w:tcPr>
                <w:p>
                  <w:pPr>
                    <w:widowControl/>
                    <w:jc w:val="center"/>
                    <w:textAlignment w:val="center"/>
                    <w:rPr>
                      <w:kern w:val="0"/>
                      <w:szCs w:val="21"/>
                      <w:lang w:bidi="ar"/>
                    </w:rPr>
                  </w:pPr>
                  <w:r>
                    <w:rPr>
                      <w:rFonts w:hint="eastAsia"/>
                      <w:kern w:val="0"/>
                      <w:szCs w:val="21"/>
                      <w:lang w:bidi="ar"/>
                    </w:rPr>
                    <w:t>多功能治疗车（静音)</w:t>
                  </w:r>
                </w:p>
              </w:tc>
              <w:tc>
                <w:tcPr>
                  <w:tcW w:w="0" w:type="auto"/>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20</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18</w:t>
                  </w:r>
                </w:p>
              </w:tc>
              <w:tc>
                <w:tcPr>
                  <w:tcW w:w="0" w:type="auto"/>
                </w:tcPr>
                <w:p>
                  <w:pPr>
                    <w:widowControl/>
                    <w:jc w:val="center"/>
                    <w:textAlignment w:val="center"/>
                    <w:rPr>
                      <w:kern w:val="0"/>
                      <w:szCs w:val="21"/>
                      <w:lang w:bidi="ar"/>
                    </w:rPr>
                  </w:pPr>
                  <w:r>
                    <w:rPr>
                      <w:rFonts w:hint="eastAsia"/>
                      <w:kern w:val="0"/>
                      <w:szCs w:val="21"/>
                      <w:lang w:bidi="ar"/>
                    </w:rPr>
                    <w:t>被服车</w:t>
                  </w:r>
                </w:p>
              </w:tc>
              <w:tc>
                <w:tcPr>
                  <w:tcW w:w="0" w:type="auto"/>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2</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19</w:t>
                  </w:r>
                </w:p>
              </w:tc>
              <w:tc>
                <w:tcPr>
                  <w:tcW w:w="0" w:type="auto"/>
                </w:tcPr>
                <w:p>
                  <w:pPr>
                    <w:widowControl/>
                    <w:jc w:val="center"/>
                    <w:textAlignment w:val="center"/>
                    <w:rPr>
                      <w:kern w:val="0"/>
                      <w:szCs w:val="21"/>
                      <w:lang w:bidi="ar"/>
                    </w:rPr>
                  </w:pPr>
                  <w:r>
                    <w:rPr>
                      <w:rFonts w:hint="eastAsia"/>
                      <w:kern w:val="0"/>
                      <w:szCs w:val="21"/>
                      <w:lang w:bidi="ar"/>
                    </w:rPr>
                    <w:t>扫床车（静音)</w:t>
                  </w:r>
                </w:p>
              </w:tc>
              <w:tc>
                <w:tcPr>
                  <w:tcW w:w="0" w:type="auto"/>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4</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20</w:t>
                  </w:r>
                </w:p>
              </w:tc>
              <w:tc>
                <w:tcPr>
                  <w:tcW w:w="0" w:type="auto"/>
                </w:tcPr>
                <w:p>
                  <w:pPr>
                    <w:widowControl/>
                    <w:jc w:val="center"/>
                    <w:textAlignment w:val="center"/>
                    <w:rPr>
                      <w:kern w:val="0"/>
                      <w:szCs w:val="21"/>
                      <w:lang w:bidi="ar"/>
                    </w:rPr>
                  </w:pPr>
                  <w:r>
                    <w:rPr>
                      <w:rFonts w:hint="eastAsia"/>
                      <w:kern w:val="0"/>
                      <w:szCs w:val="21"/>
                      <w:lang w:bidi="ar"/>
                    </w:rPr>
                    <w:t>轮椅</w:t>
                  </w:r>
                </w:p>
              </w:tc>
              <w:tc>
                <w:tcPr>
                  <w:tcW w:w="0" w:type="auto"/>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4</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21</w:t>
                  </w:r>
                </w:p>
              </w:tc>
              <w:tc>
                <w:tcPr>
                  <w:tcW w:w="0" w:type="auto"/>
                </w:tcPr>
                <w:p>
                  <w:pPr>
                    <w:widowControl/>
                    <w:jc w:val="center"/>
                    <w:textAlignment w:val="center"/>
                    <w:rPr>
                      <w:kern w:val="0"/>
                      <w:szCs w:val="21"/>
                      <w:lang w:bidi="ar"/>
                    </w:rPr>
                  </w:pPr>
                  <w:r>
                    <w:rPr>
                      <w:rFonts w:hint="eastAsia"/>
                      <w:kern w:val="0"/>
                      <w:szCs w:val="21"/>
                      <w:lang w:bidi="ar"/>
                    </w:rPr>
                    <w:t>病历夹推车(50格)</w:t>
                  </w:r>
                </w:p>
              </w:tc>
              <w:tc>
                <w:tcPr>
                  <w:tcW w:w="0" w:type="auto"/>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22</w:t>
                  </w:r>
                </w:p>
              </w:tc>
              <w:tc>
                <w:tcPr>
                  <w:tcW w:w="0" w:type="auto"/>
                </w:tcPr>
                <w:p>
                  <w:pPr>
                    <w:widowControl/>
                    <w:jc w:val="center"/>
                    <w:textAlignment w:val="center"/>
                    <w:rPr>
                      <w:kern w:val="0"/>
                      <w:szCs w:val="21"/>
                      <w:lang w:bidi="ar"/>
                    </w:rPr>
                  </w:pPr>
                  <w:r>
                    <w:rPr>
                      <w:rFonts w:hint="eastAsia"/>
                      <w:kern w:val="0"/>
                      <w:szCs w:val="21"/>
                      <w:lang w:bidi="ar"/>
                    </w:rPr>
                    <w:t>滑轨式输液架</w:t>
                  </w:r>
                </w:p>
              </w:tc>
              <w:tc>
                <w:tcPr>
                  <w:tcW w:w="0" w:type="auto"/>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50</w:t>
                  </w:r>
                </w:p>
              </w:tc>
              <w:tc>
                <w:tcPr>
                  <w:tcW w:w="0" w:type="auto"/>
                </w:tcPr>
                <w:p>
                  <w:pPr>
                    <w:widowControl/>
                    <w:jc w:val="center"/>
                    <w:textAlignment w:val="center"/>
                    <w:rPr>
                      <w:kern w:val="0"/>
                      <w:szCs w:val="21"/>
                      <w:lang w:bidi="ar"/>
                    </w:rPr>
                  </w:pPr>
                  <w:r>
                    <w:rPr>
                      <w:kern w:val="0"/>
                      <w:szCs w:val="21"/>
                      <w:lang w:bidi="ar"/>
                    </w:rPr>
                    <w:t>国产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0" w:type="auto"/>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eastAsia"/>
                      <w:kern w:val="0"/>
                      <w:szCs w:val="21"/>
                      <w:lang w:val="en-US" w:eastAsia="zh-CN" w:bidi="ar"/>
                    </w:rPr>
                    <w:t>23</w:t>
                  </w:r>
                </w:p>
              </w:tc>
              <w:tc>
                <w:tcPr>
                  <w:tcW w:w="0" w:type="auto"/>
                </w:tcPr>
                <w:p>
                  <w:pPr>
                    <w:widowControl/>
                    <w:jc w:val="center"/>
                    <w:textAlignment w:val="center"/>
                    <w:rPr>
                      <w:kern w:val="0"/>
                      <w:szCs w:val="21"/>
                      <w:lang w:bidi="ar"/>
                    </w:rPr>
                  </w:pPr>
                  <w:r>
                    <w:rPr>
                      <w:rFonts w:hint="eastAsia"/>
                      <w:kern w:val="0"/>
                      <w:szCs w:val="21"/>
                      <w:lang w:bidi="ar"/>
                    </w:rPr>
                    <w:t>呼叫器显示屏</w:t>
                  </w:r>
                </w:p>
              </w:tc>
              <w:tc>
                <w:tcPr>
                  <w:tcW w:w="0" w:type="auto"/>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10</w:t>
                  </w:r>
                </w:p>
              </w:tc>
              <w:tc>
                <w:tcPr>
                  <w:tcW w:w="0" w:type="auto"/>
                </w:tcPr>
                <w:p>
                  <w:pPr>
                    <w:widowControl/>
                    <w:jc w:val="center"/>
                    <w:textAlignment w:val="center"/>
                    <w:rPr>
                      <w:kern w:val="0"/>
                      <w:szCs w:val="21"/>
                      <w:lang w:bidi="ar"/>
                    </w:rPr>
                  </w:pPr>
                  <w:r>
                    <w:rPr>
                      <w:kern w:val="0"/>
                      <w:szCs w:val="21"/>
                      <w:lang w:bidi="ar"/>
                    </w:rPr>
                    <w:t>国产</w:t>
                  </w:r>
                </w:p>
              </w:tc>
            </w:tr>
          </w:tbl>
          <w:p>
            <w:pPr>
              <w:pStyle w:val="6"/>
            </w:pPr>
            <w:r>
              <w:t>3.主要原材料消耗情况</w:t>
            </w:r>
          </w:p>
          <w:p>
            <w:pPr>
              <w:spacing w:line="360" w:lineRule="auto"/>
              <w:ind w:firstLine="480" w:firstLineChars="200"/>
              <w:rPr>
                <w:bCs/>
                <w:sz w:val="24"/>
                <w:highlight w:val="yellow"/>
              </w:rPr>
            </w:pPr>
            <w:r>
              <w:rPr>
                <w:bCs/>
                <w:sz w:val="24"/>
              </w:rPr>
              <w:t>拟建</w:t>
            </w:r>
            <w:r>
              <w:rPr>
                <w:rFonts w:hint="eastAsia"/>
                <w:bCs/>
                <w:sz w:val="24"/>
              </w:rPr>
              <w:t>康复楼</w:t>
            </w:r>
            <w:r>
              <w:rPr>
                <w:bCs/>
                <w:sz w:val="24"/>
              </w:rPr>
              <w:t>的原辅材料包括：塑胶手套、</w:t>
            </w:r>
            <w:r>
              <w:rPr>
                <w:rFonts w:hint="eastAsia"/>
                <w:bCs/>
                <w:sz w:val="24"/>
              </w:rPr>
              <w:t>纱布</w:t>
            </w:r>
            <w:r>
              <w:rPr>
                <w:bCs/>
                <w:sz w:val="24"/>
              </w:rPr>
              <w:t>、</w:t>
            </w:r>
            <w:r>
              <w:rPr>
                <w:rFonts w:hint="eastAsia"/>
                <w:bCs/>
                <w:sz w:val="24"/>
              </w:rPr>
              <w:t>棉球、75%酒精</w:t>
            </w:r>
            <w:r>
              <w:rPr>
                <w:bCs/>
                <w:sz w:val="24"/>
              </w:rPr>
              <w:t>和</w:t>
            </w:r>
            <w:r>
              <w:rPr>
                <w:rFonts w:hint="eastAsia"/>
                <w:bCs/>
                <w:sz w:val="24"/>
              </w:rPr>
              <w:t>碘伏</w:t>
            </w:r>
            <w:r>
              <w:rPr>
                <w:bCs/>
                <w:sz w:val="24"/>
              </w:rPr>
              <w:t>，具体详见表2-3。</w:t>
            </w:r>
          </w:p>
          <w:p>
            <w:pPr>
              <w:pStyle w:val="22"/>
              <w:tabs>
                <w:tab w:val="left" w:pos="1845"/>
              </w:tabs>
              <w:jc w:val="center"/>
              <w:rPr>
                <w:rFonts w:ascii="Times New Roman" w:cs="Times New Roman"/>
                <w:bCs/>
              </w:rPr>
            </w:pPr>
            <w:r>
              <w:rPr>
                <w:rFonts w:ascii="Times New Roman" w:cs="Times New Roman"/>
                <w:b/>
                <w:bCs/>
                <w:color w:val="auto"/>
                <w:kern w:val="2"/>
                <w:sz w:val="21"/>
                <w:szCs w:val="21"/>
              </w:rPr>
              <w:t>表2-3  康复楼基本材料种类及使用量</w:t>
            </w:r>
          </w:p>
          <w:tbl>
            <w:tblPr>
              <w:tblStyle w:val="17"/>
              <w:tblW w:w="8097" w:type="dxa"/>
              <w:jc w:val="center"/>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777"/>
              <w:gridCol w:w="1099"/>
              <w:gridCol w:w="1272"/>
              <w:gridCol w:w="2257"/>
            </w:tblGrid>
            <w:tr>
              <w:tblPrEx>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tcBorders>
                    <w:bottom w:val="single" w:color="000000" w:sz="12" w:space="0"/>
                  </w:tcBorders>
                  <w:vAlign w:val="center"/>
                </w:tcPr>
                <w:p>
                  <w:pPr>
                    <w:jc w:val="center"/>
                    <w:rPr>
                      <w:b/>
                      <w:bCs/>
                      <w:color w:val="000000"/>
                      <w:szCs w:val="21"/>
                    </w:rPr>
                  </w:pPr>
                  <w:r>
                    <w:rPr>
                      <w:b/>
                      <w:bCs/>
                      <w:color w:val="000000"/>
                      <w:szCs w:val="21"/>
                    </w:rPr>
                    <w:t>序号</w:t>
                  </w:r>
                </w:p>
              </w:tc>
              <w:tc>
                <w:tcPr>
                  <w:tcW w:w="2777" w:type="dxa"/>
                  <w:tcBorders>
                    <w:bottom w:val="single" w:color="000000" w:sz="12" w:space="0"/>
                  </w:tcBorders>
                  <w:vAlign w:val="center"/>
                </w:tcPr>
                <w:p>
                  <w:pPr>
                    <w:jc w:val="center"/>
                    <w:rPr>
                      <w:b/>
                      <w:bCs/>
                      <w:color w:val="000000"/>
                      <w:szCs w:val="21"/>
                    </w:rPr>
                  </w:pPr>
                  <w:r>
                    <w:rPr>
                      <w:b/>
                      <w:bCs/>
                      <w:color w:val="000000"/>
                      <w:szCs w:val="21"/>
                    </w:rPr>
                    <w:t>名称</w:t>
                  </w:r>
                </w:p>
              </w:tc>
              <w:tc>
                <w:tcPr>
                  <w:tcW w:w="1099" w:type="dxa"/>
                  <w:tcBorders>
                    <w:bottom w:val="single" w:color="000000" w:sz="12" w:space="0"/>
                  </w:tcBorders>
                  <w:vAlign w:val="center"/>
                </w:tcPr>
                <w:p>
                  <w:pPr>
                    <w:jc w:val="center"/>
                    <w:rPr>
                      <w:b/>
                      <w:bCs/>
                      <w:color w:val="000000"/>
                      <w:szCs w:val="21"/>
                    </w:rPr>
                  </w:pPr>
                  <w:r>
                    <w:rPr>
                      <w:b/>
                      <w:bCs/>
                      <w:color w:val="000000"/>
                      <w:szCs w:val="21"/>
                    </w:rPr>
                    <w:t>单位</w:t>
                  </w:r>
                </w:p>
              </w:tc>
              <w:tc>
                <w:tcPr>
                  <w:tcW w:w="1272" w:type="dxa"/>
                  <w:tcBorders>
                    <w:bottom w:val="single" w:color="000000" w:sz="12" w:space="0"/>
                    <w:right w:val="nil"/>
                  </w:tcBorders>
                  <w:vAlign w:val="center"/>
                </w:tcPr>
                <w:p>
                  <w:pPr>
                    <w:jc w:val="center"/>
                    <w:rPr>
                      <w:b/>
                      <w:bCs/>
                      <w:color w:val="000000"/>
                      <w:szCs w:val="21"/>
                    </w:rPr>
                  </w:pPr>
                  <w:r>
                    <w:rPr>
                      <w:b/>
                      <w:bCs/>
                      <w:color w:val="000000"/>
                      <w:szCs w:val="21"/>
                    </w:rPr>
                    <w:t>数量</w:t>
                  </w:r>
                </w:p>
              </w:tc>
              <w:tc>
                <w:tcPr>
                  <w:tcW w:w="2257" w:type="dxa"/>
                  <w:tcBorders>
                    <w:bottom w:val="single" w:color="000000" w:sz="12" w:space="0"/>
                    <w:right w:val="nil"/>
                  </w:tcBorders>
                  <w:vAlign w:val="center"/>
                </w:tcPr>
                <w:p>
                  <w:pPr>
                    <w:jc w:val="center"/>
                    <w:rPr>
                      <w:b/>
                      <w:bCs/>
                      <w:color w:val="000000"/>
                      <w:szCs w:val="21"/>
                    </w:rPr>
                  </w:pPr>
                  <w:r>
                    <w:rPr>
                      <w:b/>
                      <w:bCs/>
                      <w:color w:val="000000"/>
                      <w:szCs w:val="21"/>
                    </w:rPr>
                    <w:t>备注</w:t>
                  </w:r>
                </w:p>
              </w:tc>
            </w:tr>
            <w:tr>
              <w:tblPrEx>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97" w:type="dxa"/>
                  <w:gridSpan w:val="5"/>
                  <w:tcBorders>
                    <w:top w:val="single" w:color="000000" w:sz="12" w:space="0"/>
                    <w:bottom w:val="single" w:color="auto" w:sz="4" w:space="0"/>
                    <w:right w:val="nil"/>
                  </w:tcBorders>
                  <w:vAlign w:val="center"/>
                </w:tcPr>
                <w:p>
                  <w:pPr>
                    <w:jc w:val="center"/>
                    <w:rPr>
                      <w:color w:val="000000"/>
                      <w:szCs w:val="21"/>
                    </w:rPr>
                  </w:pPr>
                  <w:r>
                    <w:rPr>
                      <w:rFonts w:hint="eastAsia"/>
                      <w:b/>
                      <w:bCs/>
                      <w:color w:val="000000"/>
                      <w:szCs w:val="21"/>
                    </w:rPr>
                    <w:t>医疗耗材用量</w:t>
                  </w:r>
                </w:p>
              </w:tc>
            </w:tr>
            <w:tr>
              <w:tblPrEx>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tcBorders>
                    <w:top w:val="single" w:color="auto" w:sz="4" w:space="0"/>
                  </w:tcBorders>
                  <w:vAlign w:val="center"/>
                </w:tcPr>
                <w:p>
                  <w:pPr>
                    <w:jc w:val="center"/>
                    <w:rPr>
                      <w:color w:val="000000"/>
                      <w:szCs w:val="21"/>
                    </w:rPr>
                  </w:pPr>
                  <w:r>
                    <w:rPr>
                      <w:color w:val="000000"/>
                      <w:szCs w:val="21"/>
                    </w:rPr>
                    <w:t>1</w:t>
                  </w:r>
                </w:p>
              </w:tc>
              <w:tc>
                <w:tcPr>
                  <w:tcW w:w="2777" w:type="dxa"/>
                  <w:tcBorders>
                    <w:top w:val="single" w:color="auto" w:sz="4" w:space="0"/>
                  </w:tcBorders>
                </w:tcPr>
                <w:p>
                  <w:pPr>
                    <w:jc w:val="center"/>
                    <w:rPr>
                      <w:color w:val="000000"/>
                      <w:szCs w:val="21"/>
                    </w:rPr>
                  </w:pPr>
                  <w:r>
                    <w:rPr>
                      <w:rFonts w:hint="eastAsia"/>
                      <w:color w:val="000000"/>
                      <w:szCs w:val="21"/>
                    </w:rPr>
                    <w:t>塑胶手套</w:t>
                  </w:r>
                </w:p>
              </w:tc>
              <w:tc>
                <w:tcPr>
                  <w:tcW w:w="1099" w:type="dxa"/>
                  <w:tcBorders>
                    <w:top w:val="single" w:color="auto" w:sz="4" w:space="0"/>
                  </w:tcBorders>
                  <w:vAlign w:val="center"/>
                </w:tcPr>
                <w:p>
                  <w:pPr>
                    <w:jc w:val="center"/>
                    <w:rPr>
                      <w:color w:val="000000"/>
                      <w:szCs w:val="21"/>
                    </w:rPr>
                  </w:pPr>
                  <w:r>
                    <w:rPr>
                      <w:rFonts w:hint="eastAsia"/>
                      <w:color w:val="000000"/>
                      <w:szCs w:val="21"/>
                    </w:rPr>
                    <w:t>双</w:t>
                  </w:r>
                  <w:r>
                    <w:rPr>
                      <w:color w:val="000000"/>
                      <w:szCs w:val="21"/>
                    </w:rPr>
                    <w:t>/年</w:t>
                  </w:r>
                </w:p>
              </w:tc>
              <w:tc>
                <w:tcPr>
                  <w:tcW w:w="1272" w:type="dxa"/>
                  <w:tcBorders>
                    <w:top w:val="single" w:color="auto" w:sz="4" w:space="0"/>
                    <w:right w:val="nil"/>
                  </w:tcBorders>
                </w:tcPr>
                <w:p>
                  <w:pPr>
                    <w:jc w:val="center"/>
                    <w:rPr>
                      <w:color w:val="000000"/>
                      <w:szCs w:val="21"/>
                    </w:rPr>
                  </w:pPr>
                  <w:r>
                    <w:rPr>
                      <w:rFonts w:hint="eastAsia"/>
                      <w:color w:val="000000"/>
                      <w:szCs w:val="21"/>
                    </w:rPr>
                    <w:t>25000</w:t>
                  </w:r>
                </w:p>
              </w:tc>
              <w:tc>
                <w:tcPr>
                  <w:tcW w:w="2257" w:type="dxa"/>
                  <w:tcBorders>
                    <w:top w:val="single" w:color="auto" w:sz="4" w:space="0"/>
                    <w:right w:val="nil"/>
                  </w:tcBorders>
                  <w:vAlign w:val="center"/>
                </w:tcPr>
                <w:p>
                  <w:pPr>
                    <w:jc w:val="center"/>
                    <w:rPr>
                      <w:color w:val="000000"/>
                      <w:szCs w:val="21"/>
                    </w:rPr>
                  </w:pPr>
                  <w:r>
                    <w:rPr>
                      <w:color w:val="000000"/>
                      <w:szCs w:val="21"/>
                    </w:rPr>
                    <w:t>/</w:t>
                  </w:r>
                </w:p>
              </w:tc>
            </w:tr>
            <w:tr>
              <w:tblPrEx>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pPr>
                    <w:jc w:val="center"/>
                    <w:rPr>
                      <w:color w:val="000000"/>
                      <w:szCs w:val="21"/>
                    </w:rPr>
                  </w:pPr>
                  <w:r>
                    <w:rPr>
                      <w:color w:val="000000"/>
                      <w:szCs w:val="21"/>
                    </w:rPr>
                    <w:t>2</w:t>
                  </w:r>
                </w:p>
              </w:tc>
              <w:tc>
                <w:tcPr>
                  <w:tcW w:w="2777" w:type="dxa"/>
                </w:tcPr>
                <w:p>
                  <w:pPr>
                    <w:jc w:val="center"/>
                    <w:rPr>
                      <w:color w:val="000000"/>
                      <w:szCs w:val="21"/>
                    </w:rPr>
                  </w:pPr>
                  <w:r>
                    <w:rPr>
                      <w:rFonts w:hint="eastAsia"/>
                      <w:color w:val="000000"/>
                      <w:szCs w:val="21"/>
                    </w:rPr>
                    <w:t>纱布</w:t>
                  </w:r>
                </w:p>
              </w:tc>
              <w:tc>
                <w:tcPr>
                  <w:tcW w:w="1099" w:type="dxa"/>
                  <w:vAlign w:val="center"/>
                </w:tcPr>
                <w:p>
                  <w:pPr>
                    <w:jc w:val="center"/>
                    <w:rPr>
                      <w:color w:val="000000"/>
                      <w:szCs w:val="21"/>
                    </w:rPr>
                  </w:pPr>
                  <w:r>
                    <w:rPr>
                      <w:rFonts w:hint="eastAsia"/>
                      <w:color w:val="000000"/>
                      <w:szCs w:val="21"/>
                    </w:rPr>
                    <w:t>片</w:t>
                  </w:r>
                  <w:r>
                    <w:rPr>
                      <w:color w:val="000000"/>
                      <w:szCs w:val="21"/>
                    </w:rPr>
                    <w:t>/年</w:t>
                  </w:r>
                </w:p>
              </w:tc>
              <w:tc>
                <w:tcPr>
                  <w:tcW w:w="1272" w:type="dxa"/>
                  <w:tcBorders>
                    <w:right w:val="nil"/>
                  </w:tcBorders>
                </w:tcPr>
                <w:p>
                  <w:pPr>
                    <w:jc w:val="center"/>
                    <w:rPr>
                      <w:color w:val="000000"/>
                      <w:szCs w:val="21"/>
                    </w:rPr>
                  </w:pPr>
                  <w:r>
                    <w:rPr>
                      <w:rFonts w:hint="eastAsia"/>
                      <w:color w:val="000000"/>
                      <w:szCs w:val="21"/>
                    </w:rPr>
                    <w:t>30930</w:t>
                  </w:r>
                </w:p>
              </w:tc>
              <w:tc>
                <w:tcPr>
                  <w:tcW w:w="2257" w:type="dxa"/>
                  <w:tcBorders>
                    <w:right w:val="nil"/>
                  </w:tcBorders>
                  <w:vAlign w:val="center"/>
                </w:tcPr>
                <w:p>
                  <w:pPr>
                    <w:jc w:val="center"/>
                    <w:rPr>
                      <w:color w:val="000000"/>
                      <w:szCs w:val="21"/>
                    </w:rPr>
                  </w:pPr>
                  <w:r>
                    <w:rPr>
                      <w:color w:val="000000"/>
                      <w:szCs w:val="21"/>
                    </w:rPr>
                    <w:t>/</w:t>
                  </w:r>
                </w:p>
              </w:tc>
            </w:tr>
            <w:tr>
              <w:tblPrEx>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pPr>
                    <w:jc w:val="center"/>
                    <w:rPr>
                      <w:color w:val="000000"/>
                      <w:szCs w:val="21"/>
                    </w:rPr>
                  </w:pPr>
                  <w:r>
                    <w:rPr>
                      <w:color w:val="000000"/>
                      <w:szCs w:val="21"/>
                    </w:rPr>
                    <w:t>3</w:t>
                  </w:r>
                </w:p>
              </w:tc>
              <w:tc>
                <w:tcPr>
                  <w:tcW w:w="2777" w:type="dxa"/>
                </w:tcPr>
                <w:p>
                  <w:pPr>
                    <w:jc w:val="center"/>
                    <w:rPr>
                      <w:color w:val="000000"/>
                      <w:szCs w:val="21"/>
                    </w:rPr>
                  </w:pPr>
                  <w:r>
                    <w:rPr>
                      <w:rFonts w:hint="eastAsia"/>
                      <w:color w:val="000000"/>
                      <w:szCs w:val="21"/>
                    </w:rPr>
                    <w:t>棉球</w:t>
                  </w:r>
                </w:p>
              </w:tc>
              <w:tc>
                <w:tcPr>
                  <w:tcW w:w="1099" w:type="dxa"/>
                  <w:vAlign w:val="center"/>
                </w:tcPr>
                <w:p>
                  <w:pPr>
                    <w:jc w:val="center"/>
                    <w:rPr>
                      <w:color w:val="000000"/>
                      <w:szCs w:val="21"/>
                    </w:rPr>
                  </w:pPr>
                  <w:r>
                    <w:rPr>
                      <w:rFonts w:hint="eastAsia"/>
                      <w:color w:val="000000"/>
                      <w:szCs w:val="21"/>
                    </w:rPr>
                    <w:t>包</w:t>
                  </w:r>
                  <w:r>
                    <w:rPr>
                      <w:color w:val="000000"/>
                      <w:szCs w:val="21"/>
                    </w:rPr>
                    <w:t>/年</w:t>
                  </w:r>
                </w:p>
              </w:tc>
              <w:tc>
                <w:tcPr>
                  <w:tcW w:w="1272" w:type="dxa"/>
                  <w:tcBorders>
                    <w:right w:val="nil"/>
                  </w:tcBorders>
                </w:tcPr>
                <w:p>
                  <w:pPr>
                    <w:jc w:val="center"/>
                    <w:rPr>
                      <w:color w:val="000000"/>
                      <w:szCs w:val="21"/>
                    </w:rPr>
                  </w:pPr>
                  <w:r>
                    <w:rPr>
                      <w:rFonts w:hint="eastAsia"/>
                      <w:color w:val="000000"/>
                      <w:szCs w:val="21"/>
                    </w:rPr>
                    <w:t>4130</w:t>
                  </w:r>
                </w:p>
              </w:tc>
              <w:tc>
                <w:tcPr>
                  <w:tcW w:w="2257" w:type="dxa"/>
                  <w:tcBorders>
                    <w:right w:val="nil"/>
                  </w:tcBorders>
                  <w:vAlign w:val="center"/>
                </w:tcPr>
                <w:p>
                  <w:pPr>
                    <w:jc w:val="center"/>
                    <w:rPr>
                      <w:color w:val="000000"/>
                      <w:szCs w:val="21"/>
                    </w:rPr>
                  </w:pPr>
                  <w:r>
                    <w:rPr>
                      <w:color w:val="000000"/>
                      <w:szCs w:val="21"/>
                    </w:rPr>
                    <w:t>/</w:t>
                  </w:r>
                </w:p>
              </w:tc>
            </w:tr>
            <w:tr>
              <w:tblPrEx>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97" w:type="dxa"/>
                  <w:gridSpan w:val="5"/>
                  <w:tcBorders>
                    <w:right w:val="nil"/>
                  </w:tcBorders>
                  <w:vAlign w:val="center"/>
                </w:tcPr>
                <w:p>
                  <w:pPr>
                    <w:jc w:val="center"/>
                    <w:rPr>
                      <w:color w:val="000000"/>
                      <w:szCs w:val="21"/>
                    </w:rPr>
                  </w:pPr>
                  <w:r>
                    <w:rPr>
                      <w:rFonts w:hint="eastAsia"/>
                      <w:b/>
                      <w:bCs/>
                      <w:color w:val="000000"/>
                      <w:szCs w:val="21"/>
                    </w:rPr>
                    <w:t>药品制剂类</w:t>
                  </w:r>
                </w:p>
              </w:tc>
            </w:tr>
            <w:tr>
              <w:tblPrEx>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pPr>
                    <w:jc w:val="center"/>
                    <w:rPr>
                      <w:color w:val="000000"/>
                      <w:szCs w:val="21"/>
                    </w:rPr>
                  </w:pPr>
                  <w:r>
                    <w:rPr>
                      <w:color w:val="000000"/>
                      <w:szCs w:val="21"/>
                    </w:rPr>
                    <w:t>1</w:t>
                  </w:r>
                </w:p>
              </w:tc>
              <w:tc>
                <w:tcPr>
                  <w:tcW w:w="2777" w:type="dxa"/>
                </w:tcPr>
                <w:p>
                  <w:pPr>
                    <w:jc w:val="center"/>
                    <w:rPr>
                      <w:color w:val="000000"/>
                      <w:szCs w:val="21"/>
                    </w:rPr>
                  </w:pPr>
                  <w:r>
                    <w:rPr>
                      <w:rFonts w:hint="eastAsia"/>
                      <w:color w:val="000000"/>
                      <w:szCs w:val="21"/>
                    </w:rPr>
                    <w:t>75%酒精</w:t>
                  </w:r>
                </w:p>
              </w:tc>
              <w:tc>
                <w:tcPr>
                  <w:tcW w:w="1099" w:type="dxa"/>
                  <w:vAlign w:val="center"/>
                </w:tcPr>
                <w:p>
                  <w:pPr>
                    <w:jc w:val="center"/>
                    <w:rPr>
                      <w:color w:val="000000"/>
                      <w:szCs w:val="21"/>
                    </w:rPr>
                  </w:pPr>
                  <w:r>
                    <w:rPr>
                      <w:rFonts w:hint="eastAsia"/>
                      <w:color w:val="000000"/>
                      <w:szCs w:val="21"/>
                    </w:rPr>
                    <w:t>瓶</w:t>
                  </w:r>
                  <w:r>
                    <w:rPr>
                      <w:color w:val="000000"/>
                      <w:szCs w:val="21"/>
                    </w:rPr>
                    <w:t>/年</w:t>
                  </w:r>
                </w:p>
              </w:tc>
              <w:tc>
                <w:tcPr>
                  <w:tcW w:w="1272" w:type="dxa"/>
                  <w:tcBorders>
                    <w:right w:val="nil"/>
                  </w:tcBorders>
                </w:tcPr>
                <w:p>
                  <w:pPr>
                    <w:jc w:val="center"/>
                    <w:rPr>
                      <w:color w:val="000000"/>
                      <w:szCs w:val="21"/>
                    </w:rPr>
                  </w:pPr>
                  <w:r>
                    <w:rPr>
                      <w:rFonts w:hint="eastAsia"/>
                      <w:color w:val="000000"/>
                      <w:szCs w:val="21"/>
                    </w:rPr>
                    <w:t>351</w:t>
                  </w:r>
                </w:p>
              </w:tc>
              <w:tc>
                <w:tcPr>
                  <w:tcW w:w="2257" w:type="dxa"/>
                  <w:tcBorders>
                    <w:right w:val="nil"/>
                  </w:tcBorders>
                </w:tcPr>
                <w:p>
                  <w:pPr>
                    <w:jc w:val="center"/>
                    <w:rPr>
                      <w:color w:val="000000"/>
                      <w:szCs w:val="21"/>
                    </w:rPr>
                  </w:pPr>
                  <w:r>
                    <w:rPr>
                      <w:rFonts w:hint="eastAsia"/>
                      <w:color w:val="000000"/>
                      <w:szCs w:val="21"/>
                    </w:rPr>
                    <w:t>包装规格500ml</w:t>
                  </w:r>
                  <w:r>
                    <w:rPr>
                      <w:color w:val="000000"/>
                      <w:szCs w:val="21"/>
                    </w:rPr>
                    <w:t>/</w:t>
                  </w:r>
                  <w:r>
                    <w:rPr>
                      <w:rFonts w:hint="eastAsia"/>
                      <w:color w:val="000000"/>
                      <w:szCs w:val="21"/>
                    </w:rPr>
                    <w:t>瓶</w:t>
                  </w:r>
                </w:p>
              </w:tc>
            </w:tr>
            <w:tr>
              <w:tblPrEx>
                <w:tblBorders>
                  <w:top w:val="single" w:color="000000" w:sz="12" w:space="0"/>
                  <w:left w:val="none" w:color="auto" w:sz="0" w:space="0"/>
                  <w:bottom w:val="single" w:color="000000"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tcBorders>
                    <w:top w:val="single" w:color="auto" w:sz="4" w:space="0"/>
                  </w:tcBorders>
                  <w:vAlign w:val="center"/>
                </w:tcPr>
                <w:p>
                  <w:pPr>
                    <w:jc w:val="center"/>
                    <w:rPr>
                      <w:color w:val="000000"/>
                      <w:szCs w:val="21"/>
                    </w:rPr>
                  </w:pPr>
                  <w:r>
                    <w:rPr>
                      <w:color w:val="000000"/>
                      <w:szCs w:val="21"/>
                    </w:rPr>
                    <w:t>2</w:t>
                  </w:r>
                </w:p>
              </w:tc>
              <w:tc>
                <w:tcPr>
                  <w:tcW w:w="2777" w:type="dxa"/>
                  <w:tcBorders>
                    <w:top w:val="single" w:color="auto" w:sz="4" w:space="0"/>
                  </w:tcBorders>
                </w:tcPr>
                <w:p>
                  <w:pPr>
                    <w:jc w:val="center"/>
                    <w:rPr>
                      <w:color w:val="000000"/>
                      <w:szCs w:val="21"/>
                    </w:rPr>
                  </w:pPr>
                  <w:r>
                    <w:rPr>
                      <w:rFonts w:hint="eastAsia"/>
                      <w:color w:val="000000"/>
                      <w:szCs w:val="21"/>
                    </w:rPr>
                    <w:t>碘伏</w:t>
                  </w:r>
                </w:p>
              </w:tc>
              <w:tc>
                <w:tcPr>
                  <w:tcW w:w="1099" w:type="dxa"/>
                  <w:tcBorders>
                    <w:top w:val="single" w:color="auto" w:sz="4" w:space="0"/>
                  </w:tcBorders>
                  <w:vAlign w:val="center"/>
                </w:tcPr>
                <w:p>
                  <w:pPr>
                    <w:jc w:val="center"/>
                    <w:rPr>
                      <w:color w:val="000000"/>
                      <w:szCs w:val="21"/>
                    </w:rPr>
                  </w:pPr>
                  <w:r>
                    <w:rPr>
                      <w:rFonts w:hint="eastAsia"/>
                      <w:color w:val="000000"/>
                      <w:szCs w:val="21"/>
                    </w:rPr>
                    <w:t>瓶</w:t>
                  </w:r>
                  <w:r>
                    <w:rPr>
                      <w:color w:val="000000"/>
                      <w:szCs w:val="21"/>
                    </w:rPr>
                    <w:t>/年</w:t>
                  </w:r>
                </w:p>
              </w:tc>
              <w:tc>
                <w:tcPr>
                  <w:tcW w:w="1272" w:type="dxa"/>
                  <w:tcBorders>
                    <w:top w:val="single" w:color="auto" w:sz="4" w:space="0"/>
                  </w:tcBorders>
                </w:tcPr>
                <w:p>
                  <w:pPr>
                    <w:jc w:val="center"/>
                    <w:rPr>
                      <w:color w:val="000000"/>
                      <w:szCs w:val="21"/>
                    </w:rPr>
                  </w:pPr>
                  <w:r>
                    <w:rPr>
                      <w:rFonts w:hint="eastAsia"/>
                      <w:color w:val="000000"/>
                      <w:szCs w:val="21"/>
                    </w:rPr>
                    <w:t>258</w:t>
                  </w:r>
                </w:p>
              </w:tc>
              <w:tc>
                <w:tcPr>
                  <w:tcW w:w="2257" w:type="dxa"/>
                  <w:tcBorders>
                    <w:top w:val="single" w:color="auto" w:sz="4" w:space="0"/>
                    <w:right w:val="nil"/>
                  </w:tcBorders>
                </w:tcPr>
                <w:p>
                  <w:pPr>
                    <w:jc w:val="center"/>
                    <w:rPr>
                      <w:color w:val="000000"/>
                      <w:szCs w:val="21"/>
                    </w:rPr>
                  </w:pPr>
                  <w:r>
                    <w:rPr>
                      <w:rFonts w:hint="eastAsia"/>
                      <w:color w:val="000000"/>
                      <w:szCs w:val="21"/>
                    </w:rPr>
                    <w:t>包装规格500ml</w:t>
                  </w:r>
                  <w:r>
                    <w:rPr>
                      <w:color w:val="000000"/>
                      <w:szCs w:val="21"/>
                    </w:rPr>
                    <w:t>/</w:t>
                  </w:r>
                  <w:r>
                    <w:rPr>
                      <w:rFonts w:hint="eastAsia"/>
                      <w:color w:val="000000"/>
                      <w:szCs w:val="21"/>
                    </w:rPr>
                    <w:t>瓶</w:t>
                  </w:r>
                </w:p>
              </w:tc>
            </w:tr>
          </w:tbl>
          <w:p>
            <w:pPr>
              <w:pStyle w:val="6"/>
            </w:pPr>
            <w:r>
              <w:t>4.劳动定员及工作制度</w:t>
            </w:r>
          </w:p>
          <w:p>
            <w:pPr>
              <w:spacing w:line="360" w:lineRule="auto"/>
              <w:ind w:firstLine="480" w:firstLineChars="200"/>
              <w:rPr>
                <w:bCs/>
                <w:sz w:val="24"/>
                <w:highlight w:val="yellow"/>
              </w:rPr>
            </w:pPr>
            <w:r>
              <w:rPr>
                <w:rFonts w:hint="eastAsia"/>
                <w:color w:val="000000"/>
                <w:sz w:val="24"/>
              </w:rPr>
              <w:t>本</w:t>
            </w:r>
            <w:r>
              <w:rPr>
                <w:color w:val="000000"/>
                <w:sz w:val="24"/>
              </w:rPr>
              <w:t>项目劳动定员为</w:t>
            </w:r>
            <w:r>
              <w:rPr>
                <w:rFonts w:hint="eastAsia"/>
                <w:bCs/>
                <w:sz w:val="24"/>
              </w:rPr>
              <w:t>158</w:t>
            </w:r>
            <w:r>
              <w:rPr>
                <w:bCs/>
                <w:sz w:val="24"/>
              </w:rPr>
              <w:t>人</w:t>
            </w:r>
            <w:r>
              <w:rPr>
                <w:rFonts w:hint="eastAsia"/>
                <w:bCs/>
                <w:sz w:val="24"/>
              </w:rPr>
              <w:t>，</w:t>
            </w:r>
            <w:r>
              <w:rPr>
                <w:sz w:val="24"/>
              </w:rPr>
              <w:t>实行3班制，每班8h，年运行365天。</w:t>
            </w:r>
          </w:p>
          <w:p>
            <w:pPr>
              <w:pStyle w:val="6"/>
            </w:pPr>
            <w:r>
              <w:t>5.公共工程</w:t>
            </w:r>
          </w:p>
          <w:p>
            <w:pPr>
              <w:pStyle w:val="7"/>
              <w:spacing w:line="360" w:lineRule="auto"/>
              <w:ind w:firstLine="480"/>
              <w:rPr>
                <w:color w:val="000000"/>
                <w:sz w:val="24"/>
              </w:rPr>
            </w:pPr>
            <w:r>
              <w:rPr>
                <w:color w:val="000000"/>
                <w:sz w:val="24"/>
              </w:rPr>
              <w:t>（1）给水</w:t>
            </w:r>
          </w:p>
          <w:p>
            <w:pPr>
              <w:topLinePunct/>
              <w:spacing w:line="360" w:lineRule="auto"/>
              <w:ind w:firstLine="480" w:firstLineChars="200"/>
              <w:rPr>
                <w:sz w:val="24"/>
              </w:rPr>
            </w:pPr>
            <w:r>
              <w:rPr>
                <w:rFonts w:hint="eastAsia"/>
                <w:sz w:val="24"/>
              </w:rPr>
              <w:t>本</w:t>
            </w:r>
            <w:r>
              <w:rPr>
                <w:sz w:val="24"/>
              </w:rPr>
              <w:t>项目用水主要包括</w:t>
            </w:r>
            <w:bookmarkStart w:id="6" w:name="OLE_LINK13"/>
            <w:r>
              <w:rPr>
                <w:sz w:val="24"/>
              </w:rPr>
              <w:t>医</w:t>
            </w:r>
            <w:r>
              <w:rPr>
                <w:rFonts w:hint="eastAsia"/>
                <w:sz w:val="24"/>
              </w:rPr>
              <w:t>护</w:t>
            </w:r>
            <w:r>
              <w:rPr>
                <w:sz w:val="24"/>
              </w:rPr>
              <w:t>人员用水、就诊人员冲厕用水、病房住院患者用水、陪护人员生活用水和其他用水</w:t>
            </w:r>
            <w:bookmarkEnd w:id="6"/>
            <w:r>
              <w:rPr>
                <w:sz w:val="24"/>
              </w:rPr>
              <w:t>等。</w:t>
            </w:r>
          </w:p>
          <w:p>
            <w:pPr>
              <w:topLinePunct/>
              <w:spacing w:line="360" w:lineRule="auto"/>
              <w:ind w:firstLine="480" w:firstLineChars="200"/>
              <w:rPr>
                <w:color w:val="0000FF"/>
                <w:sz w:val="24"/>
              </w:rPr>
            </w:pPr>
            <w:r>
              <w:rPr>
                <w:sz w:val="24"/>
              </w:rPr>
              <w:t>①医</w:t>
            </w:r>
            <w:r>
              <w:rPr>
                <w:rFonts w:hint="eastAsia"/>
                <w:sz w:val="24"/>
              </w:rPr>
              <w:t>护</w:t>
            </w:r>
            <w:r>
              <w:rPr>
                <w:sz w:val="24"/>
              </w:rPr>
              <w:t>人员用水</w:t>
            </w:r>
          </w:p>
          <w:p>
            <w:pPr>
              <w:topLinePunct/>
              <w:spacing w:line="360" w:lineRule="auto"/>
              <w:ind w:firstLine="480" w:firstLineChars="200"/>
              <w:rPr>
                <w:color w:val="0000FF"/>
                <w:sz w:val="24"/>
              </w:rPr>
            </w:pPr>
            <w:r>
              <w:rPr>
                <w:rFonts w:hint="eastAsia"/>
                <w:color w:val="000000"/>
                <w:sz w:val="24"/>
              </w:rPr>
              <w:t>根据</w:t>
            </w:r>
            <w:r>
              <w:rPr>
                <w:color w:val="000000"/>
                <w:sz w:val="24"/>
              </w:rPr>
              <w:t>《综合医院建筑设计规范》</w:t>
            </w:r>
            <w:r>
              <w:rPr>
                <w:rFonts w:hint="eastAsia"/>
                <w:color w:val="000000"/>
                <w:sz w:val="24"/>
              </w:rPr>
              <w:t>（</w:t>
            </w:r>
            <w:r>
              <w:rPr>
                <w:color w:val="000000"/>
                <w:sz w:val="24"/>
              </w:rPr>
              <w:t>GB51039-2014</w:t>
            </w:r>
            <w:r>
              <w:rPr>
                <w:rFonts w:hint="eastAsia"/>
                <w:color w:val="000000"/>
                <w:sz w:val="24"/>
              </w:rPr>
              <w:t>），</w:t>
            </w:r>
            <w:r>
              <w:rPr>
                <w:rFonts w:hint="eastAsia"/>
                <w:bCs/>
                <w:sz w:val="24"/>
              </w:rPr>
              <w:t>康复楼</w:t>
            </w:r>
            <w:r>
              <w:rPr>
                <w:color w:val="000000"/>
                <w:sz w:val="24"/>
              </w:rPr>
              <w:t>医</w:t>
            </w:r>
            <w:r>
              <w:rPr>
                <w:rFonts w:hint="eastAsia"/>
                <w:sz w:val="24"/>
              </w:rPr>
              <w:t>护</w:t>
            </w:r>
            <w:r>
              <w:rPr>
                <w:color w:val="000000"/>
                <w:sz w:val="24"/>
              </w:rPr>
              <w:t>人员日定额用水量为150升/人·</w:t>
            </w:r>
            <w:r>
              <w:rPr>
                <w:rFonts w:hint="eastAsia"/>
                <w:color w:val="000000"/>
                <w:sz w:val="24"/>
              </w:rPr>
              <w:t>班</w:t>
            </w:r>
            <w:r>
              <w:rPr>
                <w:color w:val="000000"/>
                <w:sz w:val="24"/>
              </w:rPr>
              <w:t>进行计算，本项目劳动定员为</w:t>
            </w:r>
            <w:r>
              <w:rPr>
                <w:rFonts w:hint="eastAsia"/>
                <w:color w:val="000000"/>
                <w:sz w:val="24"/>
              </w:rPr>
              <w:t>158</w:t>
            </w:r>
            <w:r>
              <w:rPr>
                <w:color w:val="000000"/>
                <w:sz w:val="24"/>
              </w:rPr>
              <w:t>人，</w:t>
            </w:r>
            <w:r>
              <w:rPr>
                <w:rFonts w:hint="eastAsia"/>
                <w:color w:val="000000"/>
                <w:sz w:val="24"/>
              </w:rPr>
              <w:t>三班制，</w:t>
            </w:r>
            <w:r>
              <w:rPr>
                <w:color w:val="000000"/>
                <w:sz w:val="24"/>
              </w:rPr>
              <w:t>则用水量为</w:t>
            </w:r>
            <w:r>
              <w:rPr>
                <w:rFonts w:hint="eastAsia"/>
                <w:color w:val="000000"/>
                <w:sz w:val="24"/>
              </w:rPr>
              <w:t>2.37</w:t>
            </w:r>
            <w:r>
              <w:rPr>
                <w:color w:val="000000"/>
                <w:sz w:val="24"/>
              </w:rPr>
              <w:t>m</w:t>
            </w:r>
            <w:r>
              <w:rPr>
                <w:color w:val="000000"/>
                <w:sz w:val="24"/>
                <w:vertAlign w:val="superscript"/>
              </w:rPr>
              <w:t>3</w:t>
            </w:r>
            <w:r>
              <w:rPr>
                <w:color w:val="000000"/>
                <w:sz w:val="24"/>
              </w:rPr>
              <w:t>/d</w:t>
            </w:r>
            <w:r>
              <w:rPr>
                <w:rFonts w:hint="eastAsia"/>
                <w:color w:val="000000"/>
                <w:sz w:val="24"/>
              </w:rPr>
              <w:t>。</w:t>
            </w:r>
          </w:p>
          <w:p>
            <w:pPr>
              <w:topLinePunct/>
              <w:spacing w:line="360" w:lineRule="auto"/>
              <w:ind w:firstLine="480" w:firstLineChars="200"/>
              <w:rPr>
                <w:color w:val="0000FF"/>
                <w:sz w:val="24"/>
              </w:rPr>
            </w:pPr>
            <w:r>
              <w:rPr>
                <w:sz w:val="24"/>
              </w:rPr>
              <w:t>②就诊人员用水</w:t>
            </w:r>
          </w:p>
          <w:p>
            <w:pPr>
              <w:topLinePunct/>
              <w:spacing w:line="360" w:lineRule="auto"/>
              <w:ind w:firstLine="480" w:firstLineChars="200"/>
              <w:rPr>
                <w:color w:val="0000FF"/>
                <w:sz w:val="24"/>
              </w:rPr>
            </w:pPr>
            <w:r>
              <w:rPr>
                <w:rFonts w:hint="eastAsia"/>
                <w:color w:val="000000"/>
                <w:sz w:val="24"/>
              </w:rPr>
              <w:t>根据</w:t>
            </w:r>
            <w:r>
              <w:rPr>
                <w:color w:val="000000"/>
                <w:sz w:val="24"/>
              </w:rPr>
              <w:t>《综合医院建筑设计规范》</w:t>
            </w:r>
            <w:r>
              <w:rPr>
                <w:rFonts w:hint="eastAsia"/>
                <w:color w:val="000000"/>
                <w:sz w:val="24"/>
              </w:rPr>
              <w:t>（</w:t>
            </w:r>
            <w:r>
              <w:rPr>
                <w:color w:val="000000"/>
                <w:sz w:val="24"/>
              </w:rPr>
              <w:t>GB51039-2014</w:t>
            </w:r>
            <w:r>
              <w:rPr>
                <w:rFonts w:hint="eastAsia"/>
                <w:color w:val="000000"/>
                <w:sz w:val="24"/>
              </w:rPr>
              <w:t>），</w:t>
            </w:r>
            <w:r>
              <w:rPr>
                <w:color w:val="000000"/>
                <w:sz w:val="24"/>
              </w:rPr>
              <w:t>就诊人员用水按10L/人·</w:t>
            </w:r>
            <w:r>
              <w:rPr>
                <w:rFonts w:hint="eastAsia"/>
                <w:color w:val="000000"/>
                <w:sz w:val="24"/>
              </w:rPr>
              <w:t>d</w:t>
            </w:r>
            <w:r>
              <w:rPr>
                <w:color w:val="000000"/>
                <w:sz w:val="24"/>
              </w:rPr>
              <w:t>进行计算，预计日接待病人</w:t>
            </w:r>
            <w:r>
              <w:rPr>
                <w:rFonts w:hint="eastAsia"/>
                <w:color w:val="000000"/>
                <w:sz w:val="24"/>
              </w:rPr>
              <w:t>204</w:t>
            </w:r>
            <w:r>
              <w:rPr>
                <w:color w:val="000000"/>
                <w:sz w:val="24"/>
              </w:rPr>
              <w:t>人，则用水量为</w:t>
            </w:r>
            <w:r>
              <w:rPr>
                <w:rFonts w:hint="eastAsia"/>
                <w:color w:val="000000"/>
                <w:sz w:val="24"/>
              </w:rPr>
              <w:t>2.04</w:t>
            </w:r>
            <w:r>
              <w:rPr>
                <w:color w:val="000000"/>
                <w:sz w:val="24"/>
              </w:rPr>
              <w:t>m</w:t>
            </w:r>
            <w:r>
              <w:rPr>
                <w:color w:val="000000"/>
                <w:sz w:val="24"/>
                <w:vertAlign w:val="superscript"/>
              </w:rPr>
              <w:t>3</w:t>
            </w:r>
            <w:r>
              <w:rPr>
                <w:color w:val="000000"/>
                <w:sz w:val="24"/>
              </w:rPr>
              <w:t>/d</w:t>
            </w:r>
            <w:r>
              <w:rPr>
                <w:rFonts w:hint="eastAsia"/>
                <w:color w:val="000000"/>
                <w:sz w:val="24"/>
              </w:rPr>
              <w:t>。</w:t>
            </w:r>
          </w:p>
          <w:p>
            <w:pPr>
              <w:topLinePunct/>
              <w:spacing w:line="360" w:lineRule="auto"/>
              <w:ind w:firstLine="480" w:firstLineChars="200"/>
              <w:rPr>
                <w:sz w:val="24"/>
              </w:rPr>
            </w:pPr>
            <w:r>
              <w:rPr>
                <w:rFonts w:hint="eastAsia"/>
                <w:sz w:val="24"/>
              </w:rPr>
              <w:t>③</w:t>
            </w:r>
            <w:r>
              <w:rPr>
                <w:sz w:val="24"/>
              </w:rPr>
              <w:t>病房住院患者用水</w:t>
            </w:r>
          </w:p>
          <w:p>
            <w:pPr>
              <w:topLinePunct/>
              <w:spacing w:line="360" w:lineRule="auto"/>
              <w:ind w:firstLine="480" w:firstLineChars="200"/>
              <w:rPr>
                <w:color w:val="0000FF"/>
                <w:sz w:val="24"/>
              </w:rPr>
            </w:pPr>
            <w:r>
              <w:rPr>
                <w:rFonts w:hint="eastAsia"/>
                <w:color w:val="000000"/>
                <w:sz w:val="24"/>
              </w:rPr>
              <w:t>根据《</w:t>
            </w:r>
            <w:r>
              <w:rPr>
                <w:color w:val="000000"/>
                <w:sz w:val="24"/>
              </w:rPr>
              <w:t>建筑给水排水设计标准</w:t>
            </w:r>
            <w:r>
              <w:rPr>
                <w:rFonts w:hint="eastAsia"/>
                <w:color w:val="000000"/>
                <w:sz w:val="24"/>
              </w:rPr>
              <w:t>》（GB50015-2019），</w:t>
            </w:r>
            <w:r>
              <w:rPr>
                <w:color w:val="000000"/>
                <w:sz w:val="24"/>
              </w:rPr>
              <w:t>病房住院患者用水量按</w:t>
            </w:r>
            <w:r>
              <w:rPr>
                <w:rFonts w:hint="eastAsia"/>
                <w:color w:val="000000"/>
                <w:sz w:val="24"/>
              </w:rPr>
              <w:t>300</w:t>
            </w:r>
            <w:r>
              <w:rPr>
                <w:color w:val="000000"/>
                <w:sz w:val="24"/>
              </w:rPr>
              <w:t>L/人·d进行计算，病房床位总数为</w:t>
            </w:r>
            <w:r>
              <w:rPr>
                <w:rFonts w:hint="eastAsia"/>
                <w:color w:val="000000"/>
                <w:sz w:val="24"/>
              </w:rPr>
              <w:t>204</w:t>
            </w:r>
            <w:r>
              <w:rPr>
                <w:color w:val="000000"/>
                <w:sz w:val="24"/>
              </w:rPr>
              <w:t>张，则用水量为</w:t>
            </w:r>
            <w:r>
              <w:rPr>
                <w:rFonts w:hint="eastAsia"/>
                <w:color w:val="000000"/>
                <w:sz w:val="24"/>
              </w:rPr>
              <w:t>61.20</w:t>
            </w:r>
            <w:r>
              <w:rPr>
                <w:color w:val="000000"/>
                <w:sz w:val="24"/>
              </w:rPr>
              <w:t>m</w:t>
            </w:r>
            <w:r>
              <w:rPr>
                <w:color w:val="000000"/>
                <w:sz w:val="24"/>
                <w:vertAlign w:val="superscript"/>
              </w:rPr>
              <w:t>3</w:t>
            </w:r>
            <w:r>
              <w:rPr>
                <w:color w:val="000000"/>
                <w:sz w:val="24"/>
              </w:rPr>
              <w:t>/d；陪护人员用水按50L/人·d进行计算，则用水量为</w:t>
            </w:r>
            <w:r>
              <w:rPr>
                <w:rFonts w:hint="eastAsia"/>
                <w:color w:val="000000"/>
                <w:sz w:val="24"/>
              </w:rPr>
              <w:t>10.20</w:t>
            </w:r>
            <w:r>
              <w:rPr>
                <w:color w:val="000000"/>
                <w:sz w:val="24"/>
              </w:rPr>
              <w:t>m</w:t>
            </w:r>
            <w:r>
              <w:rPr>
                <w:color w:val="000000"/>
                <w:sz w:val="24"/>
                <w:vertAlign w:val="superscript"/>
              </w:rPr>
              <w:t>3</w:t>
            </w:r>
            <w:r>
              <w:rPr>
                <w:color w:val="000000"/>
                <w:sz w:val="24"/>
              </w:rPr>
              <w:t>/d（陪护人数与床位数1∶1计）</w:t>
            </w:r>
            <w:r>
              <w:rPr>
                <w:rFonts w:hint="eastAsia"/>
                <w:color w:val="000000"/>
                <w:sz w:val="24"/>
              </w:rPr>
              <w:t>。</w:t>
            </w:r>
          </w:p>
          <w:p>
            <w:pPr>
              <w:topLinePunct/>
              <w:spacing w:line="360" w:lineRule="auto"/>
              <w:ind w:firstLine="480" w:firstLineChars="200"/>
              <w:rPr>
                <w:color w:val="0000FF"/>
                <w:sz w:val="24"/>
              </w:rPr>
            </w:pPr>
            <w:r>
              <w:rPr>
                <w:rFonts w:hint="eastAsia"/>
                <w:sz w:val="24"/>
              </w:rPr>
              <w:t>④</w:t>
            </w:r>
            <w:r>
              <w:rPr>
                <w:sz w:val="24"/>
              </w:rPr>
              <w:t>其他用水</w:t>
            </w:r>
          </w:p>
          <w:p>
            <w:pPr>
              <w:topLinePunct/>
              <w:spacing w:line="360" w:lineRule="auto"/>
              <w:ind w:firstLine="480" w:firstLineChars="200"/>
              <w:rPr>
                <w:color w:val="000000"/>
                <w:sz w:val="24"/>
              </w:rPr>
            </w:pPr>
            <w:r>
              <w:rPr>
                <w:rFonts w:hint="eastAsia"/>
                <w:color w:val="000000"/>
                <w:sz w:val="24"/>
              </w:rPr>
              <w:t>根据《</w:t>
            </w:r>
            <w:r>
              <w:rPr>
                <w:color w:val="000000"/>
                <w:sz w:val="24"/>
              </w:rPr>
              <w:t>建筑给水排水设计标准</w:t>
            </w:r>
            <w:r>
              <w:rPr>
                <w:rFonts w:hint="eastAsia"/>
                <w:color w:val="000000"/>
                <w:sz w:val="24"/>
              </w:rPr>
              <w:t>》（GB50015-2019），</w:t>
            </w:r>
            <w:r>
              <w:rPr>
                <w:color w:val="000000"/>
                <w:sz w:val="24"/>
              </w:rPr>
              <w:t>杂用水按1.2</w:t>
            </w:r>
            <w:r>
              <w:rPr>
                <w:rFonts w:hint="eastAsia"/>
                <w:color w:val="000000"/>
                <w:sz w:val="24"/>
              </w:rPr>
              <w:t>0</w:t>
            </w:r>
            <w:r>
              <w:rPr>
                <w:color w:val="000000"/>
                <w:sz w:val="24"/>
              </w:rPr>
              <w:t>m</w:t>
            </w:r>
            <w:r>
              <w:rPr>
                <w:color w:val="000000"/>
                <w:sz w:val="24"/>
                <w:vertAlign w:val="superscript"/>
              </w:rPr>
              <w:t>3</w:t>
            </w:r>
            <w:r>
              <w:rPr>
                <w:color w:val="000000"/>
                <w:sz w:val="24"/>
              </w:rPr>
              <w:t>/d进行计算；未预见用水按总用水量的10%计，则未预见用水量为</w:t>
            </w:r>
            <w:r>
              <w:rPr>
                <w:rFonts w:hint="eastAsia"/>
                <w:color w:val="000000"/>
                <w:sz w:val="24"/>
              </w:rPr>
              <w:t>8.50</w:t>
            </w:r>
            <w:r>
              <w:rPr>
                <w:color w:val="000000"/>
                <w:sz w:val="24"/>
              </w:rPr>
              <w:t>m</w:t>
            </w:r>
            <w:r>
              <w:rPr>
                <w:color w:val="000000"/>
                <w:sz w:val="24"/>
                <w:vertAlign w:val="superscript"/>
              </w:rPr>
              <w:t>3</w:t>
            </w:r>
            <w:r>
              <w:rPr>
                <w:color w:val="000000"/>
                <w:sz w:val="24"/>
              </w:rPr>
              <w:t>/d。</w:t>
            </w:r>
          </w:p>
          <w:p>
            <w:pPr>
              <w:topLinePunct/>
              <w:spacing w:line="360" w:lineRule="auto"/>
              <w:ind w:firstLine="480" w:firstLineChars="200"/>
              <w:rPr>
                <w:sz w:val="24"/>
                <w:highlight w:val="yellow"/>
              </w:rPr>
            </w:pPr>
            <w:r>
              <w:rPr>
                <w:color w:val="000000"/>
                <w:sz w:val="24"/>
              </w:rPr>
              <w:t>本项目总用水量为</w:t>
            </w:r>
            <w:r>
              <w:rPr>
                <w:rFonts w:hint="eastAsia"/>
                <w:color w:val="000000"/>
                <w:sz w:val="24"/>
              </w:rPr>
              <w:t>85.51</w:t>
            </w:r>
            <w:r>
              <w:rPr>
                <w:color w:val="000000"/>
                <w:sz w:val="24"/>
              </w:rPr>
              <w:t>m</w:t>
            </w:r>
            <w:r>
              <w:rPr>
                <w:color w:val="000000"/>
                <w:sz w:val="24"/>
                <w:vertAlign w:val="superscript"/>
              </w:rPr>
              <w:t>3</w:t>
            </w:r>
            <w:r>
              <w:rPr>
                <w:color w:val="000000"/>
                <w:sz w:val="24"/>
              </w:rPr>
              <w:t>/d</w:t>
            </w:r>
            <w:r>
              <w:rPr>
                <w:rFonts w:hint="eastAsia"/>
                <w:color w:val="000000"/>
                <w:sz w:val="24"/>
              </w:rPr>
              <w:t>，</w:t>
            </w:r>
            <w:r>
              <w:rPr>
                <w:color w:val="000000"/>
                <w:sz w:val="24"/>
              </w:rPr>
              <w:t>供水由市政供水系统供给，可满足本项目用水需求。</w:t>
            </w:r>
          </w:p>
          <w:p>
            <w:pPr>
              <w:spacing w:line="360" w:lineRule="auto"/>
              <w:ind w:right="-27" w:firstLine="480" w:firstLineChars="200"/>
              <w:rPr>
                <w:sz w:val="24"/>
              </w:rPr>
            </w:pPr>
            <w:r>
              <w:rPr>
                <w:sz w:val="24"/>
              </w:rPr>
              <w:t>（2）排水</w:t>
            </w:r>
          </w:p>
          <w:p>
            <w:pPr>
              <w:spacing w:line="360" w:lineRule="auto"/>
              <w:ind w:firstLine="480" w:firstLineChars="200"/>
              <w:rPr>
                <w:sz w:val="24"/>
                <w:highlight w:val="yellow"/>
              </w:rPr>
            </w:pPr>
            <w:r>
              <w:rPr>
                <w:sz w:val="24"/>
              </w:rPr>
              <w:t>本项目</w:t>
            </w:r>
            <w:r>
              <w:rPr>
                <w:color w:val="000000"/>
                <w:sz w:val="24"/>
              </w:rPr>
              <w:t>运营期</w:t>
            </w:r>
            <w:r>
              <w:rPr>
                <w:sz w:val="24"/>
              </w:rPr>
              <w:t>排水主要为</w:t>
            </w:r>
            <w:r>
              <w:rPr>
                <w:color w:val="000000"/>
                <w:sz w:val="24"/>
              </w:rPr>
              <w:t>医</w:t>
            </w:r>
            <w:r>
              <w:rPr>
                <w:rFonts w:hint="eastAsia"/>
                <w:sz w:val="24"/>
              </w:rPr>
              <w:t>护</w:t>
            </w:r>
            <w:r>
              <w:rPr>
                <w:color w:val="000000"/>
                <w:sz w:val="24"/>
              </w:rPr>
              <w:t>人员废水、就诊人员废水、病房住院患者废水、陪护人员废水和</w:t>
            </w:r>
            <w:r>
              <w:rPr>
                <w:rFonts w:hint="eastAsia"/>
                <w:color w:val="000000"/>
                <w:sz w:val="24"/>
              </w:rPr>
              <w:t>其他</w:t>
            </w:r>
            <w:r>
              <w:rPr>
                <w:color w:val="000000"/>
                <w:sz w:val="24"/>
              </w:rPr>
              <w:t>废水。</w:t>
            </w:r>
            <w:r>
              <w:rPr>
                <w:color w:val="000000"/>
                <w:sz w:val="24"/>
                <w:lang w:val="zh-CN"/>
              </w:rPr>
              <w:t>本项目排水量按用水量8</w:t>
            </w:r>
            <w:r>
              <w:rPr>
                <w:color w:val="000000"/>
                <w:sz w:val="24"/>
              </w:rPr>
              <w:t>0</w:t>
            </w:r>
            <w:r>
              <w:rPr>
                <w:color w:val="000000"/>
                <w:sz w:val="24"/>
                <w:lang w:val="zh-CN"/>
              </w:rPr>
              <w:t>%进行计算，</w:t>
            </w:r>
            <w:r>
              <w:rPr>
                <w:color w:val="000000"/>
                <w:sz w:val="24"/>
              </w:rPr>
              <w:t>本项目总用水量为</w:t>
            </w:r>
            <w:r>
              <w:rPr>
                <w:rFonts w:hint="eastAsia"/>
                <w:color w:val="000000"/>
                <w:sz w:val="24"/>
              </w:rPr>
              <w:t>85.51</w:t>
            </w:r>
            <w:r>
              <w:rPr>
                <w:color w:val="000000"/>
                <w:sz w:val="24"/>
              </w:rPr>
              <w:t>m</w:t>
            </w:r>
            <w:r>
              <w:rPr>
                <w:color w:val="000000"/>
                <w:sz w:val="24"/>
                <w:vertAlign w:val="superscript"/>
              </w:rPr>
              <w:t>3</w:t>
            </w:r>
            <w:r>
              <w:rPr>
                <w:color w:val="000000"/>
                <w:sz w:val="24"/>
              </w:rPr>
              <w:t>/d</w:t>
            </w:r>
            <w:r>
              <w:rPr>
                <w:rFonts w:hint="eastAsia"/>
                <w:color w:val="000000"/>
                <w:sz w:val="24"/>
              </w:rPr>
              <w:t>，</w:t>
            </w:r>
            <w:r>
              <w:rPr>
                <w:color w:val="000000"/>
                <w:sz w:val="24"/>
                <w:lang w:val="zh-CN"/>
              </w:rPr>
              <w:t>则污水排放量为</w:t>
            </w:r>
            <w:r>
              <w:rPr>
                <w:rFonts w:hint="eastAsia"/>
                <w:color w:val="000000"/>
                <w:sz w:val="24"/>
              </w:rPr>
              <w:t>68.41</w:t>
            </w:r>
            <w:r>
              <w:rPr>
                <w:color w:val="000000"/>
                <w:sz w:val="24"/>
                <w:lang w:val="zh-CN"/>
              </w:rPr>
              <w:t>m</w:t>
            </w:r>
            <w:r>
              <w:rPr>
                <w:color w:val="000000"/>
                <w:sz w:val="24"/>
                <w:vertAlign w:val="superscript"/>
                <w:lang w:val="zh-CN"/>
              </w:rPr>
              <w:t>3</w:t>
            </w:r>
            <w:r>
              <w:rPr>
                <w:color w:val="000000"/>
                <w:sz w:val="24"/>
                <w:lang w:val="zh-CN"/>
              </w:rPr>
              <w:t>/d</w:t>
            </w:r>
            <w:r>
              <w:rPr>
                <w:color w:val="000000"/>
                <w:sz w:val="24"/>
              </w:rPr>
              <w:t>（</w:t>
            </w:r>
            <w:r>
              <w:rPr>
                <w:rFonts w:hint="eastAsia"/>
                <w:color w:val="000000"/>
                <w:sz w:val="24"/>
              </w:rPr>
              <w:t>24627.6</w:t>
            </w:r>
            <w:r>
              <w:rPr>
                <w:color w:val="000000"/>
                <w:sz w:val="24"/>
                <w:lang w:val="zh-CN"/>
              </w:rPr>
              <w:t>m</w:t>
            </w:r>
            <w:r>
              <w:rPr>
                <w:color w:val="000000"/>
                <w:sz w:val="24"/>
                <w:vertAlign w:val="superscript"/>
                <w:lang w:val="zh-CN"/>
              </w:rPr>
              <w:t>3</w:t>
            </w:r>
            <w:r>
              <w:rPr>
                <w:color w:val="000000"/>
                <w:sz w:val="24"/>
                <w:lang w:val="zh-CN"/>
              </w:rPr>
              <w:t>/</w:t>
            </w:r>
            <w:r>
              <w:rPr>
                <w:color w:val="000000"/>
                <w:sz w:val="24"/>
              </w:rPr>
              <w:t>a）</w:t>
            </w:r>
            <w:r>
              <w:rPr>
                <w:color w:val="000000"/>
                <w:sz w:val="24"/>
                <w:lang w:val="zh-CN"/>
              </w:rPr>
              <w:t>。</w:t>
            </w:r>
            <w:r>
              <w:rPr>
                <w:color w:val="000000"/>
                <w:sz w:val="24"/>
              </w:rPr>
              <w:t>项目区所在地设有下水管网，废水经污水管道进入</w:t>
            </w:r>
            <w:r>
              <w:rPr>
                <w:rFonts w:hint="eastAsia"/>
                <w:color w:val="000000"/>
                <w:sz w:val="24"/>
              </w:rPr>
              <w:t>昌吉州</w:t>
            </w:r>
            <w:r>
              <w:rPr>
                <w:color w:val="000000"/>
                <w:sz w:val="24"/>
              </w:rPr>
              <w:t>中医医院现有污水处理站，达到</w:t>
            </w:r>
            <w:r>
              <w:rPr>
                <w:rFonts w:hint="eastAsia"/>
                <w:color w:val="000000"/>
                <w:sz w:val="24"/>
              </w:rPr>
              <w:t>排放</w:t>
            </w:r>
            <w:r>
              <w:rPr>
                <w:color w:val="000000"/>
                <w:sz w:val="24"/>
              </w:rPr>
              <w:t>标准后排入</w:t>
            </w:r>
            <w:r>
              <w:rPr>
                <w:rFonts w:hint="eastAsia"/>
                <w:color w:val="000000"/>
                <w:sz w:val="24"/>
              </w:rPr>
              <w:t>市政</w:t>
            </w:r>
            <w:r>
              <w:rPr>
                <w:color w:val="000000"/>
                <w:sz w:val="24"/>
              </w:rPr>
              <w:t>污水</w:t>
            </w:r>
            <w:r>
              <w:rPr>
                <w:rFonts w:hint="eastAsia"/>
                <w:color w:val="000000"/>
                <w:sz w:val="24"/>
              </w:rPr>
              <w:t>管网</w:t>
            </w:r>
            <w:r>
              <w:rPr>
                <w:color w:val="000000"/>
                <w:sz w:val="24"/>
              </w:rPr>
              <w:t>，最终进入</w:t>
            </w:r>
            <w:r>
              <w:rPr>
                <w:rFonts w:hint="eastAsia"/>
                <w:sz w:val="24"/>
              </w:rPr>
              <w:t>昌吉市第二污水处理厂</w:t>
            </w:r>
            <w:r>
              <w:rPr>
                <w:color w:val="000000"/>
                <w:sz w:val="24"/>
              </w:rPr>
              <w:t>处理。</w:t>
            </w:r>
          </w:p>
          <w:p>
            <w:pPr>
              <w:spacing w:line="360" w:lineRule="auto"/>
              <w:ind w:firstLine="420" w:firstLineChars="200"/>
              <w:rPr>
                <w:b/>
                <w:bCs/>
              </w:rPr>
            </w:pPr>
            <w:r>
              <mc:AlternateContent>
                <mc:Choice Requires="wps">
                  <w:drawing>
                    <wp:anchor distT="0" distB="0" distL="114300" distR="114300" simplePos="0" relativeHeight="251682816" behindDoc="0" locked="0" layoutInCell="1" allowOverlap="1">
                      <wp:simplePos x="0" y="0"/>
                      <wp:positionH relativeFrom="column">
                        <wp:posOffset>2671445</wp:posOffset>
                      </wp:positionH>
                      <wp:positionV relativeFrom="paragraph">
                        <wp:posOffset>269240</wp:posOffset>
                      </wp:positionV>
                      <wp:extent cx="511810" cy="257810"/>
                      <wp:effectExtent l="0" t="0" r="6350" b="1270"/>
                      <wp:wrapNone/>
                      <wp:docPr id="46" name="文本框 180"/>
                      <wp:cNvGraphicFramePr/>
                      <a:graphic xmlns:a="http://schemas.openxmlformats.org/drawingml/2006/main">
                        <a:graphicData uri="http://schemas.microsoft.com/office/word/2010/wordprocessingShape">
                          <wps:wsp>
                            <wps:cNvSpPr txBox="1"/>
                            <wps:spPr>
                              <a:xfrm>
                                <a:off x="4194810" y="3479800"/>
                                <a:ext cx="511810" cy="257810"/>
                              </a:xfrm>
                              <a:prstGeom prst="rect">
                                <a:avLst/>
                              </a:prstGeom>
                              <a:solidFill>
                                <a:srgbClr val="FFFFFF"/>
                              </a:solidFill>
                              <a:ln>
                                <a:noFill/>
                              </a:ln>
                            </wps:spPr>
                            <wps:txbx>
                              <w:txbxContent>
                                <w:p>
                                  <w:r>
                                    <w:rPr>
                                      <w:rFonts w:hint="eastAsia"/>
                                    </w:rPr>
                                    <w:t>1.90</w:t>
                                  </w:r>
                                </w:p>
                              </w:txbxContent>
                            </wps:txbx>
                            <wps:bodyPr vert="horz" wrap="square" anchor="t" anchorCtr="0" upright="1"/>
                          </wps:wsp>
                        </a:graphicData>
                      </a:graphic>
                    </wp:anchor>
                  </w:drawing>
                </mc:Choice>
                <mc:Fallback>
                  <w:pict>
                    <v:shape id="文本框 180" o:spid="_x0000_s1026" o:spt="202" type="#_x0000_t202" style="position:absolute;left:0pt;margin-left:210.35pt;margin-top:21.2pt;height:20.3pt;width:40.3pt;z-index:251682816;mso-width-relative:page;mso-height-relative:page;" fillcolor="#FFFFFF" filled="t" stroked="f" coordsize="21600,21600" o:gfxdata="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UIiq&#10;1wAAAAkBAAAPAAAAAAAAAAEAIAAAACIAAABkcnMvZG93bnJldi54bWxQSwECFAAUAAAACACHTuJA&#10;bkfBd+kBAAC4AwAADgAAAAAAAAABACAAAAAmAQAAZHJzL2Uyb0RvYy54bWxQSwUGAAAAAAYABgBZ&#10;AQAAgQUAAAAA&#10;">
                      <v:fill on="t" focussize="0,0"/>
                      <v:stroke on="f"/>
                      <v:imagedata o:title=""/>
                      <o:lock v:ext="edit" aspectratio="f"/>
                      <v:textbox>
                        <w:txbxContent>
                          <w:p>
                            <w:r>
                              <w:rPr>
                                <w:rFonts w:hint="eastAsia"/>
                              </w:rPr>
                              <w:t>1.90</w:t>
                            </w:r>
                          </w:p>
                        </w:txbxContent>
                      </v:textbox>
                    </v:shape>
                  </w:pict>
                </mc:Fallback>
              </mc:AlternateContent>
            </w:r>
            <w:r>
              <w:rPr>
                <w:sz w:val="24"/>
              </w:rPr>
              <w:t>本项目水平衡详见图2-1。</w:t>
            </w:r>
          </w:p>
          <w:p>
            <w:pPr>
              <w:jc w:val="center"/>
              <w:rPr>
                <w:b/>
                <w:bCs/>
              </w:rPr>
            </w:pPr>
            <w:r>
              <mc:AlternateContent>
                <mc:Choice Requires="wps">
                  <w:drawing>
                    <wp:anchor distT="0" distB="0" distL="114300" distR="114300" simplePos="0" relativeHeight="251675648" behindDoc="0" locked="0" layoutInCell="1" allowOverlap="1">
                      <wp:simplePos x="0" y="0"/>
                      <wp:positionH relativeFrom="column">
                        <wp:posOffset>1297940</wp:posOffset>
                      </wp:positionH>
                      <wp:positionV relativeFrom="paragraph">
                        <wp:posOffset>99695</wp:posOffset>
                      </wp:positionV>
                      <wp:extent cx="1267460" cy="339090"/>
                      <wp:effectExtent l="4445" t="4445" r="8255" b="6985"/>
                      <wp:wrapNone/>
                      <wp:docPr id="33" name="文本框 168"/>
                      <wp:cNvGraphicFramePr/>
                      <a:graphic xmlns:a="http://schemas.openxmlformats.org/drawingml/2006/main">
                        <a:graphicData uri="http://schemas.microsoft.com/office/word/2010/wordprocessingShape">
                          <wps:wsp>
                            <wps:cNvSpPr txBox="1"/>
                            <wps:spPr>
                              <a:xfrm>
                                <a:off x="0" y="0"/>
                                <a:ext cx="1267460" cy="339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szCs w:val="21"/>
                                    </w:rPr>
                                    <w:t>医</w:t>
                                  </w:r>
                                  <w:r>
                                    <w:rPr>
                                      <w:rFonts w:hint="eastAsia"/>
                                      <w:szCs w:val="21"/>
                                    </w:rPr>
                                    <w:t>护</w:t>
                                  </w:r>
                                  <w:r>
                                    <w:rPr>
                                      <w:szCs w:val="21"/>
                                    </w:rPr>
                                    <w:t>人员用水</w:t>
                                  </w:r>
                                </w:p>
                              </w:txbxContent>
                            </wps:txbx>
                            <wps:bodyPr vert="horz" wrap="square" anchor="t" anchorCtr="0" upright="1"/>
                          </wps:wsp>
                        </a:graphicData>
                      </a:graphic>
                    </wp:anchor>
                  </w:drawing>
                </mc:Choice>
                <mc:Fallback>
                  <w:pict>
                    <v:shape id="文本框 168" o:spid="_x0000_s1026" o:spt="202" type="#_x0000_t202" style="position:absolute;left:0pt;margin-left:102.2pt;margin-top:7.85pt;height:26.7pt;width:99.8pt;z-index:251675648;mso-width-relative:page;mso-height-relative:page;" fillcolor="#FFFFFF" filled="t" stroked="t" coordsize="21600,21600" o:gfxdata="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CkeotgAAAAJAQAADwAAAAAAAAABACAAAAAiAAAAZHJzL2Rvd25yZXYueG1sUEsB&#10;AhQAFAAAAAgAh07iQOFfrpwuAgAAbAQAAA4AAAAAAAAAAQAgAAAAJwEAAGRycy9lMm9Eb2MueG1s&#10;UEsFBgAAAAAGAAYAWQEAAMcFAAAAAA==&#10;">
                      <v:fill on="t" focussize="0,0"/>
                      <v:stroke color="#000000" joinstyle="miter"/>
                      <v:imagedata o:title=""/>
                      <o:lock v:ext="edit" aspectratio="f"/>
                      <v:textbox>
                        <w:txbxContent>
                          <w:p>
                            <w:pPr>
                              <w:jc w:val="center"/>
                              <w:rPr>
                                <w:szCs w:val="21"/>
                              </w:rPr>
                            </w:pPr>
                            <w:r>
                              <w:rPr>
                                <w:szCs w:val="21"/>
                              </w:rPr>
                              <w:t>医</w:t>
                            </w:r>
                            <w:r>
                              <w:rPr>
                                <w:rFonts w:hint="eastAsia"/>
                                <w:szCs w:val="21"/>
                              </w:rPr>
                              <w:t>护</w:t>
                            </w:r>
                            <w:r>
                              <w:rPr>
                                <w:szCs w:val="21"/>
                              </w:rPr>
                              <w:t>人员用水</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667385</wp:posOffset>
                      </wp:positionH>
                      <wp:positionV relativeFrom="paragraph">
                        <wp:posOffset>5080</wp:posOffset>
                      </wp:positionV>
                      <wp:extent cx="511810" cy="257810"/>
                      <wp:effectExtent l="0" t="0" r="6350" b="1270"/>
                      <wp:wrapNone/>
                      <wp:docPr id="26" name="文本框 161"/>
                      <wp:cNvGraphicFramePr/>
                      <a:graphic xmlns:a="http://schemas.openxmlformats.org/drawingml/2006/main">
                        <a:graphicData uri="http://schemas.microsoft.com/office/word/2010/wordprocessingShape">
                          <wps:wsp>
                            <wps:cNvSpPr txBox="1"/>
                            <wps:spPr>
                              <a:xfrm>
                                <a:off x="0" y="0"/>
                                <a:ext cx="511810" cy="257810"/>
                              </a:xfrm>
                              <a:prstGeom prst="rect">
                                <a:avLst/>
                              </a:prstGeom>
                              <a:solidFill>
                                <a:srgbClr val="FFFFFF"/>
                              </a:solidFill>
                              <a:ln>
                                <a:noFill/>
                              </a:ln>
                            </wps:spPr>
                            <wps:txbx>
                              <w:txbxContent>
                                <w:p>
                                  <w:r>
                                    <w:rPr>
                                      <w:rFonts w:hint="eastAsia"/>
                                    </w:rPr>
                                    <w:t>2.37</w:t>
                                  </w:r>
                                </w:p>
                              </w:txbxContent>
                            </wps:txbx>
                            <wps:bodyPr wrap="square" upright="1"/>
                          </wps:wsp>
                        </a:graphicData>
                      </a:graphic>
                    </wp:anchor>
                  </w:drawing>
                </mc:Choice>
                <mc:Fallback>
                  <w:pict>
                    <v:shape id="文本框 161" o:spid="_x0000_s1026" o:spt="202" type="#_x0000_t202" style="position:absolute;left:0pt;margin-left:52.55pt;margin-top:0.4pt;height:20.3pt;width:40.3pt;z-index:251668480;mso-width-relative:page;mso-height-relative:page;" fillcolor="#FFFFFF" filled="t" stroked="f" coordsize="21600,21600" o:gfxdata="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7jl571AAAAAcBAAAPAAAAAAAAAAEAIAAAACIAAABkcnMvZG93&#10;bnJldi54bWxQSwECFAAUAAAACACHTuJAOnUmi8sBAACHAwAADgAAAAAAAAABACAAAAAjAQAAZHJz&#10;L2Uyb0RvYy54bWxQSwUGAAAAAAYABgBZAQAAYAUAAAAA&#10;">
                      <v:fill on="t" focussize="0,0"/>
                      <v:stroke on="f"/>
                      <v:imagedata o:title=""/>
                      <o:lock v:ext="edit" aspectratio="f"/>
                      <v:textbox>
                        <w:txbxContent>
                          <w:p>
                            <w:r>
                              <w:rPr>
                                <w:rFonts w:hint="eastAsia"/>
                              </w:rPr>
                              <w:t>2.37</w:t>
                            </w:r>
                          </w:p>
                        </w:txbxContent>
                      </v:textbox>
                    </v:shape>
                  </w:pict>
                </mc:Fallback>
              </mc:AlternateContent>
            </w:r>
          </w:p>
          <w:p>
            <w:pPr>
              <w:pStyle w:val="2"/>
              <w:rPr>
                <w:b/>
                <w:bCs/>
              </w:rPr>
            </w:pPr>
            <w:r>
              <w:rPr>
                <w:sz w:val="21"/>
              </w:rPr>
              <mc:AlternateContent>
                <mc:Choice Requires="wps">
                  <w:drawing>
                    <wp:anchor distT="0" distB="0" distL="114300" distR="114300" simplePos="0" relativeHeight="251705344" behindDoc="0" locked="0" layoutInCell="1" allowOverlap="1">
                      <wp:simplePos x="0" y="0"/>
                      <wp:positionH relativeFrom="column">
                        <wp:posOffset>2566035</wp:posOffset>
                      </wp:positionH>
                      <wp:positionV relativeFrom="paragraph">
                        <wp:posOffset>88900</wp:posOffset>
                      </wp:positionV>
                      <wp:extent cx="666750" cy="0"/>
                      <wp:effectExtent l="0" t="0" r="0" b="0"/>
                      <wp:wrapNone/>
                      <wp:docPr id="17" name="直接连接符 17"/>
                      <wp:cNvGraphicFramePr/>
                      <a:graphic xmlns:a="http://schemas.openxmlformats.org/drawingml/2006/main">
                        <a:graphicData uri="http://schemas.microsoft.com/office/word/2010/wordprocessingShape">
                          <wps:wsp>
                            <wps:cNvCnPr/>
                            <wps:spPr>
                              <a:xfrm>
                                <a:off x="4072255" y="386715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2.05pt;margin-top:7pt;height:0pt;width:52.5pt;z-index:251705344;mso-width-relative:page;mso-height-relative:page;" filled="f" stroked="t" coordsize="21600,21600" o:gfxdata="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lGM9YAAAAJ&#10;AQAADwAAAAAAAAABACAAAAAiAAAAZHJzL2Rvd25yZXYueG1sUEsBAhQAFAAAAAgAh07iQINvh3fl&#10;AQAAqAMAAA4AAAAAAAAAAQAgAAAAJQEAAGRycy9lMm9Eb2MueG1sUEsFBgAAAAAGAAYAWQEAAHwF&#10;AAAAAA==&#10;">
                      <v:fill on="f" focussize="0,0"/>
                      <v:stroke weight="1pt" color="#000000 [3213]" joinstyle="round"/>
                      <v:imagedata o:title=""/>
                      <o:lock v:ext="edit" aspectratio="f"/>
                    </v:line>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3216910</wp:posOffset>
                      </wp:positionH>
                      <wp:positionV relativeFrom="paragraph">
                        <wp:posOffset>82550</wp:posOffset>
                      </wp:positionV>
                      <wp:extent cx="586740" cy="2984500"/>
                      <wp:effectExtent l="0" t="0" r="0" b="2540"/>
                      <wp:wrapNone/>
                      <wp:docPr id="56" name="组合 192"/>
                      <wp:cNvGraphicFramePr/>
                      <a:graphic xmlns:a="http://schemas.openxmlformats.org/drawingml/2006/main">
                        <a:graphicData uri="http://schemas.microsoft.com/office/word/2010/wordprocessingGroup">
                          <wpg:wgp>
                            <wpg:cNvGrpSpPr/>
                            <wpg:grpSpPr>
                              <a:xfrm>
                                <a:off x="0" y="0"/>
                                <a:ext cx="586740" cy="2984500"/>
                                <a:chOff x="12255" y="213521"/>
                                <a:chExt cx="924" cy="4700"/>
                              </a:xfrm>
                            </wpg:grpSpPr>
                            <wps:wsp>
                              <wps:cNvPr id="53" name="直线 186"/>
                              <wps:cNvCnPr/>
                              <wps:spPr>
                                <a:xfrm>
                                  <a:off x="12277" y="213521"/>
                                  <a:ext cx="11" cy="4700"/>
                                </a:xfrm>
                                <a:prstGeom prst="line">
                                  <a:avLst/>
                                </a:prstGeom>
                                <a:ln w="9525" cap="flat" cmpd="sng">
                                  <a:solidFill>
                                    <a:srgbClr val="000000"/>
                                  </a:solidFill>
                                  <a:prstDash val="solid"/>
                                  <a:headEnd type="none" w="med" len="med"/>
                                  <a:tailEnd type="none" w="med" len="med"/>
                                </a:ln>
                              </wps:spPr>
                              <wps:bodyPr/>
                            </wps:wsp>
                            <wps:wsp>
                              <wps:cNvPr id="54" name="直线 187"/>
                              <wps:cNvCnPr/>
                              <wps:spPr>
                                <a:xfrm flipV="1">
                                  <a:off x="12288" y="215815"/>
                                  <a:ext cx="754" cy="1"/>
                                </a:xfrm>
                                <a:prstGeom prst="line">
                                  <a:avLst/>
                                </a:prstGeom>
                                <a:ln w="9525" cap="flat" cmpd="sng">
                                  <a:solidFill>
                                    <a:srgbClr val="000000"/>
                                  </a:solidFill>
                                  <a:prstDash val="solid"/>
                                  <a:headEnd type="none" w="med" len="med"/>
                                  <a:tailEnd type="arrow" w="med" len="med"/>
                                </a:ln>
                              </wps:spPr>
                              <wps:bodyPr/>
                            </wps:wsp>
                            <wps:wsp>
                              <wps:cNvPr id="55" name="文本框 188"/>
                              <wps:cNvSpPr txBox="1"/>
                              <wps:spPr>
                                <a:xfrm>
                                  <a:off x="12255" y="215369"/>
                                  <a:ext cx="925" cy="406"/>
                                </a:xfrm>
                                <a:prstGeom prst="rect">
                                  <a:avLst/>
                                </a:prstGeom>
                                <a:noFill/>
                                <a:ln>
                                  <a:noFill/>
                                </a:ln>
                              </wps:spPr>
                              <wps:txbx>
                                <w:txbxContent>
                                  <w:p>
                                    <w:r>
                                      <w:rPr>
                                        <w:rFonts w:hint="eastAsia"/>
                                      </w:rPr>
                                      <w:t>68.41</w:t>
                                    </w:r>
                                  </w:p>
                                </w:txbxContent>
                              </wps:txbx>
                              <wps:bodyPr vert="horz" wrap="square" anchor="t" anchorCtr="0" upright="1"/>
                            </wps:wsp>
                          </wpg:wgp>
                        </a:graphicData>
                      </a:graphic>
                    </wp:anchor>
                  </w:drawing>
                </mc:Choice>
                <mc:Fallback>
                  <w:pict>
                    <v:group id="组合 192" o:spid="_x0000_s1026" o:spt="203" style="position:absolute;left:0pt;margin-left:253.3pt;margin-top:6.5pt;height:235pt;width:46.2pt;z-index:251688960;mso-width-relative:page;mso-height-relative:page;" coordorigin="12255,213521" coordsize="924,4700" o:gfxdata="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CClnlo2QAAAAoBAAAPAAAAAAAAAAEAIAAAACIAAABkcnMv&#10;ZG93bnJldi54bWxQSwECFAAUAAAACACHTuJArUvpZB8DAAC6CAAADgAAAAAAAAABACAAAAAoAQAA&#10;ZHJzL2Uyb0RvYy54bWxQSwUGAAAAAAYABgBZAQAAuQYAAAAA&#10;">
                      <o:lock v:ext="edit" aspectratio="f"/>
                      <v:line id="直线 186" o:spid="_x0000_s1026" o:spt="20" style="position:absolute;left:12277;top:213521;height:4700;width:11;"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87" o:spid="_x0000_s1026" o:spt="20" style="position:absolute;left:12288;top:215815;flip:y;height:1;width:754;" filled="f" stroked="t" coordsize="21600,21600" o:gfxdata="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GZms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文本框 188" o:spid="_x0000_s1026" o:spt="202" type="#_x0000_t202" style="position:absolute;left:12255;top:215369;height:406;width:925;" filled="f" stroked="f" coordsize="21600,21600" o:gfxdata="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rpyu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68.41</w:t>
                              </w:r>
                            </w:p>
                          </w:txbxContent>
                        </v:textbox>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624840</wp:posOffset>
                      </wp:positionH>
                      <wp:positionV relativeFrom="paragraph">
                        <wp:posOffset>83185</wp:posOffset>
                      </wp:positionV>
                      <wp:extent cx="651510" cy="635"/>
                      <wp:effectExtent l="0" t="48895" r="3810" b="57150"/>
                      <wp:wrapNone/>
                      <wp:docPr id="24" name="直线 159"/>
                      <wp:cNvGraphicFramePr/>
                      <a:graphic xmlns:a="http://schemas.openxmlformats.org/drawingml/2006/main">
                        <a:graphicData uri="http://schemas.microsoft.com/office/word/2010/wordprocessingShape">
                          <wps:wsp>
                            <wps:cNvCnPr/>
                            <wps:spPr>
                              <a:xfrm>
                                <a:off x="0" y="0"/>
                                <a:ext cx="65151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59" o:spid="_x0000_s1026" o:spt="20" style="position:absolute;left:0pt;margin-left:49.2pt;margin-top:6.55pt;height:0.05pt;width:51.3pt;z-index:251666432;mso-width-relative:page;mso-height-relative:page;" filled="f" stroked="t" coordsize="21600,21600" o:gfxdata="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AE4NPX&#10;AAAACAEAAA8AAAAAAAAAAQAgAAAAIgAAAGRycy9kb3ducmV2LnhtbFBLAQIUABQAAAAIAIdO4kCk&#10;ojP16AEAANQDAAAOAAAAAAAAAAEAIAAAACYBAABkcnMvZTJvRG9jLnhtbFBLBQYAAAAABgAGAFkB&#10;AACABQ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81915</wp:posOffset>
                      </wp:positionV>
                      <wp:extent cx="6985" cy="2963545"/>
                      <wp:effectExtent l="4445" t="0" r="19050" b="8255"/>
                      <wp:wrapNone/>
                      <wp:docPr id="20" name="直线 155"/>
                      <wp:cNvGraphicFramePr/>
                      <a:graphic xmlns:a="http://schemas.openxmlformats.org/drawingml/2006/main">
                        <a:graphicData uri="http://schemas.microsoft.com/office/word/2010/wordprocessingShape">
                          <wps:wsp>
                            <wps:cNvCnPr/>
                            <wps:spPr>
                              <a:xfrm>
                                <a:off x="0" y="0"/>
                                <a:ext cx="6985" cy="29635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55" o:spid="_x0000_s1026" o:spt="20" style="position:absolute;left:0pt;margin-left:49.3pt;margin-top:6.45pt;height:233.35pt;width:0.55pt;z-index:251662336;mso-width-relative:page;mso-height-relative:page;" filled="f" stroked="t" coordsize="21600,21600" o:gfxdata="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MgOkPXAAAA&#10;CAEAAA8AAAAAAAAAAQAgAAAAIgAAAGRycy9kb3ducmV2LnhtbFBLAQIUABQAAAAIAIdO4kB5o2JC&#10;5QEAANUDAAAOAAAAAAAAAAEAIAAAACYBAABkcnMvZTJvRG9jLnhtbFBLBQYAAAAABgAGAFkBAAB9&#10;BQAAAAA=&#10;">
                      <v:fill on="f" focussize="0,0"/>
                      <v:stroke color="#000000" joinstyle="round"/>
                      <v:imagedata o:title=""/>
                      <o:lock v:ext="edit" aspectratio="f"/>
                    </v:line>
                  </w:pict>
                </mc:Fallback>
              </mc:AlternateContent>
            </w:r>
          </w:p>
          <w:p>
            <w:pPr>
              <w:pStyle w:val="23"/>
              <w:rPr>
                <w:b/>
                <w:bCs/>
              </w:rPr>
            </w:pPr>
            <w:r>
              <mc:AlternateContent>
                <mc:Choice Requires="wps">
                  <w:drawing>
                    <wp:anchor distT="0" distB="0" distL="114300" distR="114300" simplePos="0" relativeHeight="251684864" behindDoc="0" locked="0" layoutInCell="1" allowOverlap="1">
                      <wp:simplePos x="0" y="0"/>
                      <wp:positionH relativeFrom="column">
                        <wp:posOffset>2684780</wp:posOffset>
                      </wp:positionH>
                      <wp:positionV relativeFrom="paragraph">
                        <wp:posOffset>86360</wp:posOffset>
                      </wp:positionV>
                      <wp:extent cx="488950" cy="257810"/>
                      <wp:effectExtent l="0" t="0" r="13970" b="1270"/>
                      <wp:wrapNone/>
                      <wp:docPr id="48" name="文本框 182"/>
                      <wp:cNvGraphicFramePr/>
                      <a:graphic xmlns:a="http://schemas.openxmlformats.org/drawingml/2006/main">
                        <a:graphicData uri="http://schemas.microsoft.com/office/word/2010/wordprocessingShape">
                          <wps:wsp>
                            <wps:cNvSpPr txBox="1"/>
                            <wps:spPr>
                              <a:xfrm>
                                <a:off x="4173855" y="4068445"/>
                                <a:ext cx="488950" cy="257810"/>
                              </a:xfrm>
                              <a:prstGeom prst="rect">
                                <a:avLst/>
                              </a:prstGeom>
                              <a:solidFill>
                                <a:srgbClr val="FFFFFF"/>
                              </a:solidFill>
                              <a:ln>
                                <a:noFill/>
                              </a:ln>
                            </wps:spPr>
                            <wps:txbx>
                              <w:txbxContent>
                                <w:p>
                                  <w:r>
                                    <w:rPr>
                                      <w:rFonts w:hint="eastAsia"/>
                                    </w:rPr>
                                    <w:t>1.63</w:t>
                                  </w:r>
                                </w:p>
                              </w:txbxContent>
                            </wps:txbx>
                            <wps:bodyPr vert="horz" wrap="square" anchor="t" anchorCtr="0" upright="1"/>
                          </wps:wsp>
                        </a:graphicData>
                      </a:graphic>
                    </wp:anchor>
                  </w:drawing>
                </mc:Choice>
                <mc:Fallback>
                  <w:pict>
                    <v:shape id="文本框 182" o:spid="_x0000_s1026" o:spt="202" type="#_x0000_t202" style="position:absolute;left:0pt;margin-left:211.4pt;margin-top:6.8pt;height:20.3pt;width:38.5pt;z-index:251684864;mso-width-relative:page;mso-height-relative:page;" fillcolor="#FFFFFF" filled="t" stroked="f" coordsize="21600,21600" o:gfxdata="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IQRn3XAAAACQEAAA8AAAAAAAAAAQAgAAAAIgAAAGRycy9kb3ducmV2LnhtbFBLAQIUABQAAAAI&#10;AIdO4kDJVgJY7gEAALgDAAAOAAAAAAAAAAEAIAAAACYBAABkcnMvZTJvRG9jLnhtbFBLBQYAAAAA&#10;BgAGAFkBAACGBQAAAAA=&#10;">
                      <v:fill on="t" focussize="0,0"/>
                      <v:stroke on="f"/>
                      <v:imagedata o:title=""/>
                      <o:lock v:ext="edit" aspectratio="f"/>
                      <v:textbox>
                        <w:txbxContent>
                          <w:p>
                            <w:r>
                              <w:rPr>
                                <w:rFonts w:hint="eastAsia"/>
                              </w:rPr>
                              <w:t>1.63</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2570480</wp:posOffset>
                      </wp:positionH>
                      <wp:positionV relativeFrom="paragraph">
                        <wp:posOffset>401955</wp:posOffset>
                      </wp:positionV>
                      <wp:extent cx="666750" cy="0"/>
                      <wp:effectExtent l="0" t="0" r="0" b="0"/>
                      <wp:wrapNone/>
                      <wp:docPr id="66" name="直接连接符 66"/>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2.4pt;margin-top:31.65pt;height:0pt;width:52.5pt;z-index:251708416;mso-width-relative:page;mso-height-relative:page;" filled="f" stroked="t" coordsize="21600,21600" o:gfxdata="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JAvUtcAAAAJAQAADwAAAAAAAAAB&#10;ACAAAAAiAAAAZHJzL2Rvd25yZXYueG1sUEsBAhQAFAAAAAgAh07iQG8grLbYAQAAnAMAAA4AAAAA&#10;AAAAAQAgAAAAJgEAAGRycy9lMm9Eb2MueG1sUEsFBgAAAAAGAAYAWQEAAHAFA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1304925</wp:posOffset>
                      </wp:positionH>
                      <wp:positionV relativeFrom="paragraph">
                        <wp:posOffset>201930</wp:posOffset>
                      </wp:positionV>
                      <wp:extent cx="1275080" cy="339090"/>
                      <wp:effectExtent l="4445" t="4445" r="15875" b="6985"/>
                      <wp:wrapNone/>
                      <wp:docPr id="38" name="文本框 173"/>
                      <wp:cNvGraphicFramePr/>
                      <a:graphic xmlns:a="http://schemas.openxmlformats.org/drawingml/2006/main">
                        <a:graphicData uri="http://schemas.microsoft.com/office/word/2010/wordprocessingShape">
                          <wps:wsp>
                            <wps:cNvSpPr txBox="1"/>
                            <wps:spPr>
                              <a:xfrm>
                                <a:off x="0" y="0"/>
                                <a:ext cx="1275080" cy="339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szCs w:val="21"/>
                                    </w:rPr>
                                    <w:t>就诊人员用水</w:t>
                                  </w:r>
                                </w:p>
                              </w:txbxContent>
                            </wps:txbx>
                            <wps:bodyPr vert="horz" wrap="square" anchor="t" anchorCtr="0" upright="1"/>
                          </wps:wsp>
                        </a:graphicData>
                      </a:graphic>
                    </wp:anchor>
                  </w:drawing>
                </mc:Choice>
                <mc:Fallback>
                  <w:pict>
                    <v:shape id="文本框 173" o:spid="_x0000_s1026" o:spt="202" type="#_x0000_t202" style="position:absolute;left:0pt;margin-left:102.75pt;margin-top:15.9pt;height:26.7pt;width:100.4pt;z-index:251680768;mso-width-relative:page;mso-height-relative:page;" fillcolor="#FFFFFF" filled="t" stroked="t" coordsize="21600,21600" o:gfxdata="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GDTutgAAAAJAQAADwAAAAAAAAABACAAAAAiAAAAZHJzL2Rvd25yZXYueG1sUEsB&#10;AhQAFAAAAAgAh07iQM1JjN8uAgAAbAQAAA4AAAAAAAAAAQAgAAAAJwEAAGRycy9lMm9Eb2MueG1s&#10;UEsFBgAAAAAGAAYAWQEAAMcFAAAAAA==&#10;">
                      <v:fill on="t" focussize="0,0"/>
                      <v:stroke color="#000000" joinstyle="miter"/>
                      <v:imagedata o:title=""/>
                      <o:lock v:ext="edit" aspectratio="f"/>
                      <v:textbox>
                        <w:txbxContent>
                          <w:p>
                            <w:pPr>
                              <w:jc w:val="center"/>
                              <w:rPr>
                                <w:szCs w:val="21"/>
                              </w:rPr>
                            </w:pPr>
                            <w:r>
                              <w:rPr>
                                <w:szCs w:val="21"/>
                              </w:rPr>
                              <w:t>就诊人员用水</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661035</wp:posOffset>
                      </wp:positionH>
                      <wp:positionV relativeFrom="paragraph">
                        <wp:posOffset>109220</wp:posOffset>
                      </wp:positionV>
                      <wp:extent cx="511810" cy="257810"/>
                      <wp:effectExtent l="0" t="0" r="6350" b="1270"/>
                      <wp:wrapNone/>
                      <wp:docPr id="30" name="文本框 165"/>
                      <wp:cNvGraphicFramePr/>
                      <a:graphic xmlns:a="http://schemas.openxmlformats.org/drawingml/2006/main">
                        <a:graphicData uri="http://schemas.microsoft.com/office/word/2010/wordprocessingShape">
                          <wps:wsp>
                            <wps:cNvSpPr txBox="1"/>
                            <wps:spPr>
                              <a:xfrm>
                                <a:off x="0" y="0"/>
                                <a:ext cx="511810" cy="257810"/>
                              </a:xfrm>
                              <a:prstGeom prst="rect">
                                <a:avLst/>
                              </a:prstGeom>
                              <a:solidFill>
                                <a:srgbClr val="FFFFFF"/>
                              </a:solidFill>
                              <a:ln>
                                <a:noFill/>
                              </a:ln>
                            </wps:spPr>
                            <wps:txbx>
                              <w:txbxContent>
                                <w:p>
                                  <w:r>
                                    <w:rPr>
                                      <w:rFonts w:hint="eastAsia"/>
                                    </w:rPr>
                                    <w:t>2.04</w:t>
                                  </w:r>
                                </w:p>
                              </w:txbxContent>
                            </wps:txbx>
                            <wps:bodyPr wrap="square" upright="1"/>
                          </wps:wsp>
                        </a:graphicData>
                      </a:graphic>
                    </wp:anchor>
                  </w:drawing>
                </mc:Choice>
                <mc:Fallback>
                  <w:pict>
                    <v:shape id="文本框 165" o:spid="_x0000_s1026" o:spt="202" type="#_x0000_t202" style="position:absolute;left:0pt;margin-left:52.05pt;margin-top:8.6pt;height:20.3pt;width:40.3pt;z-index:251672576;mso-width-relative:page;mso-height-relative:page;" fillcolor="#FFFFFF" filled="t" stroked="f" coordsize="21600,21600" o:gfxdata="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ph2etYAAAAJAQAADwAAAAAAAAABACAAAAAiAAAAZHJzL2Rv&#10;d25yZXYueG1sUEsBAhQAFAAAAAgAh07iQAGYPNfKAQAAhwMAAA4AAAAAAAAAAQAgAAAAJQEAAGRy&#10;cy9lMm9Eb2MueG1sUEsFBgAAAAAGAAYAWQEAAGEFAAAAAA==&#10;">
                      <v:fill on="t" focussize="0,0"/>
                      <v:stroke on="f"/>
                      <v:imagedata o:title=""/>
                      <o:lock v:ext="edit" aspectratio="f"/>
                      <v:textbox>
                        <w:txbxContent>
                          <w:p>
                            <w:r>
                              <w:rPr>
                                <w:rFonts w:hint="eastAsia"/>
                              </w:rPr>
                              <w:t>2.04</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632460</wp:posOffset>
                      </wp:positionH>
                      <wp:positionV relativeFrom="paragraph">
                        <wp:posOffset>384810</wp:posOffset>
                      </wp:positionV>
                      <wp:extent cx="651510" cy="635"/>
                      <wp:effectExtent l="0" t="48895" r="3810" b="57150"/>
                      <wp:wrapNone/>
                      <wp:docPr id="21" name="直线 156"/>
                      <wp:cNvGraphicFramePr/>
                      <a:graphic xmlns:a="http://schemas.openxmlformats.org/drawingml/2006/main">
                        <a:graphicData uri="http://schemas.microsoft.com/office/word/2010/wordprocessingShape">
                          <wps:wsp>
                            <wps:cNvCnPr/>
                            <wps:spPr>
                              <a:xfrm>
                                <a:off x="0" y="0"/>
                                <a:ext cx="65151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56" o:spid="_x0000_s1026" o:spt="20" style="position:absolute;left:0pt;margin-left:49.8pt;margin-top:30.3pt;height:0.05pt;width:51.3pt;z-index:251663360;mso-width-relative:page;mso-height-relative:page;" filled="f" stroked="t" coordsize="21600,21600" o:gfxdata="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MqtE9gA&#10;AAAIAQAADwAAAAAAAAABACAAAAAiAAAAZHJzL2Rvd25yZXYueG1sUEsBAhQAFAAAAAgAh07iQMbN&#10;aQLmAQAA1AMAAA4AAAAAAAAAAQAgAAAAJwEAAGRycy9lMm9Eb2MueG1sUEsFBgAAAAAGAAYAWQEA&#10;AH8FAAAAAA==&#10;">
                      <v:fill on="f" focussize="0,0"/>
                      <v:stroke color="#000000" joinstyle="round" endarrow="open"/>
                      <v:imagedata o:title=""/>
                      <o:lock v:ext="edit" aspectratio="f"/>
                    </v:line>
                  </w:pict>
                </mc:Fallback>
              </mc:AlternateContent>
            </w:r>
          </w:p>
          <w:p>
            <w:pPr>
              <w:pStyle w:val="23"/>
              <w:rPr>
                <w:b/>
                <w:bCs/>
              </w:rPr>
            </w:pPr>
            <w:r>
              <mc:AlternateContent>
                <mc:Choice Requires="wps">
                  <w:drawing>
                    <wp:anchor distT="0" distB="0" distL="114300" distR="114300" simplePos="0" relativeHeight="251686912" behindDoc="0" locked="0" layoutInCell="1" allowOverlap="1">
                      <wp:simplePos x="0" y="0"/>
                      <wp:positionH relativeFrom="column">
                        <wp:posOffset>2692400</wp:posOffset>
                      </wp:positionH>
                      <wp:positionV relativeFrom="paragraph">
                        <wp:posOffset>237490</wp:posOffset>
                      </wp:positionV>
                      <wp:extent cx="563245" cy="257810"/>
                      <wp:effectExtent l="0" t="0" r="635" b="1270"/>
                      <wp:wrapNone/>
                      <wp:docPr id="50" name="文本框 184"/>
                      <wp:cNvGraphicFramePr/>
                      <a:graphic xmlns:a="http://schemas.openxmlformats.org/drawingml/2006/main">
                        <a:graphicData uri="http://schemas.microsoft.com/office/word/2010/wordprocessingShape">
                          <wps:wsp>
                            <wps:cNvSpPr txBox="1"/>
                            <wps:spPr>
                              <a:xfrm>
                                <a:off x="4173855" y="4692015"/>
                                <a:ext cx="563245" cy="257810"/>
                              </a:xfrm>
                              <a:prstGeom prst="rect">
                                <a:avLst/>
                              </a:prstGeom>
                              <a:solidFill>
                                <a:srgbClr val="FFFFFF"/>
                              </a:solidFill>
                              <a:ln>
                                <a:noFill/>
                              </a:ln>
                            </wps:spPr>
                            <wps:txbx>
                              <w:txbxContent>
                                <w:p>
                                  <w:r>
                                    <w:rPr>
                                      <w:rFonts w:hint="eastAsia"/>
                                    </w:rPr>
                                    <w:t>48.96</w:t>
                                  </w:r>
                                </w:p>
                              </w:txbxContent>
                            </wps:txbx>
                            <wps:bodyPr vert="horz" wrap="square" anchor="t" anchorCtr="0" upright="1"/>
                          </wps:wsp>
                        </a:graphicData>
                      </a:graphic>
                    </wp:anchor>
                  </w:drawing>
                </mc:Choice>
                <mc:Fallback>
                  <w:pict>
                    <v:shape id="文本框 184" o:spid="_x0000_s1026" o:spt="202" type="#_x0000_t202" style="position:absolute;left:0pt;margin-left:212pt;margin-top:18.7pt;height:20.3pt;width:44.35pt;z-index:251686912;mso-width-relative:page;mso-height-relative:page;" fillcolor="#FFFFFF" filled="t" stroked="f" coordsize="21600,21600" o:gfxdata="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T58Z2AAAAAkBAAAPAAAAAAAAAAEAIAAAACIAAABkcnMvZG93bnJldi54bWxQSwECFAAUAAAA&#10;CACHTuJA4kk5G+4BAAC4AwAADgAAAAAAAAABACAAAAAnAQAAZHJzL2Uyb0RvYy54bWxQSwUGAAAA&#10;AAYABgBZAQAAhwUAAAAA&#10;">
                      <v:fill on="t" focussize="0,0"/>
                      <v:stroke on="f"/>
                      <v:imagedata o:title=""/>
                      <o:lock v:ext="edit" aspectratio="f"/>
                      <v:textbox>
                        <w:txbxContent>
                          <w:p>
                            <w:r>
                              <w:rPr>
                                <w:rFonts w:hint="eastAsia"/>
                              </w:rPr>
                              <w:t>48.96</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1297940</wp:posOffset>
                      </wp:positionH>
                      <wp:positionV relativeFrom="paragraph">
                        <wp:posOffset>346710</wp:posOffset>
                      </wp:positionV>
                      <wp:extent cx="1282065" cy="339090"/>
                      <wp:effectExtent l="4445" t="4445" r="8890" b="6985"/>
                      <wp:wrapNone/>
                      <wp:docPr id="37" name="文本框 172"/>
                      <wp:cNvGraphicFramePr/>
                      <a:graphic xmlns:a="http://schemas.openxmlformats.org/drawingml/2006/main">
                        <a:graphicData uri="http://schemas.microsoft.com/office/word/2010/wordprocessingShape">
                          <wps:wsp>
                            <wps:cNvSpPr txBox="1"/>
                            <wps:spPr>
                              <a:xfrm>
                                <a:off x="0" y="0"/>
                                <a:ext cx="1282065" cy="339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szCs w:val="21"/>
                                    </w:rPr>
                                    <w:t>病房住院患者用水</w:t>
                                  </w:r>
                                </w:p>
                              </w:txbxContent>
                            </wps:txbx>
                            <wps:bodyPr vert="horz" wrap="square" anchor="t" anchorCtr="0" upright="1"/>
                          </wps:wsp>
                        </a:graphicData>
                      </a:graphic>
                    </wp:anchor>
                  </w:drawing>
                </mc:Choice>
                <mc:Fallback>
                  <w:pict>
                    <v:shape id="文本框 172" o:spid="_x0000_s1026" o:spt="202" type="#_x0000_t202" style="position:absolute;left:0pt;margin-left:102.2pt;margin-top:27.3pt;height:26.7pt;width:100.95pt;z-index:251679744;mso-width-relative:page;mso-height-relative:page;" fillcolor="#FFFFFF" filled="t" stroked="t" coordsize="21600,21600" o:gfxdata="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kqXGdgAAAAKAQAADwAAAAAAAAABACAAAAAiAAAAZHJzL2Rvd25yZXYueG1sUEsB&#10;AhQAFAAAAAgAh07iQPzjVSQuAgAAbAQAAA4AAAAAAAAAAQAgAAAAJwEAAGRycy9lMm9Eb2MueG1s&#10;UEsFBgAAAAAGAAYAWQEAAMcFAAAAAA==&#10;">
                      <v:fill on="t" focussize="0,0"/>
                      <v:stroke color="#000000" joinstyle="miter"/>
                      <v:imagedata o:title=""/>
                      <o:lock v:ext="edit" aspectratio="f"/>
                      <v:textbox>
                        <w:txbxContent>
                          <w:p>
                            <w:pPr>
                              <w:jc w:val="center"/>
                              <w:rPr>
                                <w:szCs w:val="21"/>
                              </w:rPr>
                            </w:pPr>
                            <w:r>
                              <w:rPr>
                                <w:szCs w:val="21"/>
                              </w:rPr>
                              <w:t>病房住院患者用水</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645795</wp:posOffset>
                      </wp:positionH>
                      <wp:positionV relativeFrom="paragraph">
                        <wp:posOffset>191135</wp:posOffset>
                      </wp:positionV>
                      <wp:extent cx="511810" cy="257810"/>
                      <wp:effectExtent l="0" t="0" r="6350" b="1270"/>
                      <wp:wrapNone/>
                      <wp:docPr id="29" name="文本框 164"/>
                      <wp:cNvGraphicFramePr/>
                      <a:graphic xmlns:a="http://schemas.openxmlformats.org/drawingml/2006/main">
                        <a:graphicData uri="http://schemas.microsoft.com/office/word/2010/wordprocessingShape">
                          <wps:wsp>
                            <wps:cNvSpPr txBox="1"/>
                            <wps:spPr>
                              <a:xfrm>
                                <a:off x="0" y="0"/>
                                <a:ext cx="511810" cy="257810"/>
                              </a:xfrm>
                              <a:prstGeom prst="rect">
                                <a:avLst/>
                              </a:prstGeom>
                              <a:solidFill>
                                <a:srgbClr val="FFFFFF"/>
                              </a:solidFill>
                              <a:ln>
                                <a:noFill/>
                              </a:ln>
                            </wps:spPr>
                            <wps:txbx>
                              <w:txbxContent>
                                <w:p>
                                  <w:r>
                                    <w:rPr>
                                      <w:rFonts w:hint="eastAsia"/>
                                    </w:rPr>
                                    <w:t>61.20</w:t>
                                  </w:r>
                                </w:p>
                              </w:txbxContent>
                            </wps:txbx>
                            <wps:bodyPr wrap="square" upright="1"/>
                          </wps:wsp>
                        </a:graphicData>
                      </a:graphic>
                    </wp:anchor>
                  </w:drawing>
                </mc:Choice>
                <mc:Fallback>
                  <w:pict>
                    <v:shape id="文本框 164" o:spid="_x0000_s1026" o:spt="202" type="#_x0000_t202" style="position:absolute;left:0pt;margin-left:50.85pt;margin-top:15.05pt;height:20.3pt;width:40.3pt;z-index:251671552;mso-width-relative:page;mso-height-relative:page;" fillcolor="#FFFFFF" filled="t" stroked="f" coordsize="21600,21600" o:gfxdata="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Yxi3TWAAAACQEAAA8AAAAAAAAAAQAgAAAAIgAAAGRycy9k&#10;b3ducmV2LnhtbFBLAQIUABQAAAAIAIdO4kDAUWqQywEAAIcDAAAOAAAAAAAAAAEAIAAAACUBAABk&#10;cnMvZTJvRG9jLnhtbFBLBQYAAAAABgAGAFkBAABiBQAAAAA=&#10;">
                      <v:fill on="t" focussize="0,0"/>
                      <v:stroke on="f"/>
                      <v:imagedata o:title=""/>
                      <o:lock v:ext="edit" aspectratio="f"/>
                      <v:textbox>
                        <w:txbxContent>
                          <w:p>
                            <w:r>
                              <w:rPr>
                                <w:rFonts w:hint="eastAsia"/>
                              </w:rPr>
                              <w:t>61.20</w:t>
                            </w:r>
                          </w:p>
                        </w:txbxContent>
                      </v:textbox>
                    </v:shape>
                  </w:pict>
                </mc:Fallback>
              </mc:AlternateContent>
            </w:r>
          </w:p>
          <w:p>
            <w:pPr>
              <w:pStyle w:val="23"/>
              <w:rPr>
                <w:b/>
                <w:bCs/>
              </w:rPr>
            </w:pPr>
            <w:r>
              <mc:AlternateContent>
                <mc:Choice Requires="wps">
                  <w:drawing>
                    <wp:anchor distT="0" distB="0" distL="114300" distR="114300" simplePos="0" relativeHeight="251685888" behindDoc="0" locked="0" layoutInCell="1" allowOverlap="1">
                      <wp:simplePos x="0" y="0"/>
                      <wp:positionH relativeFrom="column">
                        <wp:posOffset>2729230</wp:posOffset>
                      </wp:positionH>
                      <wp:positionV relativeFrom="paragraph">
                        <wp:posOffset>320040</wp:posOffset>
                      </wp:positionV>
                      <wp:extent cx="446405" cy="257810"/>
                      <wp:effectExtent l="0" t="0" r="10795" b="1270"/>
                      <wp:wrapNone/>
                      <wp:docPr id="49" name="文本框 183"/>
                      <wp:cNvGraphicFramePr/>
                      <a:graphic xmlns:a="http://schemas.openxmlformats.org/drawingml/2006/main">
                        <a:graphicData uri="http://schemas.microsoft.com/office/word/2010/wordprocessingShape">
                          <wps:wsp>
                            <wps:cNvSpPr txBox="1"/>
                            <wps:spPr>
                              <a:xfrm>
                                <a:off x="4181475" y="5247005"/>
                                <a:ext cx="446405" cy="257810"/>
                              </a:xfrm>
                              <a:prstGeom prst="rect">
                                <a:avLst/>
                              </a:prstGeom>
                              <a:solidFill>
                                <a:srgbClr val="FFFFFF"/>
                              </a:solidFill>
                              <a:ln>
                                <a:noFill/>
                              </a:ln>
                            </wps:spPr>
                            <wps:txbx>
                              <w:txbxContent>
                                <w:p>
                                  <w:r>
                                    <w:rPr>
                                      <w:rFonts w:hint="eastAsia"/>
                                    </w:rPr>
                                    <w:t>8.16</w:t>
                                  </w:r>
                                </w:p>
                              </w:txbxContent>
                            </wps:txbx>
                            <wps:bodyPr vert="horz" wrap="square" anchor="t" anchorCtr="0" upright="1"/>
                          </wps:wsp>
                        </a:graphicData>
                      </a:graphic>
                    </wp:anchor>
                  </w:drawing>
                </mc:Choice>
                <mc:Fallback>
                  <w:pict>
                    <v:shape id="文本框 183" o:spid="_x0000_s1026" o:spt="202" type="#_x0000_t202" style="position:absolute;left:0pt;margin-left:214.9pt;margin-top:25.2pt;height:20.3pt;width:35.15pt;z-index:251685888;mso-width-relative:page;mso-height-relative:page;" fillcolor="#FFFFFF" filled="t" stroked="f" coordsize="21600,21600" o:gfxdata="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rrCX1wAAAAkBAAAPAAAAAAAAAAEAIAAAACIAAABkcnMvZG93bnJldi54bWxQSwECFAAUAAAA&#10;CACHTuJA28zshe8BAAC4AwAADgAAAAAAAAABACAAAAAmAQAAZHJzL2Uyb0RvYy54bWxQSwUGAAAA&#10;AAYABgBZAQAAhwUAAAAA&#10;">
                      <v:fill on="t" focussize="0,0"/>
                      <v:stroke on="f"/>
                      <v:imagedata o:title=""/>
                      <o:lock v:ext="edit" aspectratio="f"/>
                      <v:textbox>
                        <w:txbxContent>
                          <w:p>
                            <w:r>
                              <w:rPr>
                                <w:rFonts w:hint="eastAsia"/>
                              </w:rPr>
                              <w:t>8.16</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2575560</wp:posOffset>
                      </wp:positionH>
                      <wp:positionV relativeFrom="paragraph">
                        <wp:posOffset>57150</wp:posOffset>
                      </wp:positionV>
                      <wp:extent cx="66675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2.8pt;margin-top:4.5pt;height:0pt;width:52.5pt;z-index:251706368;mso-width-relative:page;mso-height-relative:page;" filled="f" stroked="t" coordsize="21600,21600" o:gfxdata="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5i9SdUAAAAHAQAADwAAAAAAAAABACAA&#10;AAAiAAAAZHJzL2Rvd25yZXYueG1sUEsBAhQAFAAAAAgAh07iQHvUd1jXAQAAnAMAAA4AAAAAAAAA&#10;AQAgAAAAJAEAAGRycy9lMm9Eb2MueG1sUEsFBgAAAAAGAAYAWQEAAG0FA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4361180</wp:posOffset>
                      </wp:positionH>
                      <wp:positionV relativeFrom="paragraph">
                        <wp:posOffset>430530</wp:posOffset>
                      </wp:positionV>
                      <wp:extent cx="5715" cy="457835"/>
                      <wp:effectExtent l="48260" t="0" r="52705" b="14605"/>
                      <wp:wrapNone/>
                      <wp:docPr id="57" name="直线 193"/>
                      <wp:cNvGraphicFramePr/>
                      <a:graphic xmlns:a="http://schemas.openxmlformats.org/drawingml/2006/main">
                        <a:graphicData uri="http://schemas.microsoft.com/office/word/2010/wordprocessingShape">
                          <wps:wsp>
                            <wps:cNvCnPr/>
                            <wps:spPr>
                              <a:xfrm flipH="1">
                                <a:off x="0" y="0"/>
                                <a:ext cx="5715" cy="4578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93" o:spid="_x0000_s1026" o:spt="20" style="position:absolute;left:0pt;flip:x;margin-left:343.4pt;margin-top:33.9pt;height:36.05pt;width:0.45pt;z-index:251689984;mso-width-relative:page;mso-height-relative:page;" filled="f" stroked="t" coordsize="21600,21600" o:gfxdata="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B6f/2AAAAAoBAAAPAAAAAAAAAAEAIAAAACIAAABkcnMvZG93bnJldi54bWxQSwECFAAU&#10;AAAACACHTuJAPESdz/EBAADfAwAADgAAAAAAAAABACAAAAAnAQAAZHJzL2Uyb0RvYy54bWxQSwUG&#10;AAAAAAYABgBZAQAAig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3700780</wp:posOffset>
                      </wp:positionH>
                      <wp:positionV relativeFrom="paragraph">
                        <wp:posOffset>151765</wp:posOffset>
                      </wp:positionV>
                      <wp:extent cx="1425575" cy="270510"/>
                      <wp:effectExtent l="4445" t="5080" r="17780" b="13970"/>
                      <wp:wrapNone/>
                      <wp:docPr id="39" name="文本框 189"/>
                      <wp:cNvGraphicFramePr/>
                      <a:graphic xmlns:a="http://schemas.openxmlformats.org/drawingml/2006/main">
                        <a:graphicData uri="http://schemas.microsoft.com/office/word/2010/wordprocessingShape">
                          <wps:wsp>
                            <wps:cNvSpPr txBox="1"/>
                            <wps:spPr>
                              <a:xfrm>
                                <a:off x="0" y="0"/>
                                <a:ext cx="1425575"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医院已建污水处理站</w:t>
                                  </w:r>
                                </w:p>
                              </w:txbxContent>
                            </wps:txbx>
                            <wps:bodyPr vert="horz" wrap="square" anchor="t" anchorCtr="0" upright="1"/>
                          </wps:wsp>
                        </a:graphicData>
                      </a:graphic>
                    </wp:anchor>
                  </w:drawing>
                </mc:Choice>
                <mc:Fallback>
                  <w:pict>
                    <v:shape id="文本框 189" o:spid="_x0000_s1026" o:spt="202" type="#_x0000_t202" style="position:absolute;left:0pt;margin-left:291.4pt;margin-top:11.95pt;height:21.3pt;width:112.25pt;z-index:251681792;mso-width-relative:page;mso-height-relative:page;" fillcolor="#FFFFFF" filled="t" stroked="t" coordsize="21600,21600" o:gfxdata="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jrqt/ZAAAACQEAAA8AAAAAAAAAAQAgAAAAIgAAAGRycy9kb3ducmV2LnhtbFBL&#10;AQIUABQAAAAIAIdO4kBRtVVGLgIAAGwEAAAOAAAAAAAAAAEAIAAAACgBAABkcnMvZTJvRG9jLnht&#10;bFBLBQYAAAAABgAGAFkBAADIBQAAAAA=&#10;">
                      <v:fill on="t" focussize="0,0"/>
                      <v:stroke color="#000000" joinstyle="miter"/>
                      <v:imagedata o:title=""/>
                      <o:lock v:ext="edit" aspectratio="f"/>
                      <v:textbox>
                        <w:txbxContent>
                          <w:p>
                            <w:pPr>
                              <w:jc w:val="center"/>
                            </w:pPr>
                            <w:r>
                              <w:rPr>
                                <w:rFonts w:hint="eastAsia"/>
                              </w:rPr>
                              <w:t>医院已建污水处理站</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1311910</wp:posOffset>
                      </wp:positionH>
                      <wp:positionV relativeFrom="paragraph">
                        <wp:posOffset>414655</wp:posOffset>
                      </wp:positionV>
                      <wp:extent cx="1275080" cy="339090"/>
                      <wp:effectExtent l="4445" t="4445" r="15875" b="6985"/>
                      <wp:wrapNone/>
                      <wp:docPr id="34" name="文本框 169"/>
                      <wp:cNvGraphicFramePr/>
                      <a:graphic xmlns:a="http://schemas.openxmlformats.org/drawingml/2006/main">
                        <a:graphicData uri="http://schemas.microsoft.com/office/word/2010/wordprocessingShape">
                          <wps:wsp>
                            <wps:cNvSpPr txBox="1"/>
                            <wps:spPr>
                              <a:xfrm>
                                <a:off x="0" y="0"/>
                                <a:ext cx="1275080" cy="339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szCs w:val="21"/>
                                    </w:rPr>
                                    <w:t>陪护人员用水</w:t>
                                  </w:r>
                                </w:p>
                              </w:txbxContent>
                            </wps:txbx>
                            <wps:bodyPr vert="horz" wrap="square" anchor="t" anchorCtr="0" upright="1"/>
                          </wps:wsp>
                        </a:graphicData>
                      </a:graphic>
                    </wp:anchor>
                  </w:drawing>
                </mc:Choice>
                <mc:Fallback>
                  <w:pict>
                    <v:shape id="文本框 169" o:spid="_x0000_s1026" o:spt="202" type="#_x0000_t202" style="position:absolute;left:0pt;margin-left:103.3pt;margin-top:32.65pt;height:26.7pt;width:100.4pt;z-index:251676672;mso-width-relative:page;mso-height-relative:page;" fillcolor="#FFFFFF" filled="t" stroked="t" coordsize="21600,21600" o:gfxdata="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apA3jZAAAACgEAAA8AAAAAAAAAAQAgAAAAIgAAAGRycy9kb3ducmV2LnhtbFBL&#10;AQIUABQAAAAIAIdO4kCWXmcjLgIAAGwEAAAOAAAAAAAAAAEAIAAAACgBAABkcnMvZTJvRG9jLnht&#10;bFBLBQYAAAAABgAGAFkBAADIBQAAAAA=&#10;">
                      <v:fill on="t" focussize="0,0"/>
                      <v:stroke color="#000000" joinstyle="miter"/>
                      <v:imagedata o:title=""/>
                      <o:lock v:ext="edit" aspectratio="f"/>
                      <v:textbox>
                        <w:txbxContent>
                          <w:p>
                            <w:pPr>
                              <w:jc w:val="center"/>
                              <w:rPr>
                                <w:szCs w:val="21"/>
                              </w:rPr>
                            </w:pPr>
                            <w:r>
                              <w:rPr>
                                <w:szCs w:val="21"/>
                              </w:rPr>
                              <w:t>陪护人员用水</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653415</wp:posOffset>
                      </wp:positionH>
                      <wp:positionV relativeFrom="paragraph">
                        <wp:posOffset>334645</wp:posOffset>
                      </wp:positionV>
                      <wp:extent cx="511810" cy="257810"/>
                      <wp:effectExtent l="0" t="0" r="6350" b="1270"/>
                      <wp:wrapNone/>
                      <wp:docPr id="28" name="文本框 163"/>
                      <wp:cNvGraphicFramePr/>
                      <a:graphic xmlns:a="http://schemas.openxmlformats.org/drawingml/2006/main">
                        <a:graphicData uri="http://schemas.microsoft.com/office/word/2010/wordprocessingShape">
                          <wps:wsp>
                            <wps:cNvSpPr txBox="1"/>
                            <wps:spPr>
                              <a:xfrm>
                                <a:off x="0" y="0"/>
                                <a:ext cx="511810" cy="257810"/>
                              </a:xfrm>
                              <a:prstGeom prst="rect">
                                <a:avLst/>
                              </a:prstGeom>
                              <a:solidFill>
                                <a:srgbClr val="FFFFFF"/>
                              </a:solidFill>
                              <a:ln>
                                <a:noFill/>
                              </a:ln>
                            </wps:spPr>
                            <wps:txbx>
                              <w:txbxContent>
                                <w:p>
                                  <w:r>
                                    <w:rPr>
                                      <w:rFonts w:hint="eastAsia"/>
                                    </w:rPr>
                                    <w:t>10.20</w:t>
                                  </w:r>
                                </w:p>
                              </w:txbxContent>
                            </wps:txbx>
                            <wps:bodyPr wrap="square" upright="1"/>
                          </wps:wsp>
                        </a:graphicData>
                      </a:graphic>
                    </wp:anchor>
                  </w:drawing>
                </mc:Choice>
                <mc:Fallback>
                  <w:pict>
                    <v:shape id="文本框 163" o:spid="_x0000_s1026" o:spt="202" type="#_x0000_t202" style="position:absolute;left:0pt;margin-left:51.45pt;margin-top:26.35pt;height:20.3pt;width:40.3pt;z-index:251670528;mso-width-relative:page;mso-height-relative:page;" fillcolor="#FFFFFF" filled="t" stroked="f" coordsize="21600,21600" o:gfxdata="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Eo453XAAAACQEAAA8AAAAAAAAAAQAgAAAAIgAAAGRycy9k&#10;b3ducmV2LnhtbFBLAQIUABQAAAAIAIdO4kBDSyEyygEAAIcDAAAOAAAAAAAAAAEAIAAAACYBAABk&#10;cnMvZTJvRG9jLnhtbFBLBQYAAAAABgAGAFkBAABiBQAAAAA=&#10;">
                      <v:fill on="t" focussize="0,0"/>
                      <v:stroke on="f"/>
                      <v:imagedata o:title=""/>
                      <o:lock v:ext="edit" aspectratio="f"/>
                      <v:textbox>
                        <w:txbxContent>
                          <w:p>
                            <w:r>
                              <w:rPr>
                                <w:rFonts w:hint="eastAsia"/>
                              </w:rPr>
                              <w:t>10.20</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619125</wp:posOffset>
                      </wp:positionH>
                      <wp:positionV relativeFrom="paragraph">
                        <wp:posOffset>43180</wp:posOffset>
                      </wp:positionV>
                      <wp:extent cx="651510" cy="635"/>
                      <wp:effectExtent l="0" t="48895" r="3810" b="57150"/>
                      <wp:wrapNone/>
                      <wp:docPr id="22" name="直线 157"/>
                      <wp:cNvGraphicFramePr/>
                      <a:graphic xmlns:a="http://schemas.openxmlformats.org/drawingml/2006/main">
                        <a:graphicData uri="http://schemas.microsoft.com/office/word/2010/wordprocessingShape">
                          <wps:wsp>
                            <wps:cNvCnPr/>
                            <wps:spPr>
                              <a:xfrm>
                                <a:off x="0" y="0"/>
                                <a:ext cx="65151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57" o:spid="_x0000_s1026" o:spt="20" style="position:absolute;left:0pt;margin-left:48.75pt;margin-top:3.4pt;height:0.05pt;width:51.3pt;z-index:251664384;mso-width-relative:page;mso-height-relative:page;" filled="f" stroked="t" coordsize="21600,21600" o:gfxdata="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TPfdNUAAAAG&#10;AQAADwAAAAAAAAABACAAAAAiAAAAZHJzL2Rvd25yZXYueG1sUEsBAhQAFAAAAAgAh07iQCIEJQHm&#10;AQAA1AMAAA4AAAAAAAAAAQAgAAAAJAEAAGRycy9lMm9Eb2MueG1sUEsFBgAAAAAGAAYAWQEAAHwF&#10;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244475</wp:posOffset>
                      </wp:positionV>
                      <wp:extent cx="511810" cy="257810"/>
                      <wp:effectExtent l="0" t="0" r="6350" b="1270"/>
                      <wp:wrapNone/>
                      <wp:docPr id="19" name="文本框 154"/>
                      <wp:cNvGraphicFramePr/>
                      <a:graphic xmlns:a="http://schemas.openxmlformats.org/drawingml/2006/main">
                        <a:graphicData uri="http://schemas.microsoft.com/office/word/2010/wordprocessingShape">
                          <wps:wsp>
                            <wps:cNvSpPr txBox="1"/>
                            <wps:spPr>
                              <a:xfrm>
                                <a:off x="0" y="0"/>
                                <a:ext cx="511810" cy="257810"/>
                              </a:xfrm>
                              <a:prstGeom prst="rect">
                                <a:avLst/>
                              </a:prstGeom>
                              <a:solidFill>
                                <a:srgbClr val="FFFFFF"/>
                              </a:solidFill>
                              <a:ln>
                                <a:noFill/>
                              </a:ln>
                            </wps:spPr>
                            <wps:txbx>
                              <w:txbxContent>
                                <w:p>
                                  <w:r>
                                    <w:rPr>
                                      <w:rFonts w:hint="eastAsia"/>
                                    </w:rPr>
                                    <w:t>85.51</w:t>
                                  </w:r>
                                </w:p>
                              </w:txbxContent>
                            </wps:txbx>
                            <wps:bodyPr vert="horz" wrap="square" anchor="t" anchorCtr="0" upright="1"/>
                          </wps:wsp>
                        </a:graphicData>
                      </a:graphic>
                    </wp:anchor>
                  </w:drawing>
                </mc:Choice>
                <mc:Fallback>
                  <w:pict>
                    <v:shape id="文本框 154" o:spid="_x0000_s1026" o:spt="202" type="#_x0000_t202" style="position:absolute;left:0pt;margin-left:1.85pt;margin-top:19.25pt;height:20.3pt;width:40.3pt;z-index:251661312;mso-width-relative:page;mso-height-relative:page;" fillcolor="#FFFFFF" filled="t" stroked="f" coordsize="21600,21600" o:gfxdata="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zWgctUAAAAGAQAADwAAAAAA&#10;AAABACAAAAAiAAAAZHJzL2Rvd25yZXYueG1sUEsBAhQAFAAAAAgAh07iQHJXnJ3dAQAArAMAAA4A&#10;AAAAAAAAAQAgAAAAJAEAAGRycy9lMm9Eb2MueG1sUEsFBgAAAAAGAAYAWQEAAHMFAAAAAA==&#10;">
                      <v:fill on="t" focussize="0,0"/>
                      <v:stroke on="f"/>
                      <v:imagedata o:title=""/>
                      <o:lock v:ext="edit" aspectratio="f"/>
                      <v:textbox>
                        <w:txbxContent>
                          <w:p>
                            <w:r>
                              <w:rPr>
                                <w:rFonts w:hint="eastAsia"/>
                              </w:rPr>
                              <w:t>85.51</w:t>
                            </w:r>
                          </w:p>
                        </w:txbxContent>
                      </v:textbox>
                    </v:shape>
                  </w:pict>
                </mc:Fallback>
              </mc:AlternateContent>
            </w:r>
          </w:p>
          <w:p>
            <w:pPr>
              <w:pStyle w:val="23"/>
              <w:rPr>
                <w:b/>
                <w:bCs/>
              </w:rPr>
            </w:pPr>
            <w:r>
              <mc:AlternateContent>
                <mc:Choice Requires="wps">
                  <w:drawing>
                    <wp:anchor distT="0" distB="0" distL="114300" distR="114300" simplePos="0" relativeHeight="251683840" behindDoc="0" locked="0" layoutInCell="1" allowOverlap="1">
                      <wp:simplePos x="0" y="0"/>
                      <wp:positionH relativeFrom="column">
                        <wp:posOffset>2679065</wp:posOffset>
                      </wp:positionH>
                      <wp:positionV relativeFrom="paragraph">
                        <wp:posOffset>462915</wp:posOffset>
                      </wp:positionV>
                      <wp:extent cx="511810" cy="257810"/>
                      <wp:effectExtent l="0" t="0" r="6350" b="1270"/>
                      <wp:wrapNone/>
                      <wp:docPr id="47" name="文本框 181"/>
                      <wp:cNvGraphicFramePr/>
                      <a:graphic xmlns:a="http://schemas.openxmlformats.org/drawingml/2006/main">
                        <a:graphicData uri="http://schemas.microsoft.com/office/word/2010/wordprocessingShape">
                          <wps:wsp>
                            <wps:cNvSpPr txBox="1"/>
                            <wps:spPr>
                              <a:xfrm>
                                <a:off x="4167505" y="5862320"/>
                                <a:ext cx="511810" cy="257810"/>
                              </a:xfrm>
                              <a:prstGeom prst="rect">
                                <a:avLst/>
                              </a:prstGeom>
                              <a:solidFill>
                                <a:srgbClr val="FFFFFF"/>
                              </a:solidFill>
                              <a:ln>
                                <a:noFill/>
                              </a:ln>
                            </wps:spPr>
                            <wps:txbx>
                              <w:txbxContent>
                                <w:p>
                                  <w:r>
                                    <w:rPr>
                                      <w:rFonts w:hint="eastAsia"/>
                                    </w:rPr>
                                    <w:t>0.96</w:t>
                                  </w:r>
                                </w:p>
                              </w:txbxContent>
                            </wps:txbx>
                            <wps:bodyPr vert="horz" wrap="square" anchor="t" anchorCtr="0" upright="1"/>
                          </wps:wsp>
                        </a:graphicData>
                      </a:graphic>
                    </wp:anchor>
                  </w:drawing>
                </mc:Choice>
                <mc:Fallback>
                  <w:pict>
                    <v:shape id="文本框 181" o:spid="_x0000_s1026" o:spt="202" type="#_x0000_t202" style="position:absolute;left:0pt;margin-left:210.95pt;margin-top:36.45pt;height:20.3pt;width:40.3pt;z-index:251683840;mso-width-relative:page;mso-height-relative:page;" fillcolor="#FFFFFF" filled="t" stroked="f" coordsize="21600,21600" o:gfxdata="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j1J22AAAAAoBAAAPAAAAAAAAAAEAIAAAACIAAABkcnMvZG93bnJldi54bWxQSwECFAAUAAAACACH&#10;TuJAVkKCU+sBAAC4AwAADgAAAAAAAAABACAAAAAnAQAAZHJzL2Uyb0RvYy54bWxQSwUGAAAAAAYA&#10;BgBZAQAAhAUAAAAA&#10;">
                      <v:fill on="t" focussize="0,0"/>
                      <v:stroke on="f"/>
                      <v:imagedata o:title=""/>
                      <o:lock v:ext="edit" aspectratio="f"/>
                      <v:textbox>
                        <w:txbxContent>
                          <w:p>
                            <w:r>
                              <w:rPr>
                                <w:rFonts w:hint="eastAsia"/>
                              </w:rPr>
                              <w:t>0.96</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2580640</wp:posOffset>
                      </wp:positionH>
                      <wp:positionV relativeFrom="paragraph">
                        <wp:posOffset>130810</wp:posOffset>
                      </wp:positionV>
                      <wp:extent cx="666750" cy="0"/>
                      <wp:effectExtent l="0" t="0" r="0" b="0"/>
                      <wp:wrapNone/>
                      <wp:docPr id="67" name="直接连接符 67"/>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3.2pt;margin-top:10.3pt;height:0pt;width:52.5pt;z-index:251709440;mso-width-relative:page;mso-height-relative:page;" filled="f" stroked="t" coordsize="21600,21600" o:gfxdata="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l5KIO1wAAAAkBAAAPAAAAAAAAAAEA&#10;IAAAACIAAABkcnMvZG93bnJldi54bWxQSwECFAAUAAAACACHTuJA1Xb3gtcBAACcAwAADgAAAAAA&#10;AAABACAAAAAmAQAAZHJzL2Uyb0RvYy54bWxQSwUGAAAAAAYABgBZAQAAbwU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3578860</wp:posOffset>
                      </wp:positionH>
                      <wp:positionV relativeFrom="paragraph">
                        <wp:posOffset>441325</wp:posOffset>
                      </wp:positionV>
                      <wp:extent cx="1543050" cy="270510"/>
                      <wp:effectExtent l="4445" t="5080" r="6985" b="13970"/>
                      <wp:wrapNone/>
                      <wp:docPr id="58" name="文本框 194"/>
                      <wp:cNvGraphicFramePr/>
                      <a:graphic xmlns:a="http://schemas.openxmlformats.org/drawingml/2006/main">
                        <a:graphicData uri="http://schemas.microsoft.com/office/word/2010/wordprocessingShape">
                          <wps:wsp>
                            <wps:cNvSpPr txBox="1"/>
                            <wps:spPr>
                              <a:xfrm>
                                <a:off x="0" y="0"/>
                                <a:ext cx="154305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昌吉市第二污水处理厂</w:t>
                                  </w:r>
                                </w:p>
                              </w:txbxContent>
                            </wps:txbx>
                            <wps:bodyPr vert="horz" wrap="square" anchor="t" anchorCtr="0" upright="1"/>
                          </wps:wsp>
                        </a:graphicData>
                      </a:graphic>
                    </wp:anchor>
                  </w:drawing>
                </mc:Choice>
                <mc:Fallback>
                  <w:pict>
                    <v:shape id="文本框 194" o:spid="_x0000_s1026" o:spt="202" type="#_x0000_t202" style="position:absolute;left:0pt;margin-left:281.8pt;margin-top:34.75pt;height:21.3pt;width:121.5pt;z-index:251691008;mso-width-relative:page;mso-height-relative:page;" fillcolor="#FFFFFF" filled="t" stroked="t" coordsize="21600,21600" o:gfxdata="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fX5gdkAAAAKAQAADwAAAAAAAAABACAAAAAiAAAAZHJzL2Rvd25yZXYueG1sUEsB&#10;AhQAFAAAAAgAh07iQJAs3F8tAgAAbAQAAA4AAAAAAAAAAQAgAAAAKAEAAGRycy9lMm9Eb2MueG1s&#10;UEsFBgAAAAAGAAYAWQEAAMcFAAAAAA==&#10;">
                      <v:fill on="t" focussize="0,0"/>
                      <v:stroke color="#000000" joinstyle="miter"/>
                      <v:imagedata o:title=""/>
                      <o:lock v:ext="edit" aspectratio="f"/>
                      <v:textbox>
                        <w:txbxContent>
                          <w:p>
                            <w:r>
                              <w:rPr>
                                <w:rFonts w:hint="eastAsia"/>
                              </w:rPr>
                              <w:t>昌吉市第二污水处理厂</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687705</wp:posOffset>
                      </wp:positionH>
                      <wp:positionV relativeFrom="paragraph">
                        <wp:posOffset>437515</wp:posOffset>
                      </wp:positionV>
                      <wp:extent cx="511810" cy="257810"/>
                      <wp:effectExtent l="0" t="0" r="6350" b="1270"/>
                      <wp:wrapNone/>
                      <wp:docPr id="32" name="文本框 167"/>
                      <wp:cNvGraphicFramePr/>
                      <a:graphic xmlns:a="http://schemas.openxmlformats.org/drawingml/2006/main">
                        <a:graphicData uri="http://schemas.microsoft.com/office/word/2010/wordprocessingShape">
                          <wps:wsp>
                            <wps:cNvSpPr txBox="1"/>
                            <wps:spPr>
                              <a:xfrm>
                                <a:off x="0" y="0"/>
                                <a:ext cx="511810" cy="257810"/>
                              </a:xfrm>
                              <a:prstGeom prst="rect">
                                <a:avLst/>
                              </a:prstGeom>
                              <a:solidFill>
                                <a:srgbClr val="FFFFFF"/>
                              </a:solidFill>
                              <a:ln>
                                <a:noFill/>
                              </a:ln>
                            </wps:spPr>
                            <wps:txbx>
                              <w:txbxContent>
                                <w:p>
                                  <w:r>
                                    <w:rPr>
                                      <w:rFonts w:hint="eastAsia"/>
                                    </w:rPr>
                                    <w:t>1.20</w:t>
                                  </w:r>
                                </w:p>
                              </w:txbxContent>
                            </wps:txbx>
                            <wps:bodyPr wrap="square" upright="1"/>
                          </wps:wsp>
                        </a:graphicData>
                      </a:graphic>
                    </wp:anchor>
                  </w:drawing>
                </mc:Choice>
                <mc:Fallback>
                  <w:pict>
                    <v:shape id="文本框 167" o:spid="_x0000_s1026" o:spt="202" type="#_x0000_t202" style="position:absolute;left:0pt;margin-left:54.15pt;margin-top:34.45pt;height:20.3pt;width:40.3pt;z-index:251674624;mso-width-relative:page;mso-height-relative:page;" fillcolor="#FFFFFF" filled="t" stroked="f" coordsize="21600,21600" o:gfxdata="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1zD0nWAAAACgEAAA8AAAAAAAAAAQAgAAAAIgAAAGRycy9k&#10;b3ducmV2LnhtbFBLAQIUABQAAAAIAIdO4kB0muzZywEAAIcDAAAOAAAAAAAAAAEAIAAAACUBAABk&#10;cnMvZTJvRG9jLnhtbFBLBQYAAAAABgAGAFkBAABiBQAAAAA=&#10;">
                      <v:fill on="t" focussize="0,0"/>
                      <v:stroke on="f"/>
                      <v:imagedata o:title=""/>
                      <o:lock v:ext="edit" aspectratio="f"/>
                      <v:textbox>
                        <w:txbxContent>
                          <w:p>
                            <w:r>
                              <w:rPr>
                                <w:rFonts w:hint="eastAsia"/>
                              </w:rPr>
                              <w:t>1.20</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626110</wp:posOffset>
                      </wp:positionH>
                      <wp:positionV relativeFrom="paragraph">
                        <wp:posOffset>144780</wp:posOffset>
                      </wp:positionV>
                      <wp:extent cx="651510" cy="635"/>
                      <wp:effectExtent l="0" t="48895" r="3810" b="57150"/>
                      <wp:wrapNone/>
                      <wp:docPr id="23" name="直线 158"/>
                      <wp:cNvGraphicFramePr/>
                      <a:graphic xmlns:a="http://schemas.openxmlformats.org/drawingml/2006/main">
                        <a:graphicData uri="http://schemas.microsoft.com/office/word/2010/wordprocessingShape">
                          <wps:wsp>
                            <wps:cNvCnPr/>
                            <wps:spPr>
                              <a:xfrm>
                                <a:off x="0" y="0"/>
                                <a:ext cx="65151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58" o:spid="_x0000_s1026" o:spt="20" style="position:absolute;left:0pt;margin-left:49.3pt;margin-top:11.4pt;height:0.05pt;width:51.3pt;z-index:251665408;mso-width-relative:page;mso-height-relative:page;" filled="f" stroked="t" coordsize="21600,21600" o:gfxdata="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wS7sbY&#10;AAAACAEAAA8AAAAAAAAAAQAgAAAAIgAAAGRycy9kb3ducmV2LnhtbFBLAQIUABQAAAAIAIdO4kAm&#10;hxLC5wEAANQDAAAOAAAAAAAAAAEAIAAAACcBAABkcnMvZTJvRG9jLnhtbFBLBQYAAAAABgAGAFkB&#10;AACA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62230</wp:posOffset>
                      </wp:positionV>
                      <wp:extent cx="651510" cy="635"/>
                      <wp:effectExtent l="0" t="48895" r="3810" b="57150"/>
                      <wp:wrapNone/>
                      <wp:docPr id="18" name="直线 153"/>
                      <wp:cNvGraphicFramePr/>
                      <a:graphic xmlns:a="http://schemas.openxmlformats.org/drawingml/2006/main">
                        <a:graphicData uri="http://schemas.microsoft.com/office/word/2010/wordprocessingShape">
                          <wps:wsp>
                            <wps:cNvCnPr/>
                            <wps:spPr>
                              <a:xfrm>
                                <a:off x="0" y="0"/>
                                <a:ext cx="65151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53" o:spid="_x0000_s1026" o:spt="20" style="position:absolute;left:0pt;margin-left:-2pt;margin-top:4.9pt;height:0.05pt;width:51.3pt;z-index:251660288;mso-width-relative:page;mso-height-relative:page;" filled="f" stroked="t" coordsize="21600,21600" o:gfxdata="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6aWb1wAA&#10;AAUBAAAPAAAAAAAAAAEAIAAAACIAAABkcnMvZG93bnJldi54bWxQSwECFAAUAAAACACHTuJA90Vi&#10;wuYBAADUAwAADgAAAAAAAAABACAAAAAmAQAAZHJzL2Uyb0RvYy54bWxQSwUGAAAAAAYABgBZAQAA&#10;fgUAAAAA&#10;">
                      <v:fill on="f" focussize="0,0"/>
                      <v:stroke color="#000000" joinstyle="round" endarrow="open"/>
                      <v:imagedata o:title=""/>
                      <o:lock v:ext="edit" aspectratio="f"/>
                    </v:line>
                  </w:pict>
                </mc:Fallback>
              </mc:AlternateContent>
            </w:r>
          </w:p>
          <w:p>
            <w:pPr>
              <w:pStyle w:val="23"/>
              <w:rPr>
                <w:b/>
                <w:bCs/>
              </w:rPr>
            </w:pPr>
            <w:r>
              <mc:AlternateContent>
                <mc:Choice Requires="wps">
                  <w:drawing>
                    <wp:anchor distT="0" distB="0" distL="114300" distR="114300" simplePos="0" relativeHeight="251707392" behindDoc="0" locked="0" layoutInCell="1" allowOverlap="1">
                      <wp:simplePos x="0" y="0"/>
                      <wp:positionH relativeFrom="column">
                        <wp:posOffset>2573020</wp:posOffset>
                      </wp:positionH>
                      <wp:positionV relativeFrom="paragraph">
                        <wp:posOffset>247650</wp:posOffset>
                      </wp:positionV>
                      <wp:extent cx="666750"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2.6pt;margin-top:19.5pt;height:0pt;width:52.5pt;z-index:251707392;mso-width-relative:page;mso-height-relative:page;" filled="f" stroked="t" coordsize="21600,21600" o:gfxdata="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B+0ZLWAAAACQEAAA8AAAAAAAAAAQAg&#10;AAAAIgAAAGRycy9kb3ducmV2LnhtbFBLAQIUABQAAAAIAIdO4kBJgSw71wEAAJwDAAAOAAAAAAAA&#10;AAEAIAAAACUBAABkcnMvZTJvRG9jLnhtbFBLBQYAAAAABgAGAFkBAABuBQ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1290955</wp:posOffset>
                      </wp:positionH>
                      <wp:positionV relativeFrom="paragraph">
                        <wp:posOffset>64770</wp:posOffset>
                      </wp:positionV>
                      <wp:extent cx="1289050" cy="339090"/>
                      <wp:effectExtent l="5080" t="4445" r="16510" b="6985"/>
                      <wp:wrapNone/>
                      <wp:docPr id="35" name="文本框 170"/>
                      <wp:cNvGraphicFramePr/>
                      <a:graphic xmlns:a="http://schemas.openxmlformats.org/drawingml/2006/main">
                        <a:graphicData uri="http://schemas.microsoft.com/office/word/2010/wordprocessingShape">
                          <wps:wsp>
                            <wps:cNvSpPr txBox="1"/>
                            <wps:spPr>
                              <a:xfrm>
                                <a:off x="0" y="0"/>
                                <a:ext cx="1289050" cy="339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szCs w:val="21"/>
                                    </w:rPr>
                                    <w:t>杂用水</w:t>
                                  </w:r>
                                </w:p>
                              </w:txbxContent>
                            </wps:txbx>
                            <wps:bodyPr vert="horz" wrap="square" anchor="t" anchorCtr="0" upright="1"/>
                          </wps:wsp>
                        </a:graphicData>
                      </a:graphic>
                    </wp:anchor>
                  </w:drawing>
                </mc:Choice>
                <mc:Fallback>
                  <w:pict>
                    <v:shape id="文本框 170" o:spid="_x0000_s1026" o:spt="202" type="#_x0000_t202" style="position:absolute;left:0pt;margin-left:101.65pt;margin-top:5.1pt;height:26.7pt;width:101.5pt;z-index:251677696;mso-width-relative:page;mso-height-relative:page;" fillcolor="#FFFFFF" filled="t" stroked="t" coordsize="21600,21600" o:gfxdata="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ZJFG1wAAAAkBAAAPAAAAAAAAAAEAIAAAACIAAABkcnMvZG93bnJldi54bWxQSwECFAAU&#10;AAAACACHTuJAXJhtXysCAABsBAAADgAAAAAAAAABACAAAAAmAQAAZHJzL2Uyb0RvYy54bWxQSwUG&#10;AAAAAAYABgBZAQAAwwUAAAAA&#10;">
                      <v:fill on="t" focussize="0,0"/>
                      <v:stroke color="#000000" joinstyle="miter"/>
                      <v:imagedata o:title=""/>
                      <o:lock v:ext="edit" aspectratio="f"/>
                      <v:textbox>
                        <w:txbxContent>
                          <w:p>
                            <w:pPr>
                              <w:jc w:val="center"/>
                              <w:rPr>
                                <w:szCs w:val="21"/>
                              </w:rPr>
                            </w:pPr>
                            <w:r>
                              <w:rPr>
                                <w:szCs w:val="21"/>
                              </w:rPr>
                              <w:t>杂用水</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612140</wp:posOffset>
                      </wp:positionH>
                      <wp:positionV relativeFrom="paragraph">
                        <wp:posOffset>254635</wp:posOffset>
                      </wp:positionV>
                      <wp:extent cx="651510" cy="635"/>
                      <wp:effectExtent l="0" t="48895" r="3810" b="57150"/>
                      <wp:wrapNone/>
                      <wp:docPr id="31" name="直线 166"/>
                      <wp:cNvGraphicFramePr/>
                      <a:graphic xmlns:a="http://schemas.openxmlformats.org/drawingml/2006/main">
                        <a:graphicData uri="http://schemas.microsoft.com/office/word/2010/wordprocessingShape">
                          <wps:wsp>
                            <wps:cNvCnPr/>
                            <wps:spPr>
                              <a:xfrm>
                                <a:off x="0" y="0"/>
                                <a:ext cx="65151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66" o:spid="_x0000_s1026" o:spt="20" style="position:absolute;left:0pt;margin-left:48.2pt;margin-top:20.05pt;height:0.05pt;width:51.3pt;z-index:251673600;mso-width-relative:page;mso-height-relative:page;" filled="f" stroked="t" coordsize="21600,21600" o:gfxdata="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YyWmtcA&#10;AAAIAQAADwAAAAAAAAABACAAAAAiAAAAZHJzL2Rvd25yZXYueG1sUEsBAhQAFAAAAAgAh07iQP7d&#10;UZTnAQAA1AMAAA4AAAAAAAAAAQAgAAAAJgEAAGRycy9lMm9Eb2MueG1sUEsFBgAAAAAGAAYAWQEA&#10;AH8FAAAAAA==&#10;">
                      <v:fill on="f" focussize="0,0"/>
                      <v:stroke color="#000000" joinstyle="round" endarrow="open"/>
                      <v:imagedata o:title=""/>
                      <o:lock v:ext="edit" aspectratio="f"/>
                    </v:line>
                  </w:pict>
                </mc:Fallback>
              </mc:AlternateContent>
            </w:r>
          </w:p>
          <w:p>
            <w:pPr>
              <w:pStyle w:val="23"/>
            </w:pPr>
            <w:r>
              <mc:AlternateContent>
                <mc:Choice Requires="wps">
                  <w:drawing>
                    <wp:anchor distT="0" distB="0" distL="114300" distR="114300" simplePos="0" relativeHeight="251687936" behindDoc="0" locked="0" layoutInCell="1" allowOverlap="1">
                      <wp:simplePos x="0" y="0"/>
                      <wp:positionH relativeFrom="column">
                        <wp:posOffset>2666365</wp:posOffset>
                      </wp:positionH>
                      <wp:positionV relativeFrom="paragraph">
                        <wp:posOffset>134620</wp:posOffset>
                      </wp:positionV>
                      <wp:extent cx="511810" cy="257810"/>
                      <wp:effectExtent l="0" t="0" r="6350" b="1270"/>
                      <wp:wrapNone/>
                      <wp:docPr id="51" name="文本框 185"/>
                      <wp:cNvGraphicFramePr/>
                      <a:graphic xmlns:a="http://schemas.openxmlformats.org/drawingml/2006/main">
                        <a:graphicData uri="http://schemas.microsoft.com/office/word/2010/wordprocessingShape">
                          <wps:wsp>
                            <wps:cNvSpPr txBox="1"/>
                            <wps:spPr>
                              <a:xfrm>
                                <a:off x="4201795" y="6478905"/>
                                <a:ext cx="511810" cy="257810"/>
                              </a:xfrm>
                              <a:prstGeom prst="rect">
                                <a:avLst/>
                              </a:prstGeom>
                              <a:solidFill>
                                <a:srgbClr val="FFFFFF"/>
                              </a:solidFill>
                              <a:ln>
                                <a:noFill/>
                              </a:ln>
                            </wps:spPr>
                            <wps:txbx>
                              <w:txbxContent>
                                <w:p>
                                  <w:r>
                                    <w:rPr>
                                      <w:rFonts w:hint="eastAsia"/>
                                    </w:rPr>
                                    <w:t>6.80</w:t>
                                  </w:r>
                                </w:p>
                              </w:txbxContent>
                            </wps:txbx>
                            <wps:bodyPr vert="horz" wrap="square" anchor="t" anchorCtr="0" upright="1"/>
                          </wps:wsp>
                        </a:graphicData>
                      </a:graphic>
                    </wp:anchor>
                  </w:drawing>
                </mc:Choice>
                <mc:Fallback>
                  <w:pict>
                    <v:shape id="文本框 185" o:spid="_x0000_s1026" o:spt="202" type="#_x0000_t202" style="position:absolute;left:0pt;margin-left:209.95pt;margin-top:10.6pt;height:20.3pt;width:40.3pt;z-index:251687936;mso-width-relative:page;mso-height-relative:page;" fillcolor="#FFFFFF" filled="t" stroked="f" coordsize="21600,21600" o:gfxdata="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3l9G1wAAAAkBAAAPAAAAAAAAAAEAIAAAACIAAABkcnMvZG93bnJldi54bWxQSwECFAAUAAAACACH&#10;TuJAsTwrXewBAAC4AwAADgAAAAAAAAABACAAAAAmAQAAZHJzL2Uyb0RvYy54bWxQSwUGAAAAAAYA&#10;BgBZAQAAhAUAAAAA&#10;">
                      <v:fill on="t" focussize="0,0"/>
                      <v:stroke on="f"/>
                      <v:imagedata o:title=""/>
                      <o:lock v:ext="edit" aspectratio="f"/>
                      <v:textbox>
                        <w:txbxContent>
                          <w:p>
                            <w:r>
                              <w:rPr>
                                <w:rFonts w:hint="eastAsia"/>
                              </w:rPr>
                              <w:t>6.80</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2569845</wp:posOffset>
                      </wp:positionH>
                      <wp:positionV relativeFrom="paragraph">
                        <wp:posOffset>414020</wp:posOffset>
                      </wp:positionV>
                      <wp:extent cx="666750" cy="0"/>
                      <wp:effectExtent l="0" t="0" r="0" b="0"/>
                      <wp:wrapNone/>
                      <wp:docPr id="68" name="直接连接符 68"/>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2.35pt;margin-top:32.6pt;height:0pt;width:52.5pt;z-index:251710464;mso-width-relative:page;mso-height-relative:page;" filled="f" stroked="t" coordsize="21600,21600" o:gfxdata="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9vjbNgAAAAJAQAADwAAAAAAAAAB&#10;ACAAAAAiAAAAZHJzL2Rvd25yZXYueG1sUEsBAhQAFAAAAAgAh07iQGJk3HbXAQAAnAMAAA4AAAAA&#10;AAAAAQAgAAAAJwEAAGRycy9lMm9Eb2MueG1sUEsFBgAAAAAGAAYAWQEAAHAFA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625475</wp:posOffset>
                      </wp:positionH>
                      <wp:positionV relativeFrom="paragraph">
                        <wp:posOffset>398780</wp:posOffset>
                      </wp:positionV>
                      <wp:extent cx="651510" cy="635"/>
                      <wp:effectExtent l="0" t="48895" r="3810" b="57150"/>
                      <wp:wrapNone/>
                      <wp:docPr id="25" name="直线 160"/>
                      <wp:cNvGraphicFramePr/>
                      <a:graphic xmlns:a="http://schemas.openxmlformats.org/drawingml/2006/main">
                        <a:graphicData uri="http://schemas.microsoft.com/office/word/2010/wordprocessingShape">
                          <wps:wsp>
                            <wps:cNvCnPr/>
                            <wps:spPr>
                              <a:xfrm>
                                <a:off x="0" y="0"/>
                                <a:ext cx="65151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60" o:spid="_x0000_s1026" o:spt="20" style="position:absolute;left:0pt;margin-left:49.25pt;margin-top:31.4pt;height:0.05pt;width:51.3pt;z-index:251667456;mso-width-relative:page;mso-height-relative:page;" filled="f" stroked="t" coordsize="21600,21600" o:gfxdata="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jktC2AAA&#10;AAgBAAAPAAAAAAAAAAEAIAAAACIAAABkcnMvZG93bnJldi54bWxQSwECFAAUAAAACACHTuJAz4Ce&#10;huUBAADUAwAADgAAAAAAAAABACAAAAAnAQAAZHJzL2Uyb0RvYy54bWxQSwUGAAAAAAYABgBZAQAA&#10;fg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1318895</wp:posOffset>
                      </wp:positionH>
                      <wp:positionV relativeFrom="paragraph">
                        <wp:posOffset>229870</wp:posOffset>
                      </wp:positionV>
                      <wp:extent cx="1254125" cy="339090"/>
                      <wp:effectExtent l="4445" t="4445" r="6350" b="6985"/>
                      <wp:wrapNone/>
                      <wp:docPr id="36" name="文本框 171"/>
                      <wp:cNvGraphicFramePr/>
                      <a:graphic xmlns:a="http://schemas.openxmlformats.org/drawingml/2006/main">
                        <a:graphicData uri="http://schemas.microsoft.com/office/word/2010/wordprocessingShape">
                          <wps:wsp>
                            <wps:cNvSpPr txBox="1"/>
                            <wps:spPr>
                              <a:xfrm>
                                <a:off x="0" y="0"/>
                                <a:ext cx="1254125" cy="339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szCs w:val="21"/>
                                    </w:rPr>
                                    <w:t>未预见用水</w:t>
                                  </w:r>
                                </w:p>
                              </w:txbxContent>
                            </wps:txbx>
                            <wps:bodyPr vert="horz" wrap="square" anchor="t" anchorCtr="0" upright="1"/>
                          </wps:wsp>
                        </a:graphicData>
                      </a:graphic>
                    </wp:anchor>
                  </w:drawing>
                </mc:Choice>
                <mc:Fallback>
                  <w:pict>
                    <v:shape id="文本框 171" o:spid="_x0000_s1026" o:spt="202" type="#_x0000_t202" style="position:absolute;left:0pt;margin-left:103.85pt;margin-top:18.1pt;height:26.7pt;width:98.75pt;z-index:251678720;mso-width-relative:page;mso-height-relative:page;" fillcolor="#FFFFFF" filled="t" stroked="t" coordsize="21600,21600" o:gfxdata="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4HdCR2AAAAAkBAAAPAAAAAAAAAAEAIAAAACIAAABkcnMvZG93bnJldi54bWxQSwEC&#10;FAAUAAAACACHTuJAMOh8QC0CAABsBAAADgAAAAAAAAABACAAAAAnAQAAZHJzL2Uyb0RvYy54bWxQ&#10;SwUGAAAAAAYABgBZAQAAxgUAAAAA&#10;">
                      <v:fill on="t" focussize="0,0"/>
                      <v:stroke color="#000000" joinstyle="miter"/>
                      <v:imagedata o:title=""/>
                      <o:lock v:ext="edit" aspectratio="f"/>
                      <v:textbox>
                        <w:txbxContent>
                          <w:p>
                            <w:pPr>
                              <w:jc w:val="center"/>
                              <w:rPr>
                                <w:szCs w:val="21"/>
                              </w:rPr>
                            </w:pPr>
                            <w:r>
                              <w:rPr>
                                <w:szCs w:val="21"/>
                              </w:rPr>
                              <w:t>未预见用水</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673735</wp:posOffset>
                      </wp:positionH>
                      <wp:positionV relativeFrom="paragraph">
                        <wp:posOffset>102235</wp:posOffset>
                      </wp:positionV>
                      <wp:extent cx="511810" cy="257810"/>
                      <wp:effectExtent l="0" t="0" r="6350" b="1270"/>
                      <wp:wrapNone/>
                      <wp:docPr id="27" name="文本框 162"/>
                      <wp:cNvGraphicFramePr/>
                      <a:graphic xmlns:a="http://schemas.openxmlformats.org/drawingml/2006/main">
                        <a:graphicData uri="http://schemas.microsoft.com/office/word/2010/wordprocessingShape">
                          <wps:wsp>
                            <wps:cNvSpPr txBox="1"/>
                            <wps:spPr>
                              <a:xfrm>
                                <a:off x="0" y="0"/>
                                <a:ext cx="511810" cy="257810"/>
                              </a:xfrm>
                              <a:prstGeom prst="rect">
                                <a:avLst/>
                              </a:prstGeom>
                              <a:solidFill>
                                <a:srgbClr val="FFFFFF"/>
                              </a:solidFill>
                              <a:ln>
                                <a:noFill/>
                              </a:ln>
                            </wps:spPr>
                            <wps:txbx>
                              <w:txbxContent>
                                <w:p>
                                  <w:r>
                                    <w:rPr>
                                      <w:rFonts w:hint="eastAsia"/>
                                    </w:rPr>
                                    <w:t>8.50</w:t>
                                  </w:r>
                                </w:p>
                              </w:txbxContent>
                            </wps:txbx>
                            <wps:bodyPr wrap="square" upright="1"/>
                          </wps:wsp>
                        </a:graphicData>
                      </a:graphic>
                    </wp:anchor>
                  </w:drawing>
                </mc:Choice>
                <mc:Fallback>
                  <w:pict>
                    <v:shape id="文本框 162" o:spid="_x0000_s1026" o:spt="202" type="#_x0000_t202" style="position:absolute;left:0pt;margin-left:53.05pt;margin-top:8.05pt;height:20.3pt;width:40.3pt;z-index:251669504;mso-width-relative:page;mso-height-relative:page;" fillcolor="#FFFFFF" filled="t" stroked="f" coordsize="21600,21600" o:gfxdata="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1qCfUAAAACQEAAA8AAAAAAAAAAQAgAAAAIgAAAGRycy9kb3du&#10;cmV2LnhtbFBLAQIUABQAAAAIAIdO4kBXf4BZygEAAIcDAAAOAAAAAAAAAAEAIAAAACMBAABkcnMv&#10;ZTJvRG9jLnhtbFBLBQYAAAAABgAGAFkBAABfBQAAAAA=&#10;">
                      <v:fill on="t" focussize="0,0"/>
                      <v:stroke on="f"/>
                      <v:imagedata o:title=""/>
                      <o:lock v:ext="edit" aspectratio="f"/>
                      <v:textbox>
                        <w:txbxContent>
                          <w:p>
                            <w:r>
                              <w:rPr>
                                <w:rFonts w:hint="eastAsia"/>
                              </w:rPr>
                              <w:t>8.50</w:t>
                            </w:r>
                          </w:p>
                        </w:txbxContent>
                      </v:textbox>
                    </v:shape>
                  </w:pict>
                </mc:Fallback>
              </mc:AlternateContent>
            </w:r>
          </w:p>
          <w:p>
            <w:pPr>
              <w:spacing w:before="312" w:beforeLines="100" w:line="360" w:lineRule="auto"/>
              <w:jc w:val="center"/>
              <w:rPr>
                <w:b/>
                <w:bCs/>
              </w:rPr>
            </w:pPr>
            <w:r>
              <w:rPr>
                <w:b/>
                <w:bCs/>
              </w:rPr>
              <w:t>图2-1  水平衡图  单位t/a</w:t>
            </w:r>
          </w:p>
          <w:p>
            <w:pPr>
              <w:pStyle w:val="2"/>
            </w:pPr>
          </w:p>
          <w:p>
            <w:pPr>
              <w:spacing w:line="360" w:lineRule="auto"/>
              <w:ind w:firstLine="480" w:firstLineChars="200"/>
              <w:rPr>
                <w:sz w:val="24"/>
              </w:rPr>
            </w:pPr>
            <w:r>
              <w:rPr>
                <w:sz w:val="24"/>
              </w:rPr>
              <w:t>（3）供电</w:t>
            </w:r>
          </w:p>
          <w:p>
            <w:pPr>
              <w:spacing w:line="360" w:lineRule="auto"/>
              <w:ind w:firstLine="480" w:firstLineChars="200"/>
              <w:rPr>
                <w:color w:val="000000"/>
                <w:sz w:val="24"/>
              </w:rPr>
            </w:pPr>
            <w:r>
              <w:rPr>
                <w:rFonts w:hint="eastAsia"/>
                <w:color w:val="000000"/>
                <w:sz w:val="24"/>
              </w:rPr>
              <w:t>本</w:t>
            </w:r>
            <w:r>
              <w:rPr>
                <w:color w:val="000000"/>
                <w:sz w:val="24"/>
              </w:rPr>
              <w:t>项目用电依托</w:t>
            </w:r>
            <w:r>
              <w:rPr>
                <w:rFonts w:hint="eastAsia"/>
                <w:color w:val="000000"/>
                <w:sz w:val="24"/>
              </w:rPr>
              <w:t>医院</w:t>
            </w:r>
            <w:r>
              <w:rPr>
                <w:color w:val="000000"/>
                <w:sz w:val="24"/>
              </w:rPr>
              <w:t>原有供电设施，接入市政供电线路，能够满足本项目生产用电需求。</w:t>
            </w:r>
          </w:p>
          <w:p>
            <w:pPr>
              <w:spacing w:line="360" w:lineRule="auto"/>
              <w:ind w:firstLine="480" w:firstLineChars="200"/>
              <w:rPr>
                <w:sz w:val="24"/>
              </w:rPr>
            </w:pPr>
            <w:r>
              <w:rPr>
                <w:sz w:val="24"/>
              </w:rPr>
              <w:t>（4）供热</w:t>
            </w:r>
          </w:p>
          <w:p>
            <w:pPr>
              <w:spacing w:line="360" w:lineRule="auto"/>
              <w:ind w:firstLine="480" w:firstLineChars="200"/>
              <w:rPr>
                <w:color w:val="000000"/>
                <w:sz w:val="24"/>
              </w:rPr>
            </w:pPr>
            <w:r>
              <w:rPr>
                <w:rFonts w:hint="eastAsia"/>
                <w:color w:val="000000"/>
                <w:sz w:val="24"/>
              </w:rPr>
              <w:t>本</w:t>
            </w:r>
            <w:r>
              <w:rPr>
                <w:color w:val="000000"/>
                <w:sz w:val="24"/>
              </w:rPr>
              <w:t>项目供暖依托</w:t>
            </w:r>
            <w:r>
              <w:rPr>
                <w:rFonts w:hint="eastAsia"/>
                <w:color w:val="000000"/>
                <w:sz w:val="24"/>
              </w:rPr>
              <w:t>医院</w:t>
            </w:r>
            <w:r>
              <w:rPr>
                <w:color w:val="000000"/>
                <w:sz w:val="24"/>
              </w:rPr>
              <w:t>原有供暖设施，接入城市集中供热管网，能够满足</w:t>
            </w:r>
            <w:r>
              <w:rPr>
                <w:rFonts w:hint="eastAsia"/>
                <w:color w:val="000000"/>
                <w:sz w:val="24"/>
              </w:rPr>
              <w:t>本</w:t>
            </w:r>
            <w:r>
              <w:rPr>
                <w:color w:val="000000"/>
                <w:sz w:val="24"/>
              </w:rPr>
              <w:t>项目生产生活供热供暖所需。</w:t>
            </w:r>
          </w:p>
          <w:p>
            <w:pPr>
              <w:pStyle w:val="6"/>
            </w:pPr>
            <w:bookmarkStart w:id="7" w:name="_Toc13209"/>
            <w:r>
              <w:rPr>
                <w:rFonts w:hint="eastAsia"/>
              </w:rPr>
              <w:t>6.</w:t>
            </w:r>
            <w:bookmarkEnd w:id="7"/>
            <w:r>
              <w:rPr>
                <w:rFonts w:hint="eastAsia"/>
              </w:rPr>
              <w:t>依托的现有医院污水处理和医疗废弃物处理措施情况</w:t>
            </w:r>
          </w:p>
          <w:p>
            <w:pPr>
              <w:spacing w:line="360" w:lineRule="auto"/>
              <w:ind w:firstLine="480" w:firstLineChars="200"/>
              <w:rPr>
                <w:color w:val="000000"/>
                <w:sz w:val="24"/>
              </w:rPr>
            </w:pPr>
            <w:r>
              <w:rPr>
                <w:color w:val="000000"/>
                <w:sz w:val="24"/>
              </w:rPr>
              <w:t>（1）污水处理设施情况</w:t>
            </w:r>
          </w:p>
          <w:p>
            <w:pPr>
              <w:spacing w:line="360" w:lineRule="auto"/>
              <w:ind w:firstLine="480" w:firstLineChars="200"/>
              <w:rPr>
                <w:color w:val="000000"/>
                <w:sz w:val="24"/>
                <w:lang w:val="zh-CN"/>
              </w:rPr>
            </w:pPr>
            <w:r>
              <w:rPr>
                <w:color w:val="000000"/>
                <w:sz w:val="24"/>
              </w:rPr>
              <w:t>本项目废水处理</w:t>
            </w:r>
            <w:r>
              <w:rPr>
                <w:rFonts w:hint="eastAsia"/>
                <w:color w:val="000000"/>
                <w:sz w:val="24"/>
              </w:rPr>
              <w:t>依托</w:t>
            </w:r>
            <w:r>
              <w:rPr>
                <w:color w:val="000000"/>
                <w:sz w:val="24"/>
              </w:rPr>
              <w:t>医院已建的污水处理站</w:t>
            </w:r>
            <w:r>
              <w:rPr>
                <w:rFonts w:hint="eastAsia"/>
                <w:color w:val="000000"/>
                <w:sz w:val="24"/>
              </w:rPr>
              <w:t>。</w:t>
            </w:r>
            <w:r>
              <w:rPr>
                <w:color w:val="000000"/>
                <w:sz w:val="24"/>
              </w:rPr>
              <w:t>污水处理工艺采用</w:t>
            </w:r>
            <w:bookmarkStart w:id="8" w:name="OLE_LINK29"/>
            <w:r>
              <w:rPr>
                <w:color w:val="000000"/>
                <w:sz w:val="24"/>
              </w:rPr>
              <w:t>二级生化处理（生物接触氧化）+消毒处理（</w:t>
            </w:r>
            <w:r>
              <w:rPr>
                <w:rFonts w:hint="eastAsia"/>
                <w:color w:val="000000"/>
                <w:sz w:val="24"/>
              </w:rPr>
              <w:t>次氯酸钠</w:t>
            </w:r>
            <w:r>
              <w:rPr>
                <w:color w:val="000000"/>
                <w:sz w:val="24"/>
              </w:rPr>
              <w:t>）</w:t>
            </w:r>
            <w:bookmarkEnd w:id="8"/>
            <w:r>
              <w:rPr>
                <w:color w:val="000000"/>
                <w:sz w:val="24"/>
              </w:rPr>
              <w:t>工艺</w:t>
            </w:r>
            <w:r>
              <w:rPr>
                <w:rFonts w:hint="eastAsia"/>
                <w:color w:val="000000"/>
                <w:sz w:val="24"/>
              </w:rPr>
              <w:t>，污水处理设施产生的废气</w:t>
            </w:r>
            <w:r>
              <w:rPr>
                <w:color w:val="000000"/>
                <w:sz w:val="24"/>
              </w:rPr>
              <w:t>依托医院原有</w:t>
            </w:r>
            <w:r>
              <w:rPr>
                <w:rFonts w:hint="eastAsia"/>
                <w:color w:val="000000"/>
                <w:sz w:val="24"/>
              </w:rPr>
              <w:t>离子法净化</w:t>
            </w:r>
            <w:r>
              <w:rPr>
                <w:color w:val="000000"/>
                <w:sz w:val="24"/>
              </w:rPr>
              <w:t>设施</w:t>
            </w:r>
            <w:r>
              <w:rPr>
                <w:color w:val="000000"/>
                <w:sz w:val="24"/>
                <w:lang w:val="zh-CN"/>
              </w:rPr>
              <w:t>。污水处理站设计规模为</w:t>
            </w:r>
            <w:r>
              <w:rPr>
                <w:rFonts w:hint="eastAsia"/>
                <w:color w:val="000000"/>
                <w:sz w:val="24"/>
              </w:rPr>
              <w:t>5</w:t>
            </w:r>
            <w:r>
              <w:rPr>
                <w:color w:val="000000"/>
                <w:sz w:val="24"/>
                <w:lang w:val="zh-CN"/>
              </w:rPr>
              <w:t>00m</w:t>
            </w:r>
            <w:r>
              <w:rPr>
                <w:color w:val="000000"/>
                <w:sz w:val="24"/>
                <w:vertAlign w:val="superscript"/>
              </w:rPr>
              <w:t>3</w:t>
            </w:r>
            <w:r>
              <w:rPr>
                <w:color w:val="000000"/>
                <w:sz w:val="24"/>
                <w:lang w:val="zh-CN"/>
              </w:rPr>
              <w:t>/d</w:t>
            </w:r>
            <w:r>
              <w:rPr>
                <w:rFonts w:hint="eastAsia"/>
                <w:color w:val="000000"/>
                <w:sz w:val="24"/>
                <w:lang w:val="zh-CN"/>
              </w:rPr>
              <w:t>，</w:t>
            </w:r>
            <w:r>
              <w:rPr>
                <w:rFonts w:hint="eastAsia"/>
                <w:color w:val="000000"/>
                <w:sz w:val="24"/>
              </w:rPr>
              <w:t>处理后出水</w:t>
            </w:r>
            <w:r>
              <w:rPr>
                <w:color w:val="000000"/>
                <w:sz w:val="24"/>
              </w:rPr>
              <w:t>达到</w:t>
            </w:r>
            <w:r>
              <w:rPr>
                <w:color w:val="000000"/>
                <w:sz w:val="24"/>
                <w:lang w:val="zh-CN"/>
              </w:rPr>
              <w:t>《医疗机构水污染物排放标准》（GB18466-2005）表2综合医疗机构和其他医疗机构水污染物排放标准</w:t>
            </w:r>
            <w:r>
              <w:rPr>
                <w:rFonts w:hint="eastAsia"/>
                <w:color w:val="000000"/>
                <w:sz w:val="24"/>
                <w:lang w:val="zh-CN"/>
              </w:rPr>
              <w:t>。</w:t>
            </w:r>
          </w:p>
          <w:p>
            <w:pPr>
              <w:spacing w:line="360" w:lineRule="auto"/>
              <w:ind w:firstLine="480" w:firstLineChars="200"/>
              <w:rPr>
                <w:color w:val="000000"/>
                <w:sz w:val="24"/>
              </w:rPr>
            </w:pPr>
            <w:r>
              <w:rPr>
                <w:color w:val="000000"/>
                <w:sz w:val="24"/>
              </w:rPr>
              <w:t>目前</w:t>
            </w:r>
            <w:r>
              <w:rPr>
                <w:rFonts w:hint="eastAsia"/>
                <w:color w:val="000000"/>
                <w:sz w:val="24"/>
              </w:rPr>
              <w:t>昌吉州</w:t>
            </w:r>
            <w:r>
              <w:rPr>
                <w:color w:val="000000"/>
                <w:sz w:val="24"/>
              </w:rPr>
              <w:t>中医医院废水排放量约为</w:t>
            </w:r>
            <w:r>
              <w:rPr>
                <w:rFonts w:hint="eastAsia"/>
                <w:color w:val="000000"/>
                <w:sz w:val="24"/>
              </w:rPr>
              <w:t>12</w:t>
            </w:r>
            <w:r>
              <w:rPr>
                <w:color w:val="000000"/>
                <w:sz w:val="24"/>
              </w:rPr>
              <w:t>0m</w:t>
            </w:r>
            <w:r>
              <w:rPr>
                <w:color w:val="000000"/>
                <w:sz w:val="24"/>
                <w:vertAlign w:val="superscript"/>
              </w:rPr>
              <w:t>3</w:t>
            </w:r>
            <w:r>
              <w:rPr>
                <w:color w:val="000000"/>
                <w:sz w:val="24"/>
              </w:rPr>
              <w:t>/d，尚有3</w:t>
            </w:r>
            <w:r>
              <w:rPr>
                <w:rFonts w:hint="eastAsia"/>
                <w:color w:val="000000"/>
                <w:sz w:val="24"/>
              </w:rPr>
              <w:t>8</w:t>
            </w:r>
            <w:r>
              <w:rPr>
                <w:color w:val="000000"/>
                <w:sz w:val="24"/>
              </w:rPr>
              <w:t>0m</w:t>
            </w:r>
            <w:r>
              <w:rPr>
                <w:color w:val="000000"/>
                <w:sz w:val="24"/>
                <w:vertAlign w:val="superscript"/>
              </w:rPr>
              <w:t>3</w:t>
            </w:r>
            <w:r>
              <w:rPr>
                <w:color w:val="000000"/>
                <w:sz w:val="24"/>
              </w:rPr>
              <w:t>/d处理余量，本项目投入运营后新增废水排放量</w:t>
            </w:r>
            <w:r>
              <w:rPr>
                <w:rFonts w:hint="eastAsia"/>
                <w:color w:val="000000"/>
                <w:sz w:val="24"/>
              </w:rPr>
              <w:t>68.41</w:t>
            </w:r>
            <w:r>
              <w:rPr>
                <w:color w:val="000000"/>
                <w:sz w:val="24"/>
              </w:rPr>
              <w:t>m</w:t>
            </w:r>
            <w:r>
              <w:rPr>
                <w:color w:val="000000"/>
                <w:sz w:val="24"/>
                <w:vertAlign w:val="superscript"/>
              </w:rPr>
              <w:t>3</w:t>
            </w:r>
            <w:r>
              <w:rPr>
                <w:color w:val="000000"/>
                <w:sz w:val="24"/>
              </w:rPr>
              <w:t>/d，最终合计废水排放</w:t>
            </w:r>
            <w:bookmarkStart w:id="9" w:name="OLE_LINK22"/>
            <w:r>
              <w:rPr>
                <w:color w:val="000000"/>
                <w:sz w:val="24"/>
              </w:rPr>
              <w:t>量</w:t>
            </w:r>
            <w:r>
              <w:rPr>
                <w:rFonts w:hint="eastAsia"/>
                <w:color w:val="000000"/>
                <w:sz w:val="24"/>
              </w:rPr>
              <w:t>188.41</w:t>
            </w:r>
            <w:r>
              <w:rPr>
                <w:color w:val="000000"/>
                <w:sz w:val="24"/>
              </w:rPr>
              <w:t>m</w:t>
            </w:r>
            <w:r>
              <w:rPr>
                <w:color w:val="000000"/>
                <w:sz w:val="24"/>
                <w:vertAlign w:val="superscript"/>
              </w:rPr>
              <w:t>3</w:t>
            </w:r>
            <w:r>
              <w:rPr>
                <w:color w:val="000000"/>
                <w:sz w:val="24"/>
              </w:rPr>
              <w:t>/d</w:t>
            </w:r>
            <w:bookmarkEnd w:id="9"/>
            <w:r>
              <w:rPr>
                <w:color w:val="000000"/>
                <w:sz w:val="24"/>
              </w:rPr>
              <w:t>，</w:t>
            </w:r>
            <w:r>
              <w:rPr>
                <w:rFonts w:hint="eastAsia"/>
                <w:color w:val="000000"/>
                <w:sz w:val="24"/>
              </w:rPr>
              <w:t>故本项目废水依托医院污水处理设施可行。</w:t>
            </w:r>
          </w:p>
          <w:p>
            <w:pPr>
              <w:topLinePunct/>
              <w:spacing w:line="360" w:lineRule="auto"/>
              <w:ind w:firstLine="480" w:firstLineChars="200"/>
              <w:rPr>
                <w:color w:val="000000"/>
                <w:sz w:val="24"/>
              </w:rPr>
            </w:pPr>
            <w:r>
              <w:rPr>
                <w:color w:val="000000"/>
                <w:sz w:val="24"/>
              </w:rPr>
              <w:t>（2）医疗废弃物的处理设施情况</w:t>
            </w:r>
          </w:p>
          <w:p>
            <w:pPr>
              <w:topLinePunct/>
              <w:spacing w:line="360" w:lineRule="auto"/>
              <w:ind w:firstLine="480" w:firstLineChars="200"/>
              <w:rPr>
                <w:color w:val="000000"/>
                <w:sz w:val="24"/>
              </w:rPr>
            </w:pPr>
            <w:r>
              <w:rPr>
                <w:rFonts w:hint="eastAsia"/>
                <w:color w:val="000000"/>
                <w:sz w:val="24"/>
              </w:rPr>
              <w:t>本项目</w:t>
            </w:r>
            <w:r>
              <w:rPr>
                <w:color w:val="000000"/>
                <w:sz w:val="24"/>
              </w:rPr>
              <w:t>医疗</w:t>
            </w:r>
            <w:r>
              <w:rPr>
                <w:rFonts w:hint="eastAsia"/>
                <w:color w:val="000000"/>
                <w:sz w:val="24"/>
              </w:rPr>
              <w:t>废物依托医院已建医疗废物暂存间。</w:t>
            </w:r>
            <w:r>
              <w:rPr>
                <w:color w:val="000000"/>
                <w:sz w:val="24"/>
              </w:rPr>
              <w:t>医疗废物暂存间占地</w:t>
            </w:r>
            <w:r>
              <w:rPr>
                <w:rFonts w:hint="eastAsia"/>
                <w:color w:val="000000"/>
                <w:sz w:val="24"/>
              </w:rPr>
              <w:t>约30</w:t>
            </w:r>
            <w:r>
              <w:rPr>
                <w:color w:val="000000"/>
                <w:sz w:val="24"/>
              </w:rPr>
              <w:t>m</w:t>
            </w:r>
            <w:r>
              <w:rPr>
                <w:color w:val="000000"/>
                <w:sz w:val="24"/>
                <w:vertAlign w:val="superscript"/>
              </w:rPr>
              <w:t>2</w:t>
            </w:r>
            <w:r>
              <w:rPr>
                <w:color w:val="000000"/>
                <w:sz w:val="24"/>
              </w:rPr>
              <w:t>，</w:t>
            </w:r>
            <w:bookmarkStart w:id="10" w:name="OLE_LINK55"/>
            <w:r>
              <w:rPr>
                <w:rFonts w:hint="eastAsia"/>
                <w:color w:val="000000"/>
                <w:sz w:val="24"/>
              </w:rPr>
              <w:t>最大</w:t>
            </w:r>
            <w:r>
              <w:rPr>
                <w:color w:val="000000"/>
                <w:sz w:val="24"/>
              </w:rPr>
              <w:t>暂存量为</w:t>
            </w:r>
            <w:r>
              <w:rPr>
                <w:rFonts w:hint="eastAsia"/>
                <w:color w:val="000000"/>
                <w:sz w:val="24"/>
              </w:rPr>
              <w:t>4</w:t>
            </w:r>
            <w:bookmarkStart w:id="11" w:name="OLE_LINK95"/>
            <w:r>
              <w:rPr>
                <w:rFonts w:hint="eastAsia"/>
                <w:color w:val="000000"/>
                <w:sz w:val="24"/>
              </w:rPr>
              <w:t>t/d</w:t>
            </w:r>
            <w:r>
              <w:rPr>
                <w:color w:val="000000"/>
                <w:sz w:val="24"/>
              </w:rPr>
              <w:t>，</w:t>
            </w:r>
            <w:bookmarkEnd w:id="11"/>
            <w:r>
              <w:rPr>
                <w:color w:val="000000"/>
                <w:sz w:val="24"/>
              </w:rPr>
              <w:t>现有项目实际暂存量</w:t>
            </w:r>
            <w:r>
              <w:rPr>
                <w:rFonts w:hint="eastAsia"/>
                <w:color w:val="000000"/>
                <w:sz w:val="24"/>
              </w:rPr>
              <w:t>约</w:t>
            </w:r>
            <w:r>
              <w:rPr>
                <w:color w:val="000000"/>
                <w:sz w:val="24"/>
              </w:rPr>
              <w:t>为</w:t>
            </w:r>
            <w:r>
              <w:rPr>
                <w:rFonts w:hint="eastAsia"/>
                <w:color w:val="000000"/>
                <w:sz w:val="24"/>
              </w:rPr>
              <w:t>0.5t/d</w:t>
            </w:r>
            <w:r>
              <w:rPr>
                <w:color w:val="000000"/>
                <w:sz w:val="24"/>
              </w:rPr>
              <w:t>，</w:t>
            </w:r>
            <w:r>
              <w:rPr>
                <w:rFonts w:hint="eastAsia"/>
                <w:color w:val="000000"/>
                <w:sz w:val="24"/>
              </w:rPr>
              <w:t>日清，本项目医疗废物暂存量为0.108t/d，</w:t>
            </w:r>
            <w:r>
              <w:rPr>
                <w:color w:val="000000"/>
                <w:sz w:val="24"/>
              </w:rPr>
              <w:t>本项目依托</w:t>
            </w:r>
            <w:r>
              <w:rPr>
                <w:rFonts w:hint="eastAsia"/>
                <w:color w:val="000000"/>
                <w:sz w:val="24"/>
              </w:rPr>
              <w:t>可行</w:t>
            </w:r>
            <w:r>
              <w:rPr>
                <w:color w:val="000000"/>
                <w:sz w:val="24"/>
              </w:rPr>
              <w:t>。</w:t>
            </w:r>
          </w:p>
          <w:bookmarkEnd w:id="10"/>
          <w:p>
            <w:pPr>
              <w:pStyle w:val="6"/>
            </w:pPr>
            <w:r>
              <w:rPr>
                <w:rFonts w:hint="eastAsia"/>
              </w:rPr>
              <w:t>7</w:t>
            </w:r>
            <w:r>
              <w:t>.项目平面布置</w:t>
            </w:r>
          </w:p>
          <w:p>
            <w:pPr>
              <w:spacing w:line="360" w:lineRule="auto"/>
              <w:ind w:firstLine="480" w:firstLineChars="200"/>
              <w:rPr>
                <w:rFonts w:hint="eastAsia" w:eastAsia="宋体"/>
                <w:color w:val="000000"/>
                <w:sz w:val="24"/>
                <w:lang w:eastAsia="zh-CN"/>
              </w:rPr>
            </w:pPr>
            <w:r>
              <w:rPr>
                <w:color w:val="000000"/>
                <w:sz w:val="24"/>
              </w:rPr>
              <w:t>项目区位于新疆昌吉回族自治州昌吉市建国西路110号昌吉州中医医院内，本项目分楼层布置，整体布局整齐流畅；项目医疗废物暂存间依托原有项目，实现与医疗区相分离，符合《医疗卫生机构医疗废物管理办法》等法律法规管理要求；项目污水处理依托原有项目，布置合理。医院内部进行分区规划，项目区平面布置功能区明确。</w:t>
            </w:r>
            <w:bookmarkStart w:id="12" w:name="OLE_LINK70"/>
            <w:r>
              <w:rPr>
                <w:color w:val="000000"/>
                <w:sz w:val="24"/>
              </w:rPr>
              <w:t>医院内部道路对外交通便利，主要道路设置合理，能够满足正常运输要求和事故状态下的紧急疏散</w:t>
            </w:r>
            <w:r>
              <w:rPr>
                <w:rFonts w:hint="eastAsia"/>
                <w:color w:val="000000"/>
                <w:sz w:val="24"/>
                <w:lang w:eastAsia="zh-CN"/>
              </w:rPr>
              <w:t>。</w:t>
            </w:r>
          </w:p>
          <w:p>
            <w:pPr>
              <w:spacing w:line="360" w:lineRule="auto"/>
              <w:ind w:firstLine="480" w:firstLineChars="200"/>
              <w:rPr>
                <w:color w:val="000000"/>
                <w:sz w:val="24"/>
              </w:rPr>
            </w:pPr>
          </w:p>
          <w:bookmarkEnd w:id="12"/>
          <w:p>
            <w:pPr>
              <w:spacing w:line="360" w:lineRule="auto"/>
              <w:ind w:firstLine="480" w:firstLineChars="200"/>
              <w:rPr>
                <w:bCs/>
                <w:sz w:val="24"/>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850" w:type="dxa"/>
            <w:vAlign w:val="center"/>
          </w:tcPr>
          <w:p>
            <w:pPr>
              <w:pStyle w:val="16"/>
              <w:adjustRightInd w:val="0"/>
              <w:snapToGrid w:val="0"/>
              <w:spacing w:before="0" w:beforeAutospacing="0" w:after="0" w:afterAutospacing="0"/>
              <w:jc w:val="center"/>
              <w:rPr>
                <w:rFonts w:ascii="Times New Roman" w:hAnsi="Times New Roman"/>
                <w:szCs w:val="24"/>
                <w:highlight w:val="yellow"/>
              </w:rPr>
            </w:pPr>
            <w:r>
              <w:rPr>
                <w:rFonts w:ascii="Times New Roman" w:hAnsi="Times New Roman"/>
                <w:szCs w:val="24"/>
              </w:rPr>
              <w:t>工艺流程和产排污环节</w:t>
            </w:r>
          </w:p>
        </w:tc>
        <w:tc>
          <w:tcPr>
            <w:tcW w:w="8210" w:type="dxa"/>
          </w:tcPr>
          <w:p>
            <w:pPr>
              <w:adjustRightInd w:val="0"/>
              <w:snapToGrid w:val="0"/>
              <w:spacing w:line="360" w:lineRule="auto"/>
              <w:rPr>
                <w:b/>
                <w:bCs/>
                <w:sz w:val="24"/>
                <w:szCs w:val="32"/>
              </w:rPr>
            </w:pPr>
            <w:r>
              <w:rPr>
                <w:b/>
                <w:bCs/>
                <w:sz w:val="24"/>
                <w:szCs w:val="32"/>
              </w:rPr>
              <w:t>1.工艺流程简述</w:t>
            </w:r>
          </w:p>
          <w:p>
            <w:pPr>
              <w:adjustRightInd w:val="0"/>
              <w:snapToGrid w:val="0"/>
              <w:spacing w:line="360" w:lineRule="auto"/>
              <w:ind w:left="477"/>
              <w:rPr>
                <w:bCs/>
                <w:sz w:val="24"/>
              </w:rPr>
            </w:pPr>
            <w:r>
              <w:rPr>
                <w:bCs/>
                <w:sz w:val="24"/>
              </w:rPr>
              <w:t>（1）施工期工艺流程及产污环节</w:t>
            </w:r>
          </w:p>
          <w:p>
            <w:pPr>
              <w:spacing w:line="360" w:lineRule="auto"/>
              <w:ind w:firstLine="480" w:firstLineChars="200"/>
              <w:rPr>
                <w:sz w:val="24"/>
                <w:szCs w:val="32"/>
              </w:rPr>
            </w:pPr>
            <w:r>
              <w:rPr>
                <w:sz w:val="24"/>
                <w:szCs w:val="32"/>
              </w:rPr>
              <w:t>本项目为昌吉州中医医院中医特色重点医院建设项目</w:t>
            </w:r>
            <w:r>
              <w:rPr>
                <w:color w:val="000000"/>
                <w:sz w:val="24"/>
              </w:rPr>
              <w:t>，位于新疆昌吉回族自治州昌吉市建国西路110号昌吉州中医医院内，项目现状为停车场，沥青路面，场地平整</w:t>
            </w:r>
            <w:r>
              <w:rPr>
                <w:sz w:val="24"/>
                <w:szCs w:val="32"/>
              </w:rPr>
              <w:t>。施工期工程内容主要包括基础开挖、</w:t>
            </w:r>
            <w:r>
              <w:rPr>
                <w:rFonts w:hint="eastAsia"/>
                <w:sz w:val="24"/>
                <w:szCs w:val="32"/>
              </w:rPr>
              <w:t>康复楼</w:t>
            </w:r>
            <w:r>
              <w:rPr>
                <w:sz w:val="24"/>
                <w:szCs w:val="32"/>
              </w:rPr>
              <w:t>建筑物的施工、设备的安装设置。施工期工艺流程及产污环节如下图所示：</w:t>
            </w:r>
          </w:p>
          <w:p>
            <w:pPr>
              <w:pStyle w:val="2"/>
            </w:pPr>
            <w:r>
              <w:rPr>
                <w:sz w:val="24"/>
              </w:rPr>
              <mc:AlternateContent>
                <mc:Choice Requires="wpg">
                  <w:drawing>
                    <wp:anchor distT="0" distB="0" distL="114300" distR="114300" simplePos="0" relativeHeight="251659264" behindDoc="0" locked="0" layoutInCell="1" allowOverlap="1">
                      <wp:simplePos x="0" y="0"/>
                      <wp:positionH relativeFrom="column">
                        <wp:posOffset>293370</wp:posOffset>
                      </wp:positionH>
                      <wp:positionV relativeFrom="paragraph">
                        <wp:posOffset>55245</wp:posOffset>
                      </wp:positionV>
                      <wp:extent cx="4734560" cy="1236980"/>
                      <wp:effectExtent l="8255" t="8255" r="12065" b="4445"/>
                      <wp:wrapNone/>
                      <wp:docPr id="16" name="组合 1139"/>
                      <wp:cNvGraphicFramePr/>
                      <a:graphic xmlns:a="http://schemas.openxmlformats.org/drawingml/2006/main">
                        <a:graphicData uri="http://schemas.microsoft.com/office/word/2010/wordprocessingGroup">
                          <wpg:wgp>
                            <wpg:cNvGrpSpPr/>
                            <wpg:grpSpPr>
                              <a:xfrm>
                                <a:off x="0" y="0"/>
                                <a:ext cx="4734560" cy="1236980"/>
                                <a:chOff x="8962" y="224380"/>
                                <a:chExt cx="6582" cy="1500"/>
                              </a:xfrm>
                            </wpg:grpSpPr>
                            <wps:wsp>
                              <wps:cNvPr id="1" name="文本框 1124"/>
                              <wps:cNvSpPr txBox="1"/>
                              <wps:spPr>
                                <a:xfrm>
                                  <a:off x="9213" y="225452"/>
                                  <a:ext cx="1147"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基础工程</w:t>
                                    </w:r>
                                  </w:p>
                                </w:txbxContent>
                              </wps:txbx>
                              <wps:bodyPr vert="horz" wrap="square" anchor="t" anchorCtr="0" upright="1"/>
                            </wps:wsp>
                            <wps:wsp>
                              <wps:cNvPr id="2" name="文本框 1125"/>
                              <wps:cNvSpPr txBox="1"/>
                              <wps:spPr>
                                <a:xfrm>
                                  <a:off x="10840" y="225451"/>
                                  <a:ext cx="1147"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主体工程</w:t>
                                    </w:r>
                                  </w:p>
                                </w:txbxContent>
                              </wps:txbx>
                              <wps:bodyPr vert="horz" wrap="square" anchor="t" anchorCtr="0" upright="1"/>
                            </wps:wsp>
                            <wps:wsp>
                              <wps:cNvPr id="3" name="文本框 1126"/>
                              <wps:cNvSpPr txBox="1"/>
                              <wps:spPr>
                                <a:xfrm>
                                  <a:off x="12519" y="225439"/>
                                  <a:ext cx="1147"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装饰工程</w:t>
                                    </w:r>
                                  </w:p>
                                </w:txbxContent>
                              </wps:txbx>
                              <wps:bodyPr vert="horz" wrap="square" anchor="t" anchorCtr="0" upright="1"/>
                            </wps:wsp>
                            <wps:wsp>
                              <wps:cNvPr id="4" name="文本框 1127"/>
                              <wps:cNvSpPr txBox="1"/>
                              <wps:spPr>
                                <a:xfrm>
                                  <a:off x="14226" y="225439"/>
                                  <a:ext cx="1147"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设备安装</w:t>
                                    </w:r>
                                  </w:p>
                                </w:txbxContent>
                              </wps:txbx>
                              <wps:bodyPr vert="horz" wrap="square" anchor="t" anchorCtr="0" upright="1"/>
                            </wps:wsp>
                            <wps:wsp>
                              <wps:cNvPr id="5" name="直线 1128"/>
                              <wps:cNvCnPr/>
                              <wps:spPr>
                                <a:xfrm>
                                  <a:off x="10373" y="225695"/>
                                  <a:ext cx="493" cy="1"/>
                                </a:xfrm>
                                <a:prstGeom prst="line">
                                  <a:avLst/>
                                </a:prstGeom>
                                <a:ln w="15875" cap="flat" cmpd="sng">
                                  <a:solidFill>
                                    <a:srgbClr val="000000"/>
                                  </a:solidFill>
                                  <a:prstDash val="solid"/>
                                  <a:headEnd type="none" w="med" len="med"/>
                                  <a:tailEnd type="arrow" w="med" len="med"/>
                                </a:ln>
                              </wps:spPr>
                              <wps:bodyPr/>
                            </wps:wsp>
                            <wps:wsp>
                              <wps:cNvPr id="6" name="直线 1129"/>
                              <wps:cNvCnPr/>
                              <wps:spPr>
                                <a:xfrm>
                                  <a:off x="13679" y="225668"/>
                                  <a:ext cx="493" cy="1"/>
                                </a:xfrm>
                                <a:prstGeom prst="line">
                                  <a:avLst/>
                                </a:prstGeom>
                                <a:ln w="15875" cap="flat" cmpd="sng">
                                  <a:solidFill>
                                    <a:srgbClr val="000000"/>
                                  </a:solidFill>
                                  <a:prstDash val="solid"/>
                                  <a:headEnd type="none" w="med" len="med"/>
                                  <a:tailEnd type="arrow" w="med" len="med"/>
                                </a:ln>
                              </wps:spPr>
                              <wps:bodyPr/>
                            </wps:wsp>
                            <wps:wsp>
                              <wps:cNvPr id="7" name="直线 1130"/>
                              <wps:cNvCnPr/>
                              <wps:spPr>
                                <a:xfrm>
                                  <a:off x="12013" y="225655"/>
                                  <a:ext cx="493" cy="1"/>
                                </a:xfrm>
                                <a:prstGeom prst="line">
                                  <a:avLst/>
                                </a:prstGeom>
                                <a:ln w="15875" cap="flat" cmpd="sng">
                                  <a:solidFill>
                                    <a:srgbClr val="000000"/>
                                  </a:solidFill>
                                  <a:prstDash val="solid"/>
                                  <a:headEnd type="none" w="med" len="med"/>
                                  <a:tailEnd type="arrow" w="med" len="med"/>
                                </a:ln>
                              </wps:spPr>
                              <wps:bodyPr/>
                            </wps:wsp>
                            <wps:wsp>
                              <wps:cNvPr id="8" name="直线 1131"/>
                              <wps:cNvCnPr/>
                              <wps:spPr>
                                <a:xfrm flipV="1">
                                  <a:off x="9733" y="225122"/>
                                  <a:ext cx="1" cy="332"/>
                                </a:xfrm>
                                <a:prstGeom prst="line">
                                  <a:avLst/>
                                </a:prstGeom>
                                <a:ln w="15875" cap="sq" cmpd="sng">
                                  <a:solidFill>
                                    <a:srgbClr val="0070C0"/>
                                  </a:solidFill>
                                  <a:prstDash val="sysDot"/>
                                  <a:headEnd type="none" w="med" len="med"/>
                                  <a:tailEnd type="arrow" w="med" len="med"/>
                                </a:ln>
                              </wps:spPr>
                              <wps:bodyPr/>
                            </wps:wsp>
                            <wps:wsp>
                              <wps:cNvPr id="9" name="矩形 1132"/>
                              <wps:cNvSpPr/>
                              <wps:spPr>
                                <a:xfrm>
                                  <a:off x="8962" y="224393"/>
                                  <a:ext cx="1662" cy="657"/>
                                </a:xfrm>
                                <a:prstGeom prst="rect">
                                  <a:avLst/>
                                </a:prstGeom>
                                <a:solidFill>
                                  <a:srgbClr val="FFFFFF"/>
                                </a:solidFill>
                                <a:ln w="15875" cap="sq" cmpd="sng">
                                  <a:solidFill>
                                    <a:srgbClr val="0070C0"/>
                                  </a:solidFill>
                                  <a:prstDash val="sysDot"/>
                                  <a:miter/>
                                  <a:headEnd type="none" w="med" len="med"/>
                                  <a:tailEnd type="none" w="med" len="med"/>
                                </a:ln>
                              </wps:spPr>
                              <wps:txbx>
                                <w:txbxContent>
                                  <w:p>
                                    <w:pPr>
                                      <w:jc w:val="center"/>
                                      <w:rPr>
                                        <w:color w:val="0070C0"/>
                                        <w:sz w:val="20"/>
                                        <w:szCs w:val="20"/>
                                      </w:rPr>
                                    </w:pPr>
                                    <w:r>
                                      <w:rPr>
                                        <w:rFonts w:hint="eastAsia"/>
                                        <w:color w:val="0070C0"/>
                                        <w:sz w:val="20"/>
                                        <w:szCs w:val="20"/>
                                      </w:rPr>
                                      <w:t>废气、废水、废渣扬尘、噪音</w:t>
                                    </w:r>
                                  </w:p>
                                </w:txbxContent>
                              </wps:txbx>
                              <wps:bodyPr vert="horz" wrap="square" anchor="t" anchorCtr="0" upright="1"/>
                            </wps:wsp>
                            <wps:wsp>
                              <wps:cNvPr id="10" name="直线 1133"/>
                              <wps:cNvCnPr/>
                              <wps:spPr>
                                <a:xfrm flipV="1">
                                  <a:off x="11386" y="225068"/>
                                  <a:ext cx="1" cy="332"/>
                                </a:xfrm>
                                <a:prstGeom prst="line">
                                  <a:avLst/>
                                </a:prstGeom>
                                <a:ln w="15875" cap="sq" cmpd="sng">
                                  <a:solidFill>
                                    <a:srgbClr val="0070C0"/>
                                  </a:solidFill>
                                  <a:prstDash val="sysDot"/>
                                  <a:headEnd type="none" w="med" len="med"/>
                                  <a:tailEnd type="arrow" w="med" len="med"/>
                                </a:ln>
                              </wps:spPr>
                              <wps:bodyPr/>
                            </wps:wsp>
                            <wps:wsp>
                              <wps:cNvPr id="11" name="直线 1134"/>
                              <wps:cNvCnPr/>
                              <wps:spPr>
                                <a:xfrm flipV="1">
                                  <a:off x="13027" y="225055"/>
                                  <a:ext cx="1" cy="332"/>
                                </a:xfrm>
                                <a:prstGeom prst="line">
                                  <a:avLst/>
                                </a:prstGeom>
                                <a:ln w="15875" cap="sq" cmpd="sng">
                                  <a:solidFill>
                                    <a:srgbClr val="0070C0"/>
                                  </a:solidFill>
                                  <a:prstDash val="sysDot"/>
                                  <a:headEnd type="none" w="med" len="med"/>
                                  <a:tailEnd type="arrow" w="med" len="med"/>
                                </a:ln>
                              </wps:spPr>
                              <wps:bodyPr/>
                            </wps:wsp>
                            <wps:wsp>
                              <wps:cNvPr id="12" name="直线 1135"/>
                              <wps:cNvCnPr/>
                              <wps:spPr>
                                <a:xfrm flipV="1">
                                  <a:off x="14827" y="225069"/>
                                  <a:ext cx="1" cy="332"/>
                                </a:xfrm>
                                <a:prstGeom prst="line">
                                  <a:avLst/>
                                </a:prstGeom>
                                <a:ln w="15875" cap="sq" cmpd="sng">
                                  <a:solidFill>
                                    <a:srgbClr val="0070C0"/>
                                  </a:solidFill>
                                  <a:prstDash val="sysDot"/>
                                  <a:headEnd type="none" w="med" len="med"/>
                                  <a:tailEnd type="arrow" w="med" len="med"/>
                                </a:ln>
                              </wps:spPr>
                              <wps:bodyPr/>
                            </wps:wsp>
                            <wps:wsp>
                              <wps:cNvPr id="13" name="矩形 1136"/>
                              <wps:cNvSpPr/>
                              <wps:spPr>
                                <a:xfrm>
                                  <a:off x="14148" y="224393"/>
                                  <a:ext cx="1397" cy="657"/>
                                </a:xfrm>
                                <a:prstGeom prst="rect">
                                  <a:avLst/>
                                </a:prstGeom>
                                <a:solidFill>
                                  <a:srgbClr val="FFFFFF"/>
                                </a:solidFill>
                                <a:ln w="15875" cap="sq" cmpd="sng">
                                  <a:solidFill>
                                    <a:srgbClr val="0070C0"/>
                                  </a:solidFill>
                                  <a:prstDash val="sysDot"/>
                                  <a:miter/>
                                  <a:headEnd type="none" w="med" len="med"/>
                                  <a:tailEnd type="none" w="med" len="med"/>
                                </a:ln>
                              </wps:spPr>
                              <wps:txbx>
                                <w:txbxContent>
                                  <w:p>
                                    <w:pPr>
                                      <w:jc w:val="center"/>
                                      <w:rPr>
                                        <w:color w:val="0070C0"/>
                                        <w:sz w:val="20"/>
                                        <w:szCs w:val="20"/>
                                      </w:rPr>
                                    </w:pPr>
                                    <w:r>
                                      <w:rPr>
                                        <w:rFonts w:hint="eastAsia"/>
                                        <w:color w:val="0070C0"/>
                                        <w:sz w:val="20"/>
                                        <w:szCs w:val="20"/>
                                      </w:rPr>
                                      <w:t xml:space="preserve"> 废气、废水</w:t>
                                    </w:r>
                                  </w:p>
                                  <w:p>
                                    <w:pPr>
                                      <w:jc w:val="center"/>
                                      <w:rPr>
                                        <w:color w:val="0070C0"/>
                                        <w:sz w:val="20"/>
                                        <w:szCs w:val="20"/>
                                      </w:rPr>
                                    </w:pPr>
                                    <w:r>
                                      <w:rPr>
                                        <w:rFonts w:hint="eastAsia"/>
                                        <w:color w:val="0070C0"/>
                                        <w:sz w:val="20"/>
                                        <w:szCs w:val="20"/>
                                      </w:rPr>
                                      <w:t>废渣、噪音</w:t>
                                    </w:r>
                                  </w:p>
                                </w:txbxContent>
                              </wps:txbx>
                              <wps:bodyPr vert="horz" wrap="square" anchor="t" anchorCtr="0" upright="1"/>
                            </wps:wsp>
                            <wps:wsp>
                              <wps:cNvPr id="14" name="矩形 1137"/>
                              <wps:cNvSpPr/>
                              <wps:spPr>
                                <a:xfrm>
                                  <a:off x="12374" y="224393"/>
                                  <a:ext cx="1397" cy="657"/>
                                </a:xfrm>
                                <a:prstGeom prst="rect">
                                  <a:avLst/>
                                </a:prstGeom>
                                <a:solidFill>
                                  <a:srgbClr val="FFFFFF"/>
                                </a:solidFill>
                                <a:ln w="15875" cap="sq" cmpd="sng">
                                  <a:solidFill>
                                    <a:srgbClr val="0070C0"/>
                                  </a:solidFill>
                                  <a:prstDash val="sysDot"/>
                                  <a:miter/>
                                  <a:headEnd type="none" w="med" len="med"/>
                                  <a:tailEnd type="none" w="med" len="med"/>
                                </a:ln>
                              </wps:spPr>
                              <wps:txbx>
                                <w:txbxContent>
                                  <w:p>
                                    <w:pPr>
                                      <w:ind w:left="199" w:leftChars="95"/>
                                      <w:rPr>
                                        <w:color w:val="0070C0"/>
                                        <w:sz w:val="20"/>
                                        <w:szCs w:val="20"/>
                                      </w:rPr>
                                    </w:pPr>
                                    <w:r>
                                      <w:rPr>
                                        <w:rFonts w:hint="eastAsia"/>
                                        <w:color w:val="0070C0"/>
                                        <w:sz w:val="20"/>
                                        <w:szCs w:val="20"/>
                                      </w:rPr>
                                      <w:t>废气、废水废渣、噪音</w:t>
                                    </w:r>
                                  </w:p>
                                </w:txbxContent>
                              </wps:txbx>
                              <wps:bodyPr vert="horz" wrap="square" anchor="t" anchorCtr="0" upright="1"/>
                            </wps:wsp>
                            <wps:wsp>
                              <wps:cNvPr id="15" name="矩形 1138"/>
                              <wps:cNvSpPr/>
                              <wps:spPr>
                                <a:xfrm>
                                  <a:off x="10735" y="224380"/>
                                  <a:ext cx="1397" cy="657"/>
                                </a:xfrm>
                                <a:prstGeom prst="rect">
                                  <a:avLst/>
                                </a:prstGeom>
                                <a:solidFill>
                                  <a:srgbClr val="FFFFFF"/>
                                </a:solidFill>
                                <a:ln w="15875" cap="sq" cmpd="sng">
                                  <a:solidFill>
                                    <a:srgbClr val="0070C0"/>
                                  </a:solidFill>
                                  <a:prstDash val="sysDot"/>
                                  <a:miter/>
                                  <a:headEnd type="none" w="med" len="med"/>
                                  <a:tailEnd type="none" w="med" len="med"/>
                                </a:ln>
                              </wps:spPr>
                              <wps:txbx>
                                <w:txbxContent>
                                  <w:p>
                                    <w:pPr>
                                      <w:ind w:firstLine="200" w:firstLineChars="100"/>
                                      <w:rPr>
                                        <w:color w:val="0070C0"/>
                                        <w:sz w:val="20"/>
                                        <w:szCs w:val="20"/>
                                      </w:rPr>
                                    </w:pPr>
                                    <w:r>
                                      <w:rPr>
                                        <w:rFonts w:hint="eastAsia"/>
                                        <w:color w:val="0070C0"/>
                                        <w:sz w:val="20"/>
                                        <w:szCs w:val="20"/>
                                      </w:rPr>
                                      <w:t>废气、废水</w:t>
                                    </w:r>
                                  </w:p>
                                  <w:p>
                                    <w:pPr>
                                      <w:ind w:firstLine="200" w:firstLineChars="100"/>
                                      <w:rPr>
                                        <w:color w:val="0070C0"/>
                                        <w:sz w:val="20"/>
                                        <w:szCs w:val="20"/>
                                      </w:rPr>
                                    </w:pPr>
                                    <w:r>
                                      <w:rPr>
                                        <w:rFonts w:hint="eastAsia"/>
                                        <w:color w:val="0070C0"/>
                                        <w:sz w:val="20"/>
                                        <w:szCs w:val="20"/>
                                      </w:rPr>
                                      <w:t>废渣、噪音</w:t>
                                    </w:r>
                                  </w:p>
                                </w:txbxContent>
                              </wps:txbx>
                              <wps:bodyPr vert="horz" wrap="square" anchor="t" anchorCtr="0" upright="1"/>
                            </wps:wsp>
                          </wpg:wgp>
                        </a:graphicData>
                      </a:graphic>
                    </wp:anchor>
                  </w:drawing>
                </mc:Choice>
                <mc:Fallback>
                  <w:pict>
                    <v:group id="组合 1139" o:spid="_x0000_s1026" o:spt="203" style="position:absolute;left:0pt;margin-left:23.1pt;margin-top:4.35pt;height:97.4pt;width:372.8pt;z-index:251659264;mso-width-relative:page;mso-height-relative:page;" coordorigin="8962,224380" coordsize="6582,1500" o:gfxdata="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AZDN1tkAAAAIAQAADwAAAAAAAAABACAA&#10;AAAiAAAAZHJzL2Rvd25yZXYueG1sUEsBAhQAFAAAAAgAh07iQMLpFajxBAAAbSUAAA4AAAAAAAAA&#10;AQAgAAAAKAEAAGRycy9lMm9Eb2MueG1sUEsFBgAAAAAGAAYAWQEAAIsIAAAAAA==&#10;">
                      <o:lock v:ext="edit" aspectratio="f"/>
                      <v:shape id="文本框 1124" o:spid="_x0000_s1026" o:spt="202" type="#_x0000_t202" style="position:absolute;left:9213;top:225452;height:428;width:1147;"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r>
                                <w:rPr>
                                  <w:rFonts w:hint="eastAsia"/>
                                </w:rPr>
                                <w:t>基础工程</w:t>
                              </w:r>
                            </w:p>
                          </w:txbxContent>
                        </v:textbox>
                      </v:shape>
                      <v:shape id="文本框 1125" o:spid="_x0000_s1026" o:spt="202" type="#_x0000_t202" style="position:absolute;left:10840;top:225451;height:428;width:1147;"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主体工程</w:t>
                              </w:r>
                            </w:p>
                          </w:txbxContent>
                        </v:textbox>
                      </v:shape>
                      <v:shape id="文本框 1126" o:spid="_x0000_s1026" o:spt="202" type="#_x0000_t202" style="position:absolute;left:12519;top:225439;height:428;width:1147;"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装饰工程</w:t>
                              </w:r>
                            </w:p>
                          </w:txbxContent>
                        </v:textbox>
                      </v:shape>
                      <v:shape id="文本框 1127" o:spid="_x0000_s1026" o:spt="202" type="#_x0000_t202" style="position:absolute;left:14226;top:225439;height:428;width:114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r>
                                <w:rPr>
                                  <w:rFonts w:hint="eastAsia"/>
                                </w:rPr>
                                <w:t>设备安装</w:t>
                              </w:r>
                            </w:p>
                          </w:txbxContent>
                        </v:textbox>
                      </v:shape>
                      <v:line id="直线 1128" o:spid="_x0000_s1026" o:spt="20" style="position:absolute;left:10373;top:225695;height:1;width:493;" filled="f" stroked="t" coordsize="21600,21600" o:gfxdata="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Iw774A&#10;AADaAAAADwAAAAAAAAABACAAAAAiAAAAZHJzL2Rvd25yZXYueG1sUEsBAhQAFAAAAAgAh07iQDMv&#10;BZ47AAAAOQAAABAAAAAAAAAAAQAgAAAADQEAAGRycy9zaGFwZXhtbC54bWxQSwUGAAAAAAYABgBb&#10;AQAAtwMAAAAA&#10;">
                        <v:fill on="f" focussize="0,0"/>
                        <v:stroke weight="1.25pt" color="#000000" joinstyle="round" endarrow="open"/>
                        <v:imagedata o:title=""/>
                        <o:lock v:ext="edit" aspectratio="f"/>
                      </v:line>
                      <v:line id="直线 1129" o:spid="_x0000_s1026" o:spt="20" style="position:absolute;left:13679;top:225668;height:1;width:493;" filled="f" stroked="t" coordsize="21600,21600" o:gfxdata="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CumL4A&#10;AADaAAAADwAAAAAAAAABACAAAAAiAAAAZHJzL2Rvd25yZXYueG1sUEsBAhQAFAAAAAgAh07iQDMv&#10;BZ47AAAAOQAAABAAAAAAAAAAAQAgAAAADQEAAGRycy9zaGFwZXhtbC54bWxQSwUGAAAAAAYABgBb&#10;AQAAtwMAAAAA&#10;">
                        <v:fill on="f" focussize="0,0"/>
                        <v:stroke weight="1.25pt" color="#000000" joinstyle="round" endarrow="open"/>
                        <v:imagedata o:title=""/>
                        <o:lock v:ext="edit" aspectratio="f"/>
                      </v:line>
                      <v:line id="直线 1130" o:spid="_x0000_s1026" o:spt="20" style="position:absolute;left:12013;top:225655;height:1;width:493;" filled="f" stroked="t" coordsize="21600,21600" o:gfxdata="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wLA74A&#10;AADaAAAADwAAAAAAAAABACAAAAAiAAAAZHJzL2Rvd25yZXYueG1sUEsBAhQAFAAAAAgAh07iQDMv&#10;BZ47AAAAOQAAABAAAAAAAAAAAQAgAAAADQEAAGRycy9zaGFwZXhtbC54bWxQSwUGAAAAAAYABgBb&#10;AQAAtwMAAAAA&#10;">
                        <v:fill on="f" focussize="0,0"/>
                        <v:stroke weight="1.25pt" color="#000000" joinstyle="round" endarrow="open"/>
                        <v:imagedata o:title=""/>
                        <o:lock v:ext="edit" aspectratio="f"/>
                      </v:line>
                      <v:line id="直线 1131" o:spid="_x0000_s1026" o:spt="20" style="position:absolute;left:9733;top:225122;flip:y;height:332;width:1;" filled="f" stroked="t" coordsize="21600,21600" o:gfxdata="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Q0VergAAADaAAAA&#10;DwAAAAAAAAABACAAAAAiAAAAZHJzL2Rvd25yZXYueG1sUEsBAhQAFAAAAAgAh07iQDMvBZ47AAAA&#10;OQAAABAAAAAAAAAAAQAgAAAABwEAAGRycy9zaGFwZXhtbC54bWxQSwUGAAAAAAYABgBbAQAAsQMA&#10;AAAA&#10;">
                        <v:fill on="f" focussize="0,0"/>
                        <v:stroke weight="1.25pt" color="#0070C0" joinstyle="round" dashstyle="1 1" endcap="square" endarrow="open"/>
                        <v:imagedata o:title=""/>
                        <o:lock v:ext="edit" aspectratio="f"/>
                      </v:line>
                      <v:rect id="矩形 1132" o:spid="_x0000_s1026" o:spt="1" style="position:absolute;left:8962;top:224393;height:657;width:1662;" fillcolor="#FFFFFF" filled="t" stroked="t" coordsize="21600,21600" o:gfxdata="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TpQu8AAAA&#10;2gAAAA8AAAAAAAAAAQAgAAAAIgAAAGRycy9kb3ducmV2LnhtbFBLAQIUABQAAAAIAIdO4kAzLwWe&#10;OwAAADkAAAAQAAAAAAAAAAEAIAAAAAsBAABkcnMvc2hhcGV4bWwueG1sUEsFBgAAAAAGAAYAWwEA&#10;ALUDAAAAAA==&#10;">
                        <v:fill on="t" focussize="0,0"/>
                        <v:stroke weight="1.25pt" color="#0070C0" joinstyle="miter" dashstyle="1 1" endcap="square"/>
                        <v:imagedata o:title=""/>
                        <o:lock v:ext="edit" aspectratio="f"/>
                        <v:textbox>
                          <w:txbxContent>
                            <w:p>
                              <w:pPr>
                                <w:jc w:val="center"/>
                                <w:rPr>
                                  <w:color w:val="0070C0"/>
                                  <w:sz w:val="20"/>
                                  <w:szCs w:val="20"/>
                                </w:rPr>
                              </w:pPr>
                              <w:r>
                                <w:rPr>
                                  <w:rFonts w:hint="eastAsia"/>
                                  <w:color w:val="0070C0"/>
                                  <w:sz w:val="20"/>
                                  <w:szCs w:val="20"/>
                                </w:rPr>
                                <w:t>废气、废水、废渣扬尘、噪音</w:t>
                              </w:r>
                            </w:p>
                          </w:txbxContent>
                        </v:textbox>
                      </v:rect>
                      <v:line id="直线 1133" o:spid="_x0000_s1026" o:spt="20" style="position:absolute;left:11386;top:225068;flip:y;height:332;width:1;" filled="f" stroked="t" coordsize="21600,21600" o:gfxdata="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bWIrsAAADb&#10;AAAADwAAAAAAAAABACAAAAAiAAAAZHJzL2Rvd25yZXYueG1sUEsBAhQAFAAAAAgAh07iQDMvBZ47&#10;AAAAOQAAABAAAAAAAAAAAQAgAAAACgEAAGRycy9zaGFwZXhtbC54bWxQSwUGAAAAAAYABgBbAQAA&#10;tAMAAAAA&#10;">
                        <v:fill on="f" focussize="0,0"/>
                        <v:stroke weight="1.25pt" color="#0070C0" joinstyle="round" dashstyle="1 1" endcap="square" endarrow="open"/>
                        <v:imagedata o:title=""/>
                        <o:lock v:ext="edit" aspectratio="f"/>
                      </v:line>
                      <v:line id="直线 1134" o:spid="_x0000_s1026" o:spt="20" style="position:absolute;left:13027;top:225055;flip:y;height:332;width:1;" filled="f" stroked="t" coordsize="21600,21600" o:gfxdata="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4pzubgAAADbAAAA&#10;DwAAAAAAAAABACAAAAAiAAAAZHJzL2Rvd25yZXYueG1sUEsBAhQAFAAAAAgAh07iQDMvBZ47AAAA&#10;OQAAABAAAAAAAAAAAQAgAAAABwEAAGRycy9zaGFwZXhtbC54bWxQSwUGAAAAAAYABgBbAQAAsQMA&#10;AAAA&#10;">
                        <v:fill on="f" focussize="0,0"/>
                        <v:stroke weight="1.25pt" color="#0070C0" joinstyle="round" dashstyle="1 1" endcap="square" endarrow="open"/>
                        <v:imagedata o:title=""/>
                        <o:lock v:ext="edit" aspectratio="f"/>
                      </v:line>
                      <v:line id="直线 1135" o:spid="_x0000_s1026" o:spt="20" style="position:absolute;left:14827;top:225069;flip:y;height:332;width:1;" filled="f" stroked="t" coordsize="21600,21600" o:gfxdata="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NY7c65AAAA2wAA&#10;AA8AAAAAAAAAAQAgAAAAIgAAAGRycy9kb3ducmV2LnhtbFBLAQIUABQAAAAIAIdO4kAzLwWeOwAA&#10;ADkAAAAQAAAAAAAAAAEAIAAAAAgBAABkcnMvc2hhcGV4bWwueG1sUEsFBgAAAAAGAAYAWwEAALID&#10;AAAAAA==&#10;">
                        <v:fill on="f" focussize="0,0"/>
                        <v:stroke weight="1.25pt" color="#0070C0" joinstyle="round" dashstyle="1 1" endcap="square" endarrow="open"/>
                        <v:imagedata o:title=""/>
                        <o:lock v:ext="edit" aspectratio="f"/>
                      </v:line>
                      <v:rect id="矩形 1136" o:spid="_x0000_s1026" o:spt="1" style="position:absolute;left:14148;top:224393;height:657;width:1397;" fillcolor="#FFFFFF" filled="t" stroked="t" coordsize="21600,21600" o:gfxdata="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aSjTrsAAADb&#10;AAAADwAAAAAAAAABACAAAAAiAAAAZHJzL2Rvd25yZXYueG1sUEsBAhQAFAAAAAgAh07iQDMvBZ47&#10;AAAAOQAAABAAAAAAAAAAAQAgAAAACgEAAGRycy9zaGFwZXhtbC54bWxQSwUGAAAAAAYABgBbAQAA&#10;tAMAAAAA&#10;">
                        <v:fill on="t" focussize="0,0"/>
                        <v:stroke weight="1.25pt" color="#0070C0" joinstyle="miter" dashstyle="1 1" endcap="square"/>
                        <v:imagedata o:title=""/>
                        <o:lock v:ext="edit" aspectratio="f"/>
                        <v:textbox>
                          <w:txbxContent>
                            <w:p>
                              <w:pPr>
                                <w:jc w:val="center"/>
                                <w:rPr>
                                  <w:color w:val="0070C0"/>
                                  <w:sz w:val="20"/>
                                  <w:szCs w:val="20"/>
                                </w:rPr>
                              </w:pPr>
                              <w:r>
                                <w:rPr>
                                  <w:rFonts w:hint="eastAsia"/>
                                  <w:color w:val="0070C0"/>
                                  <w:sz w:val="20"/>
                                  <w:szCs w:val="20"/>
                                </w:rPr>
                                <w:t xml:space="preserve"> 废气、废水</w:t>
                              </w:r>
                            </w:p>
                            <w:p>
                              <w:pPr>
                                <w:jc w:val="center"/>
                                <w:rPr>
                                  <w:color w:val="0070C0"/>
                                  <w:sz w:val="20"/>
                                  <w:szCs w:val="20"/>
                                </w:rPr>
                              </w:pPr>
                              <w:r>
                                <w:rPr>
                                  <w:rFonts w:hint="eastAsia"/>
                                  <w:color w:val="0070C0"/>
                                  <w:sz w:val="20"/>
                                  <w:szCs w:val="20"/>
                                </w:rPr>
                                <w:t>废渣、噪音</w:t>
                              </w:r>
                            </w:p>
                          </w:txbxContent>
                        </v:textbox>
                      </v:rect>
                      <v:rect id="矩形 1137" o:spid="_x0000_s1026" o:spt="1" style="position:absolute;left:12374;top:224393;height:657;width:1397;" fillcolor="#FFFFFF" filled="t" stroked="t" coordsize="21600,21600" o:gfxdata="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k07OrsAAADb&#10;AAAADwAAAAAAAAABACAAAAAiAAAAZHJzL2Rvd25yZXYueG1sUEsBAhQAFAAAAAgAh07iQDMvBZ47&#10;AAAAOQAAABAAAAAAAAAAAQAgAAAACgEAAGRycy9zaGFwZXhtbC54bWxQSwUGAAAAAAYABgBbAQAA&#10;tAMAAAAA&#10;">
                        <v:fill on="t" focussize="0,0"/>
                        <v:stroke weight="1.25pt" color="#0070C0" joinstyle="miter" dashstyle="1 1" endcap="square"/>
                        <v:imagedata o:title=""/>
                        <o:lock v:ext="edit" aspectratio="f"/>
                        <v:textbox>
                          <w:txbxContent>
                            <w:p>
                              <w:pPr>
                                <w:ind w:left="199" w:leftChars="95"/>
                                <w:rPr>
                                  <w:color w:val="0070C0"/>
                                  <w:sz w:val="20"/>
                                  <w:szCs w:val="20"/>
                                </w:rPr>
                              </w:pPr>
                              <w:r>
                                <w:rPr>
                                  <w:rFonts w:hint="eastAsia"/>
                                  <w:color w:val="0070C0"/>
                                  <w:sz w:val="20"/>
                                  <w:szCs w:val="20"/>
                                </w:rPr>
                                <w:t>废气、废水废渣、噪音</w:t>
                              </w:r>
                            </w:p>
                          </w:txbxContent>
                        </v:textbox>
                      </v:rect>
                      <v:rect id="矩形 1138" o:spid="_x0000_s1026" o:spt="1" style="position:absolute;left:10735;top:224380;height:657;width:1397;" fillcolor="#FFFFFF" filled="t" stroked="t" coordsize="21600,21600" o:gfxdata="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GeobsAAADb&#10;AAAADwAAAAAAAAABACAAAAAiAAAAZHJzL2Rvd25yZXYueG1sUEsBAhQAFAAAAAgAh07iQDMvBZ47&#10;AAAAOQAAABAAAAAAAAAAAQAgAAAACgEAAGRycy9zaGFwZXhtbC54bWxQSwUGAAAAAAYABgBbAQAA&#10;tAMAAAAA&#10;">
                        <v:fill on="t" focussize="0,0"/>
                        <v:stroke weight="1.25pt" color="#0070C0" joinstyle="miter" dashstyle="1 1" endcap="square"/>
                        <v:imagedata o:title=""/>
                        <o:lock v:ext="edit" aspectratio="f"/>
                        <v:textbox>
                          <w:txbxContent>
                            <w:p>
                              <w:pPr>
                                <w:ind w:firstLine="200" w:firstLineChars="100"/>
                                <w:rPr>
                                  <w:color w:val="0070C0"/>
                                  <w:sz w:val="20"/>
                                  <w:szCs w:val="20"/>
                                </w:rPr>
                              </w:pPr>
                              <w:r>
                                <w:rPr>
                                  <w:rFonts w:hint="eastAsia"/>
                                  <w:color w:val="0070C0"/>
                                  <w:sz w:val="20"/>
                                  <w:szCs w:val="20"/>
                                </w:rPr>
                                <w:t>废气、废水</w:t>
                              </w:r>
                            </w:p>
                            <w:p>
                              <w:pPr>
                                <w:ind w:firstLine="200" w:firstLineChars="100"/>
                                <w:rPr>
                                  <w:color w:val="0070C0"/>
                                  <w:sz w:val="20"/>
                                  <w:szCs w:val="20"/>
                                </w:rPr>
                              </w:pPr>
                              <w:r>
                                <w:rPr>
                                  <w:rFonts w:hint="eastAsia"/>
                                  <w:color w:val="0070C0"/>
                                  <w:sz w:val="20"/>
                                  <w:szCs w:val="20"/>
                                </w:rPr>
                                <w:t>废渣、噪音</w:t>
                              </w:r>
                            </w:p>
                          </w:txbxContent>
                        </v:textbox>
                      </v:rect>
                    </v:group>
                  </w:pict>
                </mc:Fallback>
              </mc:AlternateContent>
            </w:r>
          </w:p>
          <w:p>
            <w:pPr>
              <w:rPr>
                <w:sz w:val="24"/>
                <w:szCs w:val="32"/>
              </w:rPr>
            </w:pPr>
          </w:p>
          <w:p/>
          <w:p>
            <w:pPr>
              <w:pStyle w:val="22"/>
              <w:tabs>
                <w:tab w:val="left" w:pos="1845"/>
              </w:tabs>
              <w:rPr>
                <w:rFonts w:ascii="Times New Roman" w:cs="Times New Roman"/>
                <w:color w:val="auto"/>
                <w:szCs w:val="32"/>
              </w:rPr>
            </w:pPr>
          </w:p>
          <w:p/>
          <w:p>
            <w:pPr>
              <w:adjustRightInd w:val="0"/>
              <w:snapToGrid w:val="0"/>
              <w:spacing w:line="360" w:lineRule="auto"/>
              <w:rPr>
                <w:b/>
                <w:szCs w:val="21"/>
              </w:rPr>
            </w:pPr>
          </w:p>
          <w:p>
            <w:pPr>
              <w:adjustRightInd w:val="0"/>
              <w:snapToGrid w:val="0"/>
              <w:spacing w:line="360" w:lineRule="auto"/>
              <w:ind w:firstLine="422" w:firstLineChars="200"/>
              <w:jc w:val="center"/>
              <w:rPr>
                <w:b/>
                <w:szCs w:val="21"/>
              </w:rPr>
            </w:pPr>
          </w:p>
          <w:p>
            <w:pPr>
              <w:adjustRightInd w:val="0"/>
              <w:snapToGrid w:val="0"/>
              <w:spacing w:line="360" w:lineRule="auto"/>
              <w:ind w:firstLine="422" w:firstLineChars="200"/>
              <w:jc w:val="center"/>
              <w:rPr>
                <w:b/>
                <w:szCs w:val="21"/>
              </w:rPr>
            </w:pPr>
            <w:r>
              <w:rPr>
                <w:b/>
                <w:szCs w:val="21"/>
              </w:rPr>
              <w:t>图2-2  施工期工艺流程及产污环节图</w:t>
            </w:r>
          </w:p>
          <w:p>
            <w:pPr>
              <w:spacing w:line="360" w:lineRule="auto"/>
              <w:ind w:firstLine="482" w:firstLineChars="200"/>
              <w:rPr>
                <w:sz w:val="24"/>
              </w:rPr>
            </w:pPr>
            <w:r>
              <w:rPr>
                <w:b/>
                <w:bCs/>
                <w:sz w:val="24"/>
                <w:szCs w:val="32"/>
              </w:rPr>
              <w:t>工艺流程说明：</w:t>
            </w:r>
            <w:r>
              <w:rPr>
                <w:sz w:val="24"/>
              </w:rPr>
              <w:t>项目在施工期以施工噪声、施工扬尘、废弃材料</w:t>
            </w:r>
            <w:r>
              <w:rPr>
                <w:rFonts w:hint="eastAsia"/>
                <w:sz w:val="24"/>
              </w:rPr>
              <w:t>（</w:t>
            </w:r>
            <w:r>
              <w:rPr>
                <w:sz w:val="24"/>
              </w:rPr>
              <w:t>建筑弃渣及其它废料</w:t>
            </w:r>
            <w:r>
              <w:rPr>
                <w:rFonts w:hint="eastAsia"/>
                <w:sz w:val="24"/>
              </w:rPr>
              <w:t>）</w:t>
            </w:r>
            <w:r>
              <w:rPr>
                <w:sz w:val="24"/>
              </w:rPr>
              <w:t>和废水为主要污染物。</w:t>
            </w:r>
          </w:p>
          <w:p>
            <w:pPr>
              <w:spacing w:line="360" w:lineRule="auto"/>
              <w:ind w:firstLine="480" w:firstLineChars="200"/>
              <w:rPr>
                <w:sz w:val="24"/>
              </w:rPr>
            </w:pPr>
            <w:r>
              <w:rPr>
                <w:sz w:val="24"/>
              </w:rPr>
              <w:t>①基础工程施工</w:t>
            </w:r>
          </w:p>
          <w:p>
            <w:pPr>
              <w:spacing w:line="360" w:lineRule="auto"/>
              <w:ind w:firstLine="480" w:firstLineChars="200"/>
              <w:rPr>
                <w:sz w:val="24"/>
              </w:rPr>
            </w:pPr>
            <w:r>
              <w:rPr>
                <w:sz w:val="24"/>
              </w:rPr>
              <w:t>在地基处理过程中，挖土机、运土卡车、打桩机、夯实机等施工机械的运行将产生一定的噪声、废气及扬尘；挖填土石方作业及运输车辆行驶将产生一定的噪声、废气及扬尘；施工人员会产生生活污水及生活垃圾。</w:t>
            </w:r>
          </w:p>
          <w:p>
            <w:pPr>
              <w:spacing w:line="360" w:lineRule="auto"/>
              <w:ind w:firstLine="480" w:firstLineChars="200"/>
              <w:rPr>
                <w:sz w:val="24"/>
              </w:rPr>
            </w:pPr>
            <w:r>
              <w:rPr>
                <w:sz w:val="24"/>
              </w:rPr>
              <w:t>②主体工程施工</w:t>
            </w:r>
          </w:p>
          <w:p>
            <w:pPr>
              <w:spacing w:line="360" w:lineRule="auto"/>
              <w:ind w:firstLine="480" w:firstLineChars="200"/>
              <w:rPr>
                <w:sz w:val="24"/>
              </w:rPr>
            </w:pPr>
            <w:r>
              <w:rPr>
                <w:sz w:val="24"/>
              </w:rPr>
              <w:t>挖掘机、打夯机、装载汽车等运行时会产生噪声、废气及扬尘；施工人员会产生生活污水及生活垃圾；此外会产生一定量的原材料废弃料。</w:t>
            </w:r>
          </w:p>
          <w:p>
            <w:pPr>
              <w:spacing w:line="360" w:lineRule="auto"/>
              <w:ind w:firstLine="480" w:firstLineChars="200"/>
              <w:rPr>
                <w:sz w:val="24"/>
              </w:rPr>
            </w:pPr>
            <w:r>
              <w:rPr>
                <w:sz w:val="24"/>
              </w:rPr>
              <w:t>③装饰工程施工</w:t>
            </w:r>
          </w:p>
          <w:p>
            <w:pPr>
              <w:spacing w:line="360" w:lineRule="auto"/>
              <w:ind w:firstLine="480" w:firstLineChars="200"/>
              <w:rPr>
                <w:sz w:val="24"/>
              </w:rPr>
            </w:pPr>
            <w:r>
              <w:rPr>
                <w:sz w:val="24"/>
              </w:rPr>
              <w:t>对构筑物的室内外进行装修过程中(如表面粉刷、油漆、喷涂、裱糊、镶贴装饰等)，钻机、电锤等机械产生噪声，油漆和喷涂产生废气、废弃材料及污水。</w:t>
            </w:r>
          </w:p>
          <w:p>
            <w:pPr>
              <w:numPr>
                <w:ilvl w:val="0"/>
                <w:numId w:val="1"/>
              </w:numPr>
              <w:adjustRightInd w:val="0"/>
              <w:snapToGrid w:val="0"/>
              <w:spacing w:line="360" w:lineRule="auto"/>
              <w:ind w:left="477"/>
              <w:rPr>
                <w:bCs/>
                <w:sz w:val="24"/>
              </w:rPr>
            </w:pPr>
            <w:r>
              <w:rPr>
                <w:bCs/>
                <w:sz w:val="24"/>
              </w:rPr>
              <w:t>运营期</w:t>
            </w:r>
            <w:r>
              <w:rPr>
                <w:rFonts w:hint="eastAsia"/>
                <w:sz w:val="24"/>
                <w:szCs w:val="32"/>
              </w:rPr>
              <w:t>康复楼</w:t>
            </w:r>
            <w:r>
              <w:rPr>
                <w:bCs/>
                <w:sz w:val="24"/>
              </w:rPr>
              <w:t>主要工作流程及产污环节</w:t>
            </w:r>
          </w:p>
          <w:p>
            <w:pPr>
              <w:spacing w:line="360" w:lineRule="auto"/>
              <w:ind w:firstLine="480" w:firstLineChars="200"/>
            </w:pPr>
            <w:r>
              <w:rPr>
                <w:sz w:val="24"/>
                <w:szCs w:val="32"/>
              </w:rPr>
              <w:t>本项目属卫生服务，无生产过程存在。运营期产生的污染物包括各科室医务活动过程中产生的污染物，主要有生活污水、医疗废水、生活垃圾、医疗垃圾等。主要工艺流程见图</w:t>
            </w:r>
            <w:r>
              <w:rPr>
                <w:rFonts w:hint="eastAsia"/>
                <w:sz w:val="24"/>
                <w:szCs w:val="32"/>
              </w:rPr>
              <w:t>2-3</w:t>
            </w:r>
            <w:r>
              <w:rPr>
                <w:sz w:val="24"/>
                <w:szCs w:val="32"/>
              </w:rPr>
              <w:t>。</w:t>
            </w:r>
          </w:p>
          <w:p>
            <w:pPr>
              <w:pStyle w:val="23"/>
              <w:jc w:val="center"/>
            </w:pPr>
            <w:r>
              <mc:AlternateContent>
                <mc:Choice Requires="wps">
                  <w:drawing>
                    <wp:anchor distT="0" distB="0" distL="114300" distR="114300" simplePos="0" relativeHeight="251704320" behindDoc="0" locked="0" layoutInCell="1" allowOverlap="1">
                      <wp:simplePos x="0" y="0"/>
                      <wp:positionH relativeFrom="column">
                        <wp:posOffset>13970</wp:posOffset>
                      </wp:positionH>
                      <wp:positionV relativeFrom="paragraph">
                        <wp:posOffset>2055495</wp:posOffset>
                      </wp:positionV>
                      <wp:extent cx="1153160" cy="309245"/>
                      <wp:effectExtent l="4445" t="4445" r="15875" b="6350"/>
                      <wp:wrapNone/>
                      <wp:docPr id="80" name="文本框 80"/>
                      <wp:cNvGraphicFramePr/>
                      <a:graphic xmlns:a="http://schemas.openxmlformats.org/drawingml/2006/main">
                        <a:graphicData uri="http://schemas.microsoft.com/office/word/2010/wordprocessingShape">
                          <wps:wsp>
                            <wps:cNvSpPr txBox="1"/>
                            <wps:spPr>
                              <a:xfrm>
                                <a:off x="0" y="0"/>
                                <a:ext cx="1153160" cy="309245"/>
                              </a:xfrm>
                              <a:prstGeom prst="rect">
                                <a:avLst/>
                              </a:prstGeom>
                              <a:solidFill>
                                <a:schemeClr val="lt1"/>
                              </a:solidFill>
                              <a:ln w="9525" cmpd="sng">
                                <a:solidFill>
                                  <a:schemeClr val="accent1">
                                    <a:shade val="50000"/>
                                  </a:schemeClr>
                                </a:solidFill>
                                <a:prstDash val="sysDot"/>
                              </a:ln>
                            </wps:spPr>
                            <wps:style>
                              <a:lnRef idx="0">
                                <a:schemeClr val="accent1"/>
                              </a:lnRef>
                              <a:fillRef idx="0">
                                <a:schemeClr val="accent1"/>
                              </a:fillRef>
                              <a:effectRef idx="0">
                                <a:schemeClr val="accent1"/>
                              </a:effectRef>
                              <a:fontRef idx="minor">
                                <a:schemeClr val="dk1"/>
                              </a:fontRef>
                            </wps:style>
                            <wps:txbx>
                              <w:txbxContent>
                                <w:p>
                                  <w:pPr>
                                    <w:pStyle w:val="16"/>
                                    <w:jc w:val="center"/>
                                    <w:rPr>
                                      <w:sz w:val="28"/>
                                      <w:szCs w:val="21"/>
                                    </w:rPr>
                                  </w:pPr>
                                  <w:r>
                                    <w:rPr>
                                      <w:rFonts w:ascii="Times New Roman" w:hAnsi="Times New Roman"/>
                                      <w:color w:val="0070C0"/>
                                      <w:kern w:val="2"/>
                                      <w:sz w:val="15"/>
                                      <w:szCs w:val="15"/>
                                      <w14:textOutline w14:w="0" w14:cap="flat" w14:cmpd="sng" w14:algn="ctr">
                                        <w14:solidFill>
                                          <w14:srgbClr w14:val="000000"/>
                                        </w14:solidFill>
                                        <w14:prstDash w14:val="solid"/>
                                        <w14:round/>
                                      </w14:textOutline>
                                    </w:rPr>
                                    <w:t>噪声、固体废物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161.85pt;height:24.35pt;width:90.8pt;z-index:251704320;mso-width-relative:page;mso-height-relative:page;" fillcolor="#FFFFFF [3201]" filled="t" stroked="t" coordsize="21600,21600" o:gfxdata="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K4SRgdcAAAAJAQAADwAAAAAAAAABACAAAAAiAAAA&#10;ZHJzL2Rvd25yZXYueG1sUEsBAhQAFAAAAAgAh07iQO/nedF6AgAAAAUAAA4AAAAAAAAAAQAgAAAA&#10;JgEAAGRycy9lMm9Eb2MueG1sUEsFBgAAAAAGAAYAWQEAABIGAAAAAA==&#10;">
                      <v:fill on="t" focussize="0,0"/>
                      <v:stroke color="#385D8A [3204]" joinstyle="round" dashstyle="1 1"/>
                      <v:imagedata o:title=""/>
                      <o:lock v:ext="edit" aspectratio="f"/>
                      <v:textbox>
                        <w:txbxContent>
                          <w:p>
                            <w:pPr>
                              <w:pStyle w:val="16"/>
                              <w:jc w:val="center"/>
                              <w:rPr>
                                <w:sz w:val="28"/>
                                <w:szCs w:val="21"/>
                              </w:rPr>
                            </w:pPr>
                            <w:r>
                              <w:rPr>
                                <w:rFonts w:ascii="Times New Roman" w:hAnsi="Times New Roman"/>
                                <w:color w:val="0070C0"/>
                                <w:kern w:val="2"/>
                                <w:sz w:val="15"/>
                                <w:szCs w:val="15"/>
                                <w14:textOutline w14:w="0" w14:cap="flat" w14:cmpd="sng" w14:algn="ctr">
                                  <w14:solidFill>
                                    <w14:srgbClr w14:val="000000"/>
                                  </w14:solidFill>
                                  <w14:prstDash w14:val="solid"/>
                                  <w14:round/>
                                </w14:textOutline>
                              </w:rPr>
                              <w:t>噪声、固体废物</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-9525</wp:posOffset>
                      </wp:positionH>
                      <wp:positionV relativeFrom="paragraph">
                        <wp:posOffset>863600</wp:posOffset>
                      </wp:positionV>
                      <wp:extent cx="1124585" cy="309245"/>
                      <wp:effectExtent l="4445" t="4445" r="13970" b="6350"/>
                      <wp:wrapNone/>
                      <wp:docPr id="79" name="文本框 79"/>
                      <wp:cNvGraphicFramePr/>
                      <a:graphic xmlns:a="http://schemas.openxmlformats.org/drawingml/2006/main">
                        <a:graphicData uri="http://schemas.microsoft.com/office/word/2010/wordprocessingShape">
                          <wps:wsp>
                            <wps:cNvSpPr txBox="1"/>
                            <wps:spPr>
                              <a:xfrm>
                                <a:off x="0" y="0"/>
                                <a:ext cx="1124585" cy="309245"/>
                              </a:xfrm>
                              <a:prstGeom prst="rect">
                                <a:avLst/>
                              </a:prstGeom>
                              <a:solidFill>
                                <a:schemeClr val="lt1"/>
                              </a:solidFill>
                              <a:ln w="9525" cmpd="sng">
                                <a:solidFill>
                                  <a:schemeClr val="accent1">
                                    <a:shade val="50000"/>
                                  </a:schemeClr>
                                </a:solidFill>
                                <a:prstDash val="sysDot"/>
                              </a:ln>
                            </wps:spPr>
                            <wps:style>
                              <a:lnRef idx="0">
                                <a:schemeClr val="accent1"/>
                              </a:lnRef>
                              <a:fillRef idx="0">
                                <a:schemeClr val="accent1"/>
                              </a:fillRef>
                              <a:effectRef idx="0">
                                <a:schemeClr val="accent1"/>
                              </a:effectRef>
                              <a:fontRef idx="minor">
                                <a:schemeClr val="dk1"/>
                              </a:fontRef>
                            </wps:style>
                            <wps:txbx>
                              <w:txbxContent>
                                <w:p>
                                  <w:pPr>
                                    <w:pStyle w:val="16"/>
                                    <w:jc w:val="both"/>
                                    <w:rPr>
                                      <w:sz w:val="28"/>
                                      <w:szCs w:val="21"/>
                                    </w:rPr>
                                  </w:pPr>
                                  <w:r>
                                    <w:rPr>
                                      <w:rFonts w:ascii="Times New Roman" w:hAnsi="Times New Roman"/>
                                      <w:color w:val="0070C0"/>
                                      <w:kern w:val="2"/>
                                      <w:sz w:val="15"/>
                                      <w:szCs w:val="15"/>
                                      <w14:textOutline w14:w="0" w14:cap="flat" w14:cmpd="sng" w14:algn="ctr">
                                        <w14:solidFill>
                                          <w14:srgbClr w14:val="000000"/>
                                        </w14:solidFill>
                                        <w14:prstDash w14:val="solid"/>
                                        <w14:round/>
                                      </w14:textOutline>
                                    </w:rPr>
                                    <w:t>废水、噪声、固体废物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68pt;height:24.35pt;width:88.55pt;z-index:251703296;mso-width-relative:page;mso-height-relative:page;" fillcolor="#FFFFFF [3201]" filled="t" stroked="t" coordsize="21600,21600" o:gfxdata="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y26GF2QAAAAoBAAAPAAAAAAAAAAEAIAAAACIA&#10;AABkcnMvZG93bnJldi54bWxQSwECFAAUAAAACACHTuJATJdm63oCAAAABQAADgAAAAAAAAABACAA&#10;AAAoAQAAZHJzL2Uyb0RvYy54bWxQSwUGAAAAAAYABgBZAQAAFAYAAAAA&#10;">
                      <v:fill on="t" focussize="0,0"/>
                      <v:stroke color="#385D8A [3204]" joinstyle="round" dashstyle="1 1"/>
                      <v:imagedata o:title=""/>
                      <o:lock v:ext="edit" aspectratio="f"/>
                      <v:textbox>
                        <w:txbxContent>
                          <w:p>
                            <w:pPr>
                              <w:pStyle w:val="16"/>
                              <w:jc w:val="both"/>
                              <w:rPr>
                                <w:sz w:val="28"/>
                                <w:szCs w:val="21"/>
                              </w:rPr>
                            </w:pPr>
                            <w:r>
                              <w:rPr>
                                <w:rFonts w:ascii="Times New Roman" w:hAnsi="Times New Roman"/>
                                <w:color w:val="0070C0"/>
                                <w:kern w:val="2"/>
                                <w:sz w:val="15"/>
                                <w:szCs w:val="15"/>
                                <w14:textOutline w14:w="0" w14:cap="flat" w14:cmpd="sng" w14:algn="ctr">
                                  <w14:solidFill>
                                    <w14:srgbClr w14:val="000000"/>
                                  </w14:solidFill>
                                  <w14:prstDash w14:val="solid"/>
                                  <w14:round/>
                                </w14:textOutline>
                              </w:rPr>
                              <w:t>废水、噪声、固体废物</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3741420</wp:posOffset>
                      </wp:positionH>
                      <wp:positionV relativeFrom="paragraph">
                        <wp:posOffset>2006600</wp:posOffset>
                      </wp:positionV>
                      <wp:extent cx="1097915" cy="309245"/>
                      <wp:effectExtent l="4445" t="5080" r="10160" b="5715"/>
                      <wp:wrapNone/>
                      <wp:docPr id="63" name="文本框 63"/>
                      <wp:cNvGraphicFramePr/>
                      <a:graphic xmlns:a="http://schemas.openxmlformats.org/drawingml/2006/main">
                        <a:graphicData uri="http://schemas.microsoft.com/office/word/2010/wordprocessingShape">
                          <wps:wsp>
                            <wps:cNvSpPr txBox="1"/>
                            <wps:spPr>
                              <a:xfrm>
                                <a:off x="5225415" y="2947670"/>
                                <a:ext cx="1097915" cy="309245"/>
                              </a:xfrm>
                              <a:prstGeom prst="rect">
                                <a:avLst/>
                              </a:prstGeom>
                              <a:solidFill>
                                <a:schemeClr val="lt1"/>
                              </a:solidFill>
                              <a:ln w="9525" cmpd="sng">
                                <a:solidFill>
                                  <a:schemeClr val="accent1">
                                    <a:shade val="50000"/>
                                  </a:schemeClr>
                                </a:solidFill>
                                <a:prstDash val="sysDot"/>
                              </a:ln>
                            </wps:spPr>
                            <wps:style>
                              <a:lnRef idx="0">
                                <a:schemeClr val="accent1"/>
                              </a:lnRef>
                              <a:fillRef idx="0">
                                <a:schemeClr val="accent1"/>
                              </a:fillRef>
                              <a:effectRef idx="0">
                                <a:schemeClr val="accent1"/>
                              </a:effectRef>
                              <a:fontRef idx="minor">
                                <a:schemeClr val="dk1"/>
                              </a:fontRef>
                            </wps:style>
                            <wps:txbx>
                              <w:txbxContent>
                                <w:p>
                                  <w:pPr>
                                    <w:jc w:val="center"/>
                                    <w:rPr>
                                      <w:color w:val="0070C0"/>
                                      <w:sz w:val="15"/>
                                      <w:szCs w:val="18"/>
                                      <w14:textOutline w14:w="0" w14:cap="flat" w14:cmpd="sng" w14:algn="ctr">
                                        <w14:solidFill>
                                          <w14:schemeClr w14:val="tx1"/>
                                        </w14:solidFill>
                                        <w14:prstDash w14:val="solid"/>
                                        <w14:round/>
                                      </w14:textOutline>
                                    </w:rPr>
                                  </w:pPr>
                                  <w:r>
                                    <w:rPr>
                                      <w:rFonts w:hint="eastAsia"/>
                                      <w:color w:val="0070C0"/>
                                      <w:sz w:val="15"/>
                                      <w:szCs w:val="18"/>
                                      <w14:textOutline w14:w="0" w14:cap="flat" w14:cmpd="sng" w14:algn="ctr">
                                        <w14:solidFill>
                                          <w14:schemeClr w14:val="tx1"/>
                                        </w14:solidFill>
                                        <w14:prstDash w14:val="solid"/>
                                        <w14:round/>
                                      </w14:textOutline>
                                    </w:rPr>
                                    <w:t>废水、噪声、固体废物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6pt;margin-top:158pt;height:24.35pt;width:86.45pt;z-index:251693056;mso-width-relative:page;mso-height-relative:page;" fillcolor="#FFFFFF [3201]" filled="t" stroked="t" coordsize="21600,21600" o:gfxdata="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Ezsiq2QAAAAsBAAAPAAAA&#10;AAAAAAEAIAAAACIAAABkcnMvZG93bnJldi54bWxQSwECFAAUAAAACACHTuJA+FsjUIYCAAAMBQAA&#10;DgAAAAAAAAABACAAAAAoAQAAZHJzL2Uyb0RvYy54bWxQSwUGAAAAAAYABgBZAQAAIAYAAAAA&#10;">
                      <v:fill on="t" focussize="0,0"/>
                      <v:stroke color="#385D8A [3204]" joinstyle="round" dashstyle="1 1"/>
                      <v:imagedata o:title=""/>
                      <o:lock v:ext="edit" aspectratio="f"/>
                      <v:textbox>
                        <w:txbxContent>
                          <w:p>
                            <w:pPr>
                              <w:jc w:val="center"/>
                              <w:rPr>
                                <w:color w:val="0070C0"/>
                                <w:sz w:val="15"/>
                                <w:szCs w:val="18"/>
                                <w14:textOutline w14:w="0" w14:cap="flat" w14:cmpd="sng" w14:algn="ctr">
                                  <w14:solidFill>
                                    <w14:schemeClr w14:val="tx1"/>
                                  </w14:solidFill>
                                  <w14:prstDash w14:val="solid"/>
                                  <w14:round/>
                                </w14:textOutline>
                              </w:rPr>
                            </w:pPr>
                            <w:r>
                              <w:rPr>
                                <w:rFonts w:hint="eastAsia"/>
                                <w:color w:val="0070C0"/>
                                <w:sz w:val="15"/>
                                <w:szCs w:val="18"/>
                                <w14:textOutline w14:w="0" w14:cap="flat" w14:cmpd="sng" w14:algn="ctr">
                                  <w14:solidFill>
                                    <w14:schemeClr w14:val="tx1"/>
                                  </w14:solidFill>
                                  <w14:prstDash w14:val="solid"/>
                                  <w14:round/>
                                </w14:textOutline>
                              </w:rPr>
                              <w:t>废水、噪声、固体废物</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3738880</wp:posOffset>
                      </wp:positionH>
                      <wp:positionV relativeFrom="paragraph">
                        <wp:posOffset>2764790</wp:posOffset>
                      </wp:positionV>
                      <wp:extent cx="1131570" cy="309245"/>
                      <wp:effectExtent l="4445" t="4445" r="6985" b="6350"/>
                      <wp:wrapNone/>
                      <wp:docPr id="70" name="文本框 70"/>
                      <wp:cNvGraphicFramePr/>
                      <a:graphic xmlns:a="http://schemas.openxmlformats.org/drawingml/2006/main">
                        <a:graphicData uri="http://schemas.microsoft.com/office/word/2010/wordprocessingShape">
                          <wps:wsp>
                            <wps:cNvSpPr txBox="1"/>
                            <wps:spPr>
                              <a:xfrm>
                                <a:off x="0" y="0"/>
                                <a:ext cx="1131570" cy="309245"/>
                              </a:xfrm>
                              <a:prstGeom prst="rect">
                                <a:avLst/>
                              </a:prstGeom>
                              <a:solidFill>
                                <a:schemeClr val="lt1"/>
                              </a:solidFill>
                              <a:ln w="9525" cmpd="sng">
                                <a:solidFill>
                                  <a:schemeClr val="accent1">
                                    <a:shade val="50000"/>
                                  </a:schemeClr>
                                </a:solidFill>
                                <a:prstDash val="sysDot"/>
                              </a:ln>
                            </wps:spPr>
                            <wps:style>
                              <a:lnRef idx="0">
                                <a:schemeClr val="accent1"/>
                              </a:lnRef>
                              <a:fillRef idx="0">
                                <a:schemeClr val="accent1"/>
                              </a:fillRef>
                              <a:effectRef idx="0">
                                <a:schemeClr val="accent1"/>
                              </a:effectRef>
                              <a:fontRef idx="minor">
                                <a:schemeClr val="dk1"/>
                              </a:fontRef>
                            </wps:style>
                            <wps:txbx>
                              <w:txbxContent>
                                <w:p>
                                  <w:pPr>
                                    <w:pStyle w:val="16"/>
                                    <w:jc w:val="center"/>
                                    <w:rPr>
                                      <w:sz w:val="28"/>
                                      <w:szCs w:val="21"/>
                                    </w:rPr>
                                  </w:pPr>
                                  <w:r>
                                    <w:rPr>
                                      <w:rFonts w:ascii="Times New Roman" w:hAnsi="Times New Roman"/>
                                      <w:color w:val="0070C0"/>
                                      <w:kern w:val="2"/>
                                      <w:sz w:val="15"/>
                                      <w:szCs w:val="15"/>
                                      <w14:textOutline w14:w="0" w14:cap="flat" w14:cmpd="sng" w14:algn="ctr">
                                        <w14:solidFill>
                                          <w14:srgbClr w14:val="000000"/>
                                        </w14:solidFill>
                                        <w14:prstDash w14:val="solid"/>
                                        <w14:round/>
                                      </w14:textOutline>
                                    </w:rPr>
                                    <w:t>废水、噪声、固体废物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4pt;margin-top:217.7pt;height:24.35pt;width:89.1pt;z-index:251694080;mso-width-relative:page;mso-height-relative:page;" fillcolor="#FFFFFF [3201]" filled="t" stroked="t" coordsize="21600,21600" o:gfxdata="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S+8OLtoAAAALAQAADwAAAAAAAAABACAAAAAi&#10;AAAAZHJzL2Rvd25yZXYueG1sUEsBAhQAFAAAAAgAh07iQF+x86Z6AgAAAAUAAA4AAAAAAAAAAQAg&#10;AAAAKQEAAGRycy9lMm9Eb2MueG1sUEsFBgAAAAAGAAYAWQEAABUGAAAAAA==&#10;">
                      <v:fill on="t" focussize="0,0"/>
                      <v:stroke color="#385D8A [3204]" joinstyle="round" dashstyle="1 1"/>
                      <v:imagedata o:title=""/>
                      <o:lock v:ext="edit" aspectratio="f"/>
                      <v:textbox>
                        <w:txbxContent>
                          <w:p>
                            <w:pPr>
                              <w:pStyle w:val="16"/>
                              <w:jc w:val="center"/>
                              <w:rPr>
                                <w:sz w:val="28"/>
                                <w:szCs w:val="21"/>
                              </w:rPr>
                            </w:pPr>
                            <w:r>
                              <w:rPr>
                                <w:rFonts w:ascii="Times New Roman" w:hAnsi="Times New Roman"/>
                                <w:color w:val="0070C0"/>
                                <w:kern w:val="2"/>
                                <w:sz w:val="15"/>
                                <w:szCs w:val="15"/>
                                <w14:textOutline w14:w="0" w14:cap="flat" w14:cmpd="sng" w14:algn="ctr">
                                  <w14:solidFill>
                                    <w14:srgbClr w14:val="000000"/>
                                  </w14:solidFill>
                                  <w14:prstDash w14:val="solid"/>
                                  <w14:round/>
                                </w14:textOutline>
                              </w:rPr>
                              <w:t>废水、噪声、固体废物</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1734820</wp:posOffset>
                      </wp:positionH>
                      <wp:positionV relativeFrom="paragraph">
                        <wp:posOffset>1224280</wp:posOffset>
                      </wp:positionV>
                      <wp:extent cx="80010" cy="4445"/>
                      <wp:effectExtent l="0" t="0" r="0" b="0"/>
                      <wp:wrapNone/>
                      <wp:docPr id="78" name="直接连接符 78"/>
                      <wp:cNvGraphicFramePr/>
                      <a:graphic xmlns:a="http://schemas.openxmlformats.org/drawingml/2006/main">
                        <a:graphicData uri="http://schemas.microsoft.com/office/word/2010/wordprocessingShape">
                          <wps:wsp>
                            <wps:cNvCnPr/>
                            <wps:spPr>
                              <a:xfrm flipH="1">
                                <a:off x="3254375" y="2135505"/>
                                <a:ext cx="80010"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36.6pt;margin-top:96.4pt;height:0.35pt;width:6.3pt;z-index:251702272;mso-width-relative:page;mso-height-relative:page;" filled="f" stroked="t" coordsize="21600,21600" o:gfxdata="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weXX2QAAAAsBAAAPAAAAAAAAAAEA&#10;IAAAACIAAABkcnMvZG93bnJldi54bWxQSwECFAAUAAAACACHTuJAZ5nugw4CAADsAwAADgAAAAAA&#10;AAABACAAAAAoAQAAZHJzL2Uyb0RvYy54bWxQSwUGAAAAAAYABgBZAQAAqAU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1741805</wp:posOffset>
                      </wp:positionH>
                      <wp:positionV relativeFrom="paragraph">
                        <wp:posOffset>835660</wp:posOffset>
                      </wp:positionV>
                      <wp:extent cx="635" cy="393065"/>
                      <wp:effectExtent l="4445" t="0" r="10160" b="3175"/>
                      <wp:wrapNone/>
                      <wp:docPr id="77" name="直接连接符 77"/>
                      <wp:cNvGraphicFramePr/>
                      <a:graphic xmlns:a="http://schemas.openxmlformats.org/drawingml/2006/main">
                        <a:graphicData uri="http://schemas.microsoft.com/office/word/2010/wordprocessingShape">
                          <wps:wsp>
                            <wps:cNvCnPr/>
                            <wps:spPr>
                              <a:xfrm>
                                <a:off x="3222625" y="1766570"/>
                                <a:ext cx="635" cy="393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7.15pt;margin-top:65.8pt;height:30.95pt;width:0.05pt;z-index:251701248;mso-width-relative:page;mso-height-relative:page;" filled="f" stroked="t" coordsize="21600,21600" o:gfxdata="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DD11toAAAALAQAADwAAAAAAAAABACAAAAAiAAAAZHJz&#10;L2Rvd25yZXYueG1sUEsBAhQAFAAAAAgAh07iQHsSLlsCAgAA4gMAAA4AAAAAAAAAAQAgAAAAKQEA&#10;AGRycy9lMm9Eb2MueG1sUEsFBgAAAAAGAAYAWQEAAJ0FAAAAAA==&#10;">
                      <v:fill on="f" focussize="0,0"/>
                      <v:stroke color="#4A7EBB [3204]" joinstyle="round"/>
                      <v:imagedata o:title=""/>
                      <o:lock v:ext="edit" aspectratio="f"/>
                    </v:line>
                  </w:pict>
                </mc:Fallback>
              </mc:AlternateContent>
            </w:r>
            <w:r>
              <w:drawing>
                <wp:inline distT="0" distB="0" distL="114300" distR="114300">
                  <wp:extent cx="2235200" cy="2984500"/>
                  <wp:effectExtent l="0" t="0" r="5080" b="2540"/>
                  <wp:docPr id="6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pic:cNvPicPr>
                            <a:picLocks noChangeAspect="1"/>
                          </pic:cNvPicPr>
                        </pic:nvPicPr>
                        <pic:blipFill>
                          <a:blip r:embed="rId10"/>
                          <a:srcRect t="3060" r="340" b="9254"/>
                          <a:stretch>
                            <a:fillRect/>
                          </a:stretch>
                        </pic:blipFill>
                        <pic:spPr>
                          <a:xfrm>
                            <a:off x="0" y="0"/>
                            <a:ext cx="2235200" cy="2984500"/>
                          </a:xfrm>
                          <a:prstGeom prst="rect">
                            <a:avLst/>
                          </a:prstGeom>
                          <a:noFill/>
                          <a:ln>
                            <a:noFill/>
                          </a:ln>
                        </pic:spPr>
                      </pic:pic>
                    </a:graphicData>
                  </a:graphic>
                </wp:inline>
              </w:drawing>
            </w:r>
            <w:r>
              <mc:AlternateContent>
                <mc:Choice Requires="wps">
                  <w:drawing>
                    <wp:anchor distT="0" distB="0" distL="114300" distR="114300" simplePos="0" relativeHeight="251700224" behindDoc="0" locked="0" layoutInCell="1" allowOverlap="1">
                      <wp:simplePos x="0" y="0"/>
                      <wp:positionH relativeFrom="column">
                        <wp:posOffset>1738630</wp:posOffset>
                      </wp:positionH>
                      <wp:positionV relativeFrom="paragraph">
                        <wp:posOffset>835660</wp:posOffset>
                      </wp:positionV>
                      <wp:extent cx="67945" cy="0"/>
                      <wp:effectExtent l="0" t="0" r="0" b="0"/>
                      <wp:wrapNone/>
                      <wp:docPr id="76" name="直接连接符 76"/>
                      <wp:cNvGraphicFramePr/>
                      <a:graphic xmlns:a="http://schemas.openxmlformats.org/drawingml/2006/main">
                        <a:graphicData uri="http://schemas.microsoft.com/office/word/2010/wordprocessingShape">
                          <wps:wsp>
                            <wps:cNvCnPr/>
                            <wps:spPr>
                              <a:xfrm flipH="1">
                                <a:off x="3234690" y="1762760"/>
                                <a:ext cx="679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36.9pt;margin-top:65.8pt;height:0pt;width:5.35pt;z-index:251700224;mso-width-relative:page;mso-height-relative:page;" filled="f" stroked="t" coordsize="21600,21600" o:gfxdata="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nX5ANgAAAALAQAADwAAAAAAAAABACAAAAAi&#10;AAAAZHJzL2Rvd25yZXYueG1sUEsBAhQAFAAAAAgAh07iQLCy/dcKAgAA6QMAAA4AAAAAAAAAAQAg&#10;AAAAJwEAAGRycy9lMm9Eb2MueG1sUEsFBgAAAAAGAAYAWQEAAKMFA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1133475</wp:posOffset>
                      </wp:positionH>
                      <wp:positionV relativeFrom="paragraph">
                        <wp:posOffset>1012190</wp:posOffset>
                      </wp:positionV>
                      <wp:extent cx="605790" cy="3810"/>
                      <wp:effectExtent l="0" t="36195" r="3810" b="36195"/>
                      <wp:wrapNone/>
                      <wp:docPr id="74" name="直接箭头连接符 74"/>
                      <wp:cNvGraphicFramePr/>
                      <a:graphic xmlns:a="http://schemas.openxmlformats.org/drawingml/2006/main">
                        <a:graphicData uri="http://schemas.microsoft.com/office/word/2010/wordprocessingShape">
                          <wps:wsp>
                            <wps:cNvCnPr/>
                            <wps:spPr>
                              <a:xfrm flipH="1" flipV="1">
                                <a:off x="0" y="0"/>
                                <a:ext cx="605790" cy="3810"/>
                              </a:xfrm>
                              <a:prstGeom prst="straightConnector1">
                                <a:avLst/>
                              </a:prstGeom>
                              <a:ln w="9525" cmpd="sng">
                                <a:solidFill>
                                  <a:schemeClr val="accent1">
                                    <a:shade val="50000"/>
                                  </a:schemeClr>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89.25pt;margin-top:79.7pt;height:0.3pt;width:47.7pt;z-index:251698176;mso-width-relative:page;mso-height-relative:page;" filled="f" stroked="t" coordsize="21600,21600" o:gfxdata="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0zbgk2QAAAAsBAAAPAAAAAAAAAAEAIAAAACIAAABkcnMvZG93bnJldi54bWxQSwECFAAUAAAA&#10;CACHTuJAljF+LSYCAAASBAAADgAAAAAAAAABACAAAAAoAQAAZHJzL2Uyb0RvYy54bWxQSwUGAAAA&#10;AAYABgBZAQAAwAUAAAAA&#10;">
                      <v:fill on="f" focussize="0,0"/>
                      <v:stroke color="#385D8A [3204]" joinstyle="round" dashstyle="3 1" endarrow="open" endarrowwidth="narrow" endarrowlength="short"/>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1225550</wp:posOffset>
                      </wp:positionH>
                      <wp:positionV relativeFrom="paragraph">
                        <wp:posOffset>2183130</wp:posOffset>
                      </wp:positionV>
                      <wp:extent cx="311150" cy="3175"/>
                      <wp:effectExtent l="0" t="35560" r="8890" b="37465"/>
                      <wp:wrapNone/>
                      <wp:docPr id="75" name="直接箭头连接符 75"/>
                      <wp:cNvGraphicFramePr/>
                      <a:graphic xmlns:a="http://schemas.openxmlformats.org/drawingml/2006/main">
                        <a:graphicData uri="http://schemas.microsoft.com/office/word/2010/wordprocessingShape">
                          <wps:wsp>
                            <wps:cNvCnPr/>
                            <wps:spPr>
                              <a:xfrm flipH="1" flipV="1">
                                <a:off x="0" y="0"/>
                                <a:ext cx="311150" cy="3175"/>
                              </a:xfrm>
                              <a:prstGeom prst="straightConnector1">
                                <a:avLst/>
                              </a:prstGeom>
                              <a:ln w="9525" cmpd="sng">
                                <a:solidFill>
                                  <a:schemeClr val="accent1">
                                    <a:shade val="50000"/>
                                  </a:schemeClr>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96.5pt;margin-top:171.9pt;height:0.25pt;width:24.5pt;z-index:251699200;mso-width-relative:page;mso-height-relative:page;" filled="f" stroked="t" coordsize="21600,21600" o:gfxdata="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bn&#10;y4DYAAAACwEAAA8AAAAAAAAAAQAgAAAAIgAAAGRycy9kb3ducmV2LnhtbFBLAQIUABQAAAAIAIdO&#10;4kBe7lCHIwIAABIEAAAOAAAAAAAAAAEAIAAAACcBAABkcnMvZTJvRG9jLnhtbFBLBQYAAAAABgAG&#10;AFkBAAC8BQAAAAA=&#10;">
                      <v:fill on="f" focussize="0,0"/>
                      <v:stroke color="#385D8A [3204]" joinstyle="round" dashstyle="3 1" endarrow="open" endarrowwidth="narrow" endarrowlength="short"/>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3721100</wp:posOffset>
                      </wp:positionH>
                      <wp:positionV relativeFrom="paragraph">
                        <wp:posOffset>1107440</wp:posOffset>
                      </wp:positionV>
                      <wp:extent cx="1104265" cy="309245"/>
                      <wp:effectExtent l="4445" t="4445" r="19050" b="6350"/>
                      <wp:wrapNone/>
                      <wp:docPr id="73" name="文本框 73"/>
                      <wp:cNvGraphicFramePr/>
                      <a:graphic xmlns:a="http://schemas.openxmlformats.org/drawingml/2006/main">
                        <a:graphicData uri="http://schemas.microsoft.com/office/word/2010/wordprocessingShape">
                          <wps:wsp>
                            <wps:cNvSpPr txBox="1"/>
                            <wps:spPr>
                              <a:xfrm>
                                <a:off x="0" y="0"/>
                                <a:ext cx="1104265" cy="309245"/>
                              </a:xfrm>
                              <a:prstGeom prst="rect">
                                <a:avLst/>
                              </a:prstGeom>
                              <a:solidFill>
                                <a:schemeClr val="lt1"/>
                              </a:solidFill>
                              <a:ln w="9525" cmpd="sng">
                                <a:solidFill>
                                  <a:schemeClr val="accent1">
                                    <a:shade val="50000"/>
                                  </a:schemeClr>
                                </a:solidFill>
                                <a:prstDash val="sysDot"/>
                              </a:ln>
                            </wps:spPr>
                            <wps:style>
                              <a:lnRef idx="0">
                                <a:schemeClr val="accent1"/>
                              </a:lnRef>
                              <a:fillRef idx="0">
                                <a:schemeClr val="accent1"/>
                              </a:fillRef>
                              <a:effectRef idx="0">
                                <a:schemeClr val="accent1"/>
                              </a:effectRef>
                              <a:fontRef idx="minor">
                                <a:schemeClr val="dk1"/>
                              </a:fontRef>
                            </wps:style>
                            <wps:txbx>
                              <w:txbxContent>
                                <w:p>
                                  <w:pPr>
                                    <w:pStyle w:val="16"/>
                                    <w:jc w:val="center"/>
                                    <w:rPr>
                                      <w:sz w:val="28"/>
                                      <w:szCs w:val="21"/>
                                    </w:rPr>
                                  </w:pPr>
                                  <w:r>
                                    <w:rPr>
                                      <w:rFonts w:ascii="Times New Roman" w:hAnsi="Times New Roman"/>
                                      <w:color w:val="0070C0"/>
                                      <w:kern w:val="2"/>
                                      <w:sz w:val="15"/>
                                      <w:szCs w:val="15"/>
                                      <w14:textOutline w14:w="0" w14:cap="flat" w14:cmpd="sng" w14:algn="ctr">
                                        <w14:solidFill>
                                          <w14:srgbClr w14:val="000000"/>
                                        </w14:solidFill>
                                        <w14:prstDash w14:val="solid"/>
                                        <w14:round/>
                                      </w14:textOutline>
                                    </w:rPr>
                                    <w:t>噪声、固体废物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pt;margin-top:87.2pt;height:24.35pt;width:86.95pt;z-index:251697152;mso-width-relative:page;mso-height-relative:page;" fillcolor="#FFFFFF [3201]" filled="t" stroked="t" coordsize="21600,21600" o:gfxdata="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LWAcAHaAAAACwEAAA8AAAAAAAAAAQAgAAAA&#10;IgAAAGRycy9kb3ducmV2LnhtbFBLAQIUABQAAAAIAIdO4kDmcVkSewIAAAAFAAAOAAAAAAAAAAEA&#10;IAAAACkBAABkcnMvZTJvRG9jLnhtbFBLBQYAAAAABgAGAFkBAAAWBgAAAAA=&#10;">
                      <v:fill on="t" focussize="0,0"/>
                      <v:stroke color="#385D8A [3204]" joinstyle="round" dashstyle="1 1"/>
                      <v:imagedata o:title=""/>
                      <o:lock v:ext="edit" aspectratio="f"/>
                      <v:textbox>
                        <w:txbxContent>
                          <w:p>
                            <w:pPr>
                              <w:pStyle w:val="16"/>
                              <w:jc w:val="center"/>
                              <w:rPr>
                                <w:sz w:val="28"/>
                                <w:szCs w:val="21"/>
                              </w:rPr>
                            </w:pPr>
                            <w:r>
                              <w:rPr>
                                <w:rFonts w:ascii="Times New Roman" w:hAnsi="Times New Roman"/>
                                <w:color w:val="0070C0"/>
                                <w:kern w:val="2"/>
                                <w:sz w:val="15"/>
                                <w:szCs w:val="15"/>
                                <w14:textOutline w14:w="0" w14:cap="flat" w14:cmpd="sng" w14:algn="ctr">
                                  <w14:solidFill>
                                    <w14:srgbClr w14:val="000000"/>
                                  </w14:solidFill>
                                  <w14:prstDash w14:val="solid"/>
                                  <w14:round/>
                                </w14:textOutline>
                              </w:rPr>
                              <w:t>噪声、固体废物</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3284855</wp:posOffset>
                      </wp:positionH>
                      <wp:positionV relativeFrom="paragraph">
                        <wp:posOffset>1260475</wp:posOffset>
                      </wp:positionV>
                      <wp:extent cx="410845" cy="635"/>
                      <wp:effectExtent l="0" t="36195" r="635" b="39370"/>
                      <wp:wrapNone/>
                      <wp:docPr id="72" name="直接箭头连接符 72"/>
                      <wp:cNvGraphicFramePr/>
                      <a:graphic xmlns:a="http://schemas.openxmlformats.org/drawingml/2006/main">
                        <a:graphicData uri="http://schemas.microsoft.com/office/word/2010/wordprocessingShape">
                          <wps:wsp>
                            <wps:cNvCnPr/>
                            <wps:spPr>
                              <a:xfrm flipV="1">
                                <a:off x="0" y="0"/>
                                <a:ext cx="410845" cy="635"/>
                              </a:xfrm>
                              <a:prstGeom prst="straightConnector1">
                                <a:avLst/>
                              </a:prstGeom>
                              <a:ln w="9525" cmpd="sng">
                                <a:solidFill>
                                  <a:schemeClr val="accent1">
                                    <a:shade val="50000"/>
                                  </a:schemeClr>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58.65pt;margin-top:99.25pt;height:0.05pt;width:32.35pt;z-index:251696128;mso-width-relative:page;mso-height-relative:page;" filled="f" stroked="t" coordsize="21600,21600" o:gfxdata="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2LtT2AAA&#10;AAsBAAAPAAAAAAAAAAEAIAAAACIAAABkcnMvZG93bnJldi54bWxQSwECFAAUAAAACACHTuJAk1X/&#10;BR4CAAAHBAAADgAAAAAAAAABACAAAAAnAQAAZHJzL2Uyb0RvYy54bWxQSwUGAAAAAAYABgBZAQAA&#10;twUAAAAA&#10;">
                      <v:fill on="f" focussize="0,0"/>
                      <v:stroke color="#385D8A [3204]" joinstyle="round" dashstyle="3 1" endarrow="open" endarrowwidth="narrow" endarrowlength="short"/>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3064510</wp:posOffset>
                      </wp:positionH>
                      <wp:positionV relativeFrom="paragraph">
                        <wp:posOffset>2925445</wp:posOffset>
                      </wp:positionV>
                      <wp:extent cx="675640" cy="0"/>
                      <wp:effectExtent l="0" t="36195" r="10160" b="40005"/>
                      <wp:wrapNone/>
                      <wp:docPr id="71" name="直接箭头连接符 71"/>
                      <wp:cNvGraphicFramePr/>
                      <a:graphic xmlns:a="http://schemas.openxmlformats.org/drawingml/2006/main">
                        <a:graphicData uri="http://schemas.microsoft.com/office/word/2010/wordprocessingShape">
                          <wps:wsp>
                            <wps:cNvCnPr/>
                            <wps:spPr>
                              <a:xfrm>
                                <a:off x="0" y="0"/>
                                <a:ext cx="675640" cy="0"/>
                              </a:xfrm>
                              <a:prstGeom prst="straightConnector1">
                                <a:avLst/>
                              </a:prstGeom>
                              <a:ln w="9525" cmpd="sng">
                                <a:solidFill>
                                  <a:schemeClr val="accent1">
                                    <a:shade val="50000"/>
                                  </a:schemeClr>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3pt;margin-top:230.35pt;height:0pt;width:53.2pt;z-index:251695104;mso-width-relative:page;mso-height-relative:page;" filled="f" stroked="t" coordsize="21600,21600" o:gfxdata="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E6MYu2QAAAAsBAAAPAAAA&#10;AAAAAAEAIAAAACIAAABkcnMvZG93bnJldi54bWxQSwECFAAUAAAACACHTuJAFWtRbxQCAAD7AwAA&#10;DgAAAAAAAAABACAAAAAoAQAAZHJzL2Uyb0RvYy54bWxQSwUGAAAAAAYABgBZAQAArgUAAAAA&#10;">
                      <v:fill on="f" focussize="0,0"/>
                      <v:stroke color="#385D8A [3204]" joinstyle="round" dashstyle="3 1" endarrow="open" endarrowwidth="narrow" endarrowlength="short"/>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3444875</wp:posOffset>
                      </wp:positionH>
                      <wp:positionV relativeFrom="paragraph">
                        <wp:posOffset>2167255</wp:posOffset>
                      </wp:positionV>
                      <wp:extent cx="276225" cy="0"/>
                      <wp:effectExtent l="0" t="36195" r="13335" b="40005"/>
                      <wp:wrapNone/>
                      <wp:docPr id="62" name="直接箭头连接符 62"/>
                      <wp:cNvGraphicFramePr/>
                      <a:graphic xmlns:a="http://schemas.openxmlformats.org/drawingml/2006/main">
                        <a:graphicData uri="http://schemas.microsoft.com/office/word/2010/wordprocessingShape">
                          <wps:wsp>
                            <wps:cNvCnPr/>
                            <wps:spPr>
                              <a:xfrm>
                                <a:off x="4956810" y="3088005"/>
                                <a:ext cx="276225" cy="0"/>
                              </a:xfrm>
                              <a:prstGeom prst="straightConnector1">
                                <a:avLst/>
                              </a:prstGeom>
                              <a:ln w="9525" cmpd="sng">
                                <a:solidFill>
                                  <a:schemeClr val="accent1">
                                    <a:shade val="50000"/>
                                  </a:schemeClr>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1.25pt;margin-top:170.65pt;height:0pt;width:21.75pt;z-index:251692032;mso-width-relative:page;mso-height-relative:page;" filled="f" stroked="t" coordsize="21600,21600" o:gfxdata="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TKhNNoAAAALAQAADwAAAAAAAAABACAAAAAiAAAAZHJzL2Rvd25yZXYueG1sUEsBAhQAFAAAAAgA&#10;h07iQK2q3UojAgAABwQAAA4AAAAAAAAAAQAgAAAAKQEAAGRycy9lMm9Eb2MueG1sUEsFBgAAAAAG&#10;AAYAWQEAAL4FAAAAAA==&#10;">
                      <v:fill on="f" focussize="0,0"/>
                      <v:stroke color="#385D8A [3204]" joinstyle="round" dashstyle="3 1" endarrow="open" endarrowwidth="narrow" endarrowlength="short"/>
                      <v:imagedata o:title=""/>
                      <o:lock v:ext="edit" aspectratio="f"/>
                    </v:shape>
                  </w:pict>
                </mc:Fallback>
              </mc:AlternateContent>
            </w:r>
          </w:p>
          <w:p>
            <w:pPr>
              <w:adjustRightInd w:val="0"/>
              <w:snapToGrid w:val="0"/>
              <w:spacing w:line="360" w:lineRule="auto"/>
              <w:ind w:firstLine="422" w:firstLineChars="200"/>
              <w:jc w:val="center"/>
              <w:rPr>
                <w:b/>
                <w:szCs w:val="21"/>
              </w:rPr>
            </w:pPr>
            <w:r>
              <w:rPr>
                <w:b/>
                <w:szCs w:val="21"/>
              </w:rPr>
              <w:t>图2-3  运营期</w:t>
            </w:r>
            <w:r>
              <w:rPr>
                <w:rFonts w:hint="eastAsia"/>
                <w:b/>
                <w:szCs w:val="21"/>
              </w:rPr>
              <w:t>康复楼</w:t>
            </w:r>
            <w:r>
              <w:rPr>
                <w:b/>
                <w:szCs w:val="21"/>
              </w:rPr>
              <w:t>主要工作流程及产污环节图</w:t>
            </w:r>
          </w:p>
          <w:p>
            <w:pPr>
              <w:spacing w:line="360" w:lineRule="auto"/>
              <w:ind w:firstLine="480" w:firstLineChars="200"/>
              <w:jc w:val="left"/>
              <w:rPr>
                <w:b/>
                <w:bCs/>
                <w:sz w:val="32"/>
                <w:szCs w:val="32"/>
              </w:rPr>
            </w:pPr>
            <w:r>
              <w:rPr>
                <w:rFonts w:hint="eastAsia"/>
                <w:sz w:val="24"/>
              </w:rPr>
              <w:t>康复楼</w:t>
            </w:r>
            <w:r>
              <w:rPr>
                <w:sz w:val="24"/>
              </w:rPr>
              <w:t>功能布局如下：</w:t>
            </w:r>
          </w:p>
          <w:p>
            <w:pPr>
              <w:adjustRightInd w:val="0"/>
              <w:snapToGrid w:val="0"/>
              <w:spacing w:line="360" w:lineRule="auto"/>
              <w:ind w:firstLine="480" w:firstLineChars="200"/>
              <w:rPr>
                <w:sz w:val="24"/>
              </w:rPr>
            </w:pPr>
            <w:r>
              <w:rPr>
                <w:sz w:val="24"/>
              </w:rPr>
              <w:t>地下一层：主要用作</w:t>
            </w:r>
            <w:r>
              <w:rPr>
                <w:rFonts w:hint="eastAsia"/>
                <w:sz w:val="24"/>
              </w:rPr>
              <w:t>设备间</w:t>
            </w:r>
            <w:r>
              <w:rPr>
                <w:sz w:val="24"/>
              </w:rPr>
              <w:t>；一层：主要设置大厅、中医</w:t>
            </w:r>
            <w:r>
              <w:rPr>
                <w:rFonts w:hint="eastAsia"/>
                <w:sz w:val="24"/>
              </w:rPr>
              <w:t>文化展示区、休息室</w:t>
            </w:r>
            <w:r>
              <w:rPr>
                <w:sz w:val="24"/>
              </w:rPr>
              <w:t>、</w:t>
            </w:r>
            <w:r>
              <w:rPr>
                <w:rFonts w:hint="eastAsia"/>
                <w:sz w:val="24"/>
              </w:rPr>
              <w:t>安保</w:t>
            </w:r>
            <w:r>
              <w:rPr>
                <w:sz w:val="24"/>
              </w:rPr>
              <w:t>室、</w:t>
            </w:r>
            <w:r>
              <w:rPr>
                <w:rFonts w:hint="eastAsia"/>
                <w:sz w:val="24"/>
              </w:rPr>
              <w:t>特需门诊</w:t>
            </w:r>
            <w:r>
              <w:rPr>
                <w:sz w:val="24"/>
              </w:rPr>
              <w:t>及</w:t>
            </w:r>
            <w:r>
              <w:rPr>
                <w:rFonts w:hint="eastAsia"/>
                <w:sz w:val="24"/>
              </w:rPr>
              <w:t>自动服务区</w:t>
            </w:r>
            <w:r>
              <w:rPr>
                <w:sz w:val="24"/>
              </w:rPr>
              <w:t>；</w:t>
            </w:r>
          </w:p>
          <w:p>
            <w:pPr>
              <w:adjustRightInd w:val="0"/>
              <w:snapToGrid w:val="0"/>
              <w:spacing w:line="360" w:lineRule="auto"/>
              <w:ind w:firstLine="480" w:firstLineChars="200"/>
              <w:rPr>
                <w:sz w:val="24"/>
              </w:rPr>
            </w:pPr>
            <w:r>
              <w:rPr>
                <w:sz w:val="24"/>
              </w:rPr>
              <w:t>二层：主要设置康复训练治疗室、</w:t>
            </w:r>
            <w:r>
              <w:rPr>
                <w:rFonts w:hint="eastAsia"/>
                <w:sz w:val="24"/>
              </w:rPr>
              <w:t>针灸门诊及推拿门诊</w:t>
            </w:r>
            <w:r>
              <w:rPr>
                <w:sz w:val="24"/>
              </w:rPr>
              <w:t>；</w:t>
            </w:r>
          </w:p>
          <w:p>
            <w:pPr>
              <w:adjustRightInd w:val="0"/>
              <w:snapToGrid w:val="0"/>
              <w:spacing w:line="360" w:lineRule="auto"/>
              <w:ind w:firstLine="480" w:firstLineChars="200"/>
              <w:rPr>
                <w:sz w:val="24"/>
              </w:rPr>
            </w:pPr>
            <w:r>
              <w:rPr>
                <w:sz w:val="24"/>
              </w:rPr>
              <w:t>三层：主要设置灸疗室</w:t>
            </w:r>
            <w:r>
              <w:rPr>
                <w:rFonts w:hint="eastAsia"/>
                <w:sz w:val="24"/>
              </w:rPr>
              <w:t>和理疗中心</w:t>
            </w:r>
            <w:r>
              <w:rPr>
                <w:sz w:val="24"/>
              </w:rPr>
              <w:t>；</w:t>
            </w:r>
          </w:p>
          <w:p>
            <w:pPr>
              <w:adjustRightInd w:val="0"/>
              <w:snapToGrid w:val="0"/>
              <w:spacing w:line="360" w:lineRule="auto"/>
              <w:ind w:firstLine="480" w:firstLineChars="200"/>
              <w:rPr>
                <w:sz w:val="24"/>
              </w:rPr>
            </w:pPr>
            <w:r>
              <w:rPr>
                <w:sz w:val="24"/>
              </w:rPr>
              <w:t>四层-六层：主要设置康复科</w:t>
            </w:r>
            <w:r>
              <w:rPr>
                <w:rFonts w:hint="eastAsia"/>
                <w:sz w:val="24"/>
              </w:rPr>
              <w:t>（其中五层、六层各层床位34床）</w:t>
            </w:r>
            <w:r>
              <w:rPr>
                <w:sz w:val="24"/>
              </w:rPr>
              <w:t>；</w:t>
            </w:r>
          </w:p>
          <w:p>
            <w:pPr>
              <w:adjustRightInd w:val="0"/>
              <w:snapToGrid w:val="0"/>
              <w:spacing w:line="360" w:lineRule="auto"/>
              <w:ind w:firstLine="480" w:firstLineChars="200"/>
              <w:rPr>
                <w:sz w:val="24"/>
              </w:rPr>
            </w:pPr>
            <w:r>
              <w:rPr>
                <w:sz w:val="24"/>
              </w:rPr>
              <w:t>七层-八层：主要设置</w:t>
            </w:r>
            <w:r>
              <w:rPr>
                <w:rFonts w:hint="eastAsia"/>
                <w:sz w:val="24"/>
              </w:rPr>
              <w:t>针灸</w:t>
            </w:r>
            <w:r>
              <w:rPr>
                <w:sz w:val="24"/>
              </w:rPr>
              <w:t>科</w:t>
            </w:r>
            <w:r>
              <w:rPr>
                <w:rFonts w:hint="eastAsia"/>
                <w:sz w:val="24"/>
              </w:rPr>
              <w:t>，各层床位34床；</w:t>
            </w:r>
          </w:p>
          <w:p>
            <w:pPr>
              <w:adjustRightInd w:val="0"/>
              <w:snapToGrid w:val="0"/>
              <w:spacing w:line="360" w:lineRule="auto"/>
              <w:ind w:firstLine="480" w:firstLineChars="200"/>
              <w:rPr>
                <w:sz w:val="24"/>
              </w:rPr>
            </w:pPr>
            <w:r>
              <w:rPr>
                <w:rFonts w:hint="eastAsia"/>
                <w:sz w:val="24"/>
              </w:rPr>
              <w:t>九层：</w:t>
            </w:r>
            <w:r>
              <w:rPr>
                <w:sz w:val="24"/>
              </w:rPr>
              <w:t>主要设置</w:t>
            </w:r>
            <w:r>
              <w:rPr>
                <w:rFonts w:hint="eastAsia"/>
                <w:sz w:val="24"/>
              </w:rPr>
              <w:t>整脊科和针灸科，本层床位34床；</w:t>
            </w:r>
          </w:p>
          <w:p>
            <w:pPr>
              <w:pStyle w:val="2"/>
              <w:spacing w:before="0" w:after="0" w:line="360" w:lineRule="auto"/>
              <w:ind w:firstLine="480" w:firstLineChars="200"/>
              <w:rPr>
                <w:kern w:val="2"/>
                <w:sz w:val="24"/>
                <w:szCs w:val="24"/>
              </w:rPr>
            </w:pPr>
            <w:r>
              <w:rPr>
                <w:rFonts w:hint="eastAsia"/>
                <w:kern w:val="2"/>
                <w:sz w:val="24"/>
                <w:szCs w:val="24"/>
              </w:rPr>
              <w:t>十层：</w:t>
            </w:r>
            <w:r>
              <w:rPr>
                <w:kern w:val="2"/>
                <w:sz w:val="24"/>
                <w:szCs w:val="24"/>
              </w:rPr>
              <w:t>主要设置</w:t>
            </w:r>
            <w:r>
              <w:rPr>
                <w:rFonts w:hint="eastAsia"/>
                <w:kern w:val="2"/>
                <w:sz w:val="24"/>
                <w:szCs w:val="24"/>
              </w:rPr>
              <w:t>办公室、储物间、值班室及病房，本层床位34床。</w:t>
            </w:r>
          </w:p>
          <w:p>
            <w:pPr>
              <w:adjustRightInd w:val="0"/>
              <w:snapToGrid w:val="0"/>
              <w:spacing w:line="360" w:lineRule="auto"/>
              <w:ind w:left="-3"/>
              <w:rPr>
                <w:b/>
                <w:sz w:val="24"/>
              </w:rPr>
            </w:pPr>
            <w:r>
              <w:rPr>
                <w:b/>
                <w:sz w:val="24"/>
              </w:rPr>
              <w:t>2.产排污情况</w:t>
            </w:r>
          </w:p>
          <w:p>
            <w:pPr>
              <w:pStyle w:val="36"/>
              <w:spacing w:line="360" w:lineRule="auto"/>
              <w:ind w:firstLine="480"/>
              <w:rPr>
                <w:bCs/>
                <w:sz w:val="24"/>
              </w:rPr>
            </w:pPr>
            <w:r>
              <w:rPr>
                <w:bCs/>
                <w:sz w:val="24"/>
              </w:rPr>
              <w:t>本项目产排污情况见表2-</w:t>
            </w:r>
            <w:r>
              <w:rPr>
                <w:rFonts w:hint="eastAsia"/>
                <w:bCs/>
                <w:sz w:val="24"/>
              </w:rPr>
              <w:t>4</w:t>
            </w:r>
            <w:r>
              <w:rPr>
                <w:bCs/>
                <w:sz w:val="24"/>
              </w:rPr>
              <w:t>。</w:t>
            </w:r>
          </w:p>
          <w:p>
            <w:pPr>
              <w:adjustRightInd w:val="0"/>
              <w:snapToGrid w:val="0"/>
              <w:ind w:firstLine="422" w:firstLineChars="200"/>
              <w:jc w:val="center"/>
              <w:rPr>
                <w:b/>
                <w:szCs w:val="21"/>
              </w:rPr>
            </w:pPr>
            <w:r>
              <w:rPr>
                <w:b/>
                <w:szCs w:val="21"/>
              </w:rPr>
              <w:t>表2-</w:t>
            </w:r>
            <w:r>
              <w:rPr>
                <w:rFonts w:hint="eastAsia"/>
                <w:b/>
                <w:szCs w:val="21"/>
              </w:rPr>
              <w:t xml:space="preserve">4 </w:t>
            </w:r>
            <w:r>
              <w:rPr>
                <w:b/>
                <w:szCs w:val="21"/>
              </w:rPr>
              <w:t xml:space="preserve"> 产排污环节一览表</w:t>
            </w:r>
          </w:p>
          <w:tbl>
            <w:tblPr>
              <w:tblStyle w:val="17"/>
              <w:tblW w:w="8019" w:type="dxa"/>
              <w:tblInd w:w="0" w:type="dxa"/>
              <w:tblLayout w:type="fixed"/>
              <w:tblCellMar>
                <w:top w:w="0" w:type="dxa"/>
                <w:left w:w="108" w:type="dxa"/>
                <w:bottom w:w="0" w:type="dxa"/>
                <w:right w:w="108" w:type="dxa"/>
              </w:tblCellMar>
            </w:tblPr>
            <w:tblGrid>
              <w:gridCol w:w="2211"/>
              <w:gridCol w:w="3106"/>
              <w:gridCol w:w="2702"/>
            </w:tblGrid>
            <w:tr>
              <w:tblPrEx>
                <w:tblCellMar>
                  <w:top w:w="0" w:type="dxa"/>
                  <w:left w:w="108" w:type="dxa"/>
                  <w:bottom w:w="0" w:type="dxa"/>
                  <w:right w:w="108" w:type="dxa"/>
                </w:tblCellMar>
              </w:tblPrEx>
              <w:trPr>
                <w:trHeight w:val="23" w:hRule="atLeast"/>
              </w:trPr>
              <w:tc>
                <w:tcPr>
                  <w:tcW w:w="1378" w:type="pct"/>
                  <w:tcBorders>
                    <w:top w:val="single" w:color="auto" w:sz="12" w:space="0"/>
                    <w:bottom w:val="single" w:color="auto" w:sz="12" w:space="0"/>
                    <w:right w:val="single" w:color="auto" w:sz="4" w:space="0"/>
                  </w:tcBorders>
                  <w:vAlign w:val="center"/>
                </w:tcPr>
                <w:p>
                  <w:pPr>
                    <w:widowControl/>
                    <w:jc w:val="center"/>
                    <w:rPr>
                      <w:b/>
                      <w:bCs/>
                      <w:szCs w:val="21"/>
                    </w:rPr>
                  </w:pPr>
                  <w:r>
                    <w:rPr>
                      <w:rFonts w:hint="eastAsia" w:ascii="宋体" w:hAnsi="宋体" w:cs="宋体"/>
                      <w:b/>
                      <w:bCs/>
                      <w:kern w:val="0"/>
                      <w:szCs w:val="21"/>
                      <w:lang w:bidi="ar"/>
                    </w:rPr>
                    <w:t>污染类别</w:t>
                  </w:r>
                </w:p>
              </w:tc>
              <w:tc>
                <w:tcPr>
                  <w:tcW w:w="1936" w:type="pct"/>
                  <w:tcBorders>
                    <w:top w:val="single" w:color="auto" w:sz="12" w:space="0"/>
                    <w:left w:val="single" w:color="auto" w:sz="4" w:space="0"/>
                    <w:bottom w:val="single" w:color="auto" w:sz="12" w:space="0"/>
                    <w:right w:val="single" w:color="auto" w:sz="4" w:space="0"/>
                  </w:tcBorders>
                  <w:vAlign w:val="center"/>
                </w:tcPr>
                <w:p>
                  <w:pPr>
                    <w:widowControl/>
                    <w:jc w:val="center"/>
                    <w:rPr>
                      <w:b/>
                      <w:bCs/>
                      <w:szCs w:val="21"/>
                    </w:rPr>
                  </w:pPr>
                  <w:r>
                    <w:rPr>
                      <w:rFonts w:hint="eastAsia" w:ascii="宋体" w:hAnsi="宋体" w:cs="宋体"/>
                      <w:b/>
                      <w:bCs/>
                      <w:kern w:val="0"/>
                      <w:szCs w:val="21"/>
                      <w:lang w:bidi="ar"/>
                    </w:rPr>
                    <w:t>污染源/污染工序</w:t>
                  </w:r>
                </w:p>
              </w:tc>
              <w:tc>
                <w:tcPr>
                  <w:tcW w:w="1685" w:type="pct"/>
                  <w:tcBorders>
                    <w:top w:val="single" w:color="auto" w:sz="12" w:space="0"/>
                    <w:left w:val="single" w:color="auto" w:sz="4" w:space="0"/>
                    <w:bottom w:val="single" w:color="auto" w:sz="12" w:space="0"/>
                  </w:tcBorders>
                  <w:vAlign w:val="center"/>
                </w:tcPr>
                <w:p>
                  <w:pPr>
                    <w:widowControl/>
                    <w:jc w:val="center"/>
                    <w:rPr>
                      <w:b/>
                      <w:bCs/>
                      <w:szCs w:val="21"/>
                    </w:rPr>
                  </w:pPr>
                  <w:r>
                    <w:rPr>
                      <w:rFonts w:hint="eastAsia" w:ascii="宋体" w:hAnsi="宋体" w:cs="宋体"/>
                      <w:b/>
                      <w:bCs/>
                      <w:kern w:val="0"/>
                      <w:szCs w:val="21"/>
                      <w:lang w:bidi="ar"/>
                    </w:rPr>
                    <w:t>污染因子</w:t>
                  </w:r>
                </w:p>
              </w:tc>
            </w:tr>
            <w:tr>
              <w:tblPrEx>
                <w:tblCellMar>
                  <w:top w:w="0" w:type="dxa"/>
                  <w:left w:w="108" w:type="dxa"/>
                  <w:bottom w:w="0" w:type="dxa"/>
                  <w:right w:w="108" w:type="dxa"/>
                </w:tblCellMar>
              </w:tblPrEx>
              <w:trPr>
                <w:trHeight w:val="23" w:hRule="atLeast"/>
              </w:trPr>
              <w:tc>
                <w:tcPr>
                  <w:tcW w:w="1378" w:type="pct"/>
                  <w:tcBorders>
                    <w:right w:val="single" w:color="auto" w:sz="4" w:space="0"/>
                  </w:tcBorders>
                  <w:vAlign w:val="center"/>
                </w:tcPr>
                <w:p>
                  <w:pPr>
                    <w:pStyle w:val="23"/>
                    <w:spacing w:after="0" w:line="240" w:lineRule="auto"/>
                    <w:jc w:val="center"/>
                    <w:rPr>
                      <w:szCs w:val="21"/>
                    </w:rPr>
                  </w:pPr>
                  <w:r>
                    <w:rPr>
                      <w:rFonts w:hint="eastAsia"/>
                      <w:szCs w:val="21"/>
                    </w:rPr>
                    <w:t>废气</w:t>
                  </w:r>
                </w:p>
              </w:tc>
              <w:tc>
                <w:tcPr>
                  <w:tcW w:w="1936" w:type="pct"/>
                  <w:tcBorders>
                    <w:top w:val="single" w:color="auto" w:sz="4" w:space="0"/>
                    <w:left w:val="single" w:color="auto" w:sz="4" w:space="0"/>
                    <w:bottom w:val="single" w:color="auto" w:sz="4" w:space="0"/>
                    <w:right w:val="single" w:color="auto" w:sz="4" w:space="0"/>
                  </w:tcBorders>
                  <w:vAlign w:val="center"/>
                </w:tcPr>
                <w:p>
                  <w:pPr>
                    <w:widowControl/>
                    <w:jc w:val="center"/>
                    <w:rPr>
                      <w:color w:val="0000FF"/>
                      <w:szCs w:val="21"/>
                    </w:rPr>
                  </w:pPr>
                  <w:r>
                    <w:rPr>
                      <w:rFonts w:hint="eastAsia"/>
                      <w:szCs w:val="21"/>
                    </w:rPr>
                    <w:t>依托医院原有活性炭吸附设施</w:t>
                  </w:r>
                </w:p>
              </w:tc>
              <w:tc>
                <w:tcPr>
                  <w:tcW w:w="1685" w:type="pct"/>
                  <w:tcBorders>
                    <w:top w:val="single" w:color="auto" w:sz="4" w:space="0"/>
                    <w:left w:val="single" w:color="auto" w:sz="4" w:space="0"/>
                    <w:bottom w:val="single" w:color="auto" w:sz="4" w:space="0"/>
                  </w:tcBorders>
                  <w:vAlign w:val="center"/>
                </w:tcPr>
                <w:p>
                  <w:pPr>
                    <w:widowControl/>
                    <w:jc w:val="center"/>
                    <w:rPr>
                      <w:color w:val="0000FF"/>
                      <w:szCs w:val="21"/>
                    </w:rPr>
                  </w:pPr>
                  <w:r>
                    <w:rPr>
                      <w:rFonts w:hint="eastAsia"/>
                      <w:szCs w:val="21"/>
                    </w:rPr>
                    <w:t>/</w:t>
                  </w:r>
                </w:p>
              </w:tc>
            </w:tr>
            <w:tr>
              <w:tblPrEx>
                <w:tblCellMar>
                  <w:top w:w="0" w:type="dxa"/>
                  <w:left w:w="108" w:type="dxa"/>
                  <w:bottom w:w="0" w:type="dxa"/>
                  <w:right w:w="108" w:type="dxa"/>
                </w:tblCellMar>
              </w:tblPrEx>
              <w:trPr>
                <w:trHeight w:val="23" w:hRule="atLeast"/>
              </w:trPr>
              <w:tc>
                <w:tcPr>
                  <w:tcW w:w="1378" w:type="pct"/>
                  <w:vMerge w:val="restart"/>
                  <w:tcBorders>
                    <w:top w:val="single" w:color="auto" w:sz="4" w:space="0"/>
                    <w:right w:val="single" w:color="auto" w:sz="4" w:space="0"/>
                  </w:tcBorders>
                  <w:vAlign w:val="center"/>
                </w:tcPr>
                <w:p>
                  <w:pPr>
                    <w:pStyle w:val="23"/>
                    <w:spacing w:after="0" w:line="240" w:lineRule="auto"/>
                    <w:jc w:val="center"/>
                    <w:rPr>
                      <w:szCs w:val="21"/>
                    </w:rPr>
                  </w:pPr>
                  <w:r>
                    <w:rPr>
                      <w:rFonts w:hint="eastAsia"/>
                      <w:szCs w:val="21"/>
                    </w:rPr>
                    <w:t>废水</w:t>
                  </w:r>
                </w:p>
              </w:tc>
              <w:tc>
                <w:tcPr>
                  <w:tcW w:w="1936" w:type="pct"/>
                  <w:tcBorders>
                    <w:top w:val="single" w:color="auto" w:sz="4" w:space="0"/>
                    <w:left w:val="single" w:color="auto" w:sz="4" w:space="0"/>
                    <w:bottom w:val="single" w:color="auto" w:sz="4" w:space="0"/>
                    <w:right w:val="single" w:color="auto" w:sz="4" w:space="0"/>
                  </w:tcBorders>
                  <w:vAlign w:val="center"/>
                </w:tcPr>
                <w:p>
                  <w:pPr>
                    <w:pStyle w:val="23"/>
                    <w:spacing w:after="0" w:line="240" w:lineRule="auto"/>
                    <w:jc w:val="center"/>
                    <w:rPr>
                      <w:szCs w:val="21"/>
                    </w:rPr>
                  </w:pPr>
                  <w:r>
                    <w:rPr>
                      <w:rFonts w:hint="eastAsia"/>
                      <w:szCs w:val="21"/>
                    </w:rPr>
                    <w:t>生活污水</w:t>
                  </w:r>
                </w:p>
              </w:tc>
              <w:tc>
                <w:tcPr>
                  <w:tcW w:w="1685" w:type="pct"/>
                  <w:tcBorders>
                    <w:top w:val="single" w:color="auto" w:sz="4" w:space="0"/>
                    <w:left w:val="single" w:color="auto" w:sz="4" w:space="0"/>
                    <w:bottom w:val="single" w:color="auto" w:sz="4" w:space="0"/>
                  </w:tcBorders>
                  <w:vAlign w:val="center"/>
                </w:tcPr>
                <w:p>
                  <w:pPr>
                    <w:widowControl/>
                    <w:jc w:val="center"/>
                    <w:rPr>
                      <w:szCs w:val="21"/>
                    </w:rPr>
                  </w:pPr>
                  <w:r>
                    <w:rPr>
                      <w:kern w:val="0"/>
                      <w:szCs w:val="21"/>
                      <w:lang w:bidi="ar"/>
                    </w:rPr>
                    <w:t>SS</w:t>
                  </w:r>
                  <w:r>
                    <w:rPr>
                      <w:rFonts w:hint="eastAsia" w:ascii="宋体" w:hAnsi="宋体" w:cs="宋体"/>
                      <w:kern w:val="0"/>
                      <w:szCs w:val="21"/>
                      <w:lang w:bidi="ar"/>
                    </w:rPr>
                    <w:t>、</w:t>
                  </w:r>
                  <w:r>
                    <w:rPr>
                      <w:kern w:val="0"/>
                      <w:szCs w:val="21"/>
                      <w:lang w:bidi="ar"/>
                    </w:rPr>
                    <w:t>COD</w:t>
                  </w:r>
                  <w:r>
                    <w:rPr>
                      <w:rFonts w:hint="eastAsia" w:ascii="宋体" w:hAnsi="宋体" w:cs="宋体"/>
                      <w:kern w:val="0"/>
                      <w:szCs w:val="21"/>
                      <w:lang w:bidi="ar"/>
                    </w:rPr>
                    <w:t>、</w:t>
                  </w:r>
                  <w:r>
                    <w:rPr>
                      <w:kern w:val="0"/>
                      <w:szCs w:val="21"/>
                      <w:lang w:bidi="ar"/>
                    </w:rPr>
                    <w:t>BOD</w:t>
                  </w:r>
                  <w:r>
                    <w:rPr>
                      <w:kern w:val="0"/>
                      <w:szCs w:val="21"/>
                      <w:vertAlign w:val="subscript"/>
                      <w:lang w:bidi="ar"/>
                    </w:rPr>
                    <w:t>5</w:t>
                  </w:r>
                  <w:r>
                    <w:rPr>
                      <w:rFonts w:hint="eastAsia" w:ascii="宋体" w:hAnsi="宋体" w:cs="宋体"/>
                      <w:kern w:val="0"/>
                      <w:szCs w:val="21"/>
                      <w:lang w:bidi="ar"/>
                    </w:rPr>
                    <w:t>、</w:t>
                  </w:r>
                  <w:r>
                    <w:rPr>
                      <w:kern w:val="0"/>
                      <w:szCs w:val="21"/>
                      <w:lang w:bidi="ar"/>
                    </w:rPr>
                    <w:t>NH</w:t>
                  </w:r>
                  <w:r>
                    <w:rPr>
                      <w:kern w:val="0"/>
                      <w:szCs w:val="21"/>
                      <w:vertAlign w:val="subscript"/>
                      <w:lang w:bidi="ar"/>
                    </w:rPr>
                    <w:t>3</w:t>
                  </w:r>
                  <w:r>
                    <w:rPr>
                      <w:kern w:val="0"/>
                      <w:szCs w:val="21"/>
                      <w:lang w:bidi="ar"/>
                    </w:rPr>
                    <w:t>-N</w:t>
                  </w:r>
                </w:p>
              </w:tc>
            </w:tr>
            <w:tr>
              <w:tblPrEx>
                <w:tblCellMar>
                  <w:top w:w="0" w:type="dxa"/>
                  <w:left w:w="108" w:type="dxa"/>
                  <w:bottom w:w="0" w:type="dxa"/>
                  <w:right w:w="108" w:type="dxa"/>
                </w:tblCellMar>
              </w:tblPrEx>
              <w:trPr>
                <w:trHeight w:val="23" w:hRule="atLeast"/>
              </w:trPr>
              <w:tc>
                <w:tcPr>
                  <w:tcW w:w="1378" w:type="pct"/>
                  <w:vMerge w:val="continue"/>
                  <w:tcBorders>
                    <w:right w:val="single" w:color="auto" w:sz="4" w:space="0"/>
                  </w:tcBorders>
                  <w:vAlign w:val="center"/>
                </w:tcPr>
                <w:p>
                  <w:pPr>
                    <w:pStyle w:val="23"/>
                    <w:spacing w:after="0" w:line="240" w:lineRule="auto"/>
                    <w:jc w:val="center"/>
                    <w:rPr>
                      <w:szCs w:val="21"/>
                    </w:rPr>
                  </w:pPr>
                </w:p>
              </w:tc>
              <w:tc>
                <w:tcPr>
                  <w:tcW w:w="1936" w:type="pct"/>
                  <w:tcBorders>
                    <w:top w:val="single" w:color="auto" w:sz="4" w:space="0"/>
                    <w:left w:val="single" w:color="auto" w:sz="4" w:space="0"/>
                    <w:bottom w:val="single" w:color="auto" w:sz="4" w:space="0"/>
                    <w:right w:val="single" w:color="auto" w:sz="4" w:space="0"/>
                  </w:tcBorders>
                  <w:vAlign w:val="center"/>
                </w:tcPr>
                <w:p>
                  <w:pPr>
                    <w:pStyle w:val="23"/>
                    <w:spacing w:after="0" w:line="240" w:lineRule="auto"/>
                    <w:jc w:val="center"/>
                    <w:rPr>
                      <w:szCs w:val="21"/>
                    </w:rPr>
                  </w:pPr>
                  <w:r>
                    <w:rPr>
                      <w:rFonts w:hint="eastAsia"/>
                      <w:szCs w:val="21"/>
                    </w:rPr>
                    <w:t>医疗废水</w:t>
                  </w:r>
                </w:p>
              </w:tc>
              <w:tc>
                <w:tcPr>
                  <w:tcW w:w="1685" w:type="pct"/>
                  <w:tcBorders>
                    <w:top w:val="single" w:color="auto" w:sz="4" w:space="0"/>
                    <w:left w:val="single" w:color="auto" w:sz="4" w:space="0"/>
                    <w:bottom w:val="single" w:color="auto" w:sz="4" w:space="0"/>
                  </w:tcBorders>
                  <w:vAlign w:val="center"/>
                </w:tcPr>
                <w:p>
                  <w:pPr>
                    <w:widowControl/>
                    <w:jc w:val="center"/>
                    <w:rPr>
                      <w:szCs w:val="21"/>
                    </w:rPr>
                  </w:pPr>
                  <w:r>
                    <w:rPr>
                      <w:kern w:val="0"/>
                      <w:szCs w:val="21"/>
                      <w:lang w:bidi="ar"/>
                    </w:rPr>
                    <w:t>SS</w:t>
                  </w:r>
                  <w:r>
                    <w:rPr>
                      <w:rFonts w:hint="eastAsia" w:ascii="宋体" w:hAnsi="宋体" w:cs="宋体"/>
                      <w:kern w:val="0"/>
                      <w:szCs w:val="21"/>
                      <w:lang w:bidi="ar"/>
                    </w:rPr>
                    <w:t>、</w:t>
                  </w:r>
                  <w:r>
                    <w:rPr>
                      <w:kern w:val="0"/>
                      <w:szCs w:val="21"/>
                      <w:lang w:bidi="ar"/>
                    </w:rPr>
                    <w:t>COD</w:t>
                  </w:r>
                  <w:r>
                    <w:rPr>
                      <w:rFonts w:hint="eastAsia" w:ascii="宋体" w:hAnsi="宋体" w:cs="宋体"/>
                      <w:kern w:val="0"/>
                      <w:szCs w:val="21"/>
                      <w:lang w:bidi="ar"/>
                    </w:rPr>
                    <w:t>、</w:t>
                  </w:r>
                  <w:r>
                    <w:rPr>
                      <w:kern w:val="0"/>
                      <w:szCs w:val="21"/>
                      <w:lang w:bidi="ar"/>
                    </w:rPr>
                    <w:t>BOD</w:t>
                  </w:r>
                  <w:r>
                    <w:rPr>
                      <w:kern w:val="0"/>
                      <w:szCs w:val="21"/>
                      <w:vertAlign w:val="subscript"/>
                      <w:lang w:bidi="ar"/>
                    </w:rPr>
                    <w:t>5</w:t>
                  </w:r>
                  <w:r>
                    <w:rPr>
                      <w:rFonts w:hint="eastAsia" w:ascii="宋体" w:hAnsi="宋体" w:cs="宋体"/>
                      <w:kern w:val="0"/>
                      <w:szCs w:val="21"/>
                      <w:lang w:bidi="ar"/>
                    </w:rPr>
                    <w:t>、</w:t>
                  </w:r>
                  <w:r>
                    <w:rPr>
                      <w:kern w:val="0"/>
                      <w:szCs w:val="21"/>
                      <w:lang w:bidi="ar"/>
                    </w:rPr>
                    <w:t>NH</w:t>
                  </w:r>
                  <w:r>
                    <w:rPr>
                      <w:kern w:val="0"/>
                      <w:szCs w:val="21"/>
                      <w:vertAlign w:val="subscript"/>
                      <w:lang w:bidi="ar"/>
                    </w:rPr>
                    <w:t>3</w:t>
                  </w:r>
                  <w:r>
                    <w:rPr>
                      <w:kern w:val="0"/>
                      <w:szCs w:val="21"/>
                      <w:lang w:bidi="ar"/>
                    </w:rPr>
                    <w:t>-N</w:t>
                  </w:r>
                  <w:r>
                    <w:rPr>
                      <w:rFonts w:hint="eastAsia" w:ascii="宋体" w:hAnsi="宋体" w:cs="宋体"/>
                      <w:kern w:val="0"/>
                      <w:szCs w:val="21"/>
                      <w:lang w:bidi="ar"/>
                    </w:rPr>
                    <w:t>、粪大肠菌群数</w:t>
                  </w:r>
                </w:p>
              </w:tc>
            </w:tr>
            <w:tr>
              <w:tblPrEx>
                <w:tblCellMar>
                  <w:top w:w="0" w:type="dxa"/>
                  <w:left w:w="108" w:type="dxa"/>
                  <w:bottom w:w="0" w:type="dxa"/>
                  <w:right w:w="108" w:type="dxa"/>
                </w:tblCellMar>
              </w:tblPrEx>
              <w:trPr>
                <w:trHeight w:val="23" w:hRule="atLeast"/>
              </w:trPr>
              <w:tc>
                <w:tcPr>
                  <w:tcW w:w="1378" w:type="pct"/>
                  <w:tcBorders>
                    <w:top w:val="single" w:color="auto" w:sz="4" w:space="0"/>
                    <w:bottom w:val="single" w:color="auto" w:sz="4" w:space="0"/>
                    <w:right w:val="single" w:color="auto" w:sz="4" w:space="0"/>
                  </w:tcBorders>
                  <w:vAlign w:val="center"/>
                </w:tcPr>
                <w:p>
                  <w:pPr>
                    <w:widowControl/>
                    <w:jc w:val="center"/>
                    <w:rPr>
                      <w:szCs w:val="21"/>
                    </w:rPr>
                  </w:pPr>
                  <w:r>
                    <w:rPr>
                      <w:rFonts w:hint="eastAsia" w:ascii="宋体" w:hAnsi="宋体" w:cs="宋体"/>
                      <w:kern w:val="0"/>
                      <w:szCs w:val="21"/>
                      <w:lang w:bidi="ar"/>
                    </w:rPr>
                    <w:t>噪声</w:t>
                  </w:r>
                </w:p>
              </w:tc>
              <w:tc>
                <w:tcPr>
                  <w:tcW w:w="1936"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szCs w:val="21"/>
                    </w:rPr>
                    <w:t>门诊噪声、机械噪声、人员噪声</w:t>
                  </w:r>
                </w:p>
              </w:tc>
              <w:tc>
                <w:tcPr>
                  <w:tcW w:w="1685" w:type="pct"/>
                  <w:tcBorders>
                    <w:top w:val="single" w:color="auto" w:sz="4" w:space="0"/>
                    <w:left w:val="single" w:color="auto" w:sz="4" w:space="0"/>
                    <w:bottom w:val="single" w:color="auto" w:sz="4" w:space="0"/>
                  </w:tcBorders>
                  <w:vAlign w:val="center"/>
                </w:tcPr>
                <w:p>
                  <w:pPr>
                    <w:widowControl/>
                    <w:jc w:val="center"/>
                    <w:rPr>
                      <w:szCs w:val="21"/>
                    </w:rPr>
                  </w:pPr>
                  <w:r>
                    <w:rPr>
                      <w:rFonts w:hint="eastAsia" w:ascii="宋体" w:hAnsi="宋体" w:cs="宋体"/>
                      <w:kern w:val="0"/>
                      <w:szCs w:val="21"/>
                      <w:lang w:bidi="ar"/>
                    </w:rPr>
                    <w:t>等效连续（</w:t>
                  </w:r>
                  <w:r>
                    <w:rPr>
                      <w:kern w:val="0"/>
                      <w:szCs w:val="21"/>
                      <w:lang w:bidi="ar"/>
                    </w:rPr>
                    <w:t>A</w:t>
                  </w:r>
                  <w:r>
                    <w:rPr>
                      <w:rFonts w:hint="eastAsia" w:ascii="宋体" w:hAnsi="宋体" w:cs="宋体"/>
                      <w:kern w:val="0"/>
                      <w:szCs w:val="21"/>
                      <w:lang w:bidi="ar"/>
                    </w:rPr>
                    <w:t>)声级</w:t>
                  </w:r>
                </w:p>
              </w:tc>
            </w:tr>
            <w:tr>
              <w:tblPrEx>
                <w:tblCellMar>
                  <w:top w:w="0" w:type="dxa"/>
                  <w:left w:w="108" w:type="dxa"/>
                  <w:bottom w:w="0" w:type="dxa"/>
                  <w:right w:w="108" w:type="dxa"/>
                </w:tblCellMar>
              </w:tblPrEx>
              <w:trPr>
                <w:trHeight w:val="23" w:hRule="atLeast"/>
              </w:trPr>
              <w:tc>
                <w:tcPr>
                  <w:tcW w:w="1378" w:type="pct"/>
                  <w:vMerge w:val="restart"/>
                  <w:tcBorders>
                    <w:top w:val="single" w:color="auto" w:sz="4" w:space="0"/>
                    <w:left w:val="nil"/>
                    <w:bottom w:val="nil"/>
                    <w:right w:val="single" w:color="auto" w:sz="4" w:space="0"/>
                  </w:tcBorders>
                  <w:vAlign w:val="center"/>
                </w:tcPr>
                <w:p>
                  <w:pPr>
                    <w:widowControl/>
                    <w:jc w:val="center"/>
                    <w:rPr>
                      <w:szCs w:val="21"/>
                    </w:rPr>
                  </w:pPr>
                  <w:r>
                    <w:rPr>
                      <w:rFonts w:hint="eastAsia" w:ascii="宋体" w:hAnsi="宋体" w:cs="宋体"/>
                      <w:kern w:val="0"/>
                      <w:szCs w:val="21"/>
                      <w:lang w:bidi="ar"/>
                    </w:rPr>
                    <w:t>固废</w:t>
                  </w:r>
                </w:p>
              </w:tc>
              <w:tc>
                <w:tcPr>
                  <w:tcW w:w="1936"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ascii="宋体" w:hAnsi="宋体" w:cs="宋体"/>
                      <w:kern w:val="0"/>
                      <w:szCs w:val="21"/>
                      <w:lang w:bidi="ar"/>
                    </w:rPr>
                    <w:t>医疗废物</w:t>
                  </w:r>
                </w:p>
              </w:tc>
              <w:tc>
                <w:tcPr>
                  <w:tcW w:w="1685" w:type="pct"/>
                  <w:tcBorders>
                    <w:top w:val="single" w:color="auto" w:sz="4" w:space="0"/>
                    <w:left w:val="single" w:color="auto" w:sz="4" w:space="0"/>
                    <w:bottom w:val="single" w:color="auto" w:sz="4" w:space="0"/>
                    <w:right w:val="nil"/>
                  </w:tcBorders>
                  <w:vAlign w:val="center"/>
                </w:tcPr>
                <w:p>
                  <w:pPr>
                    <w:widowControl/>
                    <w:jc w:val="center"/>
                    <w:rPr>
                      <w:szCs w:val="21"/>
                    </w:rPr>
                  </w:pPr>
                  <w:r>
                    <w:rPr>
                      <w:rFonts w:hint="eastAsia" w:ascii="宋体" w:hAnsi="宋体" w:cs="宋体"/>
                      <w:kern w:val="0"/>
                      <w:szCs w:val="21"/>
                      <w:lang w:bidi="ar"/>
                    </w:rPr>
                    <w:t>医疗废物</w:t>
                  </w:r>
                </w:p>
              </w:tc>
            </w:tr>
            <w:tr>
              <w:tblPrEx>
                <w:tblCellMar>
                  <w:top w:w="0" w:type="dxa"/>
                  <w:left w:w="108" w:type="dxa"/>
                  <w:bottom w:w="0" w:type="dxa"/>
                  <w:right w:w="108" w:type="dxa"/>
                </w:tblCellMar>
              </w:tblPrEx>
              <w:trPr>
                <w:trHeight w:val="23" w:hRule="atLeast"/>
              </w:trPr>
              <w:tc>
                <w:tcPr>
                  <w:tcW w:w="1378" w:type="pct"/>
                  <w:vMerge w:val="continue"/>
                  <w:tcBorders>
                    <w:top w:val="nil"/>
                    <w:left w:val="nil"/>
                    <w:bottom w:val="nil"/>
                    <w:right w:val="single" w:color="auto" w:sz="4" w:space="0"/>
                  </w:tcBorders>
                  <w:vAlign w:val="center"/>
                </w:tcPr>
                <w:p>
                  <w:pPr>
                    <w:pStyle w:val="23"/>
                    <w:spacing w:after="0" w:line="240" w:lineRule="auto"/>
                    <w:jc w:val="center"/>
                    <w:rPr>
                      <w:szCs w:val="21"/>
                    </w:rPr>
                  </w:pPr>
                </w:p>
              </w:tc>
              <w:tc>
                <w:tcPr>
                  <w:tcW w:w="1936"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szCs w:val="21"/>
                    </w:rPr>
                    <w:t>废弃包装材料</w:t>
                  </w:r>
                </w:p>
              </w:tc>
              <w:tc>
                <w:tcPr>
                  <w:tcW w:w="1685" w:type="pct"/>
                  <w:tcBorders>
                    <w:top w:val="single" w:color="auto" w:sz="4" w:space="0"/>
                    <w:left w:val="single" w:color="auto" w:sz="4" w:space="0"/>
                    <w:bottom w:val="single" w:color="auto" w:sz="4" w:space="0"/>
                    <w:right w:val="nil"/>
                  </w:tcBorders>
                  <w:vAlign w:val="center"/>
                </w:tcPr>
                <w:p>
                  <w:pPr>
                    <w:widowControl/>
                    <w:jc w:val="center"/>
                    <w:rPr>
                      <w:szCs w:val="21"/>
                    </w:rPr>
                  </w:pPr>
                  <w:r>
                    <w:rPr>
                      <w:rFonts w:hint="eastAsia"/>
                      <w:szCs w:val="21"/>
                    </w:rPr>
                    <w:t>废弃包装材料</w:t>
                  </w:r>
                </w:p>
              </w:tc>
            </w:tr>
            <w:tr>
              <w:tblPrEx>
                <w:tblCellMar>
                  <w:top w:w="0" w:type="dxa"/>
                  <w:left w:w="108" w:type="dxa"/>
                  <w:bottom w:w="0" w:type="dxa"/>
                  <w:right w:w="108" w:type="dxa"/>
                </w:tblCellMar>
              </w:tblPrEx>
              <w:trPr>
                <w:trHeight w:val="23" w:hRule="atLeast"/>
              </w:trPr>
              <w:tc>
                <w:tcPr>
                  <w:tcW w:w="1378" w:type="pct"/>
                  <w:vMerge w:val="continue"/>
                  <w:tcBorders>
                    <w:top w:val="nil"/>
                    <w:left w:val="nil"/>
                    <w:bottom w:val="single" w:color="auto" w:sz="12" w:space="0"/>
                    <w:right w:val="single" w:color="auto" w:sz="4" w:space="0"/>
                  </w:tcBorders>
                  <w:vAlign w:val="center"/>
                </w:tcPr>
                <w:p>
                  <w:pPr>
                    <w:pStyle w:val="23"/>
                    <w:spacing w:after="0" w:line="240" w:lineRule="auto"/>
                    <w:jc w:val="center"/>
                    <w:rPr>
                      <w:szCs w:val="21"/>
                    </w:rPr>
                  </w:pPr>
                </w:p>
              </w:tc>
              <w:tc>
                <w:tcPr>
                  <w:tcW w:w="1936"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kern w:val="0"/>
                      <w:szCs w:val="21"/>
                      <w:lang w:bidi="ar"/>
                    </w:rPr>
                  </w:pPr>
                  <w:r>
                    <w:rPr>
                      <w:rFonts w:hint="eastAsia"/>
                    </w:rPr>
                    <w:t>生活垃圾</w:t>
                  </w:r>
                </w:p>
              </w:tc>
              <w:tc>
                <w:tcPr>
                  <w:tcW w:w="1685" w:type="pct"/>
                  <w:tcBorders>
                    <w:top w:val="single" w:color="auto" w:sz="4" w:space="0"/>
                    <w:left w:val="single" w:color="auto" w:sz="4" w:space="0"/>
                    <w:bottom w:val="single" w:color="auto" w:sz="12" w:space="0"/>
                    <w:right w:val="nil"/>
                  </w:tcBorders>
                  <w:vAlign w:val="center"/>
                </w:tcPr>
                <w:p>
                  <w:pPr>
                    <w:widowControl/>
                    <w:jc w:val="center"/>
                    <w:rPr>
                      <w:rFonts w:ascii="宋体" w:hAnsi="宋体" w:cs="宋体"/>
                      <w:kern w:val="0"/>
                      <w:szCs w:val="21"/>
                      <w:lang w:bidi="ar"/>
                    </w:rPr>
                  </w:pPr>
                  <w:r>
                    <w:rPr>
                      <w:rFonts w:hint="eastAsia"/>
                    </w:rPr>
                    <w:t>生活垃圾</w:t>
                  </w:r>
                </w:p>
              </w:tc>
            </w:tr>
          </w:tbl>
          <w:p>
            <w:pPr>
              <w:adjustRightInd w:val="0"/>
              <w:snapToGrid w:val="0"/>
              <w:rPr>
                <w:bCs/>
                <w:sz w:val="24"/>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850" w:type="dxa"/>
            <w:vAlign w:val="center"/>
          </w:tcPr>
          <w:p>
            <w:pPr>
              <w:pStyle w:val="16"/>
              <w:adjustRightInd w:val="0"/>
              <w:snapToGrid w:val="0"/>
              <w:spacing w:before="0" w:beforeAutospacing="0" w:after="0" w:afterAutospacing="0"/>
              <w:jc w:val="center"/>
              <w:rPr>
                <w:rFonts w:ascii="Times New Roman" w:hAnsi="Times New Roman"/>
                <w:szCs w:val="24"/>
                <w:highlight w:val="yellow"/>
              </w:rPr>
            </w:pPr>
            <w:r>
              <w:rPr>
                <w:rFonts w:ascii="Times New Roman" w:hAnsi="Times New Roman"/>
                <w:bCs/>
                <w:kern w:val="2"/>
                <w:szCs w:val="24"/>
              </w:rPr>
              <w:t>与项目有关的原有环境污染问题</w:t>
            </w:r>
          </w:p>
        </w:tc>
        <w:tc>
          <w:tcPr>
            <w:tcW w:w="8210" w:type="dxa"/>
          </w:tcPr>
          <w:p>
            <w:pPr>
              <w:topLinePunct/>
              <w:adjustRightInd w:val="0"/>
              <w:snapToGrid w:val="0"/>
              <w:spacing w:line="360" w:lineRule="auto"/>
              <w:ind w:firstLine="480" w:firstLineChars="200"/>
              <w:rPr>
                <w:bCs/>
                <w:sz w:val="24"/>
              </w:rPr>
            </w:pPr>
            <w:bookmarkStart w:id="13" w:name="_Toc27621"/>
            <w:r>
              <w:rPr>
                <w:bCs/>
                <w:sz w:val="24"/>
              </w:rPr>
              <w:t>本项目为扩建项目，位于</w:t>
            </w:r>
            <w:r>
              <w:rPr>
                <w:color w:val="000000"/>
                <w:sz w:val="24"/>
              </w:rPr>
              <w:t>新疆昌吉回族自治州昌吉市建国西路110号昌吉州中医医院内</w:t>
            </w:r>
            <w:r>
              <w:rPr>
                <w:bCs/>
                <w:sz w:val="24"/>
              </w:rPr>
              <w:t>，项目区</w:t>
            </w:r>
            <w:r>
              <w:rPr>
                <w:rFonts w:hint="eastAsia"/>
                <w:sz w:val="24"/>
              </w:rPr>
              <w:t>东侧为</w:t>
            </w:r>
            <w:r>
              <w:rPr>
                <w:sz w:val="24"/>
              </w:rPr>
              <w:t>昌吉州中医医院</w:t>
            </w:r>
            <w:r>
              <w:rPr>
                <w:rFonts w:hint="eastAsia"/>
                <w:sz w:val="24"/>
              </w:rPr>
              <w:t>门诊楼</w:t>
            </w:r>
            <w:r>
              <w:rPr>
                <w:sz w:val="24"/>
              </w:rPr>
              <w:t>，南侧为家属楼，西侧为工商银行</w:t>
            </w:r>
            <w:r>
              <w:rPr>
                <w:bCs/>
                <w:sz w:val="24"/>
              </w:rPr>
              <w:t>，北侧为昌吉州中医医院办公综合楼。</w:t>
            </w:r>
          </w:p>
          <w:p>
            <w:pPr>
              <w:adjustRightInd w:val="0"/>
              <w:snapToGrid w:val="0"/>
              <w:spacing w:line="360" w:lineRule="auto"/>
              <w:ind w:left="-3"/>
              <w:rPr>
                <w:b/>
                <w:sz w:val="24"/>
              </w:rPr>
            </w:pPr>
            <w:r>
              <w:rPr>
                <w:rFonts w:hint="eastAsia"/>
                <w:b/>
                <w:sz w:val="24"/>
              </w:rPr>
              <w:t>1.原有工程环保手续履行情况</w:t>
            </w:r>
            <w:bookmarkEnd w:id="13"/>
          </w:p>
          <w:p>
            <w:pPr>
              <w:topLinePunct/>
              <w:adjustRightInd w:val="0"/>
              <w:snapToGrid w:val="0"/>
              <w:spacing w:line="360" w:lineRule="auto"/>
              <w:ind w:firstLine="480" w:firstLineChars="200"/>
              <w:rPr>
                <w:bCs/>
                <w:sz w:val="24"/>
              </w:rPr>
            </w:pPr>
            <w:r>
              <w:rPr>
                <w:rFonts w:hint="eastAsia"/>
                <w:bCs/>
                <w:sz w:val="24"/>
              </w:rPr>
              <w:t>本项目为扩建项目，昌</w:t>
            </w:r>
            <w:r>
              <w:rPr>
                <w:rFonts w:hint="eastAsia"/>
                <w:kern w:val="0"/>
                <w:sz w:val="24"/>
              </w:rPr>
              <w:t>吉州中医医院</w:t>
            </w:r>
            <w:r>
              <w:rPr>
                <w:rFonts w:hint="eastAsia"/>
                <w:bCs/>
                <w:sz w:val="24"/>
              </w:rPr>
              <w:t>原有项目《</w:t>
            </w:r>
            <w:r>
              <w:rPr>
                <w:rFonts w:hint="eastAsia"/>
                <w:kern w:val="0"/>
                <w:sz w:val="24"/>
              </w:rPr>
              <w:t>昌吉州中医院门诊病房综合楼建设项目</w:t>
            </w:r>
            <w:r>
              <w:rPr>
                <w:rFonts w:hint="eastAsia"/>
                <w:bCs/>
                <w:sz w:val="24"/>
              </w:rPr>
              <w:t>》于2008年7月30日昌吉回族自治州环境保护局给予批复（昌州环函〔2008〕140号），于2011年9月30日已将《</w:t>
            </w:r>
            <w:r>
              <w:rPr>
                <w:rFonts w:hint="eastAsia"/>
                <w:kern w:val="0"/>
                <w:sz w:val="24"/>
              </w:rPr>
              <w:t>昌吉州中医院门诊病房综合楼建设</w:t>
            </w:r>
            <w:r>
              <w:rPr>
                <w:rFonts w:hint="eastAsia"/>
                <w:bCs/>
                <w:sz w:val="24"/>
              </w:rPr>
              <w:t>项目》通过验收（昌州环管发〔2011〕332号）。</w:t>
            </w:r>
          </w:p>
          <w:p>
            <w:pPr>
              <w:topLinePunct/>
              <w:adjustRightInd w:val="0"/>
              <w:snapToGrid w:val="0"/>
              <w:spacing w:line="360" w:lineRule="auto"/>
              <w:ind w:firstLine="480" w:firstLineChars="200"/>
              <w:rPr>
                <w:bCs/>
                <w:sz w:val="24"/>
              </w:rPr>
            </w:pPr>
            <w:r>
              <w:rPr>
                <w:rFonts w:hint="eastAsia"/>
                <w:bCs/>
                <w:sz w:val="24"/>
              </w:rPr>
              <w:t>昌吉州中医医院原有项目《昌吉回族自治州中医医院内科综合楼及全科医生培训基地项目》于2018年1月3日昌吉回族自治州环境保护局给予批复（昌州环评〔2018〕1号），暂未对《昌吉回族自治州中医医院内科综合楼及全科医生培训基地项目》进行竣工环境保护验收。</w:t>
            </w:r>
          </w:p>
          <w:p>
            <w:pPr>
              <w:topLinePunct/>
              <w:adjustRightInd w:val="0"/>
              <w:snapToGrid w:val="0"/>
              <w:spacing w:line="360" w:lineRule="auto"/>
              <w:ind w:firstLine="480" w:firstLineChars="200"/>
              <w:rPr>
                <w:bCs/>
                <w:sz w:val="24"/>
              </w:rPr>
            </w:pPr>
            <w:r>
              <w:rPr>
                <w:rFonts w:hint="eastAsia"/>
                <w:bCs/>
                <w:sz w:val="24"/>
              </w:rPr>
              <w:t>昌吉州中医医院于2021年12月17日已申请了排污许可证（证书编号：12652300457751322A002R）。</w:t>
            </w:r>
          </w:p>
          <w:p>
            <w:pPr>
              <w:adjustRightInd w:val="0"/>
              <w:snapToGrid w:val="0"/>
              <w:spacing w:line="360" w:lineRule="auto"/>
              <w:ind w:left="-3"/>
              <w:rPr>
                <w:b/>
                <w:sz w:val="24"/>
              </w:rPr>
            </w:pPr>
            <w:bookmarkStart w:id="14" w:name="_Toc12466"/>
            <w:r>
              <w:rPr>
                <w:rFonts w:hint="eastAsia"/>
                <w:b/>
                <w:sz w:val="24"/>
              </w:rPr>
              <w:t>2.原有工程污染物排放情况</w:t>
            </w:r>
            <w:bookmarkEnd w:id="14"/>
          </w:p>
          <w:p>
            <w:pPr>
              <w:topLinePunct/>
              <w:adjustRightInd w:val="0"/>
              <w:snapToGrid w:val="0"/>
              <w:spacing w:line="360" w:lineRule="auto"/>
              <w:ind w:firstLine="480" w:firstLineChars="200"/>
            </w:pPr>
            <w:r>
              <w:rPr>
                <w:rFonts w:hint="eastAsia"/>
                <w:bCs/>
                <w:sz w:val="24"/>
              </w:rPr>
              <w:t>本次评价根据原有工程的竣工环境保护验收监测结果及相关资料核算本项目原有工程的废气、废水以及固体废物产生及治理情况。</w:t>
            </w:r>
          </w:p>
          <w:p>
            <w:pPr>
              <w:adjustRightInd w:val="0"/>
              <w:snapToGrid w:val="0"/>
              <w:spacing w:line="360" w:lineRule="auto"/>
              <w:ind w:left="-3"/>
              <w:rPr>
                <w:b/>
                <w:sz w:val="24"/>
              </w:rPr>
            </w:pPr>
            <w:r>
              <w:rPr>
                <w:rFonts w:hint="eastAsia"/>
                <w:b/>
                <w:sz w:val="24"/>
              </w:rPr>
              <w:t>2.1废气污染物排放情况</w:t>
            </w:r>
          </w:p>
          <w:p>
            <w:pPr>
              <w:topLinePunct/>
              <w:adjustRightInd w:val="0"/>
              <w:snapToGrid w:val="0"/>
              <w:spacing w:line="360" w:lineRule="auto"/>
              <w:ind w:firstLine="480" w:firstLineChars="200"/>
              <w:rPr>
                <w:bCs/>
                <w:sz w:val="24"/>
              </w:rPr>
            </w:pPr>
            <w:r>
              <w:rPr>
                <w:rFonts w:hint="eastAsia"/>
                <w:bCs/>
                <w:sz w:val="24"/>
              </w:rPr>
              <w:t>（1）燃气锅炉烟气</w:t>
            </w:r>
          </w:p>
          <w:p>
            <w:pPr>
              <w:topLinePunct/>
              <w:adjustRightInd w:val="0"/>
              <w:snapToGrid w:val="0"/>
              <w:spacing w:line="360" w:lineRule="auto"/>
              <w:ind w:firstLine="480" w:firstLineChars="200"/>
              <w:rPr>
                <w:bCs/>
                <w:sz w:val="24"/>
                <w:vertAlign w:val="superscript"/>
              </w:rPr>
            </w:pPr>
            <w:r>
              <w:rPr>
                <w:bCs/>
                <w:sz w:val="24"/>
              </w:rPr>
              <w:t>昌吉州中医医院现有一座1t</w:t>
            </w:r>
            <w:r>
              <w:rPr>
                <w:rFonts w:hint="eastAsia"/>
                <w:bCs/>
                <w:sz w:val="24"/>
              </w:rPr>
              <w:t>/</w:t>
            </w:r>
            <w:r>
              <w:rPr>
                <w:bCs/>
                <w:sz w:val="24"/>
              </w:rPr>
              <w:t>h卧式燃气</w:t>
            </w:r>
            <w:r>
              <w:rPr>
                <w:rFonts w:hint="eastAsia"/>
                <w:bCs/>
                <w:sz w:val="24"/>
              </w:rPr>
              <w:t>蒸汽</w:t>
            </w:r>
            <w:r>
              <w:rPr>
                <w:bCs/>
                <w:sz w:val="24"/>
              </w:rPr>
              <w:t>锅炉，昌吉州环境监测站对锅炉排放的污染物进行过实地监测，监测结果为</w:t>
            </w:r>
            <w:r>
              <w:rPr>
                <w:rFonts w:hint="eastAsia"/>
                <w:bCs/>
                <w:sz w:val="24"/>
              </w:rPr>
              <w:t>：</w:t>
            </w:r>
            <w:r>
              <w:rPr>
                <w:bCs/>
                <w:sz w:val="24"/>
              </w:rPr>
              <w:t>烟尘排放浓度平均值为13.7mg/m</w:t>
            </w:r>
            <w:r>
              <w:rPr>
                <w:rFonts w:hint="eastAsia"/>
                <w:bCs/>
                <w:sz w:val="24"/>
                <w:vertAlign w:val="superscript"/>
              </w:rPr>
              <w:t>3</w:t>
            </w:r>
            <w:r>
              <w:rPr>
                <w:bCs/>
                <w:sz w:val="24"/>
              </w:rPr>
              <w:t>，NO</w:t>
            </w:r>
            <w:r>
              <w:rPr>
                <w:rFonts w:hint="eastAsia"/>
                <w:bCs/>
                <w:sz w:val="24"/>
                <w:vertAlign w:val="subscript"/>
              </w:rPr>
              <w:t>x</w:t>
            </w:r>
            <w:r>
              <w:rPr>
                <w:bCs/>
                <w:sz w:val="24"/>
              </w:rPr>
              <w:t>排放浓度平均值为43mg/m</w:t>
            </w:r>
            <w:r>
              <w:rPr>
                <w:rFonts w:hint="eastAsia"/>
                <w:bCs/>
                <w:sz w:val="24"/>
                <w:vertAlign w:val="superscript"/>
              </w:rPr>
              <w:t>3</w:t>
            </w:r>
            <w:r>
              <w:rPr>
                <w:bCs/>
                <w:sz w:val="24"/>
              </w:rPr>
              <w:t>，SO</w:t>
            </w:r>
            <w:r>
              <w:rPr>
                <w:rFonts w:hint="eastAsia"/>
                <w:bCs/>
                <w:sz w:val="24"/>
                <w:vertAlign w:val="subscript"/>
              </w:rPr>
              <w:t>2</w:t>
            </w:r>
            <w:r>
              <w:rPr>
                <w:bCs/>
                <w:sz w:val="24"/>
              </w:rPr>
              <w:t>排放浓度平均值为17mg/m</w:t>
            </w:r>
            <w:r>
              <w:rPr>
                <w:rFonts w:hint="eastAsia"/>
                <w:bCs/>
                <w:sz w:val="24"/>
                <w:vertAlign w:val="superscript"/>
              </w:rPr>
              <w:t>3</w:t>
            </w:r>
            <w:r>
              <w:rPr>
                <w:rFonts w:hint="eastAsia"/>
                <w:bCs/>
                <w:sz w:val="24"/>
              </w:rPr>
              <w:t>。</w:t>
            </w:r>
          </w:p>
          <w:p>
            <w:pPr>
              <w:pStyle w:val="21"/>
              <w:ind w:firstLine="422"/>
              <w:rPr>
                <w:rFonts w:hint="default"/>
              </w:rPr>
            </w:pPr>
            <w:r>
              <w:t>表2-5  原有燃气锅炉污染物排放量</w:t>
            </w:r>
          </w:p>
          <w:tbl>
            <w:tblPr>
              <w:tblStyle w:val="18"/>
              <w:tblW w:w="799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2319"/>
              <w:gridCol w:w="1999"/>
              <w:gridCol w:w="19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77" w:type="dxa"/>
                  <w:tcBorders>
                    <w:bottom w:val="single" w:color="000000" w:sz="12" w:space="0"/>
                    <w:tl2br w:val="nil"/>
                    <w:tr2bl w:val="nil"/>
                  </w:tcBorders>
                  <w:vAlign w:val="center"/>
                </w:tcPr>
                <w:p>
                  <w:pPr>
                    <w:topLinePunct/>
                    <w:adjustRightInd w:val="0"/>
                    <w:snapToGrid w:val="0"/>
                    <w:jc w:val="center"/>
                    <w:rPr>
                      <w:b/>
                      <w:szCs w:val="21"/>
                    </w:rPr>
                  </w:pPr>
                  <w:r>
                    <w:rPr>
                      <w:rFonts w:hint="eastAsia"/>
                      <w:b/>
                      <w:szCs w:val="21"/>
                    </w:rPr>
                    <w:t>污染源</w:t>
                  </w:r>
                </w:p>
              </w:tc>
              <w:tc>
                <w:tcPr>
                  <w:tcW w:w="2319" w:type="dxa"/>
                  <w:tcBorders>
                    <w:bottom w:val="single" w:color="000000" w:sz="12" w:space="0"/>
                    <w:tl2br w:val="nil"/>
                    <w:tr2bl w:val="nil"/>
                  </w:tcBorders>
                  <w:vAlign w:val="center"/>
                </w:tcPr>
                <w:p>
                  <w:pPr>
                    <w:topLinePunct/>
                    <w:adjustRightInd w:val="0"/>
                    <w:snapToGrid w:val="0"/>
                    <w:jc w:val="center"/>
                    <w:rPr>
                      <w:b/>
                      <w:szCs w:val="21"/>
                    </w:rPr>
                  </w:pPr>
                  <w:r>
                    <w:rPr>
                      <w:rFonts w:hint="eastAsia"/>
                      <w:b/>
                      <w:szCs w:val="21"/>
                    </w:rPr>
                    <w:t>污染物</w:t>
                  </w:r>
                </w:p>
              </w:tc>
              <w:tc>
                <w:tcPr>
                  <w:tcW w:w="1999" w:type="dxa"/>
                  <w:tcBorders>
                    <w:bottom w:val="single" w:color="000000" w:sz="12" w:space="0"/>
                    <w:tl2br w:val="nil"/>
                    <w:tr2bl w:val="nil"/>
                  </w:tcBorders>
                  <w:vAlign w:val="center"/>
                </w:tcPr>
                <w:p>
                  <w:pPr>
                    <w:topLinePunct/>
                    <w:adjustRightInd w:val="0"/>
                    <w:snapToGrid w:val="0"/>
                    <w:jc w:val="center"/>
                    <w:rPr>
                      <w:b/>
                      <w:szCs w:val="21"/>
                    </w:rPr>
                  </w:pPr>
                  <w:r>
                    <w:rPr>
                      <w:rFonts w:hint="eastAsia"/>
                      <w:b/>
                      <w:szCs w:val="21"/>
                    </w:rPr>
                    <w:t>排放浓度（</w:t>
                  </w:r>
                  <w:r>
                    <w:rPr>
                      <w:b/>
                      <w:szCs w:val="21"/>
                    </w:rPr>
                    <w:t>mg/m</w:t>
                  </w:r>
                  <w:r>
                    <w:rPr>
                      <w:rFonts w:hint="eastAsia"/>
                      <w:b/>
                      <w:szCs w:val="21"/>
                      <w:vertAlign w:val="superscript"/>
                    </w:rPr>
                    <w:t>3</w:t>
                  </w:r>
                  <w:r>
                    <w:rPr>
                      <w:rFonts w:hint="eastAsia"/>
                      <w:b/>
                      <w:szCs w:val="21"/>
                    </w:rPr>
                    <w:t>）</w:t>
                  </w:r>
                </w:p>
              </w:tc>
              <w:tc>
                <w:tcPr>
                  <w:tcW w:w="1999" w:type="dxa"/>
                  <w:tcBorders>
                    <w:bottom w:val="single" w:color="000000" w:sz="12" w:space="0"/>
                    <w:tl2br w:val="nil"/>
                    <w:tr2bl w:val="nil"/>
                  </w:tcBorders>
                  <w:vAlign w:val="center"/>
                </w:tcPr>
                <w:p>
                  <w:pPr>
                    <w:topLinePunct/>
                    <w:adjustRightInd w:val="0"/>
                    <w:snapToGrid w:val="0"/>
                    <w:jc w:val="center"/>
                    <w:rPr>
                      <w:b/>
                      <w:szCs w:val="21"/>
                    </w:rPr>
                  </w:pPr>
                  <w:r>
                    <w:rPr>
                      <w:rFonts w:hint="eastAsia"/>
                      <w:b/>
                      <w:szCs w:val="21"/>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77" w:type="dxa"/>
                  <w:vMerge w:val="restart"/>
                  <w:tcBorders>
                    <w:top w:val="single" w:color="000000" w:sz="12" w:space="0"/>
                    <w:bottom w:val="single" w:color="auto" w:sz="12" w:space="0"/>
                    <w:tl2br w:val="nil"/>
                    <w:tr2bl w:val="nil"/>
                  </w:tcBorders>
                  <w:vAlign w:val="center"/>
                </w:tcPr>
                <w:p>
                  <w:pPr>
                    <w:topLinePunct/>
                    <w:adjustRightInd w:val="0"/>
                    <w:snapToGrid w:val="0"/>
                    <w:jc w:val="center"/>
                    <w:rPr>
                      <w:bCs/>
                      <w:szCs w:val="21"/>
                    </w:rPr>
                  </w:pPr>
                  <w:r>
                    <w:rPr>
                      <w:rFonts w:hint="eastAsia"/>
                      <w:bCs/>
                      <w:szCs w:val="21"/>
                    </w:rPr>
                    <w:t>燃气锅炉</w:t>
                  </w:r>
                </w:p>
              </w:tc>
              <w:tc>
                <w:tcPr>
                  <w:tcW w:w="2319" w:type="dxa"/>
                  <w:tcBorders>
                    <w:top w:val="single" w:color="000000" w:sz="12" w:space="0"/>
                    <w:tl2br w:val="nil"/>
                    <w:tr2bl w:val="nil"/>
                  </w:tcBorders>
                  <w:vAlign w:val="center"/>
                </w:tcPr>
                <w:p>
                  <w:pPr>
                    <w:topLinePunct/>
                    <w:adjustRightInd w:val="0"/>
                    <w:snapToGrid w:val="0"/>
                    <w:jc w:val="center"/>
                    <w:rPr>
                      <w:bCs/>
                      <w:szCs w:val="21"/>
                    </w:rPr>
                  </w:pPr>
                  <w:r>
                    <w:rPr>
                      <w:bCs/>
                      <w:szCs w:val="21"/>
                    </w:rPr>
                    <w:t>SO</w:t>
                  </w:r>
                  <w:r>
                    <w:rPr>
                      <w:rFonts w:hint="eastAsia"/>
                      <w:bCs/>
                      <w:szCs w:val="21"/>
                      <w:vertAlign w:val="subscript"/>
                    </w:rPr>
                    <w:t>2</w:t>
                  </w:r>
                </w:p>
              </w:tc>
              <w:tc>
                <w:tcPr>
                  <w:tcW w:w="1999" w:type="dxa"/>
                  <w:tcBorders>
                    <w:top w:val="single" w:color="000000" w:sz="12" w:space="0"/>
                    <w:tl2br w:val="nil"/>
                    <w:tr2bl w:val="nil"/>
                  </w:tcBorders>
                  <w:vAlign w:val="center"/>
                </w:tcPr>
                <w:p>
                  <w:pPr>
                    <w:topLinePunct/>
                    <w:adjustRightInd w:val="0"/>
                    <w:snapToGrid w:val="0"/>
                    <w:jc w:val="center"/>
                    <w:rPr>
                      <w:bCs/>
                      <w:szCs w:val="21"/>
                    </w:rPr>
                  </w:pPr>
                  <w:r>
                    <w:rPr>
                      <w:rFonts w:hint="eastAsia"/>
                      <w:bCs/>
                      <w:szCs w:val="21"/>
                    </w:rPr>
                    <w:t>17</w:t>
                  </w:r>
                </w:p>
              </w:tc>
              <w:tc>
                <w:tcPr>
                  <w:tcW w:w="1999" w:type="dxa"/>
                  <w:tcBorders>
                    <w:top w:val="single" w:color="000000" w:sz="12" w:space="0"/>
                    <w:tl2br w:val="nil"/>
                    <w:tr2bl w:val="nil"/>
                  </w:tcBorders>
                  <w:vAlign w:val="center"/>
                </w:tcPr>
                <w:p>
                  <w:pPr>
                    <w:topLinePunct/>
                    <w:adjustRightInd w:val="0"/>
                    <w:snapToGrid w:val="0"/>
                    <w:jc w:val="center"/>
                    <w:rPr>
                      <w:bCs/>
                      <w:szCs w:val="21"/>
                    </w:rPr>
                  </w:pPr>
                  <w:r>
                    <w:rPr>
                      <w:rFonts w:hint="eastAsia"/>
                      <w:bCs/>
                      <w:szCs w:val="21"/>
                    </w:rPr>
                    <w:t>0.0446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77" w:type="dxa"/>
                  <w:vMerge w:val="continue"/>
                  <w:tcBorders>
                    <w:top w:val="single" w:color="auto" w:sz="4" w:space="0"/>
                    <w:bottom w:val="single" w:color="auto" w:sz="12" w:space="0"/>
                    <w:tl2br w:val="nil"/>
                    <w:tr2bl w:val="nil"/>
                  </w:tcBorders>
                  <w:vAlign w:val="center"/>
                </w:tcPr>
                <w:p>
                  <w:pPr>
                    <w:topLinePunct/>
                    <w:adjustRightInd w:val="0"/>
                    <w:snapToGrid w:val="0"/>
                    <w:jc w:val="center"/>
                    <w:rPr>
                      <w:bCs/>
                      <w:szCs w:val="21"/>
                    </w:rPr>
                  </w:pPr>
                </w:p>
              </w:tc>
              <w:tc>
                <w:tcPr>
                  <w:tcW w:w="2319" w:type="dxa"/>
                  <w:tcBorders>
                    <w:tl2br w:val="nil"/>
                    <w:tr2bl w:val="nil"/>
                  </w:tcBorders>
                  <w:vAlign w:val="center"/>
                </w:tcPr>
                <w:p>
                  <w:pPr>
                    <w:topLinePunct/>
                    <w:adjustRightInd w:val="0"/>
                    <w:snapToGrid w:val="0"/>
                    <w:jc w:val="center"/>
                    <w:rPr>
                      <w:bCs/>
                      <w:szCs w:val="21"/>
                    </w:rPr>
                  </w:pPr>
                  <w:r>
                    <w:rPr>
                      <w:bCs/>
                      <w:szCs w:val="21"/>
                    </w:rPr>
                    <w:t>NO</w:t>
                  </w:r>
                  <w:r>
                    <w:rPr>
                      <w:rFonts w:hint="eastAsia"/>
                      <w:bCs/>
                      <w:szCs w:val="21"/>
                      <w:vertAlign w:val="subscript"/>
                    </w:rPr>
                    <w:t>x</w:t>
                  </w:r>
                </w:p>
              </w:tc>
              <w:tc>
                <w:tcPr>
                  <w:tcW w:w="1999" w:type="dxa"/>
                  <w:tcBorders>
                    <w:tl2br w:val="nil"/>
                    <w:tr2bl w:val="nil"/>
                  </w:tcBorders>
                  <w:vAlign w:val="center"/>
                </w:tcPr>
                <w:p>
                  <w:pPr>
                    <w:topLinePunct/>
                    <w:adjustRightInd w:val="0"/>
                    <w:snapToGrid w:val="0"/>
                    <w:jc w:val="center"/>
                    <w:rPr>
                      <w:bCs/>
                      <w:szCs w:val="21"/>
                    </w:rPr>
                  </w:pPr>
                  <w:r>
                    <w:rPr>
                      <w:rFonts w:hint="eastAsia"/>
                      <w:bCs/>
                      <w:szCs w:val="21"/>
                    </w:rPr>
                    <w:t>43</w:t>
                  </w:r>
                </w:p>
              </w:tc>
              <w:tc>
                <w:tcPr>
                  <w:tcW w:w="1999" w:type="dxa"/>
                  <w:tcBorders>
                    <w:tl2br w:val="nil"/>
                    <w:tr2bl w:val="nil"/>
                  </w:tcBorders>
                  <w:vAlign w:val="center"/>
                </w:tcPr>
                <w:p>
                  <w:pPr>
                    <w:topLinePunct/>
                    <w:adjustRightInd w:val="0"/>
                    <w:snapToGrid w:val="0"/>
                    <w:jc w:val="center"/>
                    <w:rPr>
                      <w:bCs/>
                      <w:szCs w:val="21"/>
                    </w:rPr>
                  </w:pPr>
                  <w:r>
                    <w:rPr>
                      <w:rFonts w:hint="eastAsia"/>
                      <w:bCs/>
                      <w:szCs w:val="21"/>
                    </w:rPr>
                    <w:t>0.1129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77" w:type="dxa"/>
                  <w:vMerge w:val="continue"/>
                  <w:tcBorders>
                    <w:top w:val="single" w:color="auto" w:sz="4" w:space="0"/>
                    <w:bottom w:val="single" w:color="auto" w:sz="12" w:space="0"/>
                    <w:tl2br w:val="nil"/>
                    <w:tr2bl w:val="nil"/>
                  </w:tcBorders>
                  <w:vAlign w:val="center"/>
                </w:tcPr>
                <w:p>
                  <w:pPr>
                    <w:topLinePunct/>
                    <w:adjustRightInd w:val="0"/>
                    <w:snapToGrid w:val="0"/>
                    <w:jc w:val="center"/>
                    <w:rPr>
                      <w:bCs/>
                      <w:szCs w:val="21"/>
                    </w:rPr>
                  </w:pPr>
                </w:p>
              </w:tc>
              <w:tc>
                <w:tcPr>
                  <w:tcW w:w="2319" w:type="dxa"/>
                  <w:tcBorders>
                    <w:tl2br w:val="nil"/>
                    <w:tr2bl w:val="nil"/>
                  </w:tcBorders>
                  <w:vAlign w:val="center"/>
                </w:tcPr>
                <w:p>
                  <w:pPr>
                    <w:topLinePunct/>
                    <w:adjustRightInd w:val="0"/>
                    <w:snapToGrid w:val="0"/>
                    <w:jc w:val="center"/>
                    <w:rPr>
                      <w:bCs/>
                      <w:szCs w:val="21"/>
                    </w:rPr>
                  </w:pPr>
                  <w:r>
                    <w:rPr>
                      <w:bCs/>
                      <w:szCs w:val="21"/>
                    </w:rPr>
                    <w:t>烟尘</w:t>
                  </w:r>
                </w:p>
              </w:tc>
              <w:tc>
                <w:tcPr>
                  <w:tcW w:w="1999" w:type="dxa"/>
                  <w:tcBorders>
                    <w:tl2br w:val="nil"/>
                    <w:tr2bl w:val="nil"/>
                  </w:tcBorders>
                  <w:vAlign w:val="center"/>
                </w:tcPr>
                <w:p>
                  <w:pPr>
                    <w:topLinePunct/>
                    <w:adjustRightInd w:val="0"/>
                    <w:snapToGrid w:val="0"/>
                    <w:jc w:val="center"/>
                    <w:rPr>
                      <w:bCs/>
                      <w:szCs w:val="21"/>
                    </w:rPr>
                  </w:pPr>
                  <w:r>
                    <w:rPr>
                      <w:rFonts w:hint="eastAsia"/>
                      <w:bCs/>
                      <w:szCs w:val="21"/>
                    </w:rPr>
                    <w:t>13.7</w:t>
                  </w:r>
                </w:p>
              </w:tc>
              <w:tc>
                <w:tcPr>
                  <w:tcW w:w="1999" w:type="dxa"/>
                  <w:tcBorders>
                    <w:tl2br w:val="nil"/>
                    <w:tr2bl w:val="nil"/>
                  </w:tcBorders>
                  <w:vAlign w:val="center"/>
                </w:tcPr>
                <w:p>
                  <w:pPr>
                    <w:topLinePunct/>
                    <w:adjustRightInd w:val="0"/>
                    <w:snapToGrid w:val="0"/>
                    <w:jc w:val="center"/>
                    <w:rPr>
                      <w:bCs/>
                      <w:szCs w:val="21"/>
                    </w:rPr>
                  </w:pPr>
                  <w:r>
                    <w:rPr>
                      <w:rFonts w:hint="eastAsia"/>
                      <w:bCs/>
                      <w:szCs w:val="21"/>
                    </w:rPr>
                    <w:t>0.036</w:t>
                  </w:r>
                </w:p>
              </w:tc>
            </w:tr>
          </w:tbl>
          <w:p>
            <w:pPr>
              <w:topLinePunct/>
              <w:adjustRightInd w:val="0"/>
              <w:snapToGrid w:val="0"/>
              <w:spacing w:line="360" w:lineRule="auto"/>
              <w:ind w:firstLine="480" w:firstLineChars="200"/>
              <w:rPr>
                <w:bCs/>
                <w:sz w:val="24"/>
              </w:rPr>
            </w:pPr>
            <w:r>
              <w:rPr>
                <w:rFonts w:hint="eastAsia"/>
                <w:bCs/>
                <w:sz w:val="24"/>
              </w:rPr>
              <w:t>可见，昌吉州中医医院原有的燃气锅炉燃烧产生污染物的排放浓度均可满足《锅炉大气污染物排放标准》（GB13271-2014）中特别排放标准限值，可直接排放。</w:t>
            </w:r>
          </w:p>
          <w:p>
            <w:pPr>
              <w:topLinePunct/>
              <w:adjustRightInd w:val="0"/>
              <w:snapToGrid w:val="0"/>
              <w:spacing w:line="360" w:lineRule="auto"/>
              <w:ind w:firstLine="480" w:firstLineChars="200"/>
              <w:rPr>
                <w:bCs/>
                <w:sz w:val="24"/>
              </w:rPr>
            </w:pPr>
            <w:r>
              <w:rPr>
                <w:rFonts w:hint="eastAsia"/>
                <w:bCs/>
                <w:sz w:val="24"/>
              </w:rPr>
              <w:t>（2）医院污水处理站臭气</w:t>
            </w:r>
          </w:p>
          <w:p>
            <w:pPr>
              <w:topLinePunct/>
              <w:adjustRightInd w:val="0"/>
              <w:snapToGrid w:val="0"/>
              <w:spacing w:line="360" w:lineRule="auto"/>
              <w:ind w:firstLine="480" w:firstLineChars="200"/>
              <w:rPr>
                <w:bCs/>
                <w:sz w:val="24"/>
              </w:rPr>
            </w:pPr>
            <w:r>
              <w:rPr>
                <w:rFonts w:hint="eastAsia"/>
                <w:bCs/>
                <w:sz w:val="24"/>
              </w:rPr>
              <w:t>污水处理系统产生的废气主要成份为恶臭，恶臭主要成份为H</w:t>
            </w:r>
            <w:r>
              <w:rPr>
                <w:bCs/>
                <w:sz w:val="24"/>
                <w:vertAlign w:val="subscript"/>
              </w:rPr>
              <w:t>2</w:t>
            </w:r>
            <w:r>
              <w:rPr>
                <w:rFonts w:hint="eastAsia"/>
                <w:bCs/>
                <w:sz w:val="24"/>
              </w:rPr>
              <w:t>S、NH</w:t>
            </w:r>
            <w:r>
              <w:rPr>
                <w:bCs/>
                <w:sz w:val="24"/>
                <w:vertAlign w:val="subscript"/>
              </w:rPr>
              <w:t>3</w:t>
            </w:r>
            <w:r>
              <w:rPr>
                <w:rFonts w:hint="eastAsia"/>
                <w:bCs/>
                <w:sz w:val="24"/>
              </w:rPr>
              <w:t>等。</w:t>
            </w:r>
            <w:r>
              <w:rPr>
                <w:rFonts w:hint="eastAsia"/>
                <w:sz w:val="24"/>
              </w:rPr>
              <w:t>原有项目污水处理站排放的无组织废气</w:t>
            </w:r>
            <w:r>
              <w:rPr>
                <w:rFonts w:hint="eastAsia"/>
                <w:bCs/>
                <w:sz w:val="24"/>
              </w:rPr>
              <w:t>H</w:t>
            </w:r>
            <w:r>
              <w:rPr>
                <w:bCs/>
                <w:sz w:val="24"/>
                <w:vertAlign w:val="subscript"/>
              </w:rPr>
              <w:t>2</w:t>
            </w:r>
            <w:r>
              <w:rPr>
                <w:rFonts w:hint="eastAsia"/>
                <w:bCs/>
                <w:sz w:val="24"/>
              </w:rPr>
              <w:t>S最大排放浓度为0</w:t>
            </w:r>
            <w:r>
              <w:rPr>
                <w:bCs/>
                <w:sz w:val="24"/>
              </w:rPr>
              <w:t>.00046 mg/m</w:t>
            </w:r>
            <w:r>
              <w:rPr>
                <w:bCs/>
                <w:sz w:val="24"/>
                <w:vertAlign w:val="superscript"/>
              </w:rPr>
              <w:t>3</w:t>
            </w:r>
            <w:r>
              <w:rPr>
                <w:rFonts w:hint="eastAsia"/>
                <w:bCs/>
                <w:sz w:val="24"/>
              </w:rPr>
              <w:t>，NH</w:t>
            </w:r>
            <w:r>
              <w:rPr>
                <w:bCs/>
                <w:sz w:val="24"/>
                <w:vertAlign w:val="subscript"/>
              </w:rPr>
              <w:t>3</w:t>
            </w:r>
            <w:r>
              <w:rPr>
                <w:rFonts w:hint="eastAsia"/>
                <w:bCs/>
                <w:sz w:val="24"/>
              </w:rPr>
              <w:t>的最大排放浓度为0</w:t>
            </w:r>
            <w:r>
              <w:rPr>
                <w:bCs/>
                <w:sz w:val="24"/>
              </w:rPr>
              <w:t>.0068 mg/m</w:t>
            </w:r>
            <w:r>
              <w:rPr>
                <w:bCs/>
                <w:sz w:val="24"/>
                <w:vertAlign w:val="superscript"/>
              </w:rPr>
              <w:t>3</w:t>
            </w:r>
            <w:r>
              <w:rPr>
                <w:rFonts w:hint="eastAsia"/>
                <w:bCs/>
                <w:sz w:val="24"/>
              </w:rPr>
              <w:t>。</w:t>
            </w:r>
          </w:p>
          <w:p>
            <w:pPr>
              <w:pStyle w:val="21"/>
              <w:ind w:firstLine="422"/>
              <w:rPr>
                <w:rFonts w:hint="default"/>
              </w:rPr>
            </w:pPr>
            <w:r>
              <w:t>表2-</w:t>
            </w:r>
            <w:r>
              <w:rPr>
                <w:rFonts w:hint="default"/>
              </w:rPr>
              <w:t>6</w:t>
            </w:r>
            <w:r>
              <w:t xml:space="preserve">  原有医院污水处理站污染物排放量</w:t>
            </w:r>
          </w:p>
          <w:tbl>
            <w:tblPr>
              <w:tblStyle w:val="18"/>
              <w:tblW w:w="799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2319"/>
              <w:gridCol w:w="1999"/>
              <w:gridCol w:w="19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77" w:type="dxa"/>
                  <w:tcBorders>
                    <w:bottom w:val="single" w:color="000000" w:sz="12" w:space="0"/>
                    <w:tl2br w:val="nil"/>
                    <w:tr2bl w:val="nil"/>
                  </w:tcBorders>
                  <w:vAlign w:val="center"/>
                </w:tcPr>
                <w:p>
                  <w:pPr>
                    <w:topLinePunct/>
                    <w:adjustRightInd w:val="0"/>
                    <w:snapToGrid w:val="0"/>
                    <w:jc w:val="center"/>
                    <w:rPr>
                      <w:b/>
                      <w:szCs w:val="21"/>
                    </w:rPr>
                  </w:pPr>
                  <w:r>
                    <w:rPr>
                      <w:rFonts w:hint="eastAsia"/>
                      <w:b/>
                      <w:szCs w:val="21"/>
                    </w:rPr>
                    <w:t>污染源</w:t>
                  </w:r>
                </w:p>
              </w:tc>
              <w:tc>
                <w:tcPr>
                  <w:tcW w:w="2319" w:type="dxa"/>
                  <w:tcBorders>
                    <w:bottom w:val="single" w:color="000000" w:sz="12" w:space="0"/>
                    <w:tl2br w:val="nil"/>
                    <w:tr2bl w:val="nil"/>
                  </w:tcBorders>
                  <w:vAlign w:val="center"/>
                </w:tcPr>
                <w:p>
                  <w:pPr>
                    <w:topLinePunct/>
                    <w:adjustRightInd w:val="0"/>
                    <w:snapToGrid w:val="0"/>
                    <w:jc w:val="center"/>
                    <w:rPr>
                      <w:b/>
                      <w:szCs w:val="21"/>
                    </w:rPr>
                  </w:pPr>
                  <w:r>
                    <w:rPr>
                      <w:rFonts w:hint="eastAsia"/>
                      <w:b/>
                      <w:szCs w:val="21"/>
                    </w:rPr>
                    <w:t>污染物</w:t>
                  </w:r>
                </w:p>
              </w:tc>
              <w:tc>
                <w:tcPr>
                  <w:tcW w:w="1999" w:type="dxa"/>
                  <w:tcBorders>
                    <w:bottom w:val="single" w:color="000000" w:sz="12" w:space="0"/>
                    <w:tl2br w:val="nil"/>
                    <w:tr2bl w:val="nil"/>
                  </w:tcBorders>
                  <w:vAlign w:val="center"/>
                </w:tcPr>
                <w:p>
                  <w:pPr>
                    <w:topLinePunct/>
                    <w:adjustRightInd w:val="0"/>
                    <w:snapToGrid w:val="0"/>
                    <w:jc w:val="center"/>
                    <w:rPr>
                      <w:b/>
                      <w:szCs w:val="21"/>
                    </w:rPr>
                  </w:pPr>
                  <w:r>
                    <w:rPr>
                      <w:rFonts w:hint="eastAsia"/>
                      <w:b/>
                      <w:szCs w:val="21"/>
                    </w:rPr>
                    <w:t>排放浓度（</w:t>
                  </w:r>
                  <w:r>
                    <w:rPr>
                      <w:b/>
                      <w:szCs w:val="21"/>
                    </w:rPr>
                    <w:t>mg/m</w:t>
                  </w:r>
                  <w:r>
                    <w:rPr>
                      <w:rFonts w:hint="eastAsia"/>
                      <w:b/>
                      <w:szCs w:val="21"/>
                      <w:vertAlign w:val="superscript"/>
                    </w:rPr>
                    <w:t>3</w:t>
                  </w:r>
                  <w:r>
                    <w:rPr>
                      <w:rFonts w:hint="eastAsia"/>
                      <w:b/>
                      <w:szCs w:val="21"/>
                    </w:rPr>
                    <w:t>）</w:t>
                  </w:r>
                </w:p>
              </w:tc>
              <w:tc>
                <w:tcPr>
                  <w:tcW w:w="1999" w:type="dxa"/>
                  <w:tcBorders>
                    <w:bottom w:val="single" w:color="000000" w:sz="12" w:space="0"/>
                    <w:tl2br w:val="nil"/>
                    <w:tr2bl w:val="nil"/>
                  </w:tcBorders>
                  <w:vAlign w:val="center"/>
                </w:tcPr>
                <w:p>
                  <w:pPr>
                    <w:topLinePunct/>
                    <w:adjustRightInd w:val="0"/>
                    <w:snapToGrid w:val="0"/>
                    <w:jc w:val="center"/>
                    <w:rPr>
                      <w:b/>
                      <w:szCs w:val="21"/>
                    </w:rPr>
                  </w:pPr>
                  <w:r>
                    <w:rPr>
                      <w:rFonts w:hint="eastAsia"/>
                      <w:b/>
                      <w:szCs w:val="21"/>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77" w:type="dxa"/>
                  <w:vMerge w:val="restart"/>
                  <w:tcBorders>
                    <w:top w:val="single" w:color="000000" w:sz="12" w:space="0"/>
                    <w:bottom w:val="single" w:color="auto" w:sz="4" w:space="0"/>
                    <w:tl2br w:val="nil"/>
                    <w:tr2bl w:val="nil"/>
                  </w:tcBorders>
                  <w:vAlign w:val="center"/>
                </w:tcPr>
                <w:p>
                  <w:pPr>
                    <w:topLinePunct/>
                    <w:adjustRightInd w:val="0"/>
                    <w:snapToGrid w:val="0"/>
                    <w:jc w:val="center"/>
                    <w:rPr>
                      <w:bCs/>
                      <w:szCs w:val="21"/>
                    </w:rPr>
                  </w:pPr>
                  <w:r>
                    <w:rPr>
                      <w:rFonts w:hint="eastAsia"/>
                      <w:bCs/>
                      <w:szCs w:val="21"/>
                    </w:rPr>
                    <w:t>污水处理站</w:t>
                  </w:r>
                </w:p>
              </w:tc>
              <w:tc>
                <w:tcPr>
                  <w:tcW w:w="2319" w:type="dxa"/>
                  <w:tcBorders>
                    <w:top w:val="single" w:color="000000" w:sz="12" w:space="0"/>
                    <w:bottom w:val="single" w:color="auto" w:sz="4" w:space="0"/>
                    <w:tl2br w:val="nil"/>
                    <w:tr2bl w:val="nil"/>
                  </w:tcBorders>
                  <w:vAlign w:val="center"/>
                </w:tcPr>
                <w:p>
                  <w:pPr>
                    <w:topLinePunct/>
                    <w:adjustRightInd w:val="0"/>
                    <w:snapToGrid w:val="0"/>
                    <w:jc w:val="center"/>
                    <w:rPr>
                      <w:bCs/>
                      <w:szCs w:val="21"/>
                    </w:rPr>
                  </w:pPr>
                  <w:r>
                    <w:rPr>
                      <w:rFonts w:hint="eastAsia"/>
                      <w:bCs/>
                      <w:szCs w:val="21"/>
                    </w:rPr>
                    <w:t>H</w:t>
                  </w:r>
                  <w:r>
                    <w:rPr>
                      <w:bCs/>
                      <w:szCs w:val="21"/>
                      <w:vertAlign w:val="subscript"/>
                    </w:rPr>
                    <w:t>2</w:t>
                  </w:r>
                  <w:r>
                    <w:rPr>
                      <w:rFonts w:hint="eastAsia"/>
                      <w:bCs/>
                      <w:szCs w:val="21"/>
                    </w:rPr>
                    <w:t>S</w:t>
                  </w:r>
                </w:p>
              </w:tc>
              <w:tc>
                <w:tcPr>
                  <w:tcW w:w="1999" w:type="dxa"/>
                  <w:tcBorders>
                    <w:top w:val="single" w:color="000000" w:sz="12" w:space="0"/>
                    <w:bottom w:val="single" w:color="auto" w:sz="4" w:space="0"/>
                    <w:tl2br w:val="nil"/>
                    <w:tr2bl w:val="nil"/>
                  </w:tcBorders>
                  <w:vAlign w:val="center"/>
                </w:tcPr>
                <w:p>
                  <w:pPr>
                    <w:topLinePunct/>
                    <w:adjustRightInd w:val="0"/>
                    <w:snapToGrid w:val="0"/>
                    <w:jc w:val="center"/>
                    <w:rPr>
                      <w:bCs/>
                      <w:szCs w:val="21"/>
                    </w:rPr>
                  </w:pPr>
                  <w:r>
                    <w:rPr>
                      <w:bCs/>
                      <w:szCs w:val="21"/>
                    </w:rPr>
                    <w:t>0.00046</w:t>
                  </w:r>
                </w:p>
              </w:tc>
              <w:tc>
                <w:tcPr>
                  <w:tcW w:w="1999" w:type="dxa"/>
                  <w:tcBorders>
                    <w:top w:val="single" w:color="000000" w:sz="12" w:space="0"/>
                    <w:bottom w:val="single" w:color="auto" w:sz="4" w:space="0"/>
                    <w:tl2br w:val="nil"/>
                    <w:tr2bl w:val="nil"/>
                  </w:tcBorders>
                  <w:vAlign w:val="center"/>
                </w:tcPr>
                <w:p>
                  <w:pPr>
                    <w:topLinePunct/>
                    <w:adjustRightInd w:val="0"/>
                    <w:snapToGrid w:val="0"/>
                    <w:jc w:val="center"/>
                    <w:rPr>
                      <w:bCs/>
                      <w:szCs w:val="21"/>
                    </w:rPr>
                  </w:pPr>
                  <w:r>
                    <w:rPr>
                      <w:rFonts w:hint="eastAsia"/>
                      <w:bCs/>
                      <w:szCs w:val="21"/>
                    </w:rPr>
                    <w:t>0.0</w:t>
                  </w:r>
                  <w:r>
                    <w:rPr>
                      <w:bCs/>
                      <w:szCs w:val="21"/>
                    </w:rPr>
                    <w:t>0289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77" w:type="dxa"/>
                  <w:vMerge w:val="continue"/>
                  <w:tcBorders>
                    <w:top w:val="single" w:color="auto" w:sz="4" w:space="0"/>
                    <w:bottom w:val="single" w:color="auto" w:sz="12" w:space="0"/>
                    <w:tl2br w:val="nil"/>
                    <w:tr2bl w:val="nil"/>
                  </w:tcBorders>
                  <w:vAlign w:val="center"/>
                </w:tcPr>
                <w:p>
                  <w:pPr>
                    <w:topLinePunct/>
                    <w:adjustRightInd w:val="0"/>
                    <w:snapToGrid w:val="0"/>
                    <w:jc w:val="center"/>
                    <w:rPr>
                      <w:bCs/>
                      <w:szCs w:val="21"/>
                    </w:rPr>
                  </w:pPr>
                </w:p>
              </w:tc>
              <w:tc>
                <w:tcPr>
                  <w:tcW w:w="2319" w:type="dxa"/>
                  <w:tcBorders>
                    <w:top w:val="single" w:color="auto" w:sz="4" w:space="0"/>
                    <w:bottom w:val="single" w:color="auto" w:sz="12" w:space="0"/>
                    <w:tl2br w:val="nil"/>
                    <w:tr2bl w:val="nil"/>
                  </w:tcBorders>
                  <w:vAlign w:val="center"/>
                </w:tcPr>
                <w:p>
                  <w:pPr>
                    <w:topLinePunct/>
                    <w:adjustRightInd w:val="0"/>
                    <w:snapToGrid w:val="0"/>
                    <w:jc w:val="center"/>
                    <w:rPr>
                      <w:bCs/>
                      <w:szCs w:val="21"/>
                    </w:rPr>
                  </w:pPr>
                  <w:r>
                    <w:rPr>
                      <w:bCs/>
                      <w:szCs w:val="21"/>
                    </w:rPr>
                    <w:t>NO</w:t>
                  </w:r>
                  <w:r>
                    <w:rPr>
                      <w:rFonts w:hint="eastAsia"/>
                      <w:bCs/>
                      <w:szCs w:val="21"/>
                      <w:vertAlign w:val="subscript"/>
                    </w:rPr>
                    <w:t>x</w:t>
                  </w:r>
                </w:p>
              </w:tc>
              <w:tc>
                <w:tcPr>
                  <w:tcW w:w="1999" w:type="dxa"/>
                  <w:tcBorders>
                    <w:top w:val="single" w:color="auto" w:sz="4" w:space="0"/>
                    <w:bottom w:val="single" w:color="auto" w:sz="12" w:space="0"/>
                    <w:tl2br w:val="nil"/>
                    <w:tr2bl w:val="nil"/>
                  </w:tcBorders>
                  <w:vAlign w:val="center"/>
                </w:tcPr>
                <w:p>
                  <w:pPr>
                    <w:topLinePunct/>
                    <w:adjustRightInd w:val="0"/>
                    <w:snapToGrid w:val="0"/>
                    <w:jc w:val="center"/>
                    <w:rPr>
                      <w:bCs/>
                      <w:szCs w:val="21"/>
                    </w:rPr>
                  </w:pPr>
                  <w:r>
                    <w:rPr>
                      <w:bCs/>
                      <w:szCs w:val="21"/>
                    </w:rPr>
                    <w:t>0.00680</w:t>
                  </w:r>
                </w:p>
              </w:tc>
              <w:tc>
                <w:tcPr>
                  <w:tcW w:w="1999" w:type="dxa"/>
                  <w:tcBorders>
                    <w:top w:val="single" w:color="auto" w:sz="4" w:space="0"/>
                    <w:bottom w:val="single" w:color="auto" w:sz="12" w:space="0"/>
                    <w:tl2br w:val="nil"/>
                    <w:tr2bl w:val="nil"/>
                  </w:tcBorders>
                  <w:vAlign w:val="center"/>
                </w:tcPr>
                <w:p>
                  <w:pPr>
                    <w:topLinePunct/>
                    <w:adjustRightInd w:val="0"/>
                    <w:snapToGrid w:val="0"/>
                    <w:jc w:val="center"/>
                    <w:rPr>
                      <w:bCs/>
                      <w:szCs w:val="21"/>
                    </w:rPr>
                  </w:pPr>
                  <w:r>
                    <w:rPr>
                      <w:rFonts w:hint="eastAsia"/>
                      <w:bCs/>
                      <w:szCs w:val="21"/>
                    </w:rPr>
                    <w:t>0.</w:t>
                  </w:r>
                  <w:r>
                    <w:rPr>
                      <w:bCs/>
                      <w:szCs w:val="21"/>
                    </w:rPr>
                    <w:t>04292</w:t>
                  </w:r>
                </w:p>
              </w:tc>
            </w:tr>
          </w:tbl>
          <w:p>
            <w:pPr>
              <w:topLinePunct/>
              <w:adjustRightInd w:val="0"/>
              <w:snapToGrid w:val="0"/>
              <w:spacing w:line="360" w:lineRule="auto"/>
              <w:ind w:firstLine="480" w:firstLineChars="200"/>
              <w:rPr>
                <w:bCs/>
                <w:sz w:val="24"/>
              </w:rPr>
            </w:pPr>
            <w:r>
              <w:rPr>
                <w:rFonts w:hint="eastAsia"/>
                <w:bCs/>
                <w:sz w:val="24"/>
              </w:rPr>
              <w:t>可见，昌吉州中医医院原有的医院污水处理站</w:t>
            </w:r>
            <w:r>
              <w:rPr>
                <w:rFonts w:hint="eastAsia"/>
                <w:sz w:val="24"/>
              </w:rPr>
              <w:t>排放的无组织废气</w:t>
            </w:r>
            <w:r>
              <w:rPr>
                <w:rFonts w:hint="eastAsia"/>
                <w:bCs/>
                <w:sz w:val="24"/>
              </w:rPr>
              <w:t>H</w:t>
            </w:r>
            <w:r>
              <w:rPr>
                <w:bCs/>
                <w:sz w:val="24"/>
                <w:vertAlign w:val="subscript"/>
              </w:rPr>
              <w:t>2</w:t>
            </w:r>
            <w:r>
              <w:rPr>
                <w:rFonts w:hint="eastAsia"/>
                <w:bCs/>
                <w:sz w:val="24"/>
              </w:rPr>
              <w:t>S、NH</w:t>
            </w:r>
            <w:r>
              <w:rPr>
                <w:bCs/>
                <w:sz w:val="24"/>
                <w:vertAlign w:val="subscript"/>
              </w:rPr>
              <w:t>3</w:t>
            </w:r>
            <w:r>
              <w:rPr>
                <w:rFonts w:hint="eastAsia"/>
                <w:bCs/>
                <w:sz w:val="24"/>
              </w:rPr>
              <w:t>排放浓度均可满足《医疗机构水污染物排放标准》（GB 18466- 2005）表3污水处理站周边大气污染物最高允许浓度。</w:t>
            </w:r>
          </w:p>
          <w:p>
            <w:pPr>
              <w:topLinePunct/>
              <w:adjustRightInd w:val="0"/>
              <w:snapToGrid w:val="0"/>
              <w:spacing w:line="360" w:lineRule="auto"/>
              <w:ind w:firstLine="480" w:firstLineChars="200"/>
              <w:rPr>
                <w:bCs/>
                <w:sz w:val="24"/>
              </w:rPr>
            </w:pPr>
            <w:r>
              <w:rPr>
                <w:rFonts w:hint="eastAsia"/>
                <w:bCs/>
                <w:sz w:val="24"/>
              </w:rPr>
              <w:t>（</w:t>
            </w:r>
            <w:r>
              <w:rPr>
                <w:bCs/>
                <w:sz w:val="24"/>
              </w:rPr>
              <w:t>3</w:t>
            </w:r>
            <w:r>
              <w:rPr>
                <w:rFonts w:hint="eastAsia"/>
                <w:bCs/>
                <w:sz w:val="24"/>
              </w:rPr>
              <w:t>）汽车尾气</w:t>
            </w:r>
          </w:p>
          <w:p>
            <w:pPr>
              <w:topLinePunct/>
              <w:adjustRightInd w:val="0"/>
              <w:snapToGrid w:val="0"/>
              <w:spacing w:line="360" w:lineRule="auto"/>
              <w:ind w:firstLine="480" w:firstLineChars="200"/>
              <w:rPr>
                <w:bCs/>
                <w:sz w:val="24"/>
              </w:rPr>
            </w:pPr>
            <w:r>
              <w:rPr>
                <w:rFonts w:hint="eastAsia"/>
                <w:bCs/>
                <w:sz w:val="24"/>
              </w:rPr>
              <w:t>昌吉州中医医院现有60个停车位，位于医院正门前及门诊综合楼附近。</w:t>
            </w:r>
          </w:p>
          <w:p>
            <w:pPr>
              <w:topLinePunct/>
              <w:adjustRightInd w:val="0"/>
              <w:snapToGrid w:val="0"/>
              <w:spacing w:line="360" w:lineRule="auto"/>
              <w:ind w:firstLine="480" w:firstLineChars="200"/>
              <w:rPr>
                <w:bCs/>
                <w:sz w:val="24"/>
              </w:rPr>
            </w:pPr>
            <w:r>
              <w:rPr>
                <w:rFonts w:hint="eastAsia"/>
                <w:bCs/>
                <w:sz w:val="24"/>
              </w:rPr>
              <w:t>汽车尾气中所含主要污染物为CO、NO</w:t>
            </w:r>
            <w:r>
              <w:rPr>
                <w:rFonts w:hint="eastAsia"/>
                <w:bCs/>
                <w:sz w:val="24"/>
                <w:vertAlign w:val="subscript"/>
              </w:rPr>
              <w:t>x</w:t>
            </w:r>
            <w:r>
              <w:rPr>
                <w:rFonts w:hint="eastAsia"/>
                <w:bCs/>
                <w:sz w:val="24"/>
              </w:rPr>
              <w:t>和碳氢化合物。汽车尾气所含污染物的浓度与汽车行驶条件有很大关系，汽车在低速时碳氢化合物和CO浓度较高，高速时NO</w:t>
            </w:r>
            <w:r>
              <w:rPr>
                <w:rFonts w:hint="eastAsia"/>
                <w:bCs/>
                <w:sz w:val="24"/>
                <w:vertAlign w:val="subscript"/>
              </w:rPr>
              <w:t>x</w:t>
            </w:r>
            <w:r>
              <w:rPr>
                <w:rFonts w:hint="eastAsia"/>
                <w:bCs/>
                <w:sz w:val="24"/>
              </w:rPr>
              <w:t>浓度最高。汽车在进、出停车场时一般是低速行驶，因此碳氢化合物和CO排放量较大。经计算，昌吉州中医医院停车场排放的污染物CO、NO</w:t>
            </w:r>
            <w:r>
              <w:rPr>
                <w:rFonts w:hint="eastAsia"/>
                <w:bCs/>
                <w:sz w:val="24"/>
                <w:vertAlign w:val="subscript"/>
              </w:rPr>
              <w:t>x</w:t>
            </w:r>
            <w:r>
              <w:rPr>
                <w:rFonts w:hint="eastAsia"/>
                <w:bCs/>
                <w:sz w:val="24"/>
              </w:rPr>
              <w:t>和碳氢化合物的量分别为3.02t/a、0.07t/a、0.04t/a。</w:t>
            </w:r>
          </w:p>
          <w:p>
            <w:pPr>
              <w:pStyle w:val="4"/>
              <w:spacing w:before="0" w:after="0" w:line="360" w:lineRule="auto"/>
              <w:rPr>
                <w:rFonts w:eastAsia="宋体"/>
                <w:color w:val="auto"/>
                <w:kern w:val="2"/>
                <w:sz w:val="24"/>
                <w:szCs w:val="24"/>
              </w:rPr>
            </w:pPr>
            <w:r>
              <w:rPr>
                <w:rFonts w:hint="eastAsia" w:eastAsia="宋体"/>
                <w:color w:val="auto"/>
                <w:kern w:val="2"/>
                <w:sz w:val="24"/>
                <w:szCs w:val="24"/>
              </w:rPr>
              <w:t>2.2废水污染物排放情况</w:t>
            </w:r>
          </w:p>
          <w:p>
            <w:pPr>
              <w:topLinePunct/>
              <w:adjustRightInd w:val="0"/>
              <w:snapToGrid w:val="0"/>
              <w:spacing w:line="360" w:lineRule="auto"/>
              <w:ind w:firstLine="480" w:firstLineChars="200"/>
              <w:rPr>
                <w:bCs/>
                <w:sz w:val="24"/>
              </w:rPr>
            </w:pPr>
            <w:r>
              <w:rPr>
                <w:rFonts w:hint="eastAsia"/>
                <w:bCs/>
                <w:sz w:val="24"/>
              </w:rPr>
              <w:t>昌吉州中医医院排水主要来自医务人员排水、门诊病人排水、住院病人排水、保洁排水、洗衣房排水和其他排水。</w:t>
            </w:r>
            <w:r>
              <w:rPr>
                <w:rFonts w:ascii="宋体" w:hAnsi="宋体" w:cs="宋体"/>
                <w:kern w:val="0"/>
                <w:sz w:val="24"/>
                <w:lang w:bidi="ar"/>
              </w:rPr>
              <w:t>根据建设单位提供的资料和</w:t>
            </w:r>
            <w:r>
              <w:rPr>
                <w:rFonts w:hint="eastAsia"/>
                <w:bCs/>
                <w:sz w:val="24"/>
              </w:rPr>
              <w:t>昌吉州中医医院门诊病房综合楼建设项目竣工环境保护验收监测报告，昌吉州中医医院污水处理站废水水质结果见表2-</w:t>
            </w:r>
            <w:r>
              <w:rPr>
                <w:bCs/>
                <w:sz w:val="24"/>
              </w:rPr>
              <w:t>7</w:t>
            </w:r>
            <w:r>
              <w:rPr>
                <w:rFonts w:hint="eastAsia"/>
                <w:bCs/>
                <w:sz w:val="24"/>
              </w:rPr>
              <w:t>。</w:t>
            </w:r>
          </w:p>
          <w:p>
            <w:pPr>
              <w:pStyle w:val="21"/>
              <w:ind w:firstLine="422"/>
              <w:rPr>
                <w:rFonts w:hint="default"/>
              </w:rPr>
            </w:pPr>
            <w:r>
              <w:t>表2-</w:t>
            </w:r>
            <w:r>
              <w:rPr>
                <w:rFonts w:hint="default"/>
              </w:rPr>
              <w:t>7</w:t>
            </w:r>
            <w:r>
              <w:t xml:space="preserve">  原有项目废水排放情况</w:t>
            </w:r>
          </w:p>
          <w:tbl>
            <w:tblPr>
              <w:tblStyle w:val="18"/>
              <w:tblW w:w="8011" w:type="dxa"/>
              <w:tblInd w:w="5" w:type="dxa"/>
              <w:tblBorders>
                <w:top w:val="single" w:color="auto" w:sz="12" w:space="0"/>
                <w:left w:val="none" w:color="auto" w:sz="0" w:space="0"/>
                <w:bottom w:val="single" w:color="auto" w:sz="4"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2669"/>
              <w:gridCol w:w="2671"/>
              <w:gridCol w:w="2671"/>
            </w:tblGrid>
            <w:tr>
              <w:tblPrEx>
                <w:tblBorders>
                  <w:top w:val="single" w:color="auto" w:sz="12" w:space="0"/>
                  <w:left w:val="none" w:color="auto" w:sz="0" w:space="0"/>
                  <w:bottom w:val="single" w:color="auto" w:sz="4"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0" w:hRule="atLeast"/>
              </w:trPr>
              <w:tc>
                <w:tcPr>
                  <w:tcW w:w="2669" w:type="dxa"/>
                  <w:tcBorders>
                    <w:bottom w:val="single" w:color="auto" w:sz="12" w:space="0"/>
                  </w:tcBorders>
                  <w:vAlign w:val="center"/>
                </w:tcPr>
                <w:p>
                  <w:pPr>
                    <w:jc w:val="center"/>
                    <w:rPr>
                      <w:b/>
                      <w:bCs/>
                      <w:szCs w:val="21"/>
                    </w:rPr>
                  </w:pPr>
                  <w:r>
                    <w:rPr>
                      <w:rFonts w:hint="eastAsia"/>
                      <w:b/>
                      <w:bCs/>
                      <w:szCs w:val="21"/>
                    </w:rPr>
                    <w:t>污染物</w:t>
                  </w:r>
                </w:p>
              </w:tc>
              <w:tc>
                <w:tcPr>
                  <w:tcW w:w="2671" w:type="dxa"/>
                  <w:tcBorders>
                    <w:bottom w:val="single" w:color="auto" w:sz="12" w:space="0"/>
                  </w:tcBorders>
                  <w:vAlign w:val="center"/>
                </w:tcPr>
                <w:p>
                  <w:pPr>
                    <w:jc w:val="center"/>
                    <w:rPr>
                      <w:b/>
                      <w:bCs/>
                      <w:szCs w:val="21"/>
                    </w:rPr>
                  </w:pPr>
                  <w:r>
                    <w:rPr>
                      <w:rFonts w:hint="eastAsia"/>
                      <w:b/>
                      <w:bCs/>
                      <w:szCs w:val="21"/>
                    </w:rPr>
                    <w:t>排放浓度（mg/L）</w:t>
                  </w:r>
                </w:p>
              </w:tc>
              <w:tc>
                <w:tcPr>
                  <w:tcW w:w="2671" w:type="dxa"/>
                  <w:tcBorders>
                    <w:bottom w:val="single" w:color="auto" w:sz="12" w:space="0"/>
                  </w:tcBorders>
                  <w:vAlign w:val="center"/>
                </w:tcPr>
                <w:p>
                  <w:pPr>
                    <w:jc w:val="center"/>
                    <w:rPr>
                      <w:b/>
                      <w:bCs/>
                      <w:szCs w:val="21"/>
                    </w:rPr>
                  </w:pPr>
                  <w:r>
                    <w:rPr>
                      <w:rFonts w:hint="eastAsia"/>
                      <w:b/>
                      <w:bCs/>
                      <w:szCs w:val="21"/>
                    </w:rPr>
                    <w:t>排放量（</w:t>
                  </w:r>
                  <w:r>
                    <w:rPr>
                      <w:b/>
                      <w:bCs/>
                      <w:szCs w:val="21"/>
                    </w:rPr>
                    <w:t>t</w:t>
                  </w:r>
                  <w:r>
                    <w:rPr>
                      <w:rFonts w:hint="eastAsia"/>
                      <w:b/>
                      <w:bCs/>
                      <w:szCs w:val="21"/>
                    </w:rPr>
                    <w:t>/</w:t>
                  </w:r>
                  <w:r>
                    <w:rPr>
                      <w:b/>
                      <w:bCs/>
                      <w:szCs w:val="21"/>
                    </w:rPr>
                    <w:t>a</w:t>
                  </w:r>
                  <w:r>
                    <w:rPr>
                      <w:rFonts w:hint="eastAsia"/>
                      <w:b/>
                      <w:bCs/>
                      <w:szCs w:val="21"/>
                    </w:rPr>
                    <w:t>）</w:t>
                  </w:r>
                </w:p>
              </w:tc>
            </w:tr>
            <w:tr>
              <w:tblPrEx>
                <w:tblBorders>
                  <w:top w:val="single" w:color="auto" w:sz="12" w:space="0"/>
                  <w:left w:val="none" w:color="auto" w:sz="0" w:space="0"/>
                  <w:bottom w:val="single" w:color="auto" w:sz="4"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0" w:hRule="atLeast"/>
              </w:trPr>
              <w:tc>
                <w:tcPr>
                  <w:tcW w:w="2669" w:type="dxa"/>
                  <w:tcBorders>
                    <w:bottom w:val="single" w:color="auto" w:sz="4" w:space="0"/>
                  </w:tcBorders>
                  <w:vAlign w:val="center"/>
                </w:tcPr>
                <w:p>
                  <w:pPr>
                    <w:jc w:val="center"/>
                    <w:rPr>
                      <w:szCs w:val="21"/>
                    </w:rPr>
                  </w:pPr>
                  <w:r>
                    <w:rPr>
                      <w:rFonts w:hint="eastAsia"/>
                      <w:szCs w:val="21"/>
                    </w:rPr>
                    <w:t>SS</w:t>
                  </w:r>
                </w:p>
              </w:tc>
              <w:tc>
                <w:tcPr>
                  <w:tcW w:w="2671" w:type="dxa"/>
                  <w:tcBorders>
                    <w:bottom w:val="single" w:color="auto" w:sz="4" w:space="0"/>
                  </w:tcBorders>
                  <w:vAlign w:val="center"/>
                </w:tcPr>
                <w:p>
                  <w:pPr>
                    <w:jc w:val="center"/>
                    <w:rPr>
                      <w:szCs w:val="21"/>
                    </w:rPr>
                  </w:pPr>
                  <w:r>
                    <w:rPr>
                      <w:szCs w:val="21"/>
                    </w:rPr>
                    <w:t>45</w:t>
                  </w:r>
                </w:p>
              </w:tc>
              <w:tc>
                <w:tcPr>
                  <w:tcW w:w="2671" w:type="dxa"/>
                  <w:tcBorders>
                    <w:bottom w:val="single" w:color="auto" w:sz="4" w:space="0"/>
                  </w:tcBorders>
                  <w:vAlign w:val="center"/>
                </w:tcPr>
                <w:p>
                  <w:pPr>
                    <w:jc w:val="center"/>
                    <w:rPr>
                      <w:szCs w:val="21"/>
                    </w:rPr>
                  </w:pPr>
                  <w:r>
                    <w:rPr>
                      <w:rFonts w:hint="eastAsia"/>
                      <w:szCs w:val="21"/>
                    </w:rPr>
                    <w:t>2</w:t>
                  </w:r>
                  <w:r>
                    <w:rPr>
                      <w:szCs w:val="21"/>
                    </w:rPr>
                    <w:t>.2</w:t>
                  </w:r>
                </w:p>
              </w:tc>
            </w:tr>
            <w:tr>
              <w:tblPrEx>
                <w:tblBorders>
                  <w:top w:val="single" w:color="auto" w:sz="12" w:space="0"/>
                  <w:left w:val="none" w:color="auto" w:sz="0" w:space="0"/>
                  <w:bottom w:val="single" w:color="auto" w:sz="4"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0" w:hRule="atLeast"/>
              </w:trPr>
              <w:tc>
                <w:tcPr>
                  <w:tcW w:w="2669" w:type="dxa"/>
                  <w:tcBorders>
                    <w:top w:val="single" w:color="auto" w:sz="4" w:space="0"/>
                    <w:bottom w:val="single" w:color="auto" w:sz="4" w:space="0"/>
                  </w:tcBorders>
                  <w:vAlign w:val="center"/>
                </w:tcPr>
                <w:p>
                  <w:pPr>
                    <w:jc w:val="center"/>
                    <w:rPr>
                      <w:szCs w:val="21"/>
                    </w:rPr>
                  </w:pPr>
                  <w:r>
                    <w:rPr>
                      <w:rFonts w:hint="eastAsia"/>
                      <w:szCs w:val="21"/>
                    </w:rPr>
                    <w:t>CODcr</w:t>
                  </w:r>
                </w:p>
              </w:tc>
              <w:tc>
                <w:tcPr>
                  <w:tcW w:w="2671" w:type="dxa"/>
                  <w:tcBorders>
                    <w:top w:val="single" w:color="auto" w:sz="4" w:space="0"/>
                    <w:bottom w:val="single" w:color="auto" w:sz="4" w:space="0"/>
                  </w:tcBorders>
                  <w:vAlign w:val="center"/>
                </w:tcPr>
                <w:p>
                  <w:pPr>
                    <w:jc w:val="center"/>
                    <w:rPr>
                      <w:szCs w:val="21"/>
                    </w:rPr>
                  </w:pPr>
                  <w:r>
                    <w:rPr>
                      <w:szCs w:val="21"/>
                    </w:rPr>
                    <w:t>100</w:t>
                  </w:r>
                </w:p>
              </w:tc>
              <w:tc>
                <w:tcPr>
                  <w:tcW w:w="2671" w:type="dxa"/>
                  <w:tcBorders>
                    <w:top w:val="single" w:color="auto" w:sz="4" w:space="0"/>
                    <w:bottom w:val="single" w:color="auto" w:sz="4" w:space="0"/>
                  </w:tcBorders>
                  <w:vAlign w:val="center"/>
                </w:tcPr>
                <w:p>
                  <w:pPr>
                    <w:jc w:val="center"/>
                    <w:rPr>
                      <w:szCs w:val="21"/>
                    </w:rPr>
                  </w:pPr>
                  <w:r>
                    <w:rPr>
                      <w:rFonts w:hint="eastAsia"/>
                      <w:szCs w:val="21"/>
                    </w:rPr>
                    <w:t>4</w:t>
                  </w:r>
                  <w:r>
                    <w:rPr>
                      <w:szCs w:val="21"/>
                    </w:rPr>
                    <w:t>.89</w:t>
                  </w:r>
                </w:p>
              </w:tc>
            </w:tr>
            <w:tr>
              <w:tblPrEx>
                <w:tblBorders>
                  <w:top w:val="single" w:color="auto" w:sz="12" w:space="0"/>
                  <w:left w:val="none" w:color="auto" w:sz="0" w:space="0"/>
                  <w:bottom w:val="single" w:color="auto" w:sz="4"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0" w:hRule="atLeast"/>
              </w:trPr>
              <w:tc>
                <w:tcPr>
                  <w:tcW w:w="2669" w:type="dxa"/>
                  <w:tcBorders>
                    <w:top w:val="single" w:color="auto" w:sz="4" w:space="0"/>
                    <w:bottom w:val="single" w:color="auto" w:sz="4" w:space="0"/>
                  </w:tcBorders>
                  <w:vAlign w:val="center"/>
                </w:tcPr>
                <w:p>
                  <w:pPr>
                    <w:jc w:val="center"/>
                    <w:rPr>
                      <w:szCs w:val="21"/>
                    </w:rPr>
                  </w:pPr>
                  <w:r>
                    <w:rPr>
                      <w:rFonts w:hint="eastAsia"/>
                      <w:szCs w:val="21"/>
                    </w:rPr>
                    <w:t>BODs</w:t>
                  </w:r>
                </w:p>
              </w:tc>
              <w:tc>
                <w:tcPr>
                  <w:tcW w:w="2671" w:type="dxa"/>
                  <w:tcBorders>
                    <w:top w:val="single" w:color="auto" w:sz="4" w:space="0"/>
                    <w:bottom w:val="single" w:color="auto" w:sz="4" w:space="0"/>
                  </w:tcBorders>
                  <w:vAlign w:val="center"/>
                </w:tcPr>
                <w:p>
                  <w:pPr>
                    <w:jc w:val="center"/>
                    <w:rPr>
                      <w:szCs w:val="21"/>
                    </w:rPr>
                  </w:pPr>
                  <w:r>
                    <w:rPr>
                      <w:szCs w:val="21"/>
                    </w:rPr>
                    <w:t>37.5</w:t>
                  </w:r>
                </w:p>
              </w:tc>
              <w:tc>
                <w:tcPr>
                  <w:tcW w:w="2671" w:type="dxa"/>
                  <w:tcBorders>
                    <w:top w:val="single" w:color="auto" w:sz="4" w:space="0"/>
                    <w:bottom w:val="single" w:color="auto" w:sz="4" w:space="0"/>
                  </w:tcBorders>
                  <w:vAlign w:val="center"/>
                </w:tcPr>
                <w:p>
                  <w:pPr>
                    <w:jc w:val="center"/>
                    <w:rPr>
                      <w:szCs w:val="21"/>
                    </w:rPr>
                  </w:pPr>
                  <w:r>
                    <w:rPr>
                      <w:rFonts w:hint="eastAsia"/>
                      <w:szCs w:val="21"/>
                    </w:rPr>
                    <w:t>1</w:t>
                  </w:r>
                  <w:r>
                    <w:rPr>
                      <w:szCs w:val="21"/>
                    </w:rPr>
                    <w:t>.83</w:t>
                  </w:r>
                </w:p>
              </w:tc>
            </w:tr>
            <w:tr>
              <w:tblPrEx>
                <w:tblBorders>
                  <w:top w:val="single" w:color="auto" w:sz="12" w:space="0"/>
                  <w:left w:val="none" w:color="auto" w:sz="0" w:space="0"/>
                  <w:bottom w:val="single" w:color="auto" w:sz="4"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0" w:hRule="atLeast"/>
              </w:trPr>
              <w:tc>
                <w:tcPr>
                  <w:tcW w:w="2669" w:type="dxa"/>
                  <w:tcBorders>
                    <w:top w:val="single" w:color="auto" w:sz="4" w:space="0"/>
                    <w:bottom w:val="single" w:color="auto" w:sz="4" w:space="0"/>
                  </w:tcBorders>
                  <w:vAlign w:val="center"/>
                </w:tcPr>
                <w:p>
                  <w:pPr>
                    <w:jc w:val="center"/>
                    <w:rPr>
                      <w:szCs w:val="21"/>
                    </w:rPr>
                  </w:pPr>
                  <w:r>
                    <w:rPr>
                      <w:rFonts w:hint="eastAsia"/>
                      <w:szCs w:val="21"/>
                    </w:rPr>
                    <w:t>氨氮</w:t>
                  </w:r>
                </w:p>
              </w:tc>
              <w:tc>
                <w:tcPr>
                  <w:tcW w:w="2671" w:type="dxa"/>
                  <w:tcBorders>
                    <w:top w:val="single" w:color="auto" w:sz="4" w:space="0"/>
                    <w:bottom w:val="single" w:color="auto" w:sz="4" w:space="0"/>
                  </w:tcBorders>
                  <w:vAlign w:val="center"/>
                </w:tcPr>
                <w:p>
                  <w:pPr>
                    <w:jc w:val="center"/>
                    <w:rPr>
                      <w:szCs w:val="21"/>
                    </w:rPr>
                  </w:pPr>
                  <w:r>
                    <w:rPr>
                      <w:szCs w:val="21"/>
                    </w:rPr>
                    <w:t>12</w:t>
                  </w:r>
                </w:p>
              </w:tc>
              <w:tc>
                <w:tcPr>
                  <w:tcW w:w="2671" w:type="dxa"/>
                  <w:tcBorders>
                    <w:top w:val="single" w:color="auto" w:sz="4" w:space="0"/>
                    <w:bottom w:val="single" w:color="auto" w:sz="4" w:space="0"/>
                  </w:tcBorders>
                  <w:vAlign w:val="center"/>
                </w:tcPr>
                <w:p>
                  <w:pPr>
                    <w:jc w:val="center"/>
                    <w:rPr>
                      <w:szCs w:val="21"/>
                    </w:rPr>
                  </w:pPr>
                  <w:r>
                    <w:rPr>
                      <w:rFonts w:hint="eastAsia"/>
                      <w:szCs w:val="21"/>
                    </w:rPr>
                    <w:t>0</w:t>
                  </w:r>
                  <w:r>
                    <w:rPr>
                      <w:szCs w:val="21"/>
                    </w:rPr>
                    <w:t>.59</w:t>
                  </w:r>
                </w:p>
              </w:tc>
            </w:tr>
            <w:tr>
              <w:tblPrEx>
                <w:tblBorders>
                  <w:top w:val="single" w:color="auto" w:sz="12" w:space="0"/>
                  <w:left w:val="none" w:color="auto" w:sz="0" w:space="0"/>
                  <w:bottom w:val="single" w:color="auto" w:sz="4"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0" w:hRule="atLeast"/>
              </w:trPr>
              <w:tc>
                <w:tcPr>
                  <w:tcW w:w="2669" w:type="dxa"/>
                  <w:tcBorders>
                    <w:top w:val="single" w:color="auto" w:sz="4" w:space="0"/>
                    <w:bottom w:val="single" w:color="auto" w:sz="4" w:space="0"/>
                  </w:tcBorders>
                  <w:vAlign w:val="center"/>
                </w:tcPr>
                <w:p>
                  <w:pPr>
                    <w:jc w:val="center"/>
                    <w:rPr>
                      <w:szCs w:val="21"/>
                    </w:rPr>
                  </w:pPr>
                  <w:r>
                    <w:rPr>
                      <w:rFonts w:hint="eastAsia"/>
                      <w:szCs w:val="21"/>
                    </w:rPr>
                    <w:t>粪大肠菌群数</w:t>
                  </w:r>
                </w:p>
              </w:tc>
              <w:tc>
                <w:tcPr>
                  <w:tcW w:w="2671" w:type="dxa"/>
                  <w:tcBorders>
                    <w:top w:val="single" w:color="auto" w:sz="4" w:space="0"/>
                    <w:bottom w:val="single" w:color="auto" w:sz="4" w:space="0"/>
                  </w:tcBorders>
                  <w:vAlign w:val="center"/>
                </w:tcPr>
                <w:p>
                  <w:pPr>
                    <w:jc w:val="center"/>
                    <w:rPr>
                      <w:szCs w:val="21"/>
                    </w:rPr>
                  </w:pPr>
                  <w:r>
                    <w:rPr>
                      <w:rFonts w:hint="eastAsia"/>
                      <w:szCs w:val="21"/>
                    </w:rPr>
                    <w:t>-</w:t>
                  </w:r>
                </w:p>
              </w:tc>
              <w:tc>
                <w:tcPr>
                  <w:tcW w:w="2671" w:type="dxa"/>
                  <w:tcBorders>
                    <w:top w:val="single" w:color="auto" w:sz="4" w:space="0"/>
                    <w:bottom w:val="single" w:color="auto" w:sz="4" w:space="0"/>
                  </w:tcBorders>
                  <w:vAlign w:val="center"/>
                </w:tcPr>
                <w:p>
                  <w:pPr>
                    <w:pStyle w:val="28"/>
                    <w:spacing w:before="31" w:after="31"/>
                    <w:rPr>
                      <w:bCs/>
                      <w:spacing w:val="-10"/>
                      <w:szCs w:val="21"/>
                    </w:rPr>
                  </w:pPr>
                  <w:r>
                    <w:rPr>
                      <w:bCs/>
                      <w:spacing w:val="-10"/>
                      <w:szCs w:val="21"/>
                    </w:rPr>
                    <w:t xml:space="preserve">45 </w:t>
                  </w:r>
                  <w:r>
                    <w:rPr>
                      <w:rFonts w:hint="eastAsia"/>
                      <w:bCs/>
                      <w:spacing w:val="-10"/>
                      <w:szCs w:val="21"/>
                    </w:rPr>
                    <w:t>MPN/L</w:t>
                  </w:r>
                </w:p>
              </w:tc>
            </w:tr>
            <w:tr>
              <w:tblPrEx>
                <w:tblBorders>
                  <w:top w:val="single" w:color="auto" w:sz="12" w:space="0"/>
                  <w:left w:val="none" w:color="auto" w:sz="0" w:space="0"/>
                  <w:bottom w:val="single" w:color="auto" w:sz="4"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0" w:hRule="atLeast"/>
              </w:trPr>
              <w:tc>
                <w:tcPr>
                  <w:tcW w:w="2669" w:type="dxa"/>
                  <w:tcBorders>
                    <w:top w:val="single" w:color="auto" w:sz="4" w:space="0"/>
                    <w:bottom w:val="single" w:color="auto" w:sz="12" w:space="0"/>
                  </w:tcBorders>
                  <w:vAlign w:val="center"/>
                </w:tcPr>
                <w:p>
                  <w:pPr>
                    <w:jc w:val="center"/>
                    <w:rPr>
                      <w:szCs w:val="21"/>
                    </w:rPr>
                  </w:pPr>
                  <w:r>
                    <w:rPr>
                      <w:bCs/>
                      <w:spacing w:val="-10"/>
                      <w:szCs w:val="21"/>
                    </w:rPr>
                    <w:t>结核杆菌</w:t>
                  </w:r>
                </w:p>
              </w:tc>
              <w:tc>
                <w:tcPr>
                  <w:tcW w:w="2671" w:type="dxa"/>
                  <w:tcBorders>
                    <w:top w:val="single" w:color="auto" w:sz="4" w:space="0"/>
                    <w:bottom w:val="single" w:color="auto" w:sz="12" w:space="0"/>
                  </w:tcBorders>
                  <w:vAlign w:val="center"/>
                </w:tcPr>
                <w:p>
                  <w:pPr>
                    <w:jc w:val="center"/>
                    <w:rPr>
                      <w:szCs w:val="21"/>
                    </w:rPr>
                  </w:pPr>
                  <w:r>
                    <w:rPr>
                      <w:rFonts w:hint="eastAsia"/>
                      <w:szCs w:val="21"/>
                    </w:rPr>
                    <w:t>未检出</w:t>
                  </w:r>
                </w:p>
              </w:tc>
              <w:tc>
                <w:tcPr>
                  <w:tcW w:w="2671" w:type="dxa"/>
                  <w:tcBorders>
                    <w:top w:val="single" w:color="auto" w:sz="4" w:space="0"/>
                    <w:bottom w:val="single" w:color="auto" w:sz="12" w:space="0"/>
                  </w:tcBorders>
                  <w:vAlign w:val="center"/>
                </w:tcPr>
                <w:p>
                  <w:pPr>
                    <w:jc w:val="center"/>
                    <w:rPr>
                      <w:szCs w:val="21"/>
                    </w:rPr>
                  </w:pPr>
                  <w:r>
                    <w:rPr>
                      <w:rFonts w:hint="eastAsia"/>
                      <w:bCs/>
                      <w:spacing w:val="-10"/>
                      <w:szCs w:val="21"/>
                    </w:rPr>
                    <w:t>-</w:t>
                  </w:r>
                </w:p>
              </w:tc>
            </w:tr>
          </w:tbl>
          <w:p>
            <w:pPr>
              <w:topLinePunct/>
              <w:adjustRightInd w:val="0"/>
              <w:snapToGrid w:val="0"/>
              <w:spacing w:line="360" w:lineRule="auto"/>
              <w:ind w:firstLine="480" w:firstLineChars="200"/>
              <w:rPr>
                <w:bCs/>
                <w:sz w:val="24"/>
              </w:rPr>
            </w:pPr>
            <w:r>
              <w:rPr>
                <w:rFonts w:hint="eastAsia"/>
                <w:bCs/>
                <w:sz w:val="24"/>
              </w:rPr>
              <w:t>由表2-</w:t>
            </w:r>
            <w:r>
              <w:rPr>
                <w:bCs/>
                <w:sz w:val="24"/>
              </w:rPr>
              <w:t>7</w:t>
            </w:r>
            <w:r>
              <w:rPr>
                <w:rFonts w:hint="eastAsia"/>
                <w:bCs/>
                <w:sz w:val="24"/>
              </w:rPr>
              <w:t>可知，原有工程废水经污水处理站处理后最终排水中SS、CODcr、BODs、氨氮均满足《医疗机构水污染物排放标准》（GB18466-2005）中预处理标准。</w:t>
            </w:r>
          </w:p>
          <w:p>
            <w:pPr>
              <w:pStyle w:val="4"/>
              <w:spacing w:before="0" w:after="0" w:line="360" w:lineRule="auto"/>
              <w:rPr>
                <w:rFonts w:eastAsia="宋体"/>
                <w:color w:val="auto"/>
                <w:kern w:val="2"/>
                <w:sz w:val="24"/>
                <w:szCs w:val="24"/>
              </w:rPr>
            </w:pPr>
            <w:r>
              <w:rPr>
                <w:rFonts w:hint="eastAsia" w:eastAsia="宋体"/>
                <w:color w:val="auto"/>
                <w:kern w:val="2"/>
                <w:sz w:val="24"/>
                <w:szCs w:val="24"/>
              </w:rPr>
              <w:t>2.3噪声排放情况</w:t>
            </w:r>
          </w:p>
          <w:p>
            <w:pPr>
              <w:topLinePunct/>
              <w:adjustRightInd w:val="0"/>
              <w:snapToGrid w:val="0"/>
              <w:spacing w:line="360" w:lineRule="auto"/>
              <w:ind w:firstLine="480" w:firstLineChars="200"/>
              <w:rPr>
                <w:bCs/>
                <w:sz w:val="24"/>
              </w:rPr>
            </w:pPr>
            <w:r>
              <w:rPr>
                <w:rFonts w:hint="eastAsia"/>
                <w:bCs/>
                <w:sz w:val="24"/>
              </w:rPr>
              <w:t>医院噪声设备均设在室内，主要设备有中央空调、鼓风机、水泵、电梯等高噪声设备。</w:t>
            </w:r>
            <w:r>
              <w:rPr>
                <w:rFonts w:ascii="宋体" w:hAnsi="宋体" w:cs="宋体"/>
                <w:kern w:val="0"/>
                <w:sz w:val="24"/>
                <w:lang w:bidi="ar"/>
              </w:rPr>
              <w:t>根据建设单位提供的资料和</w:t>
            </w:r>
            <w:r>
              <w:rPr>
                <w:rFonts w:hint="eastAsia"/>
                <w:bCs/>
                <w:sz w:val="24"/>
              </w:rPr>
              <w:t>昌吉州中医医院门诊病房综合楼建设项目竣工环境保护验收监测报告，正常运行时医院东、南、西、北侧噪声值昼间约为43.7~45.9dB(A)，夜间约为41.3～43.5dB(A)，噪声值可满足《声环境质量标准》（GB3096-2008）中2类标准。</w:t>
            </w:r>
          </w:p>
          <w:p>
            <w:pPr>
              <w:topLinePunct/>
              <w:adjustRightInd w:val="0"/>
              <w:snapToGrid w:val="0"/>
              <w:spacing w:line="360" w:lineRule="auto"/>
              <w:ind w:firstLine="480" w:firstLineChars="200"/>
              <w:rPr>
                <w:bCs/>
                <w:sz w:val="24"/>
              </w:rPr>
            </w:pPr>
            <w:r>
              <w:rPr>
                <w:rFonts w:hint="eastAsia"/>
                <w:bCs/>
                <w:sz w:val="24"/>
              </w:rPr>
              <w:t>柴油发电机、水泵设于地下负一层设备间，噪声经隔声、减振等处理后，对环境影响不大。</w:t>
            </w:r>
          </w:p>
          <w:p>
            <w:pPr>
              <w:pStyle w:val="4"/>
              <w:spacing w:before="0" w:after="0" w:line="360" w:lineRule="auto"/>
              <w:rPr>
                <w:rFonts w:eastAsia="宋体"/>
                <w:color w:val="auto"/>
                <w:kern w:val="2"/>
                <w:sz w:val="24"/>
                <w:szCs w:val="24"/>
              </w:rPr>
            </w:pPr>
            <w:r>
              <w:rPr>
                <w:rFonts w:hint="eastAsia" w:eastAsia="宋体"/>
                <w:color w:val="auto"/>
                <w:kern w:val="2"/>
                <w:sz w:val="24"/>
                <w:szCs w:val="24"/>
              </w:rPr>
              <w:t xml:space="preserve">2.4固体废物处置情况 </w:t>
            </w:r>
          </w:p>
          <w:p>
            <w:pPr>
              <w:topLinePunct/>
              <w:adjustRightInd w:val="0"/>
              <w:snapToGrid w:val="0"/>
              <w:spacing w:line="360" w:lineRule="auto"/>
              <w:ind w:firstLine="480" w:firstLineChars="200"/>
              <w:rPr>
                <w:bCs/>
                <w:sz w:val="24"/>
              </w:rPr>
            </w:pPr>
            <w:r>
              <w:rPr>
                <w:rFonts w:hint="eastAsia"/>
                <w:bCs/>
                <w:sz w:val="24"/>
              </w:rPr>
              <w:t>原有项目固体废物主要来自医务人员、住院病人及门诊病人产生的生活垃圾、医疗废物及污水处理站污泥等。</w:t>
            </w:r>
          </w:p>
          <w:p>
            <w:pPr>
              <w:topLinePunct/>
              <w:adjustRightInd w:val="0"/>
              <w:snapToGrid w:val="0"/>
              <w:spacing w:line="360" w:lineRule="auto"/>
              <w:ind w:firstLine="480" w:firstLineChars="200"/>
              <w:rPr>
                <w:bCs/>
                <w:sz w:val="24"/>
              </w:rPr>
            </w:pPr>
            <w:r>
              <w:rPr>
                <w:rFonts w:hint="eastAsia"/>
                <w:bCs/>
                <w:sz w:val="24"/>
              </w:rPr>
              <w:t>本项目原有工程固体废弃物处置情况见下表2-8。</w:t>
            </w:r>
          </w:p>
          <w:p>
            <w:pPr>
              <w:pStyle w:val="21"/>
              <w:ind w:firstLine="0" w:firstLineChars="0"/>
              <w:rPr>
                <w:rFonts w:hint="default" w:ascii="宋体" w:hAnsi="宋体" w:cs="宋体"/>
              </w:rPr>
            </w:pPr>
            <w:r>
              <w:rPr>
                <w:rFonts w:ascii="宋体" w:hAnsi="宋体" w:cs="宋体"/>
              </w:rPr>
              <w:t>表</w:t>
            </w:r>
            <w:r>
              <w:rPr>
                <w:rFonts w:cs="宋体"/>
              </w:rPr>
              <w:t>2</w:t>
            </w:r>
            <w:r>
              <w:rPr>
                <w:rFonts w:ascii="宋体" w:hAnsi="宋体" w:cs="宋体"/>
              </w:rPr>
              <w:t>-</w:t>
            </w:r>
            <w:r>
              <w:rPr>
                <w:rFonts w:cs="宋体"/>
              </w:rPr>
              <w:t xml:space="preserve">8  </w:t>
            </w:r>
            <w:r>
              <w:rPr>
                <w:rFonts w:ascii="宋体" w:hAnsi="宋体" w:cs="宋体"/>
              </w:rPr>
              <w:t>原有工程固体废弃物排放情况</w:t>
            </w:r>
          </w:p>
          <w:tbl>
            <w:tblPr>
              <w:tblStyle w:val="18"/>
              <w:tblW w:w="80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135"/>
              <w:gridCol w:w="1133"/>
              <w:gridCol w:w="40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0" w:type="pct"/>
                  <w:tcBorders>
                    <w:bottom w:val="single" w:color="auto" w:sz="12" w:space="0"/>
                  </w:tcBorders>
                  <w:vAlign w:val="center"/>
                </w:tcPr>
                <w:p>
                  <w:pPr>
                    <w:pStyle w:val="28"/>
                    <w:spacing w:beforeLines="0" w:afterLines="0" w:line="240" w:lineRule="auto"/>
                    <w:rPr>
                      <w:rFonts w:ascii="宋体" w:hAnsi="宋体" w:cs="宋体"/>
                      <w:b/>
                      <w:bCs/>
                      <w:szCs w:val="21"/>
                    </w:rPr>
                  </w:pPr>
                  <w:r>
                    <w:rPr>
                      <w:rFonts w:hint="eastAsia" w:ascii="宋体" w:hAnsi="宋体" w:cs="宋体"/>
                      <w:b/>
                      <w:bCs/>
                      <w:szCs w:val="21"/>
                    </w:rPr>
                    <w:t>固废名称</w:t>
                  </w:r>
                </w:p>
              </w:tc>
              <w:tc>
                <w:tcPr>
                  <w:tcW w:w="704" w:type="pct"/>
                  <w:tcBorders>
                    <w:bottom w:val="single" w:color="auto" w:sz="12" w:space="0"/>
                  </w:tcBorders>
                  <w:vAlign w:val="center"/>
                </w:tcPr>
                <w:p>
                  <w:pPr>
                    <w:pStyle w:val="28"/>
                    <w:spacing w:beforeLines="0" w:afterLines="0" w:line="240" w:lineRule="auto"/>
                    <w:rPr>
                      <w:rFonts w:ascii="宋体" w:hAnsi="宋体" w:cs="宋体"/>
                      <w:b/>
                      <w:bCs/>
                      <w:szCs w:val="21"/>
                    </w:rPr>
                  </w:pPr>
                  <w:r>
                    <w:rPr>
                      <w:rFonts w:hint="eastAsia" w:ascii="宋体" w:hAnsi="宋体" w:cs="宋体"/>
                      <w:b/>
                      <w:bCs/>
                      <w:szCs w:val="21"/>
                    </w:rPr>
                    <w:t>类别</w:t>
                  </w:r>
                </w:p>
              </w:tc>
              <w:tc>
                <w:tcPr>
                  <w:tcW w:w="703" w:type="pct"/>
                  <w:tcBorders>
                    <w:bottom w:val="single" w:color="auto" w:sz="12" w:space="0"/>
                  </w:tcBorders>
                  <w:vAlign w:val="center"/>
                </w:tcPr>
                <w:p>
                  <w:pPr>
                    <w:pStyle w:val="28"/>
                    <w:spacing w:beforeLines="0" w:afterLines="0" w:line="240" w:lineRule="auto"/>
                    <w:rPr>
                      <w:rFonts w:ascii="宋体" w:hAnsi="宋体" w:cs="宋体"/>
                      <w:b/>
                      <w:bCs/>
                      <w:szCs w:val="21"/>
                    </w:rPr>
                  </w:pPr>
                  <w:r>
                    <w:rPr>
                      <w:rFonts w:hint="eastAsia" w:ascii="宋体" w:hAnsi="宋体" w:cs="宋体"/>
                      <w:b/>
                      <w:bCs/>
                      <w:szCs w:val="21"/>
                    </w:rPr>
                    <w:t>产生量</w:t>
                  </w:r>
                </w:p>
              </w:tc>
              <w:tc>
                <w:tcPr>
                  <w:tcW w:w="2523" w:type="pct"/>
                  <w:tcBorders>
                    <w:bottom w:val="single" w:color="auto" w:sz="12" w:space="0"/>
                  </w:tcBorders>
                  <w:vAlign w:val="center"/>
                </w:tcPr>
                <w:p>
                  <w:pPr>
                    <w:pStyle w:val="28"/>
                    <w:spacing w:beforeLines="0" w:afterLines="0" w:line="240" w:lineRule="auto"/>
                    <w:rPr>
                      <w:rFonts w:ascii="宋体" w:hAnsi="宋体" w:cs="宋体"/>
                      <w:b/>
                      <w:bCs/>
                      <w:szCs w:val="21"/>
                    </w:rPr>
                  </w:pPr>
                  <w:r>
                    <w:rPr>
                      <w:rFonts w:hint="eastAsia" w:ascii="宋体" w:hAnsi="宋体" w:cs="宋体"/>
                      <w:b/>
                      <w:bCs/>
                      <w:szCs w:val="21"/>
                    </w:rPr>
                    <w:t>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0"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hint="eastAsia" w:ascii="宋体" w:hAnsi="宋体" w:cs="宋体"/>
                      <w:szCs w:val="21"/>
                    </w:rPr>
                    <w:t>生活垃圾</w:t>
                  </w:r>
                </w:p>
              </w:tc>
              <w:tc>
                <w:tcPr>
                  <w:tcW w:w="704"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hint="eastAsia" w:ascii="宋体" w:hAnsi="宋体" w:cs="宋体"/>
                      <w:szCs w:val="21"/>
                    </w:rPr>
                    <w:t>生活垃圾</w:t>
                  </w:r>
                </w:p>
              </w:tc>
              <w:tc>
                <w:tcPr>
                  <w:tcW w:w="703" w:type="pct"/>
                  <w:tcBorders>
                    <w:top w:val="single" w:color="auto" w:sz="4" w:space="0"/>
                    <w:bottom w:val="single" w:color="auto" w:sz="4" w:space="0"/>
                  </w:tcBorders>
                  <w:vAlign w:val="center"/>
                </w:tcPr>
                <w:p>
                  <w:pPr>
                    <w:widowControl/>
                    <w:jc w:val="center"/>
                    <w:rPr>
                      <w:rFonts w:ascii="宋体" w:hAnsi="宋体" w:cs="宋体"/>
                      <w:szCs w:val="21"/>
                    </w:rPr>
                  </w:pPr>
                  <w:r>
                    <w:rPr>
                      <w:rFonts w:cs="宋体"/>
                      <w:kern w:val="0"/>
                      <w:szCs w:val="21"/>
                      <w:lang w:bidi="ar"/>
                    </w:rPr>
                    <w:t xml:space="preserve">335.5 </w:t>
                  </w:r>
                  <w:r>
                    <w:rPr>
                      <w:rFonts w:hint="eastAsia" w:cs="宋体"/>
                      <w:kern w:val="0"/>
                      <w:szCs w:val="21"/>
                      <w:lang w:bidi="ar"/>
                    </w:rPr>
                    <w:t>t/a</w:t>
                  </w:r>
                </w:p>
              </w:tc>
              <w:tc>
                <w:tcPr>
                  <w:tcW w:w="2523"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hint="eastAsia" w:ascii="宋体" w:hAnsi="宋体" w:cs="宋体"/>
                      <w:szCs w:val="21"/>
                    </w:rPr>
                    <w:t>环卫部门统一收集，及时清运至昌吉市城市生活垃圾综合处理有限公司填埋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0"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hint="eastAsia" w:ascii="宋体" w:hAnsi="宋体" w:cs="宋体"/>
                      <w:szCs w:val="21"/>
                    </w:rPr>
                    <w:t>废弃包装物</w:t>
                  </w:r>
                </w:p>
              </w:tc>
              <w:tc>
                <w:tcPr>
                  <w:tcW w:w="704"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hint="eastAsia" w:ascii="宋体" w:hAnsi="宋体" w:cs="宋体"/>
                      <w:szCs w:val="21"/>
                    </w:rPr>
                    <w:t>一般固废</w:t>
                  </w:r>
                </w:p>
              </w:tc>
              <w:tc>
                <w:tcPr>
                  <w:tcW w:w="703" w:type="pct"/>
                  <w:tcBorders>
                    <w:top w:val="single" w:color="auto" w:sz="4" w:space="0"/>
                    <w:bottom w:val="single" w:color="auto" w:sz="4" w:space="0"/>
                  </w:tcBorders>
                  <w:vAlign w:val="center"/>
                </w:tcPr>
                <w:p>
                  <w:pPr>
                    <w:widowControl/>
                    <w:jc w:val="center"/>
                    <w:rPr>
                      <w:rFonts w:cs="宋体"/>
                      <w:kern w:val="0"/>
                      <w:szCs w:val="21"/>
                      <w:lang w:bidi="ar"/>
                    </w:rPr>
                  </w:pPr>
                  <w:r>
                    <w:rPr>
                      <w:rFonts w:hint="eastAsia" w:cs="宋体"/>
                      <w:kern w:val="0"/>
                      <w:szCs w:val="21"/>
                      <w:lang w:bidi="ar"/>
                    </w:rPr>
                    <w:t>2</w:t>
                  </w:r>
                  <w:r>
                    <w:rPr>
                      <w:rFonts w:cs="宋体"/>
                      <w:kern w:val="0"/>
                      <w:szCs w:val="21"/>
                      <w:lang w:bidi="ar"/>
                    </w:rPr>
                    <w:t xml:space="preserve"> </w:t>
                  </w:r>
                  <w:r>
                    <w:rPr>
                      <w:rFonts w:hint="eastAsia" w:cs="宋体"/>
                      <w:kern w:val="0"/>
                      <w:szCs w:val="21"/>
                      <w:lang w:bidi="ar"/>
                    </w:rPr>
                    <w:t>t/a</w:t>
                  </w:r>
                </w:p>
              </w:tc>
              <w:tc>
                <w:tcPr>
                  <w:tcW w:w="2523"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hint="eastAsia" w:ascii="宋体" w:hAnsi="宋体" w:cs="宋体"/>
                      <w:szCs w:val="21"/>
                    </w:rPr>
                    <w:t>集中收集后同生活垃圾一起交由环卫部门处理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0"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hint="eastAsia" w:hAnsi="宋体" w:cs="宋体"/>
                      <w:szCs w:val="21"/>
                    </w:rPr>
                    <w:t>医疗固废</w:t>
                  </w:r>
                </w:p>
              </w:tc>
              <w:tc>
                <w:tcPr>
                  <w:tcW w:w="704"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hint="eastAsia" w:ascii="宋体" w:hAnsi="宋体" w:cs="宋体"/>
                      <w:szCs w:val="21"/>
                    </w:rPr>
                    <w:t>危险废物</w:t>
                  </w:r>
                </w:p>
              </w:tc>
              <w:tc>
                <w:tcPr>
                  <w:tcW w:w="703" w:type="pct"/>
                  <w:tcBorders>
                    <w:top w:val="single" w:color="auto" w:sz="4" w:space="0"/>
                    <w:bottom w:val="single" w:color="auto" w:sz="4" w:space="0"/>
                  </w:tcBorders>
                  <w:vAlign w:val="center"/>
                </w:tcPr>
                <w:p>
                  <w:pPr>
                    <w:pStyle w:val="28"/>
                    <w:spacing w:beforeLines="0" w:afterLines="0" w:line="240" w:lineRule="auto"/>
                    <w:rPr>
                      <w:rFonts w:ascii="宋体" w:hAnsi="宋体" w:cs="宋体"/>
                      <w:szCs w:val="21"/>
                    </w:rPr>
                  </w:pPr>
                  <w:r>
                    <w:rPr>
                      <w:rFonts w:cs="宋体"/>
                      <w:szCs w:val="21"/>
                      <w:lang w:bidi="ar"/>
                    </w:rPr>
                    <w:t xml:space="preserve">74.5 </w:t>
                  </w:r>
                  <w:r>
                    <w:rPr>
                      <w:rFonts w:hint="eastAsia" w:cs="宋体"/>
                      <w:szCs w:val="21"/>
                      <w:lang w:bidi="ar"/>
                    </w:rPr>
                    <w:t>t/a</w:t>
                  </w:r>
                </w:p>
              </w:tc>
              <w:tc>
                <w:tcPr>
                  <w:tcW w:w="2523" w:type="pct"/>
                  <w:tcBorders>
                    <w:top w:val="single" w:color="auto" w:sz="4" w:space="0"/>
                    <w:bottom w:val="single" w:color="auto" w:sz="4" w:space="0"/>
                  </w:tcBorders>
                  <w:vAlign w:val="center"/>
                </w:tcPr>
                <w:p>
                  <w:pPr>
                    <w:widowControl/>
                    <w:jc w:val="center"/>
                    <w:rPr>
                      <w:rFonts w:ascii="宋体" w:hAnsi="宋体" w:cs="宋体"/>
                      <w:szCs w:val="21"/>
                    </w:rPr>
                  </w:pPr>
                  <w:r>
                    <w:rPr>
                      <w:rFonts w:hint="eastAsia" w:ascii="宋体" w:hAnsi="宋体" w:cs="宋体"/>
                      <w:szCs w:val="21"/>
                    </w:rPr>
                    <w:t>昌吉市城市生活垃圾综合处理有限公司医疗垃圾处理系统处理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0" w:type="pct"/>
                  <w:tcBorders>
                    <w:top w:val="single" w:color="auto" w:sz="4" w:space="0"/>
                  </w:tcBorders>
                  <w:vAlign w:val="center"/>
                </w:tcPr>
                <w:p>
                  <w:pPr>
                    <w:pStyle w:val="28"/>
                    <w:spacing w:beforeLines="0" w:afterLines="0" w:line="240" w:lineRule="auto"/>
                    <w:rPr>
                      <w:rFonts w:hAnsi="宋体" w:cs="宋体"/>
                      <w:szCs w:val="21"/>
                    </w:rPr>
                  </w:pPr>
                  <w:r>
                    <w:rPr>
                      <w:rFonts w:hint="eastAsia" w:hAnsi="宋体" w:cs="宋体"/>
                      <w:szCs w:val="21"/>
                    </w:rPr>
                    <w:t>污水处理站污泥</w:t>
                  </w:r>
                </w:p>
              </w:tc>
              <w:tc>
                <w:tcPr>
                  <w:tcW w:w="704" w:type="pct"/>
                  <w:tcBorders>
                    <w:top w:val="single" w:color="auto" w:sz="4" w:space="0"/>
                  </w:tcBorders>
                  <w:vAlign w:val="center"/>
                </w:tcPr>
                <w:p>
                  <w:pPr>
                    <w:pStyle w:val="28"/>
                    <w:spacing w:beforeLines="0" w:afterLines="0" w:line="240" w:lineRule="auto"/>
                    <w:rPr>
                      <w:rFonts w:ascii="宋体" w:hAnsi="宋体" w:cs="宋体"/>
                      <w:szCs w:val="21"/>
                    </w:rPr>
                  </w:pPr>
                  <w:r>
                    <w:rPr>
                      <w:rFonts w:hint="eastAsia" w:ascii="宋体" w:hAnsi="宋体" w:cs="宋体"/>
                      <w:szCs w:val="21"/>
                    </w:rPr>
                    <w:t>危险废物</w:t>
                  </w:r>
                </w:p>
              </w:tc>
              <w:tc>
                <w:tcPr>
                  <w:tcW w:w="703" w:type="pct"/>
                  <w:tcBorders>
                    <w:top w:val="single" w:color="auto" w:sz="4" w:space="0"/>
                  </w:tcBorders>
                  <w:vAlign w:val="center"/>
                </w:tcPr>
                <w:p>
                  <w:pPr>
                    <w:pStyle w:val="28"/>
                    <w:spacing w:beforeLines="0" w:afterLines="0" w:line="240" w:lineRule="auto"/>
                    <w:rPr>
                      <w:rFonts w:cs="宋体"/>
                      <w:szCs w:val="21"/>
                      <w:lang w:bidi="ar"/>
                    </w:rPr>
                  </w:pPr>
                  <w:r>
                    <w:rPr>
                      <w:rFonts w:hint="eastAsia" w:cs="宋体"/>
                      <w:szCs w:val="21"/>
                      <w:lang w:bidi="ar"/>
                    </w:rPr>
                    <w:t>4</w:t>
                  </w:r>
                  <w:r>
                    <w:rPr>
                      <w:rFonts w:cs="宋体"/>
                      <w:szCs w:val="21"/>
                      <w:lang w:bidi="ar"/>
                    </w:rPr>
                    <w:t>0.2</w:t>
                  </w:r>
                  <w:r>
                    <w:rPr>
                      <w:rFonts w:hint="eastAsia" w:cs="宋体"/>
                      <w:szCs w:val="21"/>
                      <w:lang w:bidi="ar"/>
                    </w:rPr>
                    <w:t xml:space="preserve"> t/a</w:t>
                  </w:r>
                </w:p>
              </w:tc>
              <w:tc>
                <w:tcPr>
                  <w:tcW w:w="2523" w:type="pct"/>
                  <w:tcBorders>
                    <w:top w:val="single" w:color="auto" w:sz="4" w:space="0"/>
                  </w:tcBorders>
                  <w:vAlign w:val="center"/>
                </w:tcPr>
                <w:p>
                  <w:pPr>
                    <w:widowControl/>
                    <w:jc w:val="center"/>
                    <w:rPr>
                      <w:rFonts w:ascii="宋体" w:hAnsi="宋体" w:cs="宋体"/>
                      <w:szCs w:val="21"/>
                    </w:rPr>
                  </w:pPr>
                  <w:r>
                    <w:rPr>
                      <w:rFonts w:hint="eastAsia" w:ascii="宋体" w:hAnsi="宋体" w:cs="宋体"/>
                      <w:szCs w:val="21"/>
                    </w:rPr>
                    <w:t>送交具有危废处置资质单位处置</w:t>
                  </w:r>
                </w:p>
              </w:tc>
            </w:tr>
          </w:tbl>
          <w:p>
            <w:pPr>
              <w:widowControl/>
              <w:spacing w:line="360" w:lineRule="auto"/>
              <w:jc w:val="left"/>
              <w:rPr>
                <w:rFonts w:ascii="宋体" w:hAnsi="宋体" w:cs="宋体"/>
                <w:sz w:val="24"/>
              </w:rPr>
            </w:pPr>
            <w:r>
              <w:rPr>
                <w:rFonts w:hint="eastAsia" w:cs="宋体"/>
                <w:b/>
                <w:kern w:val="0"/>
                <w:sz w:val="24"/>
                <w:lang w:bidi="ar"/>
              </w:rPr>
              <w:t>3.</w:t>
            </w:r>
            <w:r>
              <w:rPr>
                <w:rFonts w:hint="eastAsia" w:ascii="宋体" w:hAnsi="宋体" w:cs="宋体"/>
                <w:b/>
                <w:kern w:val="0"/>
                <w:sz w:val="24"/>
                <w:lang w:bidi="ar"/>
              </w:rPr>
              <w:t>目前存在的环境问题</w:t>
            </w:r>
          </w:p>
          <w:p>
            <w:pPr>
              <w:pStyle w:val="22"/>
              <w:spacing w:line="360" w:lineRule="auto"/>
              <w:ind w:firstLine="482" w:firstLineChars="200"/>
              <w:rPr>
                <w:b/>
                <w:bCs/>
                <w:color w:val="auto"/>
              </w:rPr>
            </w:pPr>
            <w:r>
              <w:rPr>
                <w:rFonts w:hint="eastAsia" w:hAnsi="宋体"/>
                <w:b/>
                <w:bCs/>
                <w:color w:val="auto"/>
              </w:rPr>
              <w:t>根据现场踏勘，本项目存在以下问题</w:t>
            </w:r>
            <w:r>
              <w:rPr>
                <w:rFonts w:hint="eastAsia"/>
                <w:b/>
                <w:bCs/>
                <w:color w:val="auto"/>
              </w:rPr>
              <w:t>：</w:t>
            </w:r>
          </w:p>
          <w:p>
            <w:pPr>
              <w:spacing w:line="360" w:lineRule="auto"/>
              <w:ind w:firstLine="480" w:firstLineChars="200"/>
            </w:pPr>
            <w:r>
              <w:rPr>
                <w:rFonts w:hint="eastAsia"/>
                <w:bCs/>
                <w:sz w:val="24"/>
              </w:rPr>
              <w:t>昌吉州中医医院暂未对《昌吉回族自治州中医医院内科综合楼及全科医生培训基地项目》进行竣工环境保护验收。</w:t>
            </w:r>
          </w:p>
          <w:p>
            <w:pPr>
              <w:adjustRightInd w:val="0"/>
              <w:snapToGrid w:val="0"/>
              <w:spacing w:line="360" w:lineRule="auto"/>
              <w:ind w:firstLine="482" w:firstLineChars="200"/>
            </w:pPr>
            <w:r>
              <w:rPr>
                <w:rFonts w:hint="eastAsia" w:ascii="宋体" w:hAnsi="宋体"/>
                <w:b/>
                <w:sz w:val="24"/>
              </w:rPr>
              <w:t>整改措施：</w:t>
            </w:r>
          </w:p>
          <w:p>
            <w:pPr>
              <w:topLinePunct/>
              <w:adjustRightInd w:val="0"/>
              <w:snapToGrid w:val="0"/>
              <w:spacing w:line="360" w:lineRule="auto"/>
              <w:ind w:firstLine="480" w:firstLineChars="200"/>
              <w:rPr>
                <w:bCs/>
                <w:sz w:val="24"/>
              </w:rPr>
            </w:pPr>
            <w:r>
              <w:rPr>
                <w:rFonts w:hint="eastAsia"/>
                <w:bCs/>
                <w:sz w:val="24"/>
              </w:rPr>
              <w:t>根据《建设项目环境保护管理条例》、《建设项目竣工环境保护验收暂行办法》及《建设项目竣工环境保护验收技术规范》的规定，企业需自行或委托编制验收报告，并成立验收工作组自行进行验收工作。</w:t>
            </w:r>
          </w:p>
          <w:p>
            <w:pPr>
              <w:pStyle w:val="2"/>
              <w:rPr>
                <w:bCs/>
                <w:sz w:val="24"/>
                <w:szCs w:val="24"/>
              </w:rPr>
            </w:pPr>
          </w:p>
          <w:p>
            <w:pPr>
              <w:pStyle w:val="3"/>
            </w:pPr>
          </w:p>
          <w:p>
            <w:pPr>
              <w:topLinePunct/>
              <w:adjustRightInd w:val="0"/>
              <w:snapToGrid w:val="0"/>
              <w:spacing w:line="360" w:lineRule="auto"/>
              <w:ind w:firstLine="420" w:firstLineChars="200"/>
              <w:rPr>
                <w:highlight w:val="yellow"/>
              </w:rPr>
            </w:pPr>
          </w:p>
        </w:tc>
      </w:tr>
    </w:tbl>
    <w:p>
      <w:pPr>
        <w:pStyle w:val="1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br w:type="page"/>
      </w:r>
      <w:r>
        <w:rPr>
          <w:rFonts w:hint="eastAsia" w:ascii="黑体" w:hAnsi="黑体" w:eastAsia="黑体"/>
          <w:snapToGrid w:val="0"/>
          <w:sz w:val="30"/>
          <w:szCs w:val="30"/>
        </w:rPr>
        <w:t>三、区域环境质量现状、环境保护目标及评价标准</w:t>
      </w:r>
    </w:p>
    <w:tbl>
      <w:tblPr>
        <w:tblStyle w:val="17"/>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6" w:hRule="atLeast"/>
          <w:jc w:val="center"/>
        </w:trPr>
        <w:tc>
          <w:tcPr>
            <w:tcW w:w="750" w:type="dxa"/>
            <w:vAlign w:val="center"/>
          </w:tcPr>
          <w:p>
            <w:pPr>
              <w:adjustRightInd w:val="0"/>
              <w:snapToGrid w:val="0"/>
              <w:jc w:val="center"/>
              <w:rPr>
                <w:kern w:val="0"/>
                <w:sz w:val="24"/>
              </w:rPr>
            </w:pPr>
            <w:r>
              <w:rPr>
                <w:kern w:val="0"/>
                <w:sz w:val="24"/>
              </w:rPr>
              <w:t>区域</w:t>
            </w:r>
          </w:p>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质量</w:t>
            </w:r>
          </w:p>
          <w:p>
            <w:pPr>
              <w:adjustRightInd w:val="0"/>
              <w:snapToGrid w:val="0"/>
              <w:jc w:val="center"/>
              <w:rPr>
                <w:color w:val="0000FF"/>
                <w:kern w:val="0"/>
                <w:sz w:val="24"/>
                <w:highlight w:val="yellow"/>
              </w:rPr>
            </w:pPr>
            <w:r>
              <w:rPr>
                <w:kern w:val="0"/>
                <w:sz w:val="24"/>
              </w:rPr>
              <w:t>现状</w:t>
            </w:r>
          </w:p>
        </w:tc>
        <w:tc>
          <w:tcPr>
            <w:tcW w:w="8311" w:type="dxa"/>
            <w:vAlign w:val="center"/>
          </w:tcPr>
          <w:p>
            <w:pPr>
              <w:adjustRightInd w:val="0"/>
              <w:snapToGrid w:val="0"/>
              <w:spacing w:line="360" w:lineRule="auto"/>
              <w:jc w:val="left"/>
              <w:rPr>
                <w:b/>
                <w:bCs/>
                <w:sz w:val="24"/>
              </w:rPr>
            </w:pPr>
            <w:r>
              <w:rPr>
                <w:b/>
                <w:color w:val="000000"/>
                <w:sz w:val="24"/>
              </w:rPr>
              <w:t>1.大气环境</w:t>
            </w:r>
          </w:p>
          <w:p>
            <w:pPr>
              <w:pStyle w:val="22"/>
              <w:spacing w:line="360" w:lineRule="auto"/>
              <w:rPr>
                <w:rFonts w:ascii="Times New Roman" w:cs="Times New Roman"/>
                <w:b/>
                <w:bCs/>
                <w:color w:val="auto"/>
              </w:rPr>
            </w:pPr>
            <w:r>
              <w:rPr>
                <w:rFonts w:hint="eastAsia" w:ascii="Times New Roman" w:cs="Times New Roman"/>
                <w:b/>
                <w:bCs/>
                <w:color w:val="auto"/>
              </w:rPr>
              <w:t>1.1</w:t>
            </w:r>
            <w:r>
              <w:rPr>
                <w:rFonts w:ascii="Times New Roman" w:cs="Times New Roman"/>
                <w:b/>
                <w:bCs/>
                <w:color w:val="auto"/>
              </w:rPr>
              <w:t>项目所在区域达标判定</w:t>
            </w:r>
          </w:p>
          <w:p>
            <w:pPr>
              <w:pStyle w:val="22"/>
              <w:spacing w:line="360" w:lineRule="auto"/>
              <w:ind w:firstLine="480" w:firstLineChars="200"/>
              <w:jc w:val="both"/>
              <w:rPr>
                <w:rFonts w:ascii="Times New Roman" w:cs="Times New Roman"/>
                <w:color w:val="auto"/>
              </w:rPr>
            </w:pPr>
            <w:r>
              <w:rPr>
                <w:rFonts w:ascii="Times New Roman" w:cs="Times New Roman"/>
                <w:color w:val="auto"/>
              </w:rPr>
              <w:t>《环境影响评价技术导则大气环境》（HJ2.2-2018）规定：“城市环境空气质量达标情况评价指标为SO</w:t>
            </w:r>
            <w:r>
              <w:rPr>
                <w:rFonts w:ascii="Times New Roman" w:cs="Times New Roman"/>
                <w:color w:val="auto"/>
                <w:vertAlign w:val="subscript"/>
              </w:rPr>
              <w:t>2</w:t>
            </w:r>
            <w:r>
              <w:rPr>
                <w:rFonts w:ascii="Times New Roman" w:cs="Times New Roman"/>
                <w:color w:val="auto"/>
              </w:rPr>
              <w:t>、NO</w:t>
            </w:r>
            <w:r>
              <w:rPr>
                <w:rFonts w:ascii="Times New Roman" w:cs="Times New Roman"/>
                <w:color w:val="auto"/>
                <w:vertAlign w:val="subscript"/>
              </w:rPr>
              <w:t>2</w:t>
            </w:r>
            <w:r>
              <w:rPr>
                <w:rFonts w:ascii="Times New Roman" w:cs="Times New Roman"/>
                <w:color w:val="auto"/>
              </w:rPr>
              <w:t>、PM</w:t>
            </w:r>
            <w:r>
              <w:rPr>
                <w:rFonts w:ascii="Times New Roman" w:cs="Times New Roman"/>
                <w:color w:val="auto"/>
                <w:vertAlign w:val="subscript"/>
              </w:rPr>
              <w:t>10</w:t>
            </w:r>
            <w:r>
              <w:rPr>
                <w:rFonts w:ascii="Times New Roman" w:cs="Times New Roman"/>
                <w:color w:val="auto"/>
              </w:rPr>
              <w:t>、PM</w:t>
            </w:r>
            <w:r>
              <w:rPr>
                <w:rFonts w:ascii="Times New Roman" w:cs="Times New Roman"/>
                <w:color w:val="auto"/>
                <w:vertAlign w:val="subscript"/>
              </w:rPr>
              <w:t>2.5</w:t>
            </w:r>
            <w:r>
              <w:rPr>
                <w:rFonts w:ascii="Times New Roman" w:cs="Times New Roman"/>
                <w:color w:val="auto"/>
              </w:rPr>
              <w:t>、CO和O</w:t>
            </w:r>
            <w:r>
              <w:rPr>
                <w:rFonts w:ascii="Times New Roman" w:cs="Times New Roman"/>
                <w:color w:val="auto"/>
                <w:vertAlign w:val="subscript"/>
              </w:rPr>
              <w:t>3</w:t>
            </w:r>
            <w:r>
              <w:rPr>
                <w:rFonts w:ascii="Times New Roman" w:cs="Times New Roman"/>
                <w:color w:val="auto"/>
              </w:rPr>
              <w:t>，六项污染物全部达标即为城市环境空气质量达标”</w:t>
            </w:r>
            <w:r>
              <w:rPr>
                <w:rFonts w:hint="eastAsia" w:ascii="Times New Roman" w:cs="Times New Roman"/>
                <w:color w:val="auto"/>
              </w:rPr>
              <w:t>。</w:t>
            </w:r>
          </w:p>
          <w:p>
            <w:pPr>
              <w:pStyle w:val="22"/>
              <w:spacing w:line="360" w:lineRule="auto"/>
              <w:rPr>
                <w:rFonts w:ascii="Times New Roman" w:cs="Times New Roman"/>
                <w:b/>
                <w:bCs/>
                <w:color w:val="auto"/>
              </w:rPr>
            </w:pPr>
            <w:r>
              <w:rPr>
                <w:rFonts w:hint="eastAsia" w:ascii="Times New Roman" w:cs="Times New Roman"/>
                <w:b/>
                <w:bCs/>
                <w:color w:val="auto"/>
              </w:rPr>
              <w:t>1.2</w:t>
            </w:r>
            <w:r>
              <w:rPr>
                <w:rFonts w:ascii="Times New Roman" w:cs="Times New Roman"/>
                <w:b/>
                <w:bCs/>
                <w:color w:val="auto"/>
              </w:rPr>
              <w:t>数据来源</w:t>
            </w:r>
          </w:p>
          <w:p>
            <w:pPr>
              <w:pStyle w:val="22"/>
              <w:spacing w:line="360" w:lineRule="auto"/>
              <w:ind w:firstLine="480" w:firstLineChars="200"/>
              <w:jc w:val="both"/>
              <w:rPr>
                <w:rFonts w:ascii="Times New Roman" w:cs="Times New Roman"/>
                <w:color w:val="auto"/>
              </w:rPr>
            </w:pPr>
            <w:r>
              <w:rPr>
                <w:rFonts w:ascii="Times New Roman" w:cs="Times New Roman"/>
                <w:color w:val="auto"/>
              </w:rPr>
              <w:t>本项目位于新疆昌吉回族自治州昌吉市建国西路110号昌吉州中医医院内，根据《环境影响评价技术导则 大气环境》（HJ2.2-2018）要求，</w:t>
            </w:r>
            <w:r>
              <w:rPr>
                <w:color w:val="auto"/>
              </w:rPr>
              <w:t>选取距离本项目最近的昌吉州</w:t>
            </w:r>
            <w:r>
              <w:rPr>
                <w:rFonts w:hint="eastAsia" w:ascii="Times New Roman"/>
                <w:color w:val="auto"/>
              </w:rPr>
              <w:t>2020</w:t>
            </w:r>
            <w:r>
              <w:rPr>
                <w:color w:val="auto"/>
              </w:rPr>
              <w:t>基准年连续</w:t>
            </w:r>
            <w:r>
              <w:rPr>
                <w:rFonts w:ascii="Times New Roman"/>
                <w:color w:val="auto"/>
              </w:rPr>
              <w:t>1</w:t>
            </w:r>
            <w:r>
              <w:rPr>
                <w:color w:val="auto"/>
              </w:rPr>
              <w:t>年的监测数据</w:t>
            </w:r>
            <w:r>
              <w:rPr>
                <w:rFonts w:ascii="Times New Roman" w:cs="Times New Roman"/>
                <w:color w:val="auto"/>
              </w:rPr>
              <w:t>，基本污染物包括SO</w:t>
            </w:r>
            <w:r>
              <w:rPr>
                <w:rFonts w:ascii="Times New Roman" w:cs="Times New Roman"/>
                <w:color w:val="auto"/>
                <w:vertAlign w:val="subscript"/>
              </w:rPr>
              <w:t>2</w:t>
            </w:r>
            <w:r>
              <w:rPr>
                <w:rFonts w:ascii="Times New Roman" w:cs="Times New Roman"/>
                <w:color w:val="auto"/>
              </w:rPr>
              <w:t>、NO</w:t>
            </w:r>
            <w:r>
              <w:rPr>
                <w:rFonts w:ascii="Times New Roman" w:cs="Times New Roman"/>
                <w:color w:val="auto"/>
                <w:vertAlign w:val="subscript"/>
              </w:rPr>
              <w:t>2</w:t>
            </w:r>
            <w:r>
              <w:rPr>
                <w:rFonts w:ascii="Times New Roman" w:cs="Times New Roman"/>
                <w:color w:val="auto"/>
              </w:rPr>
              <w:t>、PM</w:t>
            </w:r>
            <w:r>
              <w:rPr>
                <w:rFonts w:ascii="Times New Roman" w:cs="Times New Roman"/>
                <w:color w:val="auto"/>
                <w:vertAlign w:val="subscript"/>
              </w:rPr>
              <w:t>10</w:t>
            </w:r>
            <w:r>
              <w:rPr>
                <w:rFonts w:ascii="Times New Roman" w:cs="Times New Roman"/>
                <w:color w:val="auto"/>
              </w:rPr>
              <w:t>、PM</w:t>
            </w:r>
            <w:r>
              <w:rPr>
                <w:rFonts w:ascii="Times New Roman" w:cs="Times New Roman"/>
                <w:color w:val="auto"/>
                <w:vertAlign w:val="subscript"/>
              </w:rPr>
              <w:t>2.5</w:t>
            </w:r>
            <w:r>
              <w:rPr>
                <w:rFonts w:ascii="Times New Roman" w:cs="Times New Roman"/>
                <w:color w:val="auto"/>
              </w:rPr>
              <w:t>、CO和O</w:t>
            </w:r>
            <w:r>
              <w:rPr>
                <w:rFonts w:ascii="Times New Roman" w:cs="Times New Roman"/>
                <w:color w:val="auto"/>
                <w:vertAlign w:val="subscript"/>
              </w:rPr>
              <w:t>3</w:t>
            </w:r>
            <w:r>
              <w:rPr>
                <w:rFonts w:ascii="Times New Roman" w:cs="Times New Roman"/>
                <w:color w:val="auto"/>
              </w:rPr>
              <w:t>，进行所在区域环境空气达标判定和区域各污染物的环境质量现状评价。</w:t>
            </w:r>
          </w:p>
          <w:p>
            <w:pPr>
              <w:pStyle w:val="22"/>
              <w:spacing w:line="360" w:lineRule="auto"/>
              <w:rPr>
                <w:rFonts w:ascii="Times New Roman" w:cs="Times New Roman"/>
                <w:b/>
                <w:bCs/>
                <w:color w:val="auto"/>
              </w:rPr>
            </w:pPr>
            <w:r>
              <w:rPr>
                <w:rFonts w:hint="eastAsia" w:ascii="Times New Roman" w:cs="Times New Roman"/>
                <w:b/>
                <w:bCs/>
                <w:color w:val="auto"/>
              </w:rPr>
              <w:t>1.3</w:t>
            </w:r>
            <w:r>
              <w:rPr>
                <w:rFonts w:ascii="Times New Roman" w:cs="Times New Roman"/>
                <w:b/>
                <w:bCs/>
                <w:color w:val="auto"/>
              </w:rPr>
              <w:t>评价标准</w:t>
            </w:r>
          </w:p>
          <w:p>
            <w:pPr>
              <w:pStyle w:val="22"/>
              <w:spacing w:line="360" w:lineRule="auto"/>
              <w:ind w:firstLine="480" w:firstLineChars="200"/>
              <w:rPr>
                <w:rFonts w:ascii="Times New Roman" w:cs="Times New Roman"/>
                <w:color w:val="auto"/>
              </w:rPr>
            </w:pPr>
            <w:r>
              <w:rPr>
                <w:rFonts w:ascii="Times New Roman" w:cs="Times New Roman"/>
                <w:color w:val="auto"/>
              </w:rPr>
              <w:t>根据本项目所在区域的环境功能区划，基本污染物执行《环境空气质量标准》（GB3095-2012）中的二级标准。环境空气质量标准限值见表3-1。</w:t>
            </w:r>
          </w:p>
          <w:p>
            <w:pPr>
              <w:pStyle w:val="21"/>
              <w:ind w:firstLine="422"/>
              <w:rPr>
                <w:rFonts w:hint="default"/>
              </w:rPr>
            </w:pPr>
            <w:r>
              <w:rPr>
                <w:rFonts w:hint="default"/>
              </w:rPr>
              <w:t>表3-1　环境空气质量标准</w:t>
            </w:r>
          </w:p>
          <w:tbl>
            <w:tblPr>
              <w:tblStyle w:val="17"/>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23"/>
              <w:gridCol w:w="2242"/>
              <w:gridCol w:w="2242"/>
              <w:gridCol w:w="1098"/>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tcBorders>
                    <w:bottom w:val="single" w:color="000000" w:sz="12" w:space="0"/>
                  </w:tcBorders>
                  <w:vAlign w:val="center"/>
                </w:tcPr>
                <w:p>
                  <w:pPr>
                    <w:pStyle w:val="12"/>
                    <w:adjustRightInd w:val="0"/>
                    <w:snapToGrid w:val="0"/>
                    <w:jc w:val="center"/>
                    <w:rPr>
                      <w:b/>
                      <w:bCs/>
                      <w:sz w:val="21"/>
                      <w:szCs w:val="21"/>
                    </w:rPr>
                  </w:pPr>
                  <w:r>
                    <w:rPr>
                      <w:b/>
                      <w:bCs/>
                      <w:sz w:val="21"/>
                      <w:szCs w:val="21"/>
                    </w:rPr>
                    <w:t>序号</w:t>
                  </w:r>
                </w:p>
              </w:tc>
              <w:tc>
                <w:tcPr>
                  <w:tcW w:w="1126" w:type="pct"/>
                  <w:tcBorders>
                    <w:bottom w:val="single" w:color="000000" w:sz="12" w:space="0"/>
                  </w:tcBorders>
                  <w:vAlign w:val="center"/>
                </w:tcPr>
                <w:p>
                  <w:pPr>
                    <w:pStyle w:val="12"/>
                    <w:adjustRightInd w:val="0"/>
                    <w:snapToGrid w:val="0"/>
                    <w:jc w:val="center"/>
                    <w:rPr>
                      <w:b/>
                      <w:bCs/>
                      <w:sz w:val="21"/>
                      <w:szCs w:val="21"/>
                    </w:rPr>
                  </w:pPr>
                  <w:r>
                    <w:rPr>
                      <w:b/>
                      <w:bCs/>
                      <w:sz w:val="21"/>
                      <w:szCs w:val="21"/>
                    </w:rPr>
                    <w:t>污染物项目</w:t>
                  </w:r>
                </w:p>
              </w:tc>
              <w:tc>
                <w:tcPr>
                  <w:tcW w:w="1385" w:type="pct"/>
                  <w:tcBorders>
                    <w:bottom w:val="single" w:color="000000" w:sz="12" w:space="0"/>
                  </w:tcBorders>
                  <w:vAlign w:val="center"/>
                </w:tcPr>
                <w:p>
                  <w:pPr>
                    <w:pStyle w:val="12"/>
                    <w:adjustRightInd w:val="0"/>
                    <w:snapToGrid w:val="0"/>
                    <w:jc w:val="center"/>
                    <w:rPr>
                      <w:b/>
                      <w:bCs/>
                      <w:sz w:val="21"/>
                      <w:szCs w:val="21"/>
                    </w:rPr>
                  </w:pPr>
                  <w:r>
                    <w:rPr>
                      <w:b/>
                      <w:bCs/>
                      <w:sz w:val="21"/>
                      <w:szCs w:val="21"/>
                    </w:rPr>
                    <w:t>平均时间</w:t>
                  </w:r>
                </w:p>
              </w:tc>
              <w:tc>
                <w:tcPr>
                  <w:tcW w:w="1385" w:type="pct"/>
                  <w:tcBorders>
                    <w:bottom w:val="single" w:color="000000" w:sz="12" w:space="0"/>
                  </w:tcBorders>
                  <w:vAlign w:val="center"/>
                </w:tcPr>
                <w:p>
                  <w:pPr>
                    <w:pStyle w:val="12"/>
                    <w:adjustRightInd w:val="0"/>
                    <w:snapToGrid w:val="0"/>
                    <w:jc w:val="center"/>
                    <w:rPr>
                      <w:b/>
                      <w:bCs/>
                      <w:sz w:val="21"/>
                      <w:szCs w:val="21"/>
                    </w:rPr>
                  </w:pPr>
                  <w:r>
                    <w:rPr>
                      <w:b/>
                      <w:bCs/>
                      <w:sz w:val="21"/>
                      <w:szCs w:val="21"/>
                    </w:rPr>
                    <w:t>浓度限值</w:t>
                  </w:r>
                </w:p>
              </w:tc>
              <w:tc>
                <w:tcPr>
                  <w:tcW w:w="678" w:type="pct"/>
                  <w:tcBorders>
                    <w:bottom w:val="single" w:color="000000" w:sz="12" w:space="0"/>
                  </w:tcBorders>
                  <w:vAlign w:val="center"/>
                </w:tcPr>
                <w:p>
                  <w:pPr>
                    <w:pStyle w:val="12"/>
                    <w:adjustRightInd w:val="0"/>
                    <w:snapToGrid w:val="0"/>
                    <w:jc w:val="center"/>
                    <w:rPr>
                      <w:b/>
                      <w:bCs/>
                      <w:sz w:val="21"/>
                      <w:szCs w:val="21"/>
                    </w:rPr>
                  </w:pPr>
                  <w:r>
                    <w:rPr>
                      <w:b/>
                      <w:bCs/>
                      <w:sz w:val="21"/>
                      <w:szCs w:val="21"/>
                    </w:rPr>
                    <w:t>单位</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tcBorders>
                    <w:top w:val="single" w:color="000000" w:sz="12" w:space="0"/>
                  </w:tcBorders>
                  <w:vAlign w:val="center"/>
                </w:tcPr>
                <w:p>
                  <w:pPr>
                    <w:pStyle w:val="12"/>
                    <w:adjustRightInd w:val="0"/>
                    <w:snapToGrid w:val="0"/>
                    <w:jc w:val="center"/>
                    <w:rPr>
                      <w:bCs/>
                      <w:sz w:val="21"/>
                      <w:szCs w:val="21"/>
                    </w:rPr>
                  </w:pPr>
                  <w:r>
                    <w:rPr>
                      <w:bCs/>
                      <w:sz w:val="21"/>
                      <w:szCs w:val="21"/>
                    </w:rPr>
                    <w:t>1</w:t>
                  </w:r>
                </w:p>
              </w:tc>
              <w:tc>
                <w:tcPr>
                  <w:tcW w:w="1126" w:type="pct"/>
                  <w:vMerge w:val="restart"/>
                  <w:tcBorders>
                    <w:top w:val="single" w:color="000000" w:sz="12" w:space="0"/>
                  </w:tcBorders>
                  <w:vAlign w:val="center"/>
                </w:tcPr>
                <w:p>
                  <w:pPr>
                    <w:pStyle w:val="12"/>
                    <w:adjustRightInd w:val="0"/>
                    <w:snapToGrid w:val="0"/>
                    <w:jc w:val="center"/>
                    <w:rPr>
                      <w:bCs/>
                      <w:sz w:val="21"/>
                      <w:szCs w:val="21"/>
                    </w:rPr>
                  </w:pPr>
                  <w:r>
                    <w:rPr>
                      <w:bCs/>
                      <w:sz w:val="21"/>
                      <w:szCs w:val="21"/>
                    </w:rPr>
                    <w:t>SO</w:t>
                  </w:r>
                  <w:r>
                    <w:rPr>
                      <w:bCs/>
                      <w:sz w:val="21"/>
                      <w:szCs w:val="21"/>
                      <w:vertAlign w:val="subscript"/>
                    </w:rPr>
                    <w:t>2</w:t>
                  </w:r>
                </w:p>
              </w:tc>
              <w:tc>
                <w:tcPr>
                  <w:tcW w:w="1385" w:type="pct"/>
                  <w:tcBorders>
                    <w:top w:val="single" w:color="000000" w:sz="12" w:space="0"/>
                  </w:tcBorders>
                  <w:vAlign w:val="center"/>
                </w:tcPr>
                <w:p>
                  <w:pPr>
                    <w:pStyle w:val="12"/>
                    <w:adjustRightInd w:val="0"/>
                    <w:snapToGrid w:val="0"/>
                    <w:jc w:val="center"/>
                    <w:rPr>
                      <w:bCs/>
                      <w:sz w:val="21"/>
                      <w:szCs w:val="21"/>
                    </w:rPr>
                  </w:pPr>
                  <w:r>
                    <w:rPr>
                      <w:bCs/>
                      <w:sz w:val="21"/>
                      <w:szCs w:val="21"/>
                    </w:rPr>
                    <w:t>年平均</w:t>
                  </w:r>
                </w:p>
              </w:tc>
              <w:tc>
                <w:tcPr>
                  <w:tcW w:w="1385" w:type="pct"/>
                  <w:tcBorders>
                    <w:top w:val="single" w:color="000000" w:sz="12" w:space="0"/>
                  </w:tcBorders>
                  <w:vAlign w:val="center"/>
                </w:tcPr>
                <w:p>
                  <w:pPr>
                    <w:pStyle w:val="12"/>
                    <w:adjustRightInd w:val="0"/>
                    <w:snapToGrid w:val="0"/>
                    <w:jc w:val="center"/>
                    <w:rPr>
                      <w:bCs/>
                      <w:sz w:val="21"/>
                      <w:szCs w:val="21"/>
                    </w:rPr>
                  </w:pPr>
                  <w:r>
                    <w:rPr>
                      <w:bCs/>
                      <w:sz w:val="21"/>
                      <w:szCs w:val="21"/>
                    </w:rPr>
                    <w:t>60</w:t>
                  </w:r>
                </w:p>
              </w:tc>
              <w:tc>
                <w:tcPr>
                  <w:tcW w:w="678" w:type="pct"/>
                  <w:vMerge w:val="restart"/>
                  <w:tcBorders>
                    <w:top w:val="single" w:color="000000" w:sz="12" w:space="0"/>
                  </w:tcBorders>
                  <w:vAlign w:val="center"/>
                </w:tcPr>
                <w:p>
                  <w:pPr>
                    <w:pStyle w:val="12"/>
                    <w:adjustRightInd w:val="0"/>
                    <w:snapToGrid w:val="0"/>
                    <w:jc w:val="center"/>
                    <w:rPr>
                      <w:sz w:val="21"/>
                      <w:szCs w:val="21"/>
                    </w:rPr>
                  </w:pPr>
                  <w:r>
                    <w:rPr>
                      <w:sz w:val="21"/>
                      <w:szCs w:val="21"/>
                    </w:rPr>
                    <w:t>μg/m</w:t>
                  </w:r>
                  <w:r>
                    <w:rPr>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vAlign w:val="center"/>
                </w:tcPr>
                <w:p>
                  <w:pPr>
                    <w:pStyle w:val="12"/>
                    <w:adjustRightInd w:val="0"/>
                    <w:snapToGrid w:val="0"/>
                    <w:jc w:val="center"/>
                    <w:rPr>
                      <w:bCs/>
                      <w:sz w:val="21"/>
                      <w:szCs w:val="21"/>
                    </w:rPr>
                  </w:pPr>
                </w:p>
              </w:tc>
              <w:tc>
                <w:tcPr>
                  <w:tcW w:w="1126" w:type="pct"/>
                  <w:vMerge w:val="continue"/>
                  <w:vAlign w:val="center"/>
                </w:tcPr>
                <w:p>
                  <w:pPr>
                    <w:pStyle w:val="12"/>
                    <w:adjustRightInd w:val="0"/>
                    <w:snapToGrid w:val="0"/>
                    <w:jc w:val="center"/>
                    <w:rPr>
                      <w:bCs/>
                      <w:sz w:val="21"/>
                      <w:szCs w:val="21"/>
                    </w:rPr>
                  </w:pPr>
                </w:p>
              </w:tc>
              <w:tc>
                <w:tcPr>
                  <w:tcW w:w="1385" w:type="pct"/>
                  <w:vAlign w:val="center"/>
                </w:tcPr>
                <w:p>
                  <w:pPr>
                    <w:pStyle w:val="12"/>
                    <w:adjustRightInd w:val="0"/>
                    <w:snapToGrid w:val="0"/>
                    <w:jc w:val="center"/>
                    <w:rPr>
                      <w:bCs/>
                      <w:sz w:val="21"/>
                      <w:szCs w:val="21"/>
                    </w:rPr>
                  </w:pPr>
                  <w:r>
                    <w:rPr>
                      <w:bCs/>
                      <w:sz w:val="21"/>
                      <w:szCs w:val="21"/>
                    </w:rPr>
                    <w:t>24小时平均</w:t>
                  </w:r>
                </w:p>
              </w:tc>
              <w:tc>
                <w:tcPr>
                  <w:tcW w:w="1385" w:type="pct"/>
                  <w:vAlign w:val="center"/>
                </w:tcPr>
                <w:p>
                  <w:pPr>
                    <w:pStyle w:val="12"/>
                    <w:adjustRightInd w:val="0"/>
                    <w:snapToGrid w:val="0"/>
                    <w:jc w:val="center"/>
                    <w:rPr>
                      <w:bCs/>
                      <w:sz w:val="21"/>
                      <w:szCs w:val="21"/>
                    </w:rPr>
                  </w:pPr>
                  <w:r>
                    <w:rPr>
                      <w:bCs/>
                      <w:sz w:val="21"/>
                      <w:szCs w:val="21"/>
                    </w:rPr>
                    <w:t>150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vAlign w:val="center"/>
                </w:tcPr>
                <w:p>
                  <w:pPr>
                    <w:pStyle w:val="12"/>
                    <w:adjustRightInd w:val="0"/>
                    <w:snapToGrid w:val="0"/>
                    <w:jc w:val="center"/>
                    <w:rPr>
                      <w:bCs/>
                      <w:sz w:val="21"/>
                      <w:szCs w:val="21"/>
                    </w:rPr>
                  </w:pPr>
                </w:p>
              </w:tc>
              <w:tc>
                <w:tcPr>
                  <w:tcW w:w="1126" w:type="pct"/>
                  <w:vMerge w:val="continue"/>
                  <w:vAlign w:val="center"/>
                </w:tcPr>
                <w:p>
                  <w:pPr>
                    <w:pStyle w:val="12"/>
                    <w:adjustRightInd w:val="0"/>
                    <w:snapToGrid w:val="0"/>
                    <w:jc w:val="center"/>
                    <w:rPr>
                      <w:bCs/>
                      <w:sz w:val="21"/>
                      <w:szCs w:val="21"/>
                    </w:rPr>
                  </w:pPr>
                </w:p>
              </w:tc>
              <w:tc>
                <w:tcPr>
                  <w:tcW w:w="1385" w:type="pct"/>
                  <w:vAlign w:val="center"/>
                </w:tcPr>
                <w:p>
                  <w:pPr>
                    <w:pStyle w:val="12"/>
                    <w:adjustRightInd w:val="0"/>
                    <w:snapToGrid w:val="0"/>
                    <w:jc w:val="center"/>
                    <w:rPr>
                      <w:bCs/>
                      <w:sz w:val="21"/>
                      <w:szCs w:val="21"/>
                    </w:rPr>
                  </w:pPr>
                  <w:r>
                    <w:rPr>
                      <w:bCs/>
                      <w:sz w:val="21"/>
                      <w:szCs w:val="21"/>
                    </w:rPr>
                    <w:t>1小时平均</w:t>
                  </w:r>
                </w:p>
              </w:tc>
              <w:tc>
                <w:tcPr>
                  <w:tcW w:w="1385" w:type="pct"/>
                  <w:vAlign w:val="center"/>
                </w:tcPr>
                <w:p>
                  <w:pPr>
                    <w:pStyle w:val="12"/>
                    <w:adjustRightInd w:val="0"/>
                    <w:snapToGrid w:val="0"/>
                    <w:jc w:val="center"/>
                    <w:rPr>
                      <w:bCs/>
                      <w:sz w:val="21"/>
                      <w:szCs w:val="21"/>
                    </w:rPr>
                  </w:pPr>
                  <w:r>
                    <w:rPr>
                      <w:bCs/>
                      <w:sz w:val="21"/>
                      <w:szCs w:val="21"/>
                    </w:rPr>
                    <w:t>500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vAlign w:val="center"/>
                </w:tcPr>
                <w:p>
                  <w:pPr>
                    <w:pStyle w:val="12"/>
                    <w:adjustRightInd w:val="0"/>
                    <w:snapToGrid w:val="0"/>
                    <w:jc w:val="center"/>
                    <w:rPr>
                      <w:bCs/>
                      <w:sz w:val="21"/>
                      <w:szCs w:val="21"/>
                    </w:rPr>
                  </w:pPr>
                  <w:r>
                    <w:rPr>
                      <w:bCs/>
                      <w:sz w:val="21"/>
                      <w:szCs w:val="21"/>
                    </w:rPr>
                    <w:t>2</w:t>
                  </w:r>
                </w:p>
              </w:tc>
              <w:tc>
                <w:tcPr>
                  <w:tcW w:w="1126" w:type="pct"/>
                  <w:vMerge w:val="restart"/>
                  <w:vAlign w:val="center"/>
                </w:tcPr>
                <w:p>
                  <w:pPr>
                    <w:pStyle w:val="12"/>
                    <w:adjustRightInd w:val="0"/>
                    <w:snapToGrid w:val="0"/>
                    <w:jc w:val="center"/>
                    <w:rPr>
                      <w:bCs/>
                      <w:sz w:val="21"/>
                      <w:szCs w:val="21"/>
                    </w:rPr>
                  </w:pPr>
                  <w:r>
                    <w:rPr>
                      <w:bCs/>
                      <w:sz w:val="21"/>
                      <w:szCs w:val="21"/>
                    </w:rPr>
                    <w:t>NO</w:t>
                  </w:r>
                  <w:r>
                    <w:rPr>
                      <w:bCs/>
                      <w:sz w:val="21"/>
                      <w:szCs w:val="21"/>
                      <w:vertAlign w:val="subscript"/>
                    </w:rPr>
                    <w:t>2</w:t>
                  </w:r>
                </w:p>
              </w:tc>
              <w:tc>
                <w:tcPr>
                  <w:tcW w:w="1385" w:type="pct"/>
                  <w:vAlign w:val="center"/>
                </w:tcPr>
                <w:p>
                  <w:pPr>
                    <w:pStyle w:val="12"/>
                    <w:adjustRightInd w:val="0"/>
                    <w:snapToGrid w:val="0"/>
                    <w:jc w:val="center"/>
                    <w:rPr>
                      <w:bCs/>
                      <w:sz w:val="21"/>
                      <w:szCs w:val="21"/>
                    </w:rPr>
                  </w:pPr>
                  <w:r>
                    <w:rPr>
                      <w:bCs/>
                      <w:sz w:val="21"/>
                      <w:szCs w:val="21"/>
                    </w:rPr>
                    <w:t>年平均</w:t>
                  </w:r>
                </w:p>
              </w:tc>
              <w:tc>
                <w:tcPr>
                  <w:tcW w:w="1385" w:type="pct"/>
                  <w:vAlign w:val="center"/>
                </w:tcPr>
                <w:p>
                  <w:pPr>
                    <w:pStyle w:val="12"/>
                    <w:adjustRightInd w:val="0"/>
                    <w:snapToGrid w:val="0"/>
                    <w:jc w:val="center"/>
                    <w:rPr>
                      <w:bCs/>
                      <w:sz w:val="21"/>
                      <w:szCs w:val="21"/>
                    </w:rPr>
                  </w:pPr>
                  <w:r>
                    <w:rPr>
                      <w:bCs/>
                      <w:sz w:val="21"/>
                      <w:szCs w:val="21"/>
                    </w:rPr>
                    <w:t>40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vAlign w:val="center"/>
                </w:tcPr>
                <w:p>
                  <w:pPr>
                    <w:pStyle w:val="12"/>
                    <w:adjustRightInd w:val="0"/>
                    <w:snapToGrid w:val="0"/>
                    <w:jc w:val="center"/>
                    <w:rPr>
                      <w:bCs/>
                      <w:sz w:val="21"/>
                      <w:szCs w:val="21"/>
                    </w:rPr>
                  </w:pPr>
                </w:p>
              </w:tc>
              <w:tc>
                <w:tcPr>
                  <w:tcW w:w="1126" w:type="pct"/>
                  <w:vMerge w:val="continue"/>
                  <w:vAlign w:val="center"/>
                </w:tcPr>
                <w:p>
                  <w:pPr>
                    <w:pStyle w:val="12"/>
                    <w:adjustRightInd w:val="0"/>
                    <w:snapToGrid w:val="0"/>
                    <w:jc w:val="center"/>
                    <w:rPr>
                      <w:bCs/>
                      <w:sz w:val="21"/>
                      <w:szCs w:val="21"/>
                    </w:rPr>
                  </w:pPr>
                </w:p>
              </w:tc>
              <w:tc>
                <w:tcPr>
                  <w:tcW w:w="1385" w:type="pct"/>
                  <w:vAlign w:val="center"/>
                </w:tcPr>
                <w:p>
                  <w:pPr>
                    <w:pStyle w:val="12"/>
                    <w:adjustRightInd w:val="0"/>
                    <w:snapToGrid w:val="0"/>
                    <w:jc w:val="center"/>
                    <w:rPr>
                      <w:bCs/>
                      <w:sz w:val="21"/>
                      <w:szCs w:val="21"/>
                    </w:rPr>
                  </w:pPr>
                  <w:r>
                    <w:rPr>
                      <w:bCs/>
                      <w:sz w:val="21"/>
                      <w:szCs w:val="21"/>
                    </w:rPr>
                    <w:t>24小时平均</w:t>
                  </w:r>
                </w:p>
              </w:tc>
              <w:tc>
                <w:tcPr>
                  <w:tcW w:w="1385" w:type="pct"/>
                  <w:vAlign w:val="center"/>
                </w:tcPr>
                <w:p>
                  <w:pPr>
                    <w:pStyle w:val="12"/>
                    <w:adjustRightInd w:val="0"/>
                    <w:snapToGrid w:val="0"/>
                    <w:jc w:val="center"/>
                    <w:rPr>
                      <w:bCs/>
                      <w:sz w:val="21"/>
                      <w:szCs w:val="21"/>
                    </w:rPr>
                  </w:pPr>
                  <w:r>
                    <w:rPr>
                      <w:bCs/>
                      <w:sz w:val="21"/>
                      <w:szCs w:val="21"/>
                    </w:rPr>
                    <w:t>80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vAlign w:val="center"/>
                </w:tcPr>
                <w:p>
                  <w:pPr>
                    <w:pStyle w:val="12"/>
                    <w:adjustRightInd w:val="0"/>
                    <w:snapToGrid w:val="0"/>
                    <w:jc w:val="center"/>
                    <w:rPr>
                      <w:bCs/>
                      <w:sz w:val="21"/>
                      <w:szCs w:val="21"/>
                    </w:rPr>
                  </w:pPr>
                </w:p>
              </w:tc>
              <w:tc>
                <w:tcPr>
                  <w:tcW w:w="1126" w:type="pct"/>
                  <w:vMerge w:val="continue"/>
                  <w:vAlign w:val="center"/>
                </w:tcPr>
                <w:p>
                  <w:pPr>
                    <w:pStyle w:val="12"/>
                    <w:adjustRightInd w:val="0"/>
                    <w:snapToGrid w:val="0"/>
                    <w:jc w:val="center"/>
                    <w:rPr>
                      <w:bCs/>
                      <w:sz w:val="21"/>
                      <w:szCs w:val="21"/>
                    </w:rPr>
                  </w:pPr>
                </w:p>
              </w:tc>
              <w:tc>
                <w:tcPr>
                  <w:tcW w:w="1385" w:type="pct"/>
                  <w:vAlign w:val="center"/>
                </w:tcPr>
                <w:p>
                  <w:pPr>
                    <w:pStyle w:val="12"/>
                    <w:adjustRightInd w:val="0"/>
                    <w:snapToGrid w:val="0"/>
                    <w:jc w:val="center"/>
                    <w:rPr>
                      <w:bCs/>
                      <w:sz w:val="21"/>
                      <w:szCs w:val="21"/>
                    </w:rPr>
                  </w:pPr>
                  <w:r>
                    <w:rPr>
                      <w:bCs/>
                      <w:sz w:val="21"/>
                      <w:szCs w:val="21"/>
                    </w:rPr>
                    <w:t>1小时平均</w:t>
                  </w:r>
                </w:p>
              </w:tc>
              <w:tc>
                <w:tcPr>
                  <w:tcW w:w="1385" w:type="pct"/>
                  <w:vAlign w:val="center"/>
                </w:tcPr>
                <w:p>
                  <w:pPr>
                    <w:pStyle w:val="12"/>
                    <w:adjustRightInd w:val="0"/>
                    <w:snapToGrid w:val="0"/>
                    <w:jc w:val="center"/>
                    <w:rPr>
                      <w:bCs/>
                      <w:sz w:val="21"/>
                      <w:szCs w:val="21"/>
                    </w:rPr>
                  </w:pPr>
                  <w:r>
                    <w:rPr>
                      <w:bCs/>
                      <w:sz w:val="21"/>
                      <w:szCs w:val="21"/>
                    </w:rPr>
                    <w:t>200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vAlign w:val="center"/>
                </w:tcPr>
                <w:p>
                  <w:pPr>
                    <w:pStyle w:val="12"/>
                    <w:adjustRightInd w:val="0"/>
                    <w:snapToGrid w:val="0"/>
                    <w:jc w:val="center"/>
                    <w:rPr>
                      <w:bCs/>
                      <w:sz w:val="21"/>
                      <w:szCs w:val="21"/>
                    </w:rPr>
                  </w:pPr>
                  <w:r>
                    <w:rPr>
                      <w:bCs/>
                      <w:sz w:val="21"/>
                      <w:szCs w:val="21"/>
                    </w:rPr>
                    <w:t>3</w:t>
                  </w:r>
                </w:p>
              </w:tc>
              <w:tc>
                <w:tcPr>
                  <w:tcW w:w="1126" w:type="pct"/>
                  <w:vMerge w:val="restart"/>
                  <w:vAlign w:val="center"/>
                </w:tcPr>
                <w:p>
                  <w:pPr>
                    <w:pStyle w:val="12"/>
                    <w:adjustRightInd w:val="0"/>
                    <w:snapToGrid w:val="0"/>
                    <w:jc w:val="center"/>
                    <w:rPr>
                      <w:bCs/>
                      <w:sz w:val="21"/>
                      <w:szCs w:val="21"/>
                    </w:rPr>
                  </w:pPr>
                  <w:r>
                    <w:rPr>
                      <w:bCs/>
                      <w:sz w:val="21"/>
                      <w:szCs w:val="21"/>
                    </w:rPr>
                    <w:t>CO</w:t>
                  </w:r>
                </w:p>
              </w:tc>
              <w:tc>
                <w:tcPr>
                  <w:tcW w:w="1385" w:type="pct"/>
                  <w:vAlign w:val="center"/>
                </w:tcPr>
                <w:p>
                  <w:pPr>
                    <w:pStyle w:val="12"/>
                    <w:adjustRightInd w:val="0"/>
                    <w:snapToGrid w:val="0"/>
                    <w:jc w:val="center"/>
                    <w:rPr>
                      <w:bCs/>
                      <w:sz w:val="21"/>
                      <w:szCs w:val="21"/>
                    </w:rPr>
                  </w:pPr>
                  <w:r>
                    <w:rPr>
                      <w:bCs/>
                      <w:sz w:val="21"/>
                      <w:szCs w:val="21"/>
                    </w:rPr>
                    <w:t>24小时平均</w:t>
                  </w:r>
                </w:p>
              </w:tc>
              <w:tc>
                <w:tcPr>
                  <w:tcW w:w="1385" w:type="pct"/>
                  <w:vAlign w:val="center"/>
                </w:tcPr>
                <w:p>
                  <w:pPr>
                    <w:pStyle w:val="12"/>
                    <w:adjustRightInd w:val="0"/>
                    <w:snapToGrid w:val="0"/>
                    <w:jc w:val="center"/>
                    <w:rPr>
                      <w:bCs/>
                      <w:sz w:val="21"/>
                      <w:szCs w:val="21"/>
                    </w:rPr>
                  </w:pPr>
                  <w:r>
                    <w:rPr>
                      <w:bCs/>
                      <w:sz w:val="21"/>
                      <w:szCs w:val="21"/>
                    </w:rPr>
                    <w:t>4</w:t>
                  </w:r>
                </w:p>
              </w:tc>
              <w:tc>
                <w:tcPr>
                  <w:tcW w:w="678" w:type="pct"/>
                  <w:vMerge w:val="restart"/>
                  <w:vAlign w:val="center"/>
                </w:tcPr>
                <w:p>
                  <w:pPr>
                    <w:pStyle w:val="12"/>
                    <w:adjustRightInd w:val="0"/>
                    <w:snapToGrid w:val="0"/>
                    <w:jc w:val="center"/>
                    <w:rPr>
                      <w:b/>
                      <w:sz w:val="21"/>
                      <w:szCs w:val="21"/>
                    </w:rPr>
                  </w:pPr>
                  <w:r>
                    <w:rPr>
                      <w:sz w:val="21"/>
                      <w:szCs w:val="21"/>
                    </w:rPr>
                    <w:t>mg/m</w:t>
                  </w:r>
                  <w:r>
                    <w:rPr>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vAlign w:val="center"/>
                </w:tcPr>
                <w:p>
                  <w:pPr>
                    <w:pStyle w:val="12"/>
                    <w:adjustRightInd w:val="0"/>
                    <w:snapToGrid w:val="0"/>
                    <w:jc w:val="center"/>
                    <w:rPr>
                      <w:bCs/>
                      <w:sz w:val="21"/>
                      <w:szCs w:val="21"/>
                    </w:rPr>
                  </w:pPr>
                </w:p>
              </w:tc>
              <w:tc>
                <w:tcPr>
                  <w:tcW w:w="1126" w:type="pct"/>
                  <w:vMerge w:val="continue"/>
                  <w:vAlign w:val="center"/>
                </w:tcPr>
                <w:p>
                  <w:pPr>
                    <w:pStyle w:val="12"/>
                    <w:adjustRightInd w:val="0"/>
                    <w:snapToGrid w:val="0"/>
                    <w:jc w:val="center"/>
                    <w:rPr>
                      <w:bCs/>
                      <w:sz w:val="21"/>
                      <w:szCs w:val="21"/>
                    </w:rPr>
                  </w:pPr>
                </w:p>
              </w:tc>
              <w:tc>
                <w:tcPr>
                  <w:tcW w:w="1385" w:type="pct"/>
                  <w:vAlign w:val="center"/>
                </w:tcPr>
                <w:p>
                  <w:pPr>
                    <w:pStyle w:val="12"/>
                    <w:adjustRightInd w:val="0"/>
                    <w:snapToGrid w:val="0"/>
                    <w:jc w:val="center"/>
                    <w:rPr>
                      <w:bCs/>
                      <w:sz w:val="21"/>
                      <w:szCs w:val="21"/>
                    </w:rPr>
                  </w:pPr>
                  <w:r>
                    <w:rPr>
                      <w:bCs/>
                      <w:sz w:val="21"/>
                      <w:szCs w:val="21"/>
                    </w:rPr>
                    <w:t>1小时平均</w:t>
                  </w:r>
                </w:p>
              </w:tc>
              <w:tc>
                <w:tcPr>
                  <w:tcW w:w="1385" w:type="pct"/>
                  <w:vAlign w:val="center"/>
                </w:tcPr>
                <w:p>
                  <w:pPr>
                    <w:pStyle w:val="12"/>
                    <w:adjustRightInd w:val="0"/>
                    <w:snapToGrid w:val="0"/>
                    <w:jc w:val="center"/>
                    <w:rPr>
                      <w:bCs/>
                      <w:sz w:val="21"/>
                      <w:szCs w:val="21"/>
                    </w:rPr>
                  </w:pPr>
                  <w:r>
                    <w:rPr>
                      <w:bCs/>
                      <w:sz w:val="21"/>
                      <w:szCs w:val="21"/>
                    </w:rPr>
                    <w:t>10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vAlign w:val="center"/>
                </w:tcPr>
                <w:p>
                  <w:pPr>
                    <w:pStyle w:val="12"/>
                    <w:adjustRightInd w:val="0"/>
                    <w:snapToGrid w:val="0"/>
                    <w:jc w:val="center"/>
                    <w:rPr>
                      <w:bCs/>
                      <w:sz w:val="21"/>
                      <w:szCs w:val="21"/>
                    </w:rPr>
                  </w:pPr>
                  <w:r>
                    <w:rPr>
                      <w:bCs/>
                      <w:sz w:val="21"/>
                      <w:szCs w:val="21"/>
                    </w:rPr>
                    <w:t>4</w:t>
                  </w:r>
                </w:p>
              </w:tc>
              <w:tc>
                <w:tcPr>
                  <w:tcW w:w="1126" w:type="pct"/>
                  <w:vMerge w:val="restart"/>
                  <w:vAlign w:val="center"/>
                </w:tcPr>
                <w:p>
                  <w:pPr>
                    <w:pStyle w:val="12"/>
                    <w:adjustRightInd w:val="0"/>
                    <w:snapToGrid w:val="0"/>
                    <w:jc w:val="center"/>
                    <w:rPr>
                      <w:bCs/>
                      <w:sz w:val="21"/>
                      <w:szCs w:val="21"/>
                    </w:rPr>
                  </w:pPr>
                  <w:r>
                    <w:rPr>
                      <w:bCs/>
                      <w:sz w:val="21"/>
                      <w:szCs w:val="21"/>
                    </w:rPr>
                    <w:t>O</w:t>
                  </w:r>
                  <w:r>
                    <w:rPr>
                      <w:bCs/>
                      <w:sz w:val="21"/>
                      <w:szCs w:val="21"/>
                      <w:vertAlign w:val="subscript"/>
                    </w:rPr>
                    <w:t>3</w:t>
                  </w:r>
                </w:p>
              </w:tc>
              <w:tc>
                <w:tcPr>
                  <w:tcW w:w="1385" w:type="pct"/>
                  <w:vAlign w:val="center"/>
                </w:tcPr>
                <w:p>
                  <w:pPr>
                    <w:pStyle w:val="12"/>
                    <w:adjustRightInd w:val="0"/>
                    <w:snapToGrid w:val="0"/>
                    <w:jc w:val="center"/>
                    <w:rPr>
                      <w:bCs/>
                      <w:sz w:val="21"/>
                      <w:szCs w:val="21"/>
                    </w:rPr>
                  </w:pPr>
                  <w:r>
                    <w:rPr>
                      <w:bCs/>
                      <w:sz w:val="21"/>
                      <w:szCs w:val="21"/>
                    </w:rPr>
                    <w:t>日最大8小时平均</w:t>
                  </w:r>
                </w:p>
              </w:tc>
              <w:tc>
                <w:tcPr>
                  <w:tcW w:w="1385" w:type="pct"/>
                  <w:vAlign w:val="center"/>
                </w:tcPr>
                <w:p>
                  <w:pPr>
                    <w:pStyle w:val="12"/>
                    <w:adjustRightInd w:val="0"/>
                    <w:snapToGrid w:val="0"/>
                    <w:jc w:val="center"/>
                    <w:rPr>
                      <w:bCs/>
                      <w:sz w:val="21"/>
                      <w:szCs w:val="21"/>
                    </w:rPr>
                  </w:pPr>
                  <w:r>
                    <w:rPr>
                      <w:bCs/>
                      <w:sz w:val="21"/>
                      <w:szCs w:val="21"/>
                    </w:rPr>
                    <w:t>160</w:t>
                  </w:r>
                </w:p>
              </w:tc>
              <w:tc>
                <w:tcPr>
                  <w:tcW w:w="678" w:type="pct"/>
                  <w:vMerge w:val="restart"/>
                  <w:vAlign w:val="center"/>
                </w:tcPr>
                <w:p>
                  <w:pPr>
                    <w:pStyle w:val="12"/>
                    <w:adjustRightInd w:val="0"/>
                    <w:snapToGrid w:val="0"/>
                    <w:jc w:val="center"/>
                    <w:rPr>
                      <w:b/>
                      <w:sz w:val="21"/>
                      <w:szCs w:val="21"/>
                    </w:rPr>
                  </w:pPr>
                  <w:r>
                    <w:rPr>
                      <w:sz w:val="21"/>
                      <w:szCs w:val="21"/>
                    </w:rPr>
                    <w:t>μg/m</w:t>
                  </w:r>
                  <w:r>
                    <w:rPr>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vAlign w:val="center"/>
                </w:tcPr>
                <w:p>
                  <w:pPr>
                    <w:pStyle w:val="12"/>
                    <w:adjustRightInd w:val="0"/>
                    <w:snapToGrid w:val="0"/>
                    <w:jc w:val="center"/>
                    <w:rPr>
                      <w:bCs/>
                      <w:sz w:val="21"/>
                      <w:szCs w:val="21"/>
                    </w:rPr>
                  </w:pPr>
                </w:p>
              </w:tc>
              <w:tc>
                <w:tcPr>
                  <w:tcW w:w="1126" w:type="pct"/>
                  <w:vMerge w:val="continue"/>
                  <w:vAlign w:val="center"/>
                </w:tcPr>
                <w:p>
                  <w:pPr>
                    <w:pStyle w:val="12"/>
                    <w:adjustRightInd w:val="0"/>
                    <w:snapToGrid w:val="0"/>
                    <w:jc w:val="center"/>
                    <w:rPr>
                      <w:bCs/>
                      <w:sz w:val="21"/>
                      <w:szCs w:val="21"/>
                    </w:rPr>
                  </w:pPr>
                </w:p>
              </w:tc>
              <w:tc>
                <w:tcPr>
                  <w:tcW w:w="1385" w:type="pct"/>
                  <w:vAlign w:val="center"/>
                </w:tcPr>
                <w:p>
                  <w:pPr>
                    <w:pStyle w:val="12"/>
                    <w:adjustRightInd w:val="0"/>
                    <w:snapToGrid w:val="0"/>
                    <w:jc w:val="center"/>
                    <w:rPr>
                      <w:bCs/>
                      <w:sz w:val="21"/>
                      <w:szCs w:val="21"/>
                    </w:rPr>
                  </w:pPr>
                  <w:r>
                    <w:rPr>
                      <w:bCs/>
                      <w:sz w:val="21"/>
                      <w:szCs w:val="21"/>
                    </w:rPr>
                    <w:t>1小时平均</w:t>
                  </w:r>
                </w:p>
              </w:tc>
              <w:tc>
                <w:tcPr>
                  <w:tcW w:w="1385" w:type="pct"/>
                  <w:vAlign w:val="center"/>
                </w:tcPr>
                <w:p>
                  <w:pPr>
                    <w:pStyle w:val="12"/>
                    <w:adjustRightInd w:val="0"/>
                    <w:snapToGrid w:val="0"/>
                    <w:jc w:val="center"/>
                    <w:rPr>
                      <w:bCs/>
                      <w:sz w:val="21"/>
                      <w:szCs w:val="21"/>
                    </w:rPr>
                  </w:pPr>
                  <w:r>
                    <w:rPr>
                      <w:bCs/>
                      <w:sz w:val="21"/>
                      <w:szCs w:val="21"/>
                    </w:rPr>
                    <w:t>200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vAlign w:val="center"/>
                </w:tcPr>
                <w:p>
                  <w:pPr>
                    <w:pStyle w:val="12"/>
                    <w:adjustRightInd w:val="0"/>
                    <w:snapToGrid w:val="0"/>
                    <w:jc w:val="center"/>
                    <w:rPr>
                      <w:bCs/>
                      <w:sz w:val="21"/>
                      <w:szCs w:val="21"/>
                    </w:rPr>
                  </w:pPr>
                  <w:r>
                    <w:rPr>
                      <w:bCs/>
                      <w:sz w:val="21"/>
                      <w:szCs w:val="21"/>
                    </w:rPr>
                    <w:t>5</w:t>
                  </w:r>
                </w:p>
              </w:tc>
              <w:tc>
                <w:tcPr>
                  <w:tcW w:w="1126" w:type="pct"/>
                  <w:vMerge w:val="restart"/>
                  <w:vAlign w:val="center"/>
                </w:tcPr>
                <w:p>
                  <w:pPr>
                    <w:pStyle w:val="12"/>
                    <w:adjustRightInd w:val="0"/>
                    <w:snapToGrid w:val="0"/>
                    <w:jc w:val="center"/>
                    <w:rPr>
                      <w:bCs/>
                      <w:sz w:val="21"/>
                      <w:szCs w:val="21"/>
                    </w:rPr>
                  </w:pPr>
                  <w:r>
                    <w:rPr>
                      <w:bCs/>
                      <w:sz w:val="21"/>
                      <w:szCs w:val="21"/>
                    </w:rPr>
                    <w:t>PM</w:t>
                  </w:r>
                  <w:r>
                    <w:rPr>
                      <w:bCs/>
                      <w:sz w:val="21"/>
                      <w:szCs w:val="21"/>
                      <w:vertAlign w:val="subscript"/>
                    </w:rPr>
                    <w:t>10</w:t>
                  </w:r>
                </w:p>
              </w:tc>
              <w:tc>
                <w:tcPr>
                  <w:tcW w:w="1385" w:type="pct"/>
                  <w:vAlign w:val="center"/>
                </w:tcPr>
                <w:p>
                  <w:pPr>
                    <w:pStyle w:val="12"/>
                    <w:adjustRightInd w:val="0"/>
                    <w:snapToGrid w:val="0"/>
                    <w:jc w:val="center"/>
                    <w:rPr>
                      <w:bCs/>
                      <w:sz w:val="21"/>
                      <w:szCs w:val="21"/>
                    </w:rPr>
                  </w:pPr>
                  <w:r>
                    <w:rPr>
                      <w:bCs/>
                      <w:sz w:val="21"/>
                      <w:szCs w:val="21"/>
                    </w:rPr>
                    <w:t>年平均</w:t>
                  </w:r>
                </w:p>
              </w:tc>
              <w:tc>
                <w:tcPr>
                  <w:tcW w:w="1385" w:type="pct"/>
                  <w:vAlign w:val="center"/>
                </w:tcPr>
                <w:p>
                  <w:pPr>
                    <w:pStyle w:val="12"/>
                    <w:adjustRightInd w:val="0"/>
                    <w:snapToGrid w:val="0"/>
                    <w:jc w:val="center"/>
                    <w:rPr>
                      <w:bCs/>
                      <w:sz w:val="21"/>
                      <w:szCs w:val="21"/>
                    </w:rPr>
                  </w:pPr>
                  <w:r>
                    <w:rPr>
                      <w:bCs/>
                      <w:sz w:val="21"/>
                      <w:szCs w:val="21"/>
                    </w:rPr>
                    <w:t>70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vAlign w:val="center"/>
                </w:tcPr>
                <w:p>
                  <w:pPr>
                    <w:pStyle w:val="12"/>
                    <w:adjustRightInd w:val="0"/>
                    <w:snapToGrid w:val="0"/>
                    <w:jc w:val="center"/>
                    <w:rPr>
                      <w:bCs/>
                      <w:sz w:val="21"/>
                      <w:szCs w:val="21"/>
                    </w:rPr>
                  </w:pPr>
                </w:p>
              </w:tc>
              <w:tc>
                <w:tcPr>
                  <w:tcW w:w="1126" w:type="pct"/>
                  <w:vMerge w:val="continue"/>
                  <w:vAlign w:val="center"/>
                </w:tcPr>
                <w:p>
                  <w:pPr>
                    <w:pStyle w:val="12"/>
                    <w:adjustRightInd w:val="0"/>
                    <w:snapToGrid w:val="0"/>
                    <w:jc w:val="center"/>
                    <w:rPr>
                      <w:bCs/>
                      <w:sz w:val="21"/>
                      <w:szCs w:val="21"/>
                    </w:rPr>
                  </w:pPr>
                </w:p>
              </w:tc>
              <w:tc>
                <w:tcPr>
                  <w:tcW w:w="1385" w:type="pct"/>
                  <w:vAlign w:val="center"/>
                </w:tcPr>
                <w:p>
                  <w:pPr>
                    <w:pStyle w:val="12"/>
                    <w:adjustRightInd w:val="0"/>
                    <w:snapToGrid w:val="0"/>
                    <w:jc w:val="center"/>
                    <w:rPr>
                      <w:bCs/>
                      <w:sz w:val="21"/>
                      <w:szCs w:val="21"/>
                    </w:rPr>
                  </w:pPr>
                  <w:r>
                    <w:rPr>
                      <w:bCs/>
                      <w:sz w:val="21"/>
                      <w:szCs w:val="21"/>
                    </w:rPr>
                    <w:t>24小时平均</w:t>
                  </w:r>
                </w:p>
              </w:tc>
              <w:tc>
                <w:tcPr>
                  <w:tcW w:w="1385" w:type="pct"/>
                  <w:vAlign w:val="center"/>
                </w:tcPr>
                <w:p>
                  <w:pPr>
                    <w:pStyle w:val="12"/>
                    <w:adjustRightInd w:val="0"/>
                    <w:snapToGrid w:val="0"/>
                    <w:jc w:val="center"/>
                    <w:rPr>
                      <w:bCs/>
                      <w:sz w:val="21"/>
                      <w:szCs w:val="21"/>
                    </w:rPr>
                  </w:pPr>
                  <w:r>
                    <w:rPr>
                      <w:bCs/>
                      <w:sz w:val="21"/>
                      <w:szCs w:val="21"/>
                    </w:rPr>
                    <w:t>150</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vAlign w:val="center"/>
                </w:tcPr>
                <w:p>
                  <w:pPr>
                    <w:pStyle w:val="12"/>
                    <w:adjustRightInd w:val="0"/>
                    <w:snapToGrid w:val="0"/>
                    <w:jc w:val="center"/>
                    <w:rPr>
                      <w:bCs/>
                      <w:sz w:val="21"/>
                      <w:szCs w:val="21"/>
                    </w:rPr>
                  </w:pPr>
                  <w:r>
                    <w:rPr>
                      <w:bCs/>
                      <w:sz w:val="21"/>
                      <w:szCs w:val="21"/>
                    </w:rPr>
                    <w:t>6</w:t>
                  </w:r>
                </w:p>
              </w:tc>
              <w:tc>
                <w:tcPr>
                  <w:tcW w:w="1126" w:type="pct"/>
                  <w:vMerge w:val="restart"/>
                  <w:vAlign w:val="center"/>
                </w:tcPr>
                <w:p>
                  <w:pPr>
                    <w:pStyle w:val="12"/>
                    <w:adjustRightInd w:val="0"/>
                    <w:snapToGrid w:val="0"/>
                    <w:jc w:val="center"/>
                    <w:rPr>
                      <w:bCs/>
                      <w:sz w:val="21"/>
                      <w:szCs w:val="21"/>
                    </w:rPr>
                  </w:pPr>
                  <w:r>
                    <w:rPr>
                      <w:bCs/>
                      <w:sz w:val="21"/>
                      <w:szCs w:val="21"/>
                    </w:rPr>
                    <w:t>PM</w:t>
                  </w:r>
                  <w:r>
                    <w:rPr>
                      <w:bCs/>
                      <w:sz w:val="21"/>
                      <w:szCs w:val="21"/>
                      <w:vertAlign w:val="subscript"/>
                    </w:rPr>
                    <w:t>2.5</w:t>
                  </w:r>
                </w:p>
              </w:tc>
              <w:tc>
                <w:tcPr>
                  <w:tcW w:w="1385" w:type="pct"/>
                  <w:vAlign w:val="center"/>
                </w:tcPr>
                <w:p>
                  <w:pPr>
                    <w:pStyle w:val="12"/>
                    <w:adjustRightInd w:val="0"/>
                    <w:snapToGrid w:val="0"/>
                    <w:jc w:val="center"/>
                    <w:rPr>
                      <w:bCs/>
                      <w:sz w:val="21"/>
                      <w:szCs w:val="21"/>
                    </w:rPr>
                  </w:pPr>
                  <w:r>
                    <w:rPr>
                      <w:bCs/>
                      <w:sz w:val="21"/>
                      <w:szCs w:val="21"/>
                    </w:rPr>
                    <w:t>年平均</w:t>
                  </w:r>
                </w:p>
              </w:tc>
              <w:tc>
                <w:tcPr>
                  <w:tcW w:w="1385" w:type="pct"/>
                  <w:vAlign w:val="center"/>
                </w:tcPr>
                <w:p>
                  <w:pPr>
                    <w:pStyle w:val="12"/>
                    <w:adjustRightInd w:val="0"/>
                    <w:snapToGrid w:val="0"/>
                    <w:jc w:val="center"/>
                    <w:rPr>
                      <w:bCs/>
                      <w:sz w:val="21"/>
                      <w:szCs w:val="21"/>
                    </w:rPr>
                  </w:pPr>
                  <w:r>
                    <w:rPr>
                      <w:bCs/>
                      <w:sz w:val="21"/>
                      <w:szCs w:val="21"/>
                    </w:rPr>
                    <w:t>35</w:t>
                  </w:r>
                </w:p>
              </w:tc>
              <w:tc>
                <w:tcPr>
                  <w:tcW w:w="678" w:type="pct"/>
                  <w:vMerge w:val="continue"/>
                  <w:vAlign w:val="center"/>
                </w:tcPr>
                <w:p>
                  <w:pPr>
                    <w:pStyle w:val="12"/>
                    <w:adjustRightInd w:val="0"/>
                    <w:snapToGrid w:val="0"/>
                    <w:jc w:val="center"/>
                    <w:rPr>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vAlign w:val="center"/>
                </w:tcPr>
                <w:p>
                  <w:pPr>
                    <w:pStyle w:val="12"/>
                    <w:adjustRightInd w:val="0"/>
                    <w:snapToGrid w:val="0"/>
                    <w:jc w:val="center"/>
                    <w:rPr>
                      <w:bCs/>
                      <w:sz w:val="21"/>
                      <w:szCs w:val="21"/>
                    </w:rPr>
                  </w:pPr>
                </w:p>
              </w:tc>
              <w:tc>
                <w:tcPr>
                  <w:tcW w:w="1126" w:type="pct"/>
                  <w:vMerge w:val="continue"/>
                  <w:vAlign w:val="center"/>
                </w:tcPr>
                <w:p>
                  <w:pPr>
                    <w:pStyle w:val="12"/>
                    <w:adjustRightInd w:val="0"/>
                    <w:snapToGrid w:val="0"/>
                    <w:jc w:val="center"/>
                    <w:rPr>
                      <w:bCs/>
                      <w:sz w:val="21"/>
                      <w:szCs w:val="21"/>
                    </w:rPr>
                  </w:pPr>
                </w:p>
              </w:tc>
              <w:tc>
                <w:tcPr>
                  <w:tcW w:w="1385" w:type="pct"/>
                  <w:vAlign w:val="center"/>
                </w:tcPr>
                <w:p>
                  <w:pPr>
                    <w:pStyle w:val="12"/>
                    <w:adjustRightInd w:val="0"/>
                    <w:snapToGrid w:val="0"/>
                    <w:jc w:val="center"/>
                    <w:rPr>
                      <w:bCs/>
                      <w:sz w:val="21"/>
                      <w:szCs w:val="21"/>
                    </w:rPr>
                  </w:pPr>
                  <w:r>
                    <w:rPr>
                      <w:bCs/>
                      <w:sz w:val="21"/>
                      <w:szCs w:val="21"/>
                    </w:rPr>
                    <w:t>24小时平均</w:t>
                  </w:r>
                </w:p>
              </w:tc>
              <w:tc>
                <w:tcPr>
                  <w:tcW w:w="1385" w:type="pct"/>
                  <w:vAlign w:val="center"/>
                </w:tcPr>
                <w:p>
                  <w:pPr>
                    <w:pStyle w:val="12"/>
                    <w:adjustRightInd w:val="0"/>
                    <w:snapToGrid w:val="0"/>
                    <w:jc w:val="center"/>
                    <w:rPr>
                      <w:bCs/>
                      <w:sz w:val="21"/>
                      <w:szCs w:val="21"/>
                    </w:rPr>
                  </w:pPr>
                  <w:r>
                    <w:rPr>
                      <w:bCs/>
                      <w:sz w:val="21"/>
                      <w:szCs w:val="21"/>
                    </w:rPr>
                    <w:t>75</w:t>
                  </w:r>
                </w:p>
              </w:tc>
              <w:tc>
                <w:tcPr>
                  <w:tcW w:w="678" w:type="pct"/>
                  <w:vMerge w:val="continue"/>
                  <w:vAlign w:val="center"/>
                </w:tcPr>
                <w:p>
                  <w:pPr>
                    <w:pStyle w:val="12"/>
                    <w:adjustRightInd w:val="0"/>
                    <w:snapToGrid w:val="0"/>
                    <w:jc w:val="center"/>
                    <w:rPr>
                      <w:b/>
                      <w:sz w:val="21"/>
                      <w:szCs w:val="21"/>
                    </w:rPr>
                  </w:pPr>
                </w:p>
              </w:tc>
            </w:tr>
          </w:tbl>
          <w:p>
            <w:pPr>
              <w:pStyle w:val="6"/>
            </w:pPr>
            <w:r>
              <w:rPr>
                <w:rFonts w:hint="eastAsia"/>
              </w:rPr>
              <w:t>1.4</w:t>
            </w:r>
            <w:r>
              <w:t>评价方法</w:t>
            </w:r>
          </w:p>
          <w:p>
            <w:pPr>
              <w:pStyle w:val="22"/>
              <w:spacing w:line="360" w:lineRule="auto"/>
              <w:ind w:firstLine="480" w:firstLineChars="200"/>
              <w:rPr>
                <w:rFonts w:ascii="Times New Roman" w:cs="Times New Roman"/>
                <w:color w:val="auto"/>
              </w:rPr>
            </w:pPr>
            <w:r>
              <w:rPr>
                <w:rFonts w:ascii="Times New Roman" w:cs="Times New Roman"/>
                <w:color w:val="auto"/>
              </w:rPr>
              <w:t>基本污染物按照《环境空气质量评价技术规范（试行）》（HJ 663-2013）中各评价项目的年评价指标进行判定。年评价指标中的年均浓度和相应百分位数24h平均或8h平均质量浓度满足GB3095中浓度限值要求的即为达标。对于超标的污染物，计算其超标倍数和超标率。</w:t>
            </w:r>
          </w:p>
          <w:p>
            <w:pPr>
              <w:pStyle w:val="22"/>
              <w:spacing w:line="360" w:lineRule="auto"/>
              <w:ind w:firstLine="480" w:firstLineChars="200"/>
              <w:rPr>
                <w:rFonts w:ascii="Times New Roman" w:cs="Times New Roman"/>
                <w:color w:val="auto"/>
              </w:rPr>
            </w:pPr>
            <w:r>
              <w:rPr>
                <w:rFonts w:ascii="Times New Roman" w:cs="Times New Roman"/>
                <w:color w:val="auto"/>
              </w:rPr>
              <w:t>空气环境质量现状采用单项污染指数法、计算公式为：</w:t>
            </w:r>
          </w:p>
          <w:p>
            <w:pPr>
              <w:pStyle w:val="22"/>
              <w:spacing w:line="360" w:lineRule="auto"/>
              <w:ind w:firstLine="480" w:firstLineChars="200"/>
              <w:rPr>
                <w:rFonts w:ascii="Times New Roman" w:cs="Times New Roman"/>
                <w:color w:val="auto"/>
              </w:rPr>
            </w:pPr>
            <w:r>
              <w:rPr>
                <w:rFonts w:ascii="Times New Roman" w:cs="Times New Roman"/>
                <w:color w:val="auto"/>
              </w:rPr>
              <w:t>超标率=超标数据个数/总监测数据个数×100%</w:t>
            </w:r>
          </w:p>
          <w:p>
            <w:pPr>
              <w:pStyle w:val="22"/>
              <w:spacing w:line="360" w:lineRule="auto"/>
              <w:jc w:val="center"/>
              <w:rPr>
                <w:rFonts w:ascii="Times New Roman" w:cs="Times New Roman"/>
                <w:color w:val="auto"/>
              </w:rPr>
            </w:pPr>
            <w:r>
              <w:rPr>
                <w:rFonts w:ascii="Times New Roman" w:cs="Times New Roman"/>
                <w:color w:val="auto"/>
                <w:szCs w:val="21"/>
              </w:rPr>
              <w:object>
                <v:shape id="_x0000_i1025" o:spt="75" type="#_x0000_t75" style="height:33.65pt;width:89.35pt;" o:ole="t" filled="f" o:preferrelative="t" stroked="f" coordsize="21600,21600">
                  <v:path/>
                  <v:fill on="f" focussize="0,0"/>
                  <v:stroke on="f" joinstyle="miter"/>
                  <v:imagedata r:id="rId12" o:title=""/>
                  <o:lock v:ext="edit" aspectratio="t"/>
                  <w10:wrap type="none"/>
                  <w10:anchorlock/>
                </v:shape>
                <o:OLEObject Type="Embed" ProgID="Equation.AxMath" ShapeID="_x0000_i1025" DrawAspect="Content" ObjectID="_1468075725" r:id="rId11">
                  <o:LockedField>false</o:LockedField>
                </o:OLEObject>
              </w:object>
            </w:r>
          </w:p>
          <w:p>
            <w:pPr>
              <w:pStyle w:val="22"/>
              <w:spacing w:line="360" w:lineRule="auto"/>
              <w:ind w:firstLine="480" w:firstLineChars="200"/>
              <w:rPr>
                <w:rFonts w:ascii="Times New Roman" w:cs="Times New Roman"/>
                <w:color w:val="auto"/>
              </w:rPr>
            </w:pPr>
            <w:r>
              <w:rPr>
                <w:rFonts w:ascii="Times New Roman" w:cs="Times New Roman"/>
                <w:color w:val="auto"/>
              </w:rPr>
              <w:t>式中：P</w:t>
            </w:r>
            <w:r>
              <w:rPr>
                <w:rFonts w:ascii="Times New Roman" w:cs="Times New Roman"/>
                <w:color w:val="auto"/>
                <w:vertAlign w:val="subscript"/>
              </w:rPr>
              <w:t>i</w:t>
            </w:r>
            <w:r>
              <w:rPr>
                <w:rFonts w:ascii="Times New Roman" w:cs="Times New Roman"/>
                <w:color w:val="auto"/>
              </w:rPr>
              <w:t>—第i个污染物的最大浓度占标率（无量纲）；</w:t>
            </w:r>
          </w:p>
          <w:p>
            <w:pPr>
              <w:pStyle w:val="22"/>
              <w:spacing w:line="360" w:lineRule="auto"/>
              <w:rPr>
                <w:rFonts w:ascii="Times New Roman" w:cs="Times New Roman"/>
                <w:color w:val="auto"/>
              </w:rPr>
            </w:pPr>
            <w:r>
              <w:rPr>
                <w:rFonts w:ascii="Times New Roman" w:cs="Times New Roman"/>
                <w:color w:val="auto"/>
              </w:rPr>
              <w:t xml:space="preserve">    </w:t>
            </w:r>
            <w:r>
              <w:rPr>
                <w:rFonts w:hint="eastAsia" w:ascii="Times New Roman" w:cs="Times New Roman"/>
                <w:color w:val="auto"/>
              </w:rPr>
              <w:t xml:space="preserve">    </w:t>
            </w:r>
            <w:r>
              <w:rPr>
                <w:rFonts w:ascii="Times New Roman" w:cs="Times New Roman"/>
                <w:color w:val="auto"/>
              </w:rPr>
              <w:t xml:space="preserve">  C</w:t>
            </w:r>
            <w:r>
              <w:rPr>
                <w:rFonts w:ascii="Times New Roman" w:cs="Times New Roman"/>
                <w:color w:val="auto"/>
                <w:vertAlign w:val="subscript"/>
              </w:rPr>
              <w:t>i</w:t>
            </w:r>
            <w:r>
              <w:rPr>
                <w:rFonts w:ascii="Times New Roman" w:cs="Times New Roman"/>
                <w:color w:val="auto"/>
              </w:rPr>
              <w:t>—第i个污染物的最大浓度（μg/m</w:t>
            </w:r>
            <w:r>
              <w:rPr>
                <w:rFonts w:ascii="Times New Roman" w:cs="Times New Roman"/>
                <w:color w:val="auto"/>
                <w:vertAlign w:val="superscript"/>
              </w:rPr>
              <w:t>3</w:t>
            </w:r>
            <w:r>
              <w:rPr>
                <w:rFonts w:ascii="Times New Roman" w:cs="Times New Roman"/>
                <w:color w:val="auto"/>
              </w:rPr>
              <w:t>）；</w:t>
            </w:r>
          </w:p>
          <w:p>
            <w:pPr>
              <w:pStyle w:val="22"/>
              <w:spacing w:line="360" w:lineRule="auto"/>
              <w:ind w:firstLine="1200" w:firstLineChars="500"/>
              <w:rPr>
                <w:rFonts w:ascii="Times New Roman" w:cs="Times New Roman"/>
                <w:color w:val="auto"/>
              </w:rPr>
            </w:pPr>
            <w:r>
              <w:rPr>
                <w:rFonts w:ascii="Times New Roman" w:cs="Times New Roman"/>
                <w:color w:val="auto"/>
              </w:rPr>
              <w:t>C</w:t>
            </w:r>
            <w:r>
              <w:rPr>
                <w:rFonts w:ascii="Times New Roman" w:cs="Times New Roman"/>
                <w:color w:val="auto"/>
                <w:vertAlign w:val="subscript"/>
              </w:rPr>
              <w:t>oi</w:t>
            </w:r>
            <w:r>
              <w:rPr>
                <w:rFonts w:ascii="Times New Roman" w:cs="Times New Roman"/>
                <w:color w:val="auto"/>
              </w:rPr>
              <w:t>—第i个污染物的环境空气质量浓度标准（μg/m</w:t>
            </w:r>
            <w:r>
              <w:rPr>
                <w:rFonts w:ascii="Times New Roman" w:cs="Times New Roman"/>
                <w:color w:val="auto"/>
                <w:vertAlign w:val="superscript"/>
              </w:rPr>
              <w:t>3</w:t>
            </w:r>
            <w:r>
              <w:rPr>
                <w:rFonts w:ascii="Times New Roman" w:cs="Times New Roman"/>
                <w:color w:val="auto"/>
              </w:rPr>
              <w:t>）。</w:t>
            </w:r>
          </w:p>
          <w:p>
            <w:pPr>
              <w:pStyle w:val="22"/>
              <w:spacing w:line="360" w:lineRule="auto"/>
              <w:ind w:firstLine="480" w:firstLineChars="200"/>
              <w:rPr>
                <w:rFonts w:ascii="Times New Roman" w:cs="Times New Roman"/>
                <w:color w:val="auto"/>
              </w:rPr>
            </w:pPr>
            <w:r>
              <w:rPr>
                <w:rFonts w:ascii="Times New Roman" w:cs="Times New Roman"/>
                <w:color w:val="auto"/>
              </w:rPr>
              <w:t>当P</w:t>
            </w:r>
            <w:r>
              <w:rPr>
                <w:rFonts w:ascii="Times New Roman" w:cs="Times New Roman"/>
                <w:color w:val="auto"/>
                <w:vertAlign w:val="subscript"/>
              </w:rPr>
              <w:t>i</w:t>
            </w:r>
            <w:r>
              <w:rPr>
                <w:rFonts w:ascii="Times New Roman" w:cs="Times New Roman"/>
                <w:color w:val="auto"/>
              </w:rPr>
              <w:t>＞1时，说明环境中i污染物含量超过标准值，当P</w:t>
            </w:r>
            <w:r>
              <w:rPr>
                <w:rFonts w:ascii="Times New Roman" w:cs="Times New Roman"/>
                <w:color w:val="auto"/>
                <w:vertAlign w:val="subscript"/>
              </w:rPr>
              <w:t>i</w:t>
            </w:r>
            <w:r>
              <w:rPr>
                <w:rFonts w:ascii="Times New Roman" w:cs="Times New Roman"/>
                <w:color w:val="auto"/>
              </w:rPr>
              <w:t>≤1时，则说明i污染物符合标准。某污染物的Pi值越大，则污染相对越严重。</w:t>
            </w:r>
          </w:p>
          <w:p>
            <w:pPr>
              <w:pStyle w:val="6"/>
            </w:pPr>
            <w:r>
              <w:rPr>
                <w:rFonts w:hint="eastAsia"/>
              </w:rPr>
              <w:t>1.5</w:t>
            </w:r>
            <w:r>
              <w:t>基本污染物监测及评价</w:t>
            </w:r>
          </w:p>
          <w:p>
            <w:pPr>
              <w:pStyle w:val="22"/>
              <w:tabs>
                <w:tab w:val="left" w:pos="1845"/>
              </w:tabs>
              <w:spacing w:line="360" w:lineRule="auto"/>
              <w:ind w:firstLine="480" w:firstLineChars="200"/>
              <w:rPr>
                <w:rFonts w:ascii="Times New Roman" w:cs="Times New Roman"/>
                <w:color w:val="auto"/>
              </w:rPr>
            </w:pPr>
            <w:r>
              <w:rPr>
                <w:rFonts w:ascii="Times New Roman" w:cs="Times New Roman"/>
                <w:color w:val="auto"/>
              </w:rPr>
              <w:t>根据2020年监测站点空气质量逐日统计结果，SO</w:t>
            </w:r>
            <w:r>
              <w:rPr>
                <w:rFonts w:ascii="Times New Roman" w:cs="Times New Roman"/>
                <w:bCs/>
                <w:color w:val="auto"/>
                <w:kern w:val="2"/>
                <w:vertAlign w:val="subscript"/>
              </w:rPr>
              <w:t>2</w:t>
            </w:r>
            <w:r>
              <w:rPr>
                <w:rFonts w:ascii="Times New Roman" w:cs="Times New Roman"/>
                <w:color w:val="auto"/>
              </w:rPr>
              <w:t>、NO</w:t>
            </w:r>
            <w:r>
              <w:rPr>
                <w:rFonts w:ascii="Times New Roman" w:cs="Times New Roman"/>
                <w:bCs/>
                <w:color w:val="auto"/>
                <w:kern w:val="2"/>
                <w:vertAlign w:val="subscript"/>
              </w:rPr>
              <w:t>2</w:t>
            </w:r>
            <w:r>
              <w:rPr>
                <w:rFonts w:ascii="Times New Roman" w:cs="Times New Roman"/>
                <w:color w:val="auto"/>
              </w:rPr>
              <w:t>、PM</w:t>
            </w:r>
            <w:r>
              <w:rPr>
                <w:rFonts w:ascii="Times New Roman" w:cs="Times New Roman"/>
                <w:bCs/>
                <w:color w:val="auto"/>
                <w:kern w:val="2"/>
                <w:vertAlign w:val="subscript"/>
              </w:rPr>
              <w:t>10</w:t>
            </w:r>
            <w:r>
              <w:rPr>
                <w:rFonts w:ascii="Times New Roman" w:cs="Times New Roman"/>
                <w:color w:val="auto"/>
              </w:rPr>
              <w:t>、PM</w:t>
            </w:r>
            <w:r>
              <w:rPr>
                <w:rFonts w:ascii="Times New Roman" w:cs="Times New Roman"/>
                <w:bCs/>
                <w:color w:val="auto"/>
                <w:kern w:val="2"/>
                <w:vertAlign w:val="subscript"/>
              </w:rPr>
              <w:t>2.5</w:t>
            </w:r>
            <w:r>
              <w:rPr>
                <w:rFonts w:ascii="Times New Roman" w:cs="Times New Roman"/>
                <w:color w:val="auto"/>
              </w:rPr>
              <w:t>、CO和O</w:t>
            </w:r>
            <w:r>
              <w:rPr>
                <w:rFonts w:ascii="Times New Roman" w:cs="Times New Roman"/>
                <w:bCs/>
                <w:color w:val="auto"/>
                <w:kern w:val="2"/>
                <w:vertAlign w:val="subscript"/>
              </w:rPr>
              <w:t>3</w:t>
            </w:r>
            <w:r>
              <w:rPr>
                <w:rFonts w:ascii="Times New Roman" w:cs="Times New Roman"/>
                <w:color w:val="auto"/>
              </w:rPr>
              <w:t>连续一年的基本污染物监测数据，基本污染物环境空气质量现状评价表见表3-2。</w:t>
            </w:r>
          </w:p>
          <w:p>
            <w:pPr>
              <w:adjustRightInd w:val="0"/>
              <w:snapToGrid w:val="0"/>
              <w:ind w:firstLine="422" w:firstLineChars="200"/>
              <w:jc w:val="center"/>
              <w:rPr>
                <w:b/>
                <w:szCs w:val="21"/>
              </w:rPr>
            </w:pPr>
            <w:r>
              <w:rPr>
                <w:rStyle w:val="27"/>
                <w:rFonts w:hint="default"/>
              </w:rPr>
              <w:t>表3-2  大气环境质量标准</w:t>
            </w:r>
            <w:r>
              <w:rPr>
                <w:b/>
                <w:szCs w:val="21"/>
              </w:rPr>
              <w:t xml:space="preserve">  </w:t>
            </w:r>
          </w:p>
          <w:tbl>
            <w:tblPr>
              <w:tblStyle w:val="17"/>
              <w:tblW w:w="8158"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988"/>
              <w:gridCol w:w="1147"/>
              <w:gridCol w:w="1125"/>
              <w:gridCol w:w="890"/>
              <w:gridCol w:w="853"/>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5" w:type="dxa"/>
                  <w:tcBorders>
                    <w:bottom w:val="single" w:color="000000" w:sz="12" w:space="0"/>
                  </w:tcBorders>
                  <w:vAlign w:val="center"/>
                </w:tcPr>
                <w:p>
                  <w:pPr>
                    <w:pStyle w:val="32"/>
                    <w:ind w:firstLine="0" w:firstLineChars="0"/>
                    <w:rPr>
                      <w:b/>
                      <w:bCs w:val="0"/>
                      <w:kern w:val="0"/>
                    </w:rPr>
                  </w:pPr>
                  <w:r>
                    <w:rPr>
                      <w:b/>
                      <w:bCs w:val="0"/>
                    </w:rPr>
                    <w:t>评价因子</w:t>
                  </w:r>
                </w:p>
              </w:tc>
              <w:tc>
                <w:tcPr>
                  <w:tcW w:w="2988" w:type="dxa"/>
                  <w:tcBorders>
                    <w:bottom w:val="single" w:color="000000" w:sz="12" w:space="0"/>
                  </w:tcBorders>
                  <w:vAlign w:val="center"/>
                </w:tcPr>
                <w:p>
                  <w:pPr>
                    <w:pStyle w:val="32"/>
                    <w:ind w:firstLine="0" w:firstLineChars="0"/>
                    <w:rPr>
                      <w:b/>
                      <w:bCs w:val="0"/>
                      <w:kern w:val="0"/>
                    </w:rPr>
                  </w:pPr>
                  <w:r>
                    <w:rPr>
                      <w:b/>
                      <w:bCs w:val="0"/>
                    </w:rPr>
                    <w:t>年评价指标</w:t>
                  </w:r>
                </w:p>
              </w:tc>
              <w:tc>
                <w:tcPr>
                  <w:tcW w:w="1147" w:type="dxa"/>
                  <w:tcBorders>
                    <w:bottom w:val="single" w:color="000000" w:sz="12" w:space="0"/>
                  </w:tcBorders>
                  <w:vAlign w:val="center"/>
                </w:tcPr>
                <w:p>
                  <w:pPr>
                    <w:pStyle w:val="32"/>
                    <w:ind w:firstLine="0" w:firstLineChars="0"/>
                    <w:rPr>
                      <w:b/>
                      <w:bCs w:val="0"/>
                    </w:rPr>
                  </w:pPr>
                  <w:r>
                    <w:rPr>
                      <w:b/>
                      <w:bCs w:val="0"/>
                    </w:rPr>
                    <w:t>现状浓度</w:t>
                  </w:r>
                </w:p>
                <w:p>
                  <w:pPr>
                    <w:pStyle w:val="32"/>
                    <w:ind w:firstLine="0" w:firstLineChars="0"/>
                    <w:rPr>
                      <w:b/>
                      <w:bCs w:val="0"/>
                    </w:rPr>
                  </w:pPr>
                  <w:r>
                    <w:rPr>
                      <w:b/>
                      <w:bCs w:val="0"/>
                    </w:rPr>
                    <w:t>（μg/m</w:t>
                  </w:r>
                  <w:r>
                    <w:rPr>
                      <w:b/>
                      <w:bCs w:val="0"/>
                      <w:vertAlign w:val="superscript"/>
                    </w:rPr>
                    <w:t>3</w:t>
                  </w:r>
                  <w:r>
                    <w:rPr>
                      <w:b/>
                      <w:bCs w:val="0"/>
                    </w:rPr>
                    <w:t>）</w:t>
                  </w:r>
                </w:p>
              </w:tc>
              <w:tc>
                <w:tcPr>
                  <w:tcW w:w="1125" w:type="dxa"/>
                  <w:tcBorders>
                    <w:bottom w:val="single" w:color="000000" w:sz="12" w:space="0"/>
                  </w:tcBorders>
                  <w:vAlign w:val="center"/>
                </w:tcPr>
                <w:p>
                  <w:pPr>
                    <w:pStyle w:val="32"/>
                    <w:ind w:firstLine="0" w:firstLineChars="0"/>
                    <w:rPr>
                      <w:b/>
                      <w:bCs w:val="0"/>
                    </w:rPr>
                  </w:pPr>
                  <w:r>
                    <w:rPr>
                      <w:b/>
                      <w:bCs w:val="0"/>
                    </w:rPr>
                    <w:t>标准限值</w:t>
                  </w:r>
                </w:p>
                <w:p>
                  <w:pPr>
                    <w:pStyle w:val="32"/>
                    <w:ind w:firstLine="0" w:firstLineChars="0"/>
                    <w:rPr>
                      <w:b/>
                      <w:bCs w:val="0"/>
                      <w:kern w:val="0"/>
                    </w:rPr>
                  </w:pPr>
                  <w:r>
                    <w:rPr>
                      <w:b/>
                      <w:bCs w:val="0"/>
                    </w:rPr>
                    <w:t>（μg/m</w:t>
                  </w:r>
                  <w:r>
                    <w:rPr>
                      <w:b/>
                      <w:bCs w:val="0"/>
                      <w:vertAlign w:val="superscript"/>
                    </w:rPr>
                    <w:t>3</w:t>
                  </w:r>
                  <w:r>
                    <w:rPr>
                      <w:b/>
                      <w:bCs w:val="0"/>
                    </w:rPr>
                    <w:t>）</w:t>
                  </w:r>
                </w:p>
              </w:tc>
              <w:tc>
                <w:tcPr>
                  <w:tcW w:w="890" w:type="dxa"/>
                  <w:tcBorders>
                    <w:bottom w:val="single" w:color="000000" w:sz="12" w:space="0"/>
                  </w:tcBorders>
                  <w:vAlign w:val="center"/>
                </w:tcPr>
                <w:p>
                  <w:pPr>
                    <w:pStyle w:val="32"/>
                    <w:ind w:firstLine="0" w:firstLineChars="0"/>
                    <w:rPr>
                      <w:b/>
                      <w:bCs w:val="0"/>
                      <w:kern w:val="0"/>
                    </w:rPr>
                  </w:pPr>
                  <w:r>
                    <w:rPr>
                      <w:b/>
                      <w:bCs w:val="0"/>
                    </w:rPr>
                    <w:t>占标率</w:t>
                  </w:r>
                  <w:r>
                    <w:rPr>
                      <w:rFonts w:hint="eastAsia"/>
                      <w:b/>
                      <w:bCs w:val="0"/>
                    </w:rPr>
                    <w:t>（</w:t>
                  </w:r>
                  <w:r>
                    <w:rPr>
                      <w:b/>
                      <w:bCs w:val="0"/>
                    </w:rPr>
                    <w:t>%</w:t>
                  </w:r>
                  <w:r>
                    <w:rPr>
                      <w:rFonts w:hint="eastAsia"/>
                      <w:b/>
                      <w:bCs w:val="0"/>
                    </w:rPr>
                    <w:t>）</w:t>
                  </w:r>
                </w:p>
              </w:tc>
              <w:tc>
                <w:tcPr>
                  <w:tcW w:w="853" w:type="dxa"/>
                  <w:tcBorders>
                    <w:bottom w:val="single" w:color="000000" w:sz="12" w:space="0"/>
                  </w:tcBorders>
                  <w:vAlign w:val="center"/>
                </w:tcPr>
                <w:p>
                  <w:pPr>
                    <w:pStyle w:val="32"/>
                    <w:ind w:firstLine="0" w:firstLineChars="0"/>
                    <w:rPr>
                      <w:b/>
                      <w:bCs w:val="0"/>
                      <w:kern w:val="0"/>
                    </w:rPr>
                  </w:pPr>
                  <w:r>
                    <w:rPr>
                      <w:b/>
                      <w:bCs w:val="0"/>
                    </w:rPr>
                    <w:t>达标情况</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5" w:type="dxa"/>
                  <w:tcBorders>
                    <w:top w:val="single" w:color="000000" w:sz="12" w:space="0"/>
                  </w:tcBorders>
                  <w:vAlign w:val="center"/>
                </w:tcPr>
                <w:p>
                  <w:pPr>
                    <w:pStyle w:val="32"/>
                    <w:ind w:firstLine="0" w:firstLineChars="0"/>
                  </w:pPr>
                  <w:r>
                    <w:t>SO</w:t>
                  </w:r>
                  <w:r>
                    <w:rPr>
                      <w:vertAlign w:val="subscript"/>
                    </w:rPr>
                    <w:t>2</w:t>
                  </w:r>
                </w:p>
              </w:tc>
              <w:tc>
                <w:tcPr>
                  <w:tcW w:w="2988" w:type="dxa"/>
                  <w:tcBorders>
                    <w:top w:val="single" w:color="000000" w:sz="12" w:space="0"/>
                  </w:tcBorders>
                  <w:vAlign w:val="center"/>
                </w:tcPr>
                <w:p>
                  <w:pPr>
                    <w:pStyle w:val="32"/>
                    <w:ind w:firstLine="0" w:firstLineChars="0"/>
                  </w:pPr>
                  <w:r>
                    <w:t>年平均</w:t>
                  </w:r>
                </w:p>
              </w:tc>
              <w:tc>
                <w:tcPr>
                  <w:tcW w:w="1147" w:type="dxa"/>
                  <w:tcBorders>
                    <w:top w:val="single" w:color="000000" w:sz="12" w:space="0"/>
                  </w:tcBorders>
                  <w:vAlign w:val="center"/>
                </w:tcPr>
                <w:p>
                  <w:pPr>
                    <w:pStyle w:val="32"/>
                    <w:ind w:firstLine="0" w:firstLineChars="0"/>
                    <w:rPr>
                      <w:highlight w:val="yellow"/>
                    </w:rPr>
                  </w:pPr>
                  <w:r>
                    <w:t>8</w:t>
                  </w:r>
                </w:p>
              </w:tc>
              <w:tc>
                <w:tcPr>
                  <w:tcW w:w="1125" w:type="dxa"/>
                  <w:tcBorders>
                    <w:top w:val="single" w:color="000000" w:sz="12" w:space="0"/>
                  </w:tcBorders>
                  <w:vAlign w:val="center"/>
                </w:tcPr>
                <w:p>
                  <w:pPr>
                    <w:pStyle w:val="32"/>
                    <w:ind w:firstLine="0" w:firstLineChars="0"/>
                    <w:rPr>
                      <w:highlight w:val="yellow"/>
                    </w:rPr>
                  </w:pPr>
                  <w:r>
                    <w:t>60</w:t>
                  </w:r>
                </w:p>
              </w:tc>
              <w:tc>
                <w:tcPr>
                  <w:tcW w:w="890" w:type="dxa"/>
                  <w:tcBorders>
                    <w:top w:val="single" w:color="000000" w:sz="12" w:space="0"/>
                  </w:tcBorders>
                  <w:vAlign w:val="center"/>
                </w:tcPr>
                <w:p>
                  <w:pPr>
                    <w:pStyle w:val="32"/>
                    <w:ind w:firstLine="0" w:firstLineChars="0"/>
                    <w:rPr>
                      <w:highlight w:val="yellow"/>
                    </w:rPr>
                  </w:pPr>
                  <w:r>
                    <w:t>13.3</w:t>
                  </w:r>
                </w:p>
              </w:tc>
              <w:tc>
                <w:tcPr>
                  <w:tcW w:w="853" w:type="dxa"/>
                  <w:tcBorders>
                    <w:top w:val="single" w:color="000000" w:sz="12" w:space="0"/>
                  </w:tcBorders>
                  <w:vAlign w:val="center"/>
                </w:tcPr>
                <w:p>
                  <w:pPr>
                    <w:pStyle w:val="32"/>
                    <w:ind w:firstLine="0" w:firstLineChars="0"/>
                    <w:rPr>
                      <w:highlight w:val="yellow"/>
                    </w:rPr>
                  </w:pPr>
                  <w:r>
                    <w:t>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5" w:type="dxa"/>
                  <w:vAlign w:val="center"/>
                </w:tcPr>
                <w:p>
                  <w:pPr>
                    <w:pStyle w:val="32"/>
                    <w:ind w:firstLine="0" w:firstLineChars="0"/>
                    <w:rPr>
                      <w:position w:val="2"/>
                    </w:rPr>
                  </w:pPr>
                  <w:r>
                    <w:t>NO</w:t>
                  </w:r>
                  <w:r>
                    <w:rPr>
                      <w:vertAlign w:val="subscript"/>
                    </w:rPr>
                    <w:t>2</w:t>
                  </w:r>
                </w:p>
              </w:tc>
              <w:tc>
                <w:tcPr>
                  <w:tcW w:w="2988" w:type="dxa"/>
                  <w:vAlign w:val="center"/>
                </w:tcPr>
                <w:p>
                  <w:pPr>
                    <w:pStyle w:val="32"/>
                    <w:ind w:firstLine="0" w:firstLineChars="0"/>
                  </w:pPr>
                  <w:r>
                    <w:t>年平均</w:t>
                  </w:r>
                </w:p>
              </w:tc>
              <w:tc>
                <w:tcPr>
                  <w:tcW w:w="1147" w:type="dxa"/>
                  <w:vAlign w:val="center"/>
                </w:tcPr>
                <w:p>
                  <w:pPr>
                    <w:pStyle w:val="32"/>
                    <w:ind w:firstLine="0" w:firstLineChars="0"/>
                    <w:rPr>
                      <w:highlight w:val="yellow"/>
                    </w:rPr>
                  </w:pPr>
                  <w:r>
                    <w:t>33</w:t>
                  </w:r>
                </w:p>
              </w:tc>
              <w:tc>
                <w:tcPr>
                  <w:tcW w:w="1125" w:type="dxa"/>
                  <w:vAlign w:val="center"/>
                </w:tcPr>
                <w:p>
                  <w:pPr>
                    <w:pStyle w:val="32"/>
                    <w:ind w:firstLine="0" w:firstLineChars="0"/>
                    <w:rPr>
                      <w:highlight w:val="yellow"/>
                    </w:rPr>
                  </w:pPr>
                  <w:r>
                    <w:t>40</w:t>
                  </w:r>
                </w:p>
              </w:tc>
              <w:tc>
                <w:tcPr>
                  <w:tcW w:w="890" w:type="dxa"/>
                  <w:vAlign w:val="center"/>
                </w:tcPr>
                <w:p>
                  <w:pPr>
                    <w:pStyle w:val="32"/>
                    <w:ind w:firstLine="0" w:firstLineChars="0"/>
                    <w:rPr>
                      <w:highlight w:val="yellow"/>
                    </w:rPr>
                  </w:pPr>
                  <w:r>
                    <w:t>82.5</w:t>
                  </w:r>
                </w:p>
              </w:tc>
              <w:tc>
                <w:tcPr>
                  <w:tcW w:w="853" w:type="dxa"/>
                  <w:vAlign w:val="center"/>
                </w:tcPr>
                <w:p>
                  <w:pPr>
                    <w:pStyle w:val="32"/>
                    <w:ind w:firstLine="0" w:firstLineChars="0"/>
                    <w:rPr>
                      <w:highlight w:val="yellow"/>
                    </w:rPr>
                  </w:pPr>
                  <w:r>
                    <w:t>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5" w:type="dxa"/>
                  <w:vAlign w:val="center"/>
                </w:tcPr>
                <w:p>
                  <w:pPr>
                    <w:pStyle w:val="32"/>
                    <w:ind w:firstLine="0" w:firstLineChars="0"/>
                  </w:pPr>
                  <w:r>
                    <w:t>CO</w:t>
                  </w:r>
                </w:p>
              </w:tc>
              <w:tc>
                <w:tcPr>
                  <w:tcW w:w="2988" w:type="dxa"/>
                  <w:vAlign w:val="center"/>
                </w:tcPr>
                <w:p>
                  <w:pPr>
                    <w:pStyle w:val="32"/>
                    <w:ind w:firstLine="0" w:firstLineChars="0"/>
                  </w:pPr>
                  <w:r>
                    <w:t>日平均第95百分位数</w:t>
                  </w:r>
                </w:p>
              </w:tc>
              <w:tc>
                <w:tcPr>
                  <w:tcW w:w="1147" w:type="dxa"/>
                  <w:vAlign w:val="center"/>
                </w:tcPr>
                <w:p>
                  <w:pPr>
                    <w:pStyle w:val="32"/>
                    <w:ind w:firstLine="0" w:firstLineChars="0"/>
                    <w:rPr>
                      <w:highlight w:val="yellow"/>
                    </w:rPr>
                  </w:pPr>
                  <w:r>
                    <w:t>2.5</w:t>
                  </w:r>
                </w:p>
              </w:tc>
              <w:tc>
                <w:tcPr>
                  <w:tcW w:w="1125" w:type="dxa"/>
                  <w:vAlign w:val="center"/>
                </w:tcPr>
                <w:p>
                  <w:pPr>
                    <w:pStyle w:val="32"/>
                    <w:ind w:firstLine="0" w:firstLineChars="0"/>
                    <w:rPr>
                      <w:highlight w:val="yellow"/>
                    </w:rPr>
                  </w:pPr>
                  <w:r>
                    <w:t>4000</w:t>
                  </w:r>
                </w:p>
              </w:tc>
              <w:tc>
                <w:tcPr>
                  <w:tcW w:w="890" w:type="dxa"/>
                  <w:vAlign w:val="center"/>
                </w:tcPr>
                <w:p>
                  <w:pPr>
                    <w:pStyle w:val="32"/>
                    <w:ind w:firstLine="0" w:firstLineChars="0"/>
                    <w:rPr>
                      <w:highlight w:val="yellow"/>
                    </w:rPr>
                  </w:pPr>
                  <w:r>
                    <w:t>62.5</w:t>
                  </w:r>
                </w:p>
              </w:tc>
              <w:tc>
                <w:tcPr>
                  <w:tcW w:w="853" w:type="dxa"/>
                  <w:vAlign w:val="center"/>
                </w:tcPr>
                <w:p>
                  <w:pPr>
                    <w:pStyle w:val="32"/>
                    <w:ind w:firstLine="0" w:firstLineChars="0"/>
                    <w:rPr>
                      <w:highlight w:val="yellow"/>
                    </w:rPr>
                  </w:pPr>
                  <w:r>
                    <w:t>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5" w:type="dxa"/>
                  <w:vAlign w:val="center"/>
                </w:tcPr>
                <w:p>
                  <w:pPr>
                    <w:pStyle w:val="32"/>
                    <w:ind w:firstLine="0" w:firstLineChars="0"/>
                    <w:rPr>
                      <w:position w:val="2"/>
                    </w:rPr>
                  </w:pPr>
                  <w:r>
                    <w:t>O</w:t>
                  </w:r>
                  <w:r>
                    <w:rPr>
                      <w:vertAlign w:val="subscript"/>
                    </w:rPr>
                    <w:t>3</w:t>
                  </w:r>
                </w:p>
              </w:tc>
              <w:tc>
                <w:tcPr>
                  <w:tcW w:w="2988" w:type="dxa"/>
                  <w:vAlign w:val="center"/>
                </w:tcPr>
                <w:p>
                  <w:pPr>
                    <w:pStyle w:val="35"/>
                    <w:rPr>
                      <w:rFonts w:hint="default"/>
                      <w:szCs w:val="21"/>
                    </w:rPr>
                  </w:pPr>
                  <w:r>
                    <w:rPr>
                      <w:rFonts w:hint="default"/>
                      <w:szCs w:val="21"/>
                    </w:rPr>
                    <w:t>最大8小时平均第90百分位数</w:t>
                  </w:r>
                </w:p>
              </w:tc>
              <w:tc>
                <w:tcPr>
                  <w:tcW w:w="1147" w:type="dxa"/>
                  <w:vAlign w:val="center"/>
                </w:tcPr>
                <w:p>
                  <w:pPr>
                    <w:pStyle w:val="32"/>
                    <w:ind w:firstLine="0" w:firstLineChars="0"/>
                    <w:rPr>
                      <w:highlight w:val="yellow"/>
                    </w:rPr>
                  </w:pPr>
                  <w:r>
                    <w:t>131</w:t>
                  </w:r>
                </w:p>
              </w:tc>
              <w:tc>
                <w:tcPr>
                  <w:tcW w:w="1125" w:type="dxa"/>
                  <w:vAlign w:val="center"/>
                </w:tcPr>
                <w:p>
                  <w:pPr>
                    <w:pStyle w:val="32"/>
                    <w:ind w:firstLine="0" w:firstLineChars="0"/>
                    <w:rPr>
                      <w:highlight w:val="yellow"/>
                    </w:rPr>
                  </w:pPr>
                  <w:r>
                    <w:t>160</w:t>
                  </w:r>
                </w:p>
              </w:tc>
              <w:tc>
                <w:tcPr>
                  <w:tcW w:w="890" w:type="dxa"/>
                  <w:vAlign w:val="center"/>
                </w:tcPr>
                <w:p>
                  <w:pPr>
                    <w:pStyle w:val="32"/>
                    <w:ind w:firstLine="0" w:firstLineChars="0"/>
                    <w:rPr>
                      <w:highlight w:val="yellow"/>
                    </w:rPr>
                  </w:pPr>
                  <w:r>
                    <w:t>81.9</w:t>
                  </w:r>
                </w:p>
              </w:tc>
              <w:tc>
                <w:tcPr>
                  <w:tcW w:w="853" w:type="dxa"/>
                  <w:vAlign w:val="center"/>
                </w:tcPr>
                <w:p>
                  <w:pPr>
                    <w:pStyle w:val="32"/>
                    <w:ind w:firstLine="0" w:firstLineChars="0"/>
                    <w:rPr>
                      <w:highlight w:val="yellow"/>
                    </w:rPr>
                  </w:pPr>
                  <w:r>
                    <w:t>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5" w:type="dxa"/>
                  <w:vAlign w:val="center"/>
                </w:tcPr>
                <w:p>
                  <w:pPr>
                    <w:pStyle w:val="32"/>
                    <w:ind w:firstLine="0" w:firstLineChars="0"/>
                  </w:pPr>
                  <w:r>
                    <w:t>PM</w:t>
                  </w:r>
                  <w:r>
                    <w:rPr>
                      <w:vertAlign w:val="subscript"/>
                    </w:rPr>
                    <w:t>2.5</w:t>
                  </w:r>
                </w:p>
              </w:tc>
              <w:tc>
                <w:tcPr>
                  <w:tcW w:w="2988" w:type="dxa"/>
                  <w:vAlign w:val="center"/>
                </w:tcPr>
                <w:p>
                  <w:pPr>
                    <w:pStyle w:val="32"/>
                    <w:ind w:firstLine="0" w:firstLineChars="0"/>
                  </w:pPr>
                  <w:r>
                    <w:t>年平均</w:t>
                  </w:r>
                </w:p>
              </w:tc>
              <w:tc>
                <w:tcPr>
                  <w:tcW w:w="1147" w:type="dxa"/>
                  <w:vAlign w:val="center"/>
                </w:tcPr>
                <w:p>
                  <w:pPr>
                    <w:pStyle w:val="32"/>
                    <w:jc w:val="both"/>
                    <w:rPr>
                      <w:highlight w:val="yellow"/>
                    </w:rPr>
                  </w:pPr>
                  <w:r>
                    <w:t>53</w:t>
                  </w:r>
                </w:p>
              </w:tc>
              <w:tc>
                <w:tcPr>
                  <w:tcW w:w="1125" w:type="dxa"/>
                  <w:vAlign w:val="center"/>
                </w:tcPr>
                <w:p>
                  <w:pPr>
                    <w:pStyle w:val="32"/>
                    <w:ind w:firstLine="0" w:firstLineChars="0"/>
                    <w:rPr>
                      <w:highlight w:val="yellow"/>
                    </w:rPr>
                  </w:pPr>
                  <w:r>
                    <w:t>35</w:t>
                  </w:r>
                </w:p>
              </w:tc>
              <w:tc>
                <w:tcPr>
                  <w:tcW w:w="890" w:type="dxa"/>
                  <w:vAlign w:val="center"/>
                </w:tcPr>
                <w:p>
                  <w:pPr>
                    <w:pStyle w:val="32"/>
                    <w:ind w:firstLine="0" w:firstLineChars="0"/>
                    <w:rPr>
                      <w:highlight w:val="yellow"/>
                    </w:rPr>
                  </w:pPr>
                  <w:r>
                    <w:t>151.4</w:t>
                  </w:r>
                </w:p>
              </w:tc>
              <w:tc>
                <w:tcPr>
                  <w:tcW w:w="853" w:type="dxa"/>
                  <w:vAlign w:val="center"/>
                </w:tcPr>
                <w:p>
                  <w:pPr>
                    <w:pStyle w:val="32"/>
                    <w:ind w:firstLine="0" w:firstLineChars="0"/>
                    <w:rPr>
                      <w:highlight w:val="yellow"/>
                    </w:rPr>
                  </w:pPr>
                  <w:r>
                    <w:t>不达标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5" w:type="dxa"/>
                  <w:vAlign w:val="center"/>
                </w:tcPr>
                <w:p>
                  <w:pPr>
                    <w:pStyle w:val="32"/>
                    <w:ind w:firstLine="0" w:firstLineChars="0"/>
                    <w:rPr>
                      <w:position w:val="2"/>
                    </w:rPr>
                  </w:pPr>
                  <w:r>
                    <w:t>PM</w:t>
                  </w:r>
                  <w:r>
                    <w:rPr>
                      <w:vertAlign w:val="subscript"/>
                    </w:rPr>
                    <w:t>10</w:t>
                  </w:r>
                </w:p>
              </w:tc>
              <w:tc>
                <w:tcPr>
                  <w:tcW w:w="2988" w:type="dxa"/>
                  <w:vAlign w:val="center"/>
                </w:tcPr>
                <w:p>
                  <w:pPr>
                    <w:pStyle w:val="32"/>
                    <w:ind w:firstLine="0" w:firstLineChars="0"/>
                  </w:pPr>
                  <w:r>
                    <w:t>年平均</w:t>
                  </w:r>
                </w:p>
              </w:tc>
              <w:tc>
                <w:tcPr>
                  <w:tcW w:w="1147" w:type="dxa"/>
                  <w:vAlign w:val="center"/>
                </w:tcPr>
                <w:p>
                  <w:pPr>
                    <w:pStyle w:val="32"/>
                    <w:jc w:val="both"/>
                  </w:pPr>
                  <w:r>
                    <w:t>88</w:t>
                  </w:r>
                </w:p>
              </w:tc>
              <w:tc>
                <w:tcPr>
                  <w:tcW w:w="1125" w:type="dxa"/>
                  <w:vAlign w:val="center"/>
                </w:tcPr>
                <w:p>
                  <w:pPr>
                    <w:pStyle w:val="32"/>
                    <w:ind w:firstLine="0" w:firstLineChars="0"/>
                  </w:pPr>
                  <w:r>
                    <w:t>70</w:t>
                  </w:r>
                </w:p>
              </w:tc>
              <w:tc>
                <w:tcPr>
                  <w:tcW w:w="890" w:type="dxa"/>
                  <w:vAlign w:val="center"/>
                </w:tcPr>
                <w:p>
                  <w:pPr>
                    <w:pStyle w:val="32"/>
                    <w:ind w:firstLine="0" w:firstLineChars="0"/>
                  </w:pPr>
                  <w:r>
                    <w:t>125.7</w:t>
                  </w:r>
                </w:p>
              </w:tc>
              <w:tc>
                <w:tcPr>
                  <w:tcW w:w="853" w:type="dxa"/>
                  <w:vAlign w:val="center"/>
                </w:tcPr>
                <w:p>
                  <w:pPr>
                    <w:pStyle w:val="32"/>
                    <w:ind w:firstLine="0" w:firstLineChars="0"/>
                  </w:pPr>
                  <w:r>
                    <w:t>不达标</w:t>
                  </w:r>
                </w:p>
              </w:tc>
            </w:tr>
          </w:tbl>
          <w:p>
            <w:pPr>
              <w:pStyle w:val="31"/>
              <w:ind w:firstLine="480"/>
              <w:rPr>
                <w:rFonts w:cs="Times New Roman"/>
              </w:rPr>
            </w:pPr>
            <w:r>
              <w:rPr>
                <w:rFonts w:cs="Times New Roman"/>
              </w:rPr>
              <w:t>根据上表分析结果，</w:t>
            </w:r>
            <w:r>
              <w:rPr>
                <w:rFonts w:cs="Times New Roman"/>
                <w:lang w:bidi="ar"/>
              </w:rPr>
              <w:t>项目所在区域SO</w:t>
            </w:r>
            <w:r>
              <w:rPr>
                <w:rFonts w:cs="Times New Roman"/>
                <w:vertAlign w:val="subscript"/>
                <w:lang w:bidi="ar"/>
              </w:rPr>
              <w:t>2</w:t>
            </w:r>
            <w:r>
              <w:rPr>
                <w:rFonts w:cs="Times New Roman"/>
                <w:lang w:bidi="ar"/>
              </w:rPr>
              <w:t>、CO、NO</w:t>
            </w:r>
            <w:r>
              <w:rPr>
                <w:rFonts w:cs="Times New Roman"/>
                <w:vertAlign w:val="subscript"/>
                <w:lang w:bidi="ar"/>
              </w:rPr>
              <w:t>2</w:t>
            </w:r>
            <w:r>
              <w:rPr>
                <w:rFonts w:cs="Times New Roman"/>
                <w:lang w:bidi="ar"/>
              </w:rPr>
              <w:t>年均浓度均满足《环境空气质量标</w:t>
            </w:r>
            <w:r>
              <w:rPr>
                <w:rFonts w:cs="Times New Roman"/>
              </w:rPr>
              <w:t>准》（GB3095-2012）的二级标准要求，O</w:t>
            </w:r>
            <w:r>
              <w:rPr>
                <w:rFonts w:cs="Times New Roman"/>
                <w:vertAlign w:val="subscript"/>
              </w:rPr>
              <w:t>3</w:t>
            </w:r>
            <w:r>
              <w:rPr>
                <w:rFonts w:cs="Times New Roman"/>
              </w:rPr>
              <w:t>日8小时平均浓度满足《环境空气质量标准》（GB3095-2012）的二级标准要求；PM</w:t>
            </w:r>
            <w:r>
              <w:rPr>
                <w:rFonts w:cs="Times New Roman"/>
                <w:vertAlign w:val="subscript"/>
              </w:rPr>
              <w:t>2.5</w:t>
            </w:r>
            <w:r>
              <w:rPr>
                <w:rFonts w:cs="Times New Roman"/>
              </w:rPr>
              <w:t>、PM</w:t>
            </w:r>
            <w:r>
              <w:rPr>
                <w:rFonts w:cs="Times New Roman"/>
                <w:vertAlign w:val="subscript"/>
              </w:rPr>
              <w:t>10</w:t>
            </w:r>
            <w:r>
              <w:rPr>
                <w:rFonts w:cs="Times New Roman"/>
              </w:rPr>
              <w:t>的年平均浓度和日均浓度均超标。因此本项目所在区域为不达标区域。</w:t>
            </w:r>
          </w:p>
          <w:p>
            <w:pPr>
              <w:adjustRightInd w:val="0"/>
              <w:snapToGrid w:val="0"/>
              <w:spacing w:line="360" w:lineRule="auto"/>
              <w:jc w:val="left"/>
              <w:rPr>
                <w:b/>
                <w:color w:val="000000"/>
                <w:sz w:val="24"/>
              </w:rPr>
            </w:pPr>
            <w:r>
              <w:rPr>
                <w:b/>
                <w:color w:val="000000"/>
                <w:sz w:val="24"/>
              </w:rPr>
              <w:t>2.水环境</w:t>
            </w:r>
          </w:p>
          <w:p>
            <w:pPr>
              <w:adjustRightInd w:val="0"/>
              <w:snapToGrid w:val="0"/>
              <w:spacing w:line="360" w:lineRule="auto"/>
              <w:ind w:firstLine="480" w:firstLineChars="200"/>
              <w:jc w:val="left"/>
              <w:rPr>
                <w:bCs/>
                <w:color w:val="000000"/>
                <w:sz w:val="24"/>
                <w:highlight w:val="yellow"/>
              </w:rPr>
            </w:pPr>
            <w:r>
              <w:rPr>
                <w:bCs/>
                <w:color w:val="000000"/>
                <w:sz w:val="24"/>
              </w:rPr>
              <w:t>（1）地表水环境</w:t>
            </w:r>
          </w:p>
          <w:p>
            <w:pPr>
              <w:spacing w:line="360" w:lineRule="auto"/>
              <w:ind w:firstLine="482"/>
              <w:rPr>
                <w:color w:val="000000"/>
                <w:sz w:val="24"/>
              </w:rPr>
            </w:pPr>
            <w:r>
              <w:rPr>
                <w:color w:val="000000"/>
                <w:sz w:val="24"/>
              </w:rPr>
              <w:t>根据《环境影响评价技术导则  地表水环境》（HJ2.3-2018），结合本项目工程特点，运营期</w:t>
            </w:r>
            <w:r>
              <w:rPr>
                <w:rFonts w:hint="eastAsia"/>
                <w:color w:val="000000"/>
                <w:sz w:val="24"/>
              </w:rPr>
              <w:t>康复楼</w:t>
            </w:r>
            <w:r>
              <w:rPr>
                <w:color w:val="000000"/>
                <w:sz w:val="24"/>
              </w:rPr>
              <w:t>产生的医疗废水</w:t>
            </w:r>
            <w:r>
              <w:rPr>
                <w:rFonts w:hint="eastAsia"/>
                <w:color w:val="000000"/>
                <w:sz w:val="24"/>
              </w:rPr>
              <w:t>进入</w:t>
            </w:r>
            <w:r>
              <w:rPr>
                <w:color w:val="000000"/>
                <w:sz w:val="24"/>
              </w:rPr>
              <w:t>医院原有污水处理站，经地埋式一体化污水处理设施（调节池→生物接触氧化→</w:t>
            </w:r>
            <w:r>
              <w:rPr>
                <w:rFonts w:hint="eastAsia"/>
                <w:color w:val="000000"/>
                <w:sz w:val="24"/>
              </w:rPr>
              <w:t>次氯酸钠</w:t>
            </w:r>
            <w:r>
              <w:rPr>
                <w:color w:val="000000"/>
                <w:sz w:val="24"/>
              </w:rPr>
              <w:t>消毒）处理后，达到《医疗机构水污染物排放标准》（GB18466-2005）中表2综合医疗机构和其他医疗机构水污染物排放标准后，方可排入市政管网，且本项目区不存在地表水，因此不对本项目地表水进行现状评价。</w:t>
            </w:r>
          </w:p>
          <w:p>
            <w:pPr>
              <w:spacing w:line="360" w:lineRule="auto"/>
              <w:ind w:firstLine="482"/>
              <w:rPr>
                <w:color w:val="000000"/>
                <w:sz w:val="24"/>
              </w:rPr>
            </w:pPr>
            <w:r>
              <w:rPr>
                <w:color w:val="000000"/>
                <w:sz w:val="24"/>
              </w:rPr>
              <w:t>（2）地下水环境</w:t>
            </w:r>
          </w:p>
          <w:p>
            <w:pPr>
              <w:widowControl/>
              <w:wordWrap w:val="0"/>
              <w:spacing w:line="360" w:lineRule="auto"/>
              <w:ind w:firstLine="480" w:firstLineChars="200"/>
              <w:rPr>
                <w:sz w:val="24"/>
              </w:rPr>
            </w:pPr>
            <w:r>
              <w:rPr>
                <w:sz w:val="24"/>
              </w:rPr>
              <w:t>根据《环境影响评价技术导则-地下水环境》（HJ610-2016）规定，本项目属于导则中附录A《地下水环境影响评价行业分类表》中的“V社会事业与服务业”中158、医院，属于Ⅳ类项目，因此无需进行地下水</w:t>
            </w:r>
            <w:r>
              <w:rPr>
                <w:rFonts w:hint="eastAsia"/>
                <w:sz w:val="24"/>
              </w:rPr>
              <w:t>环境</w:t>
            </w:r>
            <w:r>
              <w:rPr>
                <w:sz w:val="24"/>
              </w:rPr>
              <w:t>现状调查。</w:t>
            </w:r>
          </w:p>
          <w:p>
            <w:pPr>
              <w:pStyle w:val="6"/>
            </w:pPr>
            <w:r>
              <w:t>3.声环境</w:t>
            </w:r>
          </w:p>
          <w:p>
            <w:pPr>
              <w:pStyle w:val="6"/>
            </w:pPr>
            <w:r>
              <w:rPr>
                <w:rFonts w:hint="eastAsia"/>
              </w:rPr>
              <w:t>3.1</w:t>
            </w:r>
            <w:r>
              <w:t>监测方法及监测点位</w:t>
            </w:r>
          </w:p>
          <w:p>
            <w:pPr>
              <w:spacing w:line="360" w:lineRule="auto"/>
              <w:ind w:firstLine="482"/>
              <w:rPr>
                <w:sz w:val="24"/>
              </w:rPr>
            </w:pPr>
            <w:r>
              <w:rPr>
                <w:sz w:val="24"/>
              </w:rPr>
              <w:t>监</w:t>
            </w:r>
            <w:r>
              <w:rPr>
                <w:color w:val="000000"/>
                <w:sz w:val="24"/>
              </w:rPr>
              <w:t>测方法：按照《声环境质量标准》（GB3096-2008）的规定执行。监测仪器为AWA6218</w:t>
            </w:r>
            <w:r>
              <w:rPr>
                <w:sz w:val="24"/>
              </w:rPr>
              <w:t>B型噪声统计分析仪，测量前后均用声级标准器进行校准。</w:t>
            </w:r>
          </w:p>
          <w:p>
            <w:pPr>
              <w:spacing w:line="360" w:lineRule="auto"/>
              <w:ind w:firstLine="482"/>
              <w:rPr>
                <w:sz w:val="24"/>
              </w:rPr>
            </w:pPr>
            <w:r>
              <w:rPr>
                <w:sz w:val="24"/>
              </w:rPr>
              <w:t>监测时间：本项目</w:t>
            </w:r>
            <w:r>
              <w:rPr>
                <w:rFonts w:hint="eastAsia"/>
                <w:sz w:val="24"/>
              </w:rPr>
              <w:t>委托</w:t>
            </w:r>
            <w:r>
              <w:fldChar w:fldCharType="begin"/>
            </w:r>
            <w:r>
              <w:instrText xml:space="preserve"> HYPERLINK "https://www.tianyancha.com/company/189239806" \t "https://www.tianyancha.com/_blank" </w:instrText>
            </w:r>
            <w:r>
              <w:fldChar w:fldCharType="separate"/>
            </w:r>
            <w:r>
              <w:rPr>
                <w:sz w:val="24"/>
              </w:rPr>
              <w:t>新疆绿格洁瑞环境检测技术有限公司</w:t>
            </w:r>
            <w:r>
              <w:rPr>
                <w:sz w:val="24"/>
              </w:rPr>
              <w:fldChar w:fldCharType="end"/>
            </w:r>
            <w:r>
              <w:rPr>
                <w:sz w:val="24"/>
              </w:rPr>
              <w:t>于</w:t>
            </w:r>
            <w:r>
              <w:rPr>
                <w:color w:val="000000"/>
                <w:sz w:val="24"/>
              </w:rPr>
              <w:t>2021年</w:t>
            </w:r>
            <w:r>
              <w:rPr>
                <w:rFonts w:hint="eastAsia"/>
                <w:color w:val="000000"/>
                <w:sz w:val="24"/>
              </w:rPr>
              <w:t>10</w:t>
            </w:r>
            <w:r>
              <w:rPr>
                <w:color w:val="000000"/>
                <w:sz w:val="24"/>
              </w:rPr>
              <w:t>月</w:t>
            </w:r>
            <w:r>
              <w:rPr>
                <w:rFonts w:hint="eastAsia"/>
                <w:color w:val="000000"/>
                <w:sz w:val="24"/>
              </w:rPr>
              <w:t>19</w:t>
            </w:r>
            <w:r>
              <w:rPr>
                <w:color w:val="000000"/>
                <w:sz w:val="24"/>
              </w:rPr>
              <w:t>日-</w:t>
            </w:r>
            <w:r>
              <w:rPr>
                <w:rFonts w:hint="eastAsia"/>
                <w:color w:val="000000"/>
                <w:sz w:val="24"/>
              </w:rPr>
              <w:t>20</w:t>
            </w:r>
            <w:r>
              <w:rPr>
                <w:color w:val="000000"/>
                <w:sz w:val="24"/>
              </w:rPr>
              <w:t>日</w:t>
            </w:r>
            <w:r>
              <w:rPr>
                <w:sz w:val="24"/>
              </w:rPr>
              <w:t>对项目所在地东、南、西、北四个方向进行监测。</w:t>
            </w:r>
          </w:p>
          <w:p>
            <w:pPr>
              <w:spacing w:line="360" w:lineRule="auto"/>
              <w:rPr>
                <w:sz w:val="24"/>
              </w:rPr>
            </w:pPr>
            <w:r>
              <w:rPr>
                <w:rFonts w:hint="eastAsia"/>
                <w:b/>
                <w:color w:val="000000"/>
                <w:sz w:val="24"/>
              </w:rPr>
              <w:t>3.2</w:t>
            </w:r>
            <w:r>
              <w:rPr>
                <w:b/>
                <w:color w:val="000000"/>
                <w:sz w:val="24"/>
              </w:rPr>
              <w:t>评价标准与评价方法</w:t>
            </w:r>
          </w:p>
          <w:p>
            <w:pPr>
              <w:spacing w:line="360" w:lineRule="auto"/>
              <w:ind w:firstLine="482"/>
              <w:rPr>
                <w:sz w:val="24"/>
              </w:rPr>
            </w:pPr>
            <w:r>
              <w:rPr>
                <w:sz w:val="24"/>
              </w:rPr>
              <w:t>该项目1#、2#、3#、4#监测点执行《声环境质量标准》（GB3096-2008）标准中</w:t>
            </w:r>
            <w:r>
              <w:rPr>
                <w:rFonts w:hint="eastAsia"/>
                <w:sz w:val="24"/>
              </w:rPr>
              <w:t>1</w:t>
            </w:r>
            <w:r>
              <w:rPr>
                <w:sz w:val="24"/>
              </w:rPr>
              <w:t>类限值；具体噪声限值见表3-</w:t>
            </w:r>
            <w:r>
              <w:rPr>
                <w:rFonts w:hint="eastAsia"/>
                <w:sz w:val="24"/>
              </w:rPr>
              <w:t>3</w:t>
            </w:r>
            <w:r>
              <w:rPr>
                <w:sz w:val="24"/>
              </w:rPr>
              <w:t>。</w:t>
            </w:r>
          </w:p>
          <w:p>
            <w:pPr>
              <w:pStyle w:val="21"/>
              <w:ind w:firstLine="422"/>
              <w:rPr>
                <w:rFonts w:hint="default"/>
              </w:rPr>
            </w:pPr>
            <w:r>
              <w:rPr>
                <w:rFonts w:hint="default"/>
              </w:rPr>
              <w:t>表3-</w:t>
            </w:r>
            <w:r>
              <w:t>3</w:t>
            </w:r>
            <w:r>
              <w:rPr>
                <w:rFonts w:hint="default"/>
              </w:rPr>
              <w:t xml:space="preserve">  环境噪声限值  单位：dB(A)</w:t>
            </w:r>
          </w:p>
          <w:tbl>
            <w:tblPr>
              <w:tblStyle w:val="17"/>
              <w:tblW w:w="81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14"/>
              <w:gridCol w:w="1928"/>
              <w:gridCol w:w="24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3" w:type="dxa"/>
                  <w:gridSpan w:val="2"/>
                  <w:tcBorders>
                    <w:bottom w:val="single" w:color="000000" w:sz="12" w:space="0"/>
                    <w:tl2br w:val="nil"/>
                    <w:tr2bl w:val="nil"/>
                  </w:tcBorders>
                  <w:vAlign w:val="center"/>
                </w:tcPr>
                <w:p>
                  <w:pPr>
                    <w:jc w:val="center"/>
                    <w:rPr>
                      <w:b/>
                      <w:szCs w:val="21"/>
                    </w:rPr>
                  </w:pPr>
                  <w:r>
                    <w:rPr>
                      <w:b/>
                      <w:szCs w:val="21"/>
                    </w:rPr>
                    <w:t>类别</w:t>
                  </w:r>
                </w:p>
              </w:tc>
              <w:tc>
                <w:tcPr>
                  <w:tcW w:w="1928" w:type="dxa"/>
                  <w:tcBorders>
                    <w:bottom w:val="single" w:color="000000" w:sz="12" w:space="0"/>
                    <w:tl2br w:val="nil"/>
                    <w:tr2bl w:val="nil"/>
                  </w:tcBorders>
                  <w:vAlign w:val="center"/>
                </w:tcPr>
                <w:p>
                  <w:pPr>
                    <w:jc w:val="center"/>
                    <w:rPr>
                      <w:b/>
                      <w:szCs w:val="21"/>
                    </w:rPr>
                  </w:pPr>
                  <w:r>
                    <w:rPr>
                      <w:b/>
                      <w:szCs w:val="21"/>
                    </w:rPr>
                    <w:t>昼间</w:t>
                  </w:r>
                </w:p>
              </w:tc>
              <w:tc>
                <w:tcPr>
                  <w:tcW w:w="2418" w:type="dxa"/>
                  <w:tcBorders>
                    <w:bottom w:val="single" w:color="000000" w:sz="12" w:space="0"/>
                    <w:tl2br w:val="nil"/>
                    <w:tr2bl w:val="nil"/>
                  </w:tcBorders>
                  <w:vAlign w:val="center"/>
                </w:tcPr>
                <w:p>
                  <w:pPr>
                    <w:jc w:val="center"/>
                    <w:rPr>
                      <w:b/>
                      <w:szCs w:val="21"/>
                    </w:rPr>
                  </w:pPr>
                  <w:r>
                    <w:rPr>
                      <w:b/>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3" w:type="dxa"/>
                  <w:gridSpan w:val="2"/>
                  <w:tcBorders>
                    <w:top w:val="single" w:color="000000" w:sz="12" w:space="0"/>
                    <w:tl2br w:val="nil"/>
                    <w:tr2bl w:val="nil"/>
                  </w:tcBorders>
                  <w:vAlign w:val="center"/>
                </w:tcPr>
                <w:p>
                  <w:pPr>
                    <w:widowControl/>
                    <w:adjustRightInd w:val="0"/>
                    <w:snapToGrid w:val="0"/>
                    <w:jc w:val="center"/>
                  </w:pPr>
                  <w:r>
                    <w:t>0安静区域</w:t>
                  </w:r>
                </w:p>
              </w:tc>
              <w:tc>
                <w:tcPr>
                  <w:tcW w:w="1928" w:type="dxa"/>
                  <w:tcBorders>
                    <w:top w:val="single" w:color="000000" w:sz="12" w:space="0"/>
                    <w:tl2br w:val="nil"/>
                    <w:tr2bl w:val="nil"/>
                  </w:tcBorders>
                  <w:vAlign w:val="center"/>
                </w:tcPr>
                <w:p>
                  <w:pPr>
                    <w:jc w:val="center"/>
                    <w:rPr>
                      <w:szCs w:val="21"/>
                    </w:rPr>
                  </w:pPr>
                  <w:r>
                    <w:rPr>
                      <w:szCs w:val="21"/>
                    </w:rPr>
                    <w:t>50</w:t>
                  </w:r>
                </w:p>
              </w:tc>
              <w:tc>
                <w:tcPr>
                  <w:tcW w:w="2418" w:type="dxa"/>
                  <w:tcBorders>
                    <w:top w:val="single" w:color="000000" w:sz="12" w:space="0"/>
                    <w:tl2br w:val="nil"/>
                    <w:tr2bl w:val="nil"/>
                  </w:tcBorders>
                  <w:vAlign w:val="center"/>
                </w:tcPr>
                <w:p>
                  <w:pPr>
                    <w:jc w:val="center"/>
                    <w:rPr>
                      <w:szCs w:val="21"/>
                    </w:rPr>
                  </w:pPr>
                  <w:r>
                    <w:rPr>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3" w:type="dxa"/>
                  <w:gridSpan w:val="2"/>
                  <w:tcBorders>
                    <w:tl2br w:val="nil"/>
                    <w:tr2bl w:val="nil"/>
                  </w:tcBorders>
                  <w:vAlign w:val="center"/>
                </w:tcPr>
                <w:p>
                  <w:pPr>
                    <w:widowControl/>
                    <w:adjustRightInd w:val="0"/>
                    <w:snapToGrid w:val="0"/>
                    <w:jc w:val="center"/>
                  </w:pPr>
                  <w:r>
                    <w:t>1居住、文教区</w:t>
                  </w:r>
                </w:p>
              </w:tc>
              <w:tc>
                <w:tcPr>
                  <w:tcW w:w="1928" w:type="dxa"/>
                  <w:tcBorders>
                    <w:tl2br w:val="nil"/>
                    <w:tr2bl w:val="nil"/>
                  </w:tcBorders>
                  <w:vAlign w:val="center"/>
                </w:tcPr>
                <w:p>
                  <w:pPr>
                    <w:jc w:val="center"/>
                    <w:rPr>
                      <w:szCs w:val="21"/>
                    </w:rPr>
                  </w:pPr>
                  <w:r>
                    <w:rPr>
                      <w:szCs w:val="21"/>
                    </w:rPr>
                    <w:t>55</w:t>
                  </w:r>
                </w:p>
              </w:tc>
              <w:tc>
                <w:tcPr>
                  <w:tcW w:w="2418" w:type="dxa"/>
                  <w:tcBorders>
                    <w:tl2br w:val="nil"/>
                    <w:tr2bl w:val="nil"/>
                  </w:tcBorders>
                  <w:vAlign w:val="center"/>
                </w:tcPr>
                <w:p>
                  <w:pPr>
                    <w:jc w:val="center"/>
                    <w:rPr>
                      <w:szCs w:val="21"/>
                    </w:rPr>
                  </w:pPr>
                  <w:r>
                    <w:rPr>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3" w:type="dxa"/>
                  <w:gridSpan w:val="2"/>
                  <w:tcBorders>
                    <w:tl2br w:val="nil"/>
                    <w:tr2bl w:val="nil"/>
                  </w:tcBorders>
                  <w:vAlign w:val="center"/>
                </w:tcPr>
                <w:p>
                  <w:pPr>
                    <w:widowControl/>
                    <w:adjustRightInd w:val="0"/>
                    <w:snapToGrid w:val="0"/>
                    <w:jc w:val="center"/>
                  </w:pPr>
                  <w:r>
                    <w:t>2居住、商业、工业混杂区</w:t>
                  </w:r>
                </w:p>
              </w:tc>
              <w:tc>
                <w:tcPr>
                  <w:tcW w:w="1928" w:type="dxa"/>
                  <w:tcBorders>
                    <w:tl2br w:val="nil"/>
                    <w:tr2bl w:val="nil"/>
                  </w:tcBorders>
                  <w:vAlign w:val="center"/>
                </w:tcPr>
                <w:p>
                  <w:pPr>
                    <w:jc w:val="center"/>
                    <w:rPr>
                      <w:szCs w:val="21"/>
                    </w:rPr>
                  </w:pPr>
                  <w:r>
                    <w:rPr>
                      <w:szCs w:val="21"/>
                    </w:rPr>
                    <w:t>60</w:t>
                  </w:r>
                </w:p>
              </w:tc>
              <w:tc>
                <w:tcPr>
                  <w:tcW w:w="2418" w:type="dxa"/>
                  <w:tcBorders>
                    <w:tl2br w:val="nil"/>
                    <w:tr2bl w:val="nil"/>
                  </w:tcBorders>
                  <w:vAlign w:val="center"/>
                </w:tcPr>
                <w:p>
                  <w:pPr>
                    <w:jc w:val="center"/>
                    <w:rPr>
                      <w:szCs w:val="21"/>
                    </w:rPr>
                  </w:pPr>
                  <w:r>
                    <w:rPr>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3" w:type="dxa"/>
                  <w:gridSpan w:val="2"/>
                  <w:tcBorders>
                    <w:tl2br w:val="nil"/>
                    <w:tr2bl w:val="nil"/>
                  </w:tcBorders>
                  <w:vAlign w:val="center"/>
                </w:tcPr>
                <w:p>
                  <w:pPr>
                    <w:widowControl/>
                    <w:adjustRightInd w:val="0"/>
                    <w:snapToGrid w:val="0"/>
                    <w:jc w:val="center"/>
                  </w:pPr>
                  <w:r>
                    <w:t>3工业区</w:t>
                  </w:r>
                </w:p>
              </w:tc>
              <w:tc>
                <w:tcPr>
                  <w:tcW w:w="1928" w:type="dxa"/>
                  <w:tcBorders>
                    <w:tl2br w:val="nil"/>
                    <w:tr2bl w:val="nil"/>
                  </w:tcBorders>
                  <w:vAlign w:val="center"/>
                </w:tcPr>
                <w:p>
                  <w:pPr>
                    <w:jc w:val="center"/>
                    <w:rPr>
                      <w:szCs w:val="21"/>
                    </w:rPr>
                  </w:pPr>
                  <w:r>
                    <w:rPr>
                      <w:szCs w:val="21"/>
                    </w:rPr>
                    <w:t>65</w:t>
                  </w:r>
                </w:p>
              </w:tc>
              <w:tc>
                <w:tcPr>
                  <w:tcW w:w="2418" w:type="dxa"/>
                  <w:tcBorders>
                    <w:tl2br w:val="nil"/>
                    <w:tr2bl w:val="nil"/>
                  </w:tcBorders>
                  <w:vAlign w:val="center"/>
                </w:tcPr>
                <w:p>
                  <w:pPr>
                    <w:jc w:val="center"/>
                    <w:rPr>
                      <w:szCs w:val="21"/>
                    </w:rPr>
                  </w:pPr>
                  <w:r>
                    <w:rPr>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Merge w:val="restart"/>
                  <w:tcBorders>
                    <w:tl2br w:val="nil"/>
                    <w:tr2bl w:val="nil"/>
                  </w:tcBorders>
                  <w:vAlign w:val="center"/>
                </w:tcPr>
                <w:p>
                  <w:pPr>
                    <w:widowControl/>
                    <w:adjustRightInd w:val="0"/>
                    <w:snapToGrid w:val="0"/>
                    <w:jc w:val="center"/>
                  </w:pPr>
                  <w:r>
                    <w:t>4交通</w:t>
                  </w:r>
                </w:p>
              </w:tc>
              <w:tc>
                <w:tcPr>
                  <w:tcW w:w="2814" w:type="dxa"/>
                  <w:tcBorders>
                    <w:tl2br w:val="nil"/>
                    <w:tr2bl w:val="nil"/>
                  </w:tcBorders>
                  <w:vAlign w:val="center"/>
                </w:tcPr>
                <w:p>
                  <w:pPr>
                    <w:widowControl/>
                    <w:adjustRightInd w:val="0"/>
                    <w:snapToGrid w:val="0"/>
                    <w:jc w:val="center"/>
                  </w:pPr>
                  <w:r>
                    <w:t>4a（公路、航道）</w:t>
                  </w:r>
                </w:p>
              </w:tc>
              <w:tc>
                <w:tcPr>
                  <w:tcW w:w="1928" w:type="dxa"/>
                  <w:tcBorders>
                    <w:tl2br w:val="nil"/>
                    <w:tr2bl w:val="nil"/>
                  </w:tcBorders>
                  <w:vAlign w:val="center"/>
                </w:tcPr>
                <w:p>
                  <w:pPr>
                    <w:jc w:val="center"/>
                    <w:rPr>
                      <w:szCs w:val="21"/>
                    </w:rPr>
                  </w:pPr>
                  <w:r>
                    <w:rPr>
                      <w:szCs w:val="21"/>
                    </w:rPr>
                    <w:t>70</w:t>
                  </w:r>
                </w:p>
              </w:tc>
              <w:tc>
                <w:tcPr>
                  <w:tcW w:w="2418" w:type="dxa"/>
                  <w:tcBorders>
                    <w:tl2br w:val="nil"/>
                    <w:tr2bl w:val="nil"/>
                  </w:tcBorders>
                  <w:vAlign w:val="center"/>
                </w:tcPr>
                <w:p>
                  <w:pPr>
                    <w:jc w:val="center"/>
                    <w:rPr>
                      <w:szCs w:val="21"/>
                    </w:rPr>
                  </w:pPr>
                  <w:r>
                    <w:rPr>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Merge w:val="continue"/>
                  <w:tcBorders>
                    <w:tl2br w:val="nil"/>
                    <w:tr2bl w:val="nil"/>
                  </w:tcBorders>
                  <w:vAlign w:val="center"/>
                </w:tcPr>
                <w:p>
                  <w:pPr>
                    <w:widowControl/>
                    <w:adjustRightInd w:val="0"/>
                    <w:snapToGrid w:val="0"/>
                    <w:jc w:val="center"/>
                  </w:pPr>
                </w:p>
              </w:tc>
              <w:tc>
                <w:tcPr>
                  <w:tcW w:w="2814" w:type="dxa"/>
                  <w:tcBorders>
                    <w:tl2br w:val="nil"/>
                    <w:tr2bl w:val="nil"/>
                  </w:tcBorders>
                  <w:vAlign w:val="center"/>
                </w:tcPr>
                <w:p>
                  <w:pPr>
                    <w:widowControl/>
                    <w:adjustRightInd w:val="0"/>
                    <w:snapToGrid w:val="0"/>
                    <w:jc w:val="center"/>
                  </w:pPr>
                  <w:r>
                    <w:t>4b（铁路）</w:t>
                  </w:r>
                </w:p>
              </w:tc>
              <w:tc>
                <w:tcPr>
                  <w:tcW w:w="1928" w:type="dxa"/>
                  <w:tcBorders>
                    <w:tl2br w:val="nil"/>
                    <w:tr2bl w:val="nil"/>
                  </w:tcBorders>
                  <w:vAlign w:val="center"/>
                </w:tcPr>
                <w:p>
                  <w:pPr>
                    <w:jc w:val="center"/>
                    <w:rPr>
                      <w:szCs w:val="21"/>
                    </w:rPr>
                  </w:pPr>
                  <w:r>
                    <w:rPr>
                      <w:szCs w:val="21"/>
                    </w:rPr>
                    <w:t>70</w:t>
                  </w:r>
                </w:p>
              </w:tc>
              <w:tc>
                <w:tcPr>
                  <w:tcW w:w="2418" w:type="dxa"/>
                  <w:tcBorders>
                    <w:tl2br w:val="nil"/>
                    <w:tr2bl w:val="nil"/>
                  </w:tcBorders>
                  <w:vAlign w:val="center"/>
                </w:tcPr>
                <w:p>
                  <w:pPr>
                    <w:jc w:val="center"/>
                    <w:rPr>
                      <w:szCs w:val="21"/>
                    </w:rPr>
                  </w:pPr>
                  <w:r>
                    <w:rPr>
                      <w:szCs w:val="21"/>
                    </w:rPr>
                    <w:t>60</w:t>
                  </w:r>
                </w:p>
              </w:tc>
            </w:tr>
          </w:tbl>
          <w:p>
            <w:pPr>
              <w:adjustRightInd w:val="0"/>
              <w:snapToGrid w:val="0"/>
              <w:spacing w:line="360" w:lineRule="auto"/>
              <w:ind w:firstLine="480" w:firstLineChars="200"/>
              <w:rPr>
                <w:kern w:val="0"/>
                <w:sz w:val="24"/>
              </w:rPr>
            </w:pPr>
            <w:r>
              <w:rPr>
                <w:kern w:val="0"/>
                <w:sz w:val="24"/>
              </w:rPr>
              <w:t>（3）监测及评价结果</w:t>
            </w:r>
          </w:p>
          <w:p>
            <w:pPr>
              <w:pStyle w:val="22"/>
              <w:tabs>
                <w:tab w:val="left" w:pos="1845"/>
              </w:tabs>
              <w:spacing w:line="360" w:lineRule="auto"/>
              <w:ind w:firstLine="480" w:firstLineChars="200"/>
              <w:jc w:val="both"/>
              <w:rPr>
                <w:rFonts w:ascii="Times New Roman" w:cs="Times New Roman"/>
                <w:color w:val="auto"/>
              </w:rPr>
            </w:pPr>
            <w:r>
              <w:rPr>
                <w:rFonts w:ascii="Times New Roman" w:cs="Times New Roman"/>
                <w:color w:val="auto"/>
              </w:rPr>
              <w:t>评价区噪声现状监测结果见表3-</w:t>
            </w:r>
            <w:r>
              <w:rPr>
                <w:rFonts w:hint="eastAsia" w:ascii="Times New Roman" w:cs="Times New Roman"/>
                <w:color w:val="auto"/>
              </w:rPr>
              <w:t>4</w:t>
            </w:r>
            <w:r>
              <w:rPr>
                <w:rFonts w:ascii="Times New Roman" w:cs="Times New Roman"/>
                <w:color w:val="auto"/>
              </w:rPr>
              <w:t>。</w:t>
            </w:r>
          </w:p>
          <w:tbl>
            <w:tblPr>
              <w:tblStyle w:val="17"/>
              <w:tblpPr w:leftFromText="180" w:rightFromText="180" w:vertAnchor="text" w:horzAnchor="page" w:tblpX="142" w:tblpY="333"/>
              <w:tblOverlap w:val="never"/>
              <w:tblW w:w="8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162"/>
              <w:gridCol w:w="1162"/>
              <w:gridCol w:w="1165"/>
              <w:gridCol w:w="1163"/>
              <w:gridCol w:w="1163"/>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8" w:type="dxa"/>
                  <w:vMerge w:val="restart"/>
                  <w:tcBorders>
                    <w:top w:val="single" w:color="auto" w:sz="12" w:space="0"/>
                    <w:left w:val="nil"/>
                    <w:bottom w:val="single" w:color="auto" w:sz="4" w:space="0"/>
                    <w:right w:val="single" w:color="auto" w:sz="4" w:space="0"/>
                  </w:tcBorders>
                  <w:vAlign w:val="center"/>
                </w:tcPr>
                <w:p>
                  <w:pPr>
                    <w:widowControl/>
                    <w:adjustRightInd w:val="0"/>
                    <w:snapToGrid w:val="0"/>
                    <w:jc w:val="center"/>
                    <w:rPr>
                      <w:b/>
                      <w:bCs/>
                    </w:rPr>
                  </w:pPr>
                  <w:r>
                    <w:rPr>
                      <w:b/>
                      <w:bCs/>
                    </w:rPr>
                    <w:t>监测地点</w:t>
                  </w:r>
                </w:p>
              </w:tc>
              <w:tc>
                <w:tcPr>
                  <w:tcW w:w="3489" w:type="dxa"/>
                  <w:gridSpan w:val="3"/>
                  <w:tcBorders>
                    <w:top w:val="single" w:color="auto" w:sz="12" w:space="0"/>
                    <w:left w:val="single" w:color="auto" w:sz="4" w:space="0"/>
                    <w:bottom w:val="single" w:color="auto" w:sz="4" w:space="0"/>
                    <w:right w:val="single" w:color="auto" w:sz="4" w:space="0"/>
                  </w:tcBorders>
                  <w:vAlign w:val="center"/>
                </w:tcPr>
                <w:p>
                  <w:pPr>
                    <w:widowControl/>
                    <w:adjustRightInd w:val="0"/>
                    <w:snapToGrid w:val="0"/>
                    <w:jc w:val="center"/>
                    <w:rPr>
                      <w:b/>
                      <w:bCs/>
                    </w:rPr>
                  </w:pPr>
                  <w:r>
                    <w:rPr>
                      <w:b/>
                      <w:bCs/>
                    </w:rPr>
                    <w:t>昼间</w:t>
                  </w:r>
                </w:p>
              </w:tc>
              <w:tc>
                <w:tcPr>
                  <w:tcW w:w="3491" w:type="dxa"/>
                  <w:gridSpan w:val="3"/>
                  <w:tcBorders>
                    <w:top w:val="single" w:color="auto" w:sz="12" w:space="0"/>
                    <w:left w:val="single" w:color="auto" w:sz="4" w:space="0"/>
                    <w:bottom w:val="single" w:color="auto" w:sz="4" w:space="0"/>
                    <w:right w:val="nil"/>
                  </w:tcBorders>
                  <w:vAlign w:val="center"/>
                </w:tcPr>
                <w:p>
                  <w:pPr>
                    <w:widowControl/>
                    <w:adjustRightInd w:val="0"/>
                    <w:snapToGrid w:val="0"/>
                    <w:jc w:val="center"/>
                    <w:rPr>
                      <w:b/>
                      <w:bCs/>
                    </w:rPr>
                  </w:pPr>
                  <w:r>
                    <w:rPr>
                      <w:b/>
                      <w:bCs/>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8" w:type="dxa"/>
                  <w:vMerge w:val="continue"/>
                  <w:tcBorders>
                    <w:top w:val="single" w:color="auto" w:sz="4" w:space="0"/>
                    <w:left w:val="nil"/>
                    <w:bottom w:val="single" w:color="000000" w:sz="12" w:space="0"/>
                    <w:right w:val="single" w:color="auto" w:sz="4" w:space="0"/>
                  </w:tcBorders>
                  <w:vAlign w:val="center"/>
                </w:tcPr>
                <w:p>
                  <w:pPr>
                    <w:widowControl/>
                    <w:adjustRightInd w:val="0"/>
                    <w:snapToGrid w:val="0"/>
                    <w:jc w:val="center"/>
                    <w:rPr>
                      <w:b/>
                      <w:bCs/>
                    </w:rPr>
                  </w:pPr>
                </w:p>
              </w:tc>
              <w:tc>
                <w:tcPr>
                  <w:tcW w:w="1162" w:type="dxa"/>
                  <w:tcBorders>
                    <w:top w:val="single" w:color="auto" w:sz="4" w:space="0"/>
                    <w:left w:val="single" w:color="auto" w:sz="4" w:space="0"/>
                    <w:bottom w:val="single" w:color="000000" w:sz="12" w:space="0"/>
                    <w:right w:val="single" w:color="auto" w:sz="4" w:space="0"/>
                  </w:tcBorders>
                  <w:vAlign w:val="center"/>
                </w:tcPr>
                <w:p>
                  <w:pPr>
                    <w:widowControl/>
                    <w:adjustRightInd w:val="0"/>
                    <w:snapToGrid w:val="0"/>
                    <w:jc w:val="center"/>
                    <w:rPr>
                      <w:b/>
                      <w:bCs/>
                    </w:rPr>
                  </w:pPr>
                  <w:r>
                    <w:rPr>
                      <w:b/>
                      <w:bCs/>
                    </w:rPr>
                    <w:t>监测值</w:t>
                  </w:r>
                </w:p>
              </w:tc>
              <w:tc>
                <w:tcPr>
                  <w:tcW w:w="1162" w:type="dxa"/>
                  <w:tcBorders>
                    <w:top w:val="single" w:color="auto" w:sz="4" w:space="0"/>
                    <w:left w:val="single" w:color="auto" w:sz="4" w:space="0"/>
                    <w:bottom w:val="single" w:color="000000" w:sz="12" w:space="0"/>
                    <w:right w:val="single" w:color="auto" w:sz="4" w:space="0"/>
                  </w:tcBorders>
                  <w:vAlign w:val="center"/>
                </w:tcPr>
                <w:p>
                  <w:pPr>
                    <w:widowControl/>
                    <w:adjustRightInd w:val="0"/>
                    <w:snapToGrid w:val="0"/>
                    <w:jc w:val="center"/>
                    <w:rPr>
                      <w:b/>
                      <w:bCs/>
                    </w:rPr>
                  </w:pPr>
                  <w:r>
                    <w:rPr>
                      <w:b/>
                      <w:bCs/>
                    </w:rPr>
                    <w:t>标准值</w:t>
                  </w:r>
                </w:p>
              </w:tc>
              <w:tc>
                <w:tcPr>
                  <w:tcW w:w="1165" w:type="dxa"/>
                  <w:tcBorders>
                    <w:top w:val="single" w:color="auto" w:sz="4" w:space="0"/>
                    <w:left w:val="single" w:color="auto" w:sz="4" w:space="0"/>
                    <w:bottom w:val="single" w:color="000000" w:sz="12" w:space="0"/>
                    <w:right w:val="single" w:color="auto" w:sz="4" w:space="0"/>
                  </w:tcBorders>
                  <w:vAlign w:val="center"/>
                </w:tcPr>
                <w:p>
                  <w:pPr>
                    <w:widowControl/>
                    <w:adjustRightInd w:val="0"/>
                    <w:snapToGrid w:val="0"/>
                    <w:jc w:val="center"/>
                    <w:rPr>
                      <w:b/>
                      <w:bCs/>
                    </w:rPr>
                  </w:pPr>
                  <w:r>
                    <w:rPr>
                      <w:b/>
                      <w:bCs/>
                    </w:rPr>
                    <w:t>判定</w:t>
                  </w:r>
                </w:p>
              </w:tc>
              <w:tc>
                <w:tcPr>
                  <w:tcW w:w="1163" w:type="dxa"/>
                  <w:tcBorders>
                    <w:top w:val="single" w:color="auto" w:sz="4" w:space="0"/>
                    <w:left w:val="single" w:color="auto" w:sz="4" w:space="0"/>
                    <w:bottom w:val="single" w:color="000000" w:sz="12" w:space="0"/>
                    <w:right w:val="single" w:color="auto" w:sz="4" w:space="0"/>
                  </w:tcBorders>
                  <w:vAlign w:val="center"/>
                </w:tcPr>
                <w:p>
                  <w:pPr>
                    <w:widowControl/>
                    <w:adjustRightInd w:val="0"/>
                    <w:snapToGrid w:val="0"/>
                    <w:jc w:val="center"/>
                    <w:rPr>
                      <w:b/>
                      <w:bCs/>
                    </w:rPr>
                  </w:pPr>
                  <w:r>
                    <w:rPr>
                      <w:b/>
                      <w:bCs/>
                    </w:rPr>
                    <w:t>监测值</w:t>
                  </w:r>
                </w:p>
              </w:tc>
              <w:tc>
                <w:tcPr>
                  <w:tcW w:w="1163" w:type="dxa"/>
                  <w:tcBorders>
                    <w:top w:val="single" w:color="auto" w:sz="4" w:space="0"/>
                    <w:left w:val="single" w:color="auto" w:sz="4" w:space="0"/>
                    <w:bottom w:val="single" w:color="000000" w:sz="12" w:space="0"/>
                    <w:right w:val="single" w:color="auto" w:sz="4" w:space="0"/>
                  </w:tcBorders>
                  <w:vAlign w:val="center"/>
                </w:tcPr>
                <w:p>
                  <w:pPr>
                    <w:widowControl/>
                    <w:adjustRightInd w:val="0"/>
                    <w:snapToGrid w:val="0"/>
                    <w:jc w:val="center"/>
                    <w:rPr>
                      <w:b/>
                      <w:bCs/>
                    </w:rPr>
                  </w:pPr>
                  <w:r>
                    <w:rPr>
                      <w:b/>
                      <w:bCs/>
                    </w:rPr>
                    <w:t>标准值</w:t>
                  </w:r>
                </w:p>
              </w:tc>
              <w:tc>
                <w:tcPr>
                  <w:tcW w:w="1165" w:type="dxa"/>
                  <w:tcBorders>
                    <w:top w:val="single" w:color="auto" w:sz="4" w:space="0"/>
                    <w:left w:val="single" w:color="auto" w:sz="4" w:space="0"/>
                    <w:bottom w:val="single" w:color="000000" w:sz="12" w:space="0"/>
                    <w:right w:val="nil"/>
                  </w:tcBorders>
                  <w:vAlign w:val="center"/>
                </w:tcPr>
                <w:p>
                  <w:pPr>
                    <w:widowControl/>
                    <w:adjustRightInd w:val="0"/>
                    <w:snapToGrid w:val="0"/>
                    <w:jc w:val="center"/>
                    <w:rPr>
                      <w:b/>
                      <w:bCs/>
                    </w:rPr>
                  </w:pPr>
                  <w:r>
                    <w:rPr>
                      <w:b/>
                      <w:bCs/>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8" w:type="dxa"/>
                  <w:tcBorders>
                    <w:top w:val="single" w:color="000000" w:sz="12" w:space="0"/>
                    <w:left w:val="nil"/>
                    <w:bottom w:val="single" w:color="auto" w:sz="4" w:space="0"/>
                    <w:right w:val="single" w:color="auto" w:sz="4" w:space="0"/>
                  </w:tcBorders>
                  <w:vAlign w:val="center"/>
                </w:tcPr>
                <w:p>
                  <w:pPr>
                    <w:widowControl/>
                    <w:adjustRightInd w:val="0"/>
                    <w:snapToGrid w:val="0"/>
                    <w:jc w:val="center"/>
                  </w:pPr>
                  <w:bookmarkStart w:id="15" w:name="OLE_LINK2" w:colFirst="1" w:colLast="2"/>
                  <w:r>
                    <w:t>项目东侧</w:t>
                  </w:r>
                </w:p>
              </w:tc>
              <w:tc>
                <w:tcPr>
                  <w:tcW w:w="1162" w:type="dxa"/>
                  <w:tcBorders>
                    <w:top w:val="single" w:color="000000" w:sz="12"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48</w:t>
                  </w:r>
                </w:p>
              </w:tc>
              <w:tc>
                <w:tcPr>
                  <w:tcW w:w="1162" w:type="dxa"/>
                  <w:tcBorders>
                    <w:top w:val="single" w:color="000000" w:sz="12"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55</w:t>
                  </w:r>
                </w:p>
              </w:tc>
              <w:tc>
                <w:tcPr>
                  <w:tcW w:w="1165" w:type="dxa"/>
                  <w:tcBorders>
                    <w:top w:val="single" w:color="000000" w:sz="12" w:space="0"/>
                    <w:left w:val="single" w:color="auto" w:sz="4" w:space="0"/>
                    <w:bottom w:val="single" w:color="auto" w:sz="4" w:space="0"/>
                    <w:right w:val="single" w:color="auto" w:sz="4" w:space="0"/>
                  </w:tcBorders>
                  <w:vAlign w:val="center"/>
                </w:tcPr>
                <w:p>
                  <w:pPr>
                    <w:widowControl/>
                    <w:adjustRightInd w:val="0"/>
                    <w:snapToGrid w:val="0"/>
                    <w:jc w:val="center"/>
                  </w:pPr>
                  <w:r>
                    <w:t>达标</w:t>
                  </w:r>
                </w:p>
              </w:tc>
              <w:tc>
                <w:tcPr>
                  <w:tcW w:w="1163" w:type="dxa"/>
                  <w:tcBorders>
                    <w:top w:val="single" w:color="000000" w:sz="12"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43</w:t>
                  </w:r>
                </w:p>
              </w:tc>
              <w:tc>
                <w:tcPr>
                  <w:tcW w:w="1163" w:type="dxa"/>
                  <w:tcBorders>
                    <w:top w:val="single" w:color="000000" w:sz="12"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45</w:t>
                  </w:r>
                </w:p>
              </w:tc>
              <w:tc>
                <w:tcPr>
                  <w:tcW w:w="1165" w:type="dxa"/>
                  <w:tcBorders>
                    <w:top w:val="single" w:color="000000" w:sz="12" w:space="0"/>
                    <w:left w:val="single" w:color="auto" w:sz="4" w:space="0"/>
                    <w:bottom w:val="single" w:color="auto" w:sz="4" w:space="0"/>
                    <w:right w:val="nil"/>
                  </w:tcBorders>
                  <w:vAlign w:val="center"/>
                </w:tcPr>
                <w:p>
                  <w:pPr>
                    <w:widowControl/>
                    <w:adjustRightInd w:val="0"/>
                    <w:snapToGrid w:val="0"/>
                    <w:jc w:val="center"/>
                  </w:pPr>
                  <w:r>
                    <w:t>达标</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8" w:type="dxa"/>
                  <w:tcBorders>
                    <w:top w:val="single" w:color="auto" w:sz="4" w:space="0"/>
                    <w:left w:val="nil"/>
                    <w:bottom w:val="single" w:color="auto" w:sz="4" w:space="0"/>
                    <w:right w:val="single" w:color="auto" w:sz="4" w:space="0"/>
                  </w:tcBorders>
                  <w:vAlign w:val="center"/>
                </w:tcPr>
                <w:p>
                  <w:pPr>
                    <w:widowControl/>
                    <w:adjustRightInd w:val="0"/>
                    <w:snapToGrid w:val="0"/>
                    <w:jc w:val="center"/>
                  </w:pPr>
                  <w:r>
                    <w:t>项目南侧</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47</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55</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t>达标</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41</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45</w:t>
                  </w:r>
                </w:p>
              </w:tc>
              <w:tc>
                <w:tcPr>
                  <w:tcW w:w="1165" w:type="dxa"/>
                  <w:tcBorders>
                    <w:top w:val="single" w:color="auto" w:sz="4" w:space="0"/>
                    <w:left w:val="single" w:color="auto" w:sz="4" w:space="0"/>
                    <w:bottom w:val="single" w:color="auto" w:sz="4" w:space="0"/>
                    <w:right w:val="nil"/>
                  </w:tcBorders>
                  <w:vAlign w:val="center"/>
                </w:tcPr>
                <w:p>
                  <w:pPr>
                    <w:widowControl/>
                    <w:adjustRightInd w:val="0"/>
                    <w:snapToGrid w:val="0"/>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8" w:type="dxa"/>
                  <w:tcBorders>
                    <w:top w:val="single" w:color="auto" w:sz="4" w:space="0"/>
                    <w:left w:val="nil"/>
                    <w:bottom w:val="single" w:color="auto" w:sz="4" w:space="0"/>
                    <w:right w:val="single" w:color="auto" w:sz="4" w:space="0"/>
                  </w:tcBorders>
                  <w:vAlign w:val="center"/>
                </w:tcPr>
                <w:p>
                  <w:pPr>
                    <w:widowControl/>
                    <w:adjustRightInd w:val="0"/>
                    <w:snapToGrid w:val="0"/>
                    <w:jc w:val="center"/>
                  </w:pPr>
                  <w:r>
                    <w:t>项目西侧</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49</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55</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t>达标</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42</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rPr>
                    <w:t>45</w:t>
                  </w:r>
                </w:p>
              </w:tc>
              <w:tc>
                <w:tcPr>
                  <w:tcW w:w="1165" w:type="dxa"/>
                  <w:tcBorders>
                    <w:top w:val="single" w:color="auto" w:sz="4" w:space="0"/>
                    <w:left w:val="single" w:color="auto" w:sz="4" w:space="0"/>
                    <w:bottom w:val="single" w:color="auto" w:sz="4" w:space="0"/>
                    <w:right w:val="nil"/>
                  </w:tcBorders>
                  <w:vAlign w:val="center"/>
                </w:tcPr>
                <w:p>
                  <w:pPr>
                    <w:widowControl/>
                    <w:adjustRightInd w:val="0"/>
                    <w:snapToGrid w:val="0"/>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8" w:type="dxa"/>
                  <w:tcBorders>
                    <w:top w:val="single" w:color="auto" w:sz="4" w:space="0"/>
                    <w:left w:val="nil"/>
                    <w:bottom w:val="single" w:color="auto" w:sz="12" w:space="0"/>
                    <w:right w:val="single" w:color="auto" w:sz="4" w:space="0"/>
                  </w:tcBorders>
                  <w:vAlign w:val="center"/>
                </w:tcPr>
                <w:p>
                  <w:pPr>
                    <w:widowControl/>
                    <w:adjustRightInd w:val="0"/>
                    <w:snapToGrid w:val="0"/>
                    <w:jc w:val="center"/>
                  </w:pPr>
                  <w:r>
                    <w:t>项目北侧</w:t>
                  </w:r>
                </w:p>
              </w:tc>
              <w:tc>
                <w:tcPr>
                  <w:tcW w:w="1162" w:type="dxa"/>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pPr>
                  <w:r>
                    <w:rPr>
                      <w:rFonts w:hint="eastAsia"/>
                    </w:rPr>
                    <w:t>47</w:t>
                  </w:r>
                </w:p>
              </w:tc>
              <w:tc>
                <w:tcPr>
                  <w:tcW w:w="1162" w:type="dxa"/>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pPr>
                  <w:r>
                    <w:rPr>
                      <w:rFonts w:hint="eastAsia"/>
                    </w:rPr>
                    <w:t>55</w:t>
                  </w:r>
                </w:p>
              </w:tc>
              <w:tc>
                <w:tcPr>
                  <w:tcW w:w="1165" w:type="dxa"/>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pPr>
                  <w:r>
                    <w:t>达标</w:t>
                  </w:r>
                </w:p>
              </w:tc>
              <w:tc>
                <w:tcPr>
                  <w:tcW w:w="1163" w:type="dxa"/>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pPr>
                  <w:r>
                    <w:rPr>
                      <w:rFonts w:hint="eastAsia"/>
                    </w:rPr>
                    <w:t>41</w:t>
                  </w:r>
                </w:p>
              </w:tc>
              <w:tc>
                <w:tcPr>
                  <w:tcW w:w="1163" w:type="dxa"/>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pPr>
                  <w:r>
                    <w:rPr>
                      <w:rFonts w:hint="eastAsia"/>
                    </w:rPr>
                    <w:t>45</w:t>
                  </w:r>
                </w:p>
              </w:tc>
              <w:tc>
                <w:tcPr>
                  <w:tcW w:w="1165" w:type="dxa"/>
                  <w:tcBorders>
                    <w:top w:val="single" w:color="auto" w:sz="4" w:space="0"/>
                    <w:left w:val="single" w:color="auto" w:sz="4" w:space="0"/>
                    <w:bottom w:val="single" w:color="auto" w:sz="12" w:space="0"/>
                    <w:right w:val="nil"/>
                  </w:tcBorders>
                  <w:vAlign w:val="center"/>
                </w:tcPr>
                <w:p>
                  <w:pPr>
                    <w:widowControl/>
                    <w:adjustRightInd w:val="0"/>
                    <w:snapToGrid w:val="0"/>
                    <w:jc w:val="center"/>
                  </w:pPr>
                  <w:r>
                    <w:t>达标</w:t>
                  </w:r>
                </w:p>
              </w:tc>
            </w:tr>
          </w:tbl>
          <w:p>
            <w:pPr>
              <w:pStyle w:val="21"/>
              <w:ind w:firstLine="422"/>
              <w:rPr>
                <w:rFonts w:hint="default"/>
              </w:rPr>
            </w:pPr>
            <w:r>
              <w:t>表3-4  声环境质量现状评价表 （单位：dB（A））</w:t>
            </w:r>
          </w:p>
          <w:p>
            <w:pPr>
              <w:adjustRightInd w:val="0"/>
              <w:snapToGrid w:val="0"/>
              <w:spacing w:line="360" w:lineRule="auto"/>
              <w:ind w:firstLine="480" w:firstLineChars="200"/>
              <w:rPr>
                <w:kern w:val="0"/>
                <w:sz w:val="24"/>
              </w:rPr>
            </w:pPr>
            <w:r>
              <w:rPr>
                <w:kern w:val="0"/>
                <w:sz w:val="24"/>
                <w:szCs w:val="20"/>
              </w:rPr>
              <w:t>由表3-4可以看出，评价区域声环境现状等效声级均未超过《声环境质量标准》（GB3096―2008）中的</w:t>
            </w:r>
            <w:r>
              <w:rPr>
                <w:rFonts w:hint="eastAsia"/>
                <w:kern w:val="0"/>
                <w:sz w:val="24"/>
                <w:szCs w:val="20"/>
              </w:rPr>
              <w:t>1</w:t>
            </w:r>
            <w:r>
              <w:rPr>
                <w:kern w:val="0"/>
                <w:sz w:val="24"/>
                <w:szCs w:val="20"/>
              </w:rPr>
              <w:t>类标准值</w:t>
            </w:r>
            <w:r>
              <w:rPr>
                <w:rFonts w:hint="eastAsia"/>
                <w:kern w:val="0"/>
                <w:sz w:val="24"/>
                <w:szCs w:val="20"/>
              </w:rPr>
              <w:t>，</w:t>
            </w:r>
            <w:r>
              <w:rPr>
                <w:kern w:val="0"/>
                <w:sz w:val="24"/>
                <w:szCs w:val="20"/>
              </w:rPr>
              <w:t>说明评价区内现状声环境质量较好。</w:t>
            </w:r>
          </w:p>
          <w:p>
            <w:pPr>
              <w:pStyle w:val="6"/>
            </w:pPr>
            <w:r>
              <w:t>4.生态环境</w:t>
            </w:r>
          </w:p>
          <w:p>
            <w:pPr>
              <w:adjustRightInd w:val="0"/>
              <w:snapToGrid w:val="0"/>
              <w:spacing w:line="360" w:lineRule="auto"/>
              <w:ind w:firstLine="480" w:firstLineChars="200"/>
              <w:jc w:val="left"/>
              <w:rPr>
                <w:bCs/>
                <w:color w:val="000000"/>
                <w:sz w:val="24"/>
              </w:rPr>
            </w:pPr>
            <w:r>
              <w:rPr>
                <w:bCs/>
                <w:color w:val="000000"/>
                <w:sz w:val="24"/>
              </w:rPr>
              <w:t>根据《建设项目环境影响报告表编制技术指南（污染影响类）》（试行）中规定，产业园区外建设项目新增用地且用地范围内含有生态环境保护目标的，应进行生态现状调查。本项目位于新疆昌吉回族自治州昌吉市建国西路110号昌吉州中医医院内，用地性质为公共服务设施建设用地，项目区内不存在生态环境保护目标且不新增用地，故本项目可不开展生态环境现状调查。</w:t>
            </w:r>
          </w:p>
          <w:p>
            <w:pPr>
              <w:adjustRightInd w:val="0"/>
              <w:snapToGrid w:val="0"/>
              <w:spacing w:line="360" w:lineRule="auto"/>
              <w:jc w:val="left"/>
              <w:rPr>
                <w:b/>
                <w:color w:val="000000"/>
                <w:sz w:val="24"/>
              </w:rPr>
            </w:pPr>
            <w:r>
              <w:rPr>
                <w:b/>
                <w:color w:val="000000"/>
                <w:sz w:val="24"/>
              </w:rPr>
              <w:t>5.土壤环境</w:t>
            </w:r>
          </w:p>
          <w:p>
            <w:pPr>
              <w:spacing w:line="360" w:lineRule="auto"/>
              <w:ind w:firstLine="480" w:firstLineChars="200"/>
              <w:rPr>
                <w:color w:val="0000FF"/>
                <w:sz w:val="24"/>
                <w:highlight w:val="yellow"/>
              </w:rPr>
            </w:pPr>
            <w:r>
              <w:rPr>
                <w:sz w:val="24"/>
              </w:rPr>
              <w:t>本项目根据《环境影响评价技术导则土壤环境（试行）》（HJ964-2018）中的附录A表A.1土壤环境影响评价项目类别中</w:t>
            </w:r>
            <w:r>
              <w:rPr>
                <w:rFonts w:hint="eastAsia"/>
                <w:sz w:val="24"/>
              </w:rPr>
              <w:t>“</w:t>
            </w:r>
            <w:r>
              <w:rPr>
                <w:sz w:val="24"/>
              </w:rPr>
              <w:t>其他行业</w:t>
            </w:r>
            <w:r>
              <w:rPr>
                <w:rFonts w:hint="eastAsia"/>
                <w:sz w:val="24"/>
              </w:rPr>
              <w:t>”</w:t>
            </w:r>
            <w:r>
              <w:rPr>
                <w:sz w:val="24"/>
              </w:rPr>
              <w:t>类别，本行业属于Ⅳ类行业。根据《环境影响评价技术导则土壤环境（试行）》（HJ 964-2018），本项目可不展开土壤环境影响评价。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Align w:val="center"/>
          </w:tcPr>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保护</w:t>
            </w:r>
          </w:p>
          <w:p>
            <w:pPr>
              <w:adjustRightInd w:val="0"/>
              <w:snapToGrid w:val="0"/>
              <w:jc w:val="center"/>
              <w:rPr>
                <w:color w:val="0000FF"/>
                <w:kern w:val="0"/>
                <w:sz w:val="24"/>
                <w:highlight w:val="yellow"/>
              </w:rPr>
            </w:pPr>
            <w:r>
              <w:rPr>
                <w:kern w:val="0"/>
                <w:sz w:val="24"/>
              </w:rPr>
              <w:t>目标</w:t>
            </w:r>
          </w:p>
        </w:tc>
        <w:tc>
          <w:tcPr>
            <w:tcW w:w="8311" w:type="dxa"/>
            <w:vAlign w:val="center"/>
          </w:tcPr>
          <w:p>
            <w:pPr>
              <w:pStyle w:val="30"/>
              <w:spacing w:line="360" w:lineRule="auto"/>
            </w:pPr>
            <w:r>
              <w:t>本项目建设地点位于新疆昌吉回族自治州昌吉市建国西路110号昌吉州中医医院内，项目区中心地理坐标为87°</w:t>
            </w:r>
            <w:r>
              <w:rPr>
                <w:rFonts w:hint="eastAsia"/>
              </w:rPr>
              <w:t>17</w:t>
            </w:r>
            <w:r>
              <w:t>′</w:t>
            </w:r>
            <w:r>
              <w:rPr>
                <w:rFonts w:hint="eastAsia"/>
              </w:rPr>
              <w:t>4</w:t>
            </w:r>
            <w:r>
              <w:t>7.</w:t>
            </w:r>
            <w:r>
              <w:rPr>
                <w:rFonts w:hint="eastAsia"/>
              </w:rPr>
              <w:t>147</w:t>
            </w:r>
            <w:r>
              <w:t>″ E，4</w:t>
            </w:r>
            <w:r>
              <w:rPr>
                <w:rFonts w:hint="eastAsia"/>
              </w:rPr>
              <w:t>3</w:t>
            </w:r>
            <w:r>
              <w:t>°</w:t>
            </w:r>
            <w:r>
              <w:rPr>
                <w:rFonts w:hint="eastAsia"/>
              </w:rPr>
              <w:t>59</w:t>
            </w:r>
            <w:r>
              <w:t>′</w:t>
            </w:r>
            <w:r>
              <w:rPr>
                <w:rFonts w:hint="eastAsia"/>
              </w:rPr>
              <w:t>57</w:t>
            </w:r>
            <w:r>
              <w:t>.</w:t>
            </w:r>
            <w:r>
              <w:rPr>
                <w:rFonts w:hint="eastAsia"/>
              </w:rPr>
              <w:t>417</w:t>
            </w:r>
            <w:r>
              <w:t>″ N。项目东侧为昌吉州中医医院门诊楼，南侧为家属楼，西侧为工商银行，北侧为昌吉州中医医院办公综合楼。</w:t>
            </w:r>
          </w:p>
          <w:p>
            <w:pPr>
              <w:pStyle w:val="10"/>
              <w:spacing w:line="360" w:lineRule="auto"/>
              <w:ind w:firstLine="0"/>
              <w:rPr>
                <w:b/>
                <w:sz w:val="24"/>
                <w:szCs w:val="22"/>
              </w:rPr>
            </w:pPr>
            <w:r>
              <w:rPr>
                <w:b/>
                <w:sz w:val="24"/>
                <w:szCs w:val="22"/>
              </w:rPr>
              <w:t>1.大气环境</w:t>
            </w:r>
          </w:p>
          <w:p>
            <w:pPr>
              <w:pStyle w:val="10"/>
              <w:spacing w:line="360" w:lineRule="auto"/>
              <w:ind w:firstLine="480"/>
              <w:rPr>
                <w:bCs/>
                <w:sz w:val="24"/>
                <w:szCs w:val="22"/>
              </w:rPr>
            </w:pPr>
            <w:r>
              <w:rPr>
                <w:bCs/>
                <w:sz w:val="24"/>
                <w:szCs w:val="22"/>
              </w:rPr>
              <w:t>本项目大气环境保护敏感目标见表3-</w:t>
            </w:r>
            <w:r>
              <w:rPr>
                <w:rFonts w:hint="eastAsia"/>
                <w:bCs/>
                <w:sz w:val="24"/>
                <w:szCs w:val="22"/>
              </w:rPr>
              <w:t>5</w:t>
            </w:r>
            <w:r>
              <w:rPr>
                <w:bCs/>
                <w:sz w:val="24"/>
                <w:szCs w:val="22"/>
              </w:rPr>
              <w:t>。</w:t>
            </w:r>
          </w:p>
          <w:p>
            <w:pPr>
              <w:pStyle w:val="21"/>
              <w:ind w:firstLine="0" w:firstLineChars="0"/>
              <w:rPr>
                <w:rFonts w:hint="default"/>
              </w:rPr>
            </w:pPr>
            <w:r>
              <w:rPr>
                <w:rFonts w:hint="default"/>
              </w:rPr>
              <w:t>表3-</w:t>
            </w:r>
            <w:r>
              <w:t>5</w:t>
            </w:r>
            <w:r>
              <w:rPr>
                <w:rFonts w:hint="default"/>
              </w:rPr>
              <w:t xml:space="preserve">  主要</w:t>
            </w:r>
            <w:r>
              <w:t>大气</w:t>
            </w:r>
            <w:r>
              <w:rPr>
                <w:rFonts w:hint="default"/>
              </w:rPr>
              <w:t>环境保护敏感目标分布一览表</w:t>
            </w:r>
          </w:p>
          <w:tbl>
            <w:tblPr>
              <w:tblStyle w:val="17"/>
              <w:tblW w:w="81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557"/>
              <w:gridCol w:w="1246"/>
              <w:gridCol w:w="1142"/>
              <w:gridCol w:w="721"/>
              <w:gridCol w:w="983"/>
              <w:gridCol w:w="722"/>
              <w:gridCol w:w="9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restart"/>
                  <w:vAlign w:val="center"/>
                </w:tcPr>
                <w:p>
                  <w:pPr>
                    <w:pStyle w:val="32"/>
                    <w:ind w:firstLine="0" w:firstLineChars="0"/>
                    <w:rPr>
                      <w:b/>
                      <w:bCs w:val="0"/>
                    </w:rPr>
                  </w:pPr>
                  <w:r>
                    <w:rPr>
                      <w:b/>
                      <w:bCs w:val="0"/>
                    </w:rPr>
                    <w:t>环境要素</w:t>
                  </w:r>
                </w:p>
              </w:tc>
              <w:tc>
                <w:tcPr>
                  <w:tcW w:w="957" w:type="pct"/>
                  <w:vMerge w:val="restart"/>
                  <w:vAlign w:val="center"/>
                </w:tcPr>
                <w:p>
                  <w:pPr>
                    <w:pStyle w:val="32"/>
                    <w:ind w:firstLine="0" w:firstLineChars="0"/>
                    <w:rPr>
                      <w:b/>
                      <w:bCs w:val="0"/>
                    </w:rPr>
                  </w:pPr>
                  <w:r>
                    <w:rPr>
                      <w:b/>
                      <w:bCs w:val="0"/>
                    </w:rPr>
                    <w:t>名称</w:t>
                  </w:r>
                </w:p>
              </w:tc>
              <w:tc>
                <w:tcPr>
                  <w:tcW w:w="1468" w:type="pct"/>
                  <w:gridSpan w:val="2"/>
                  <w:vAlign w:val="center"/>
                </w:tcPr>
                <w:p>
                  <w:pPr>
                    <w:pStyle w:val="32"/>
                    <w:ind w:firstLine="0" w:firstLineChars="0"/>
                    <w:rPr>
                      <w:b/>
                      <w:bCs w:val="0"/>
                    </w:rPr>
                  </w:pPr>
                  <w:r>
                    <w:rPr>
                      <w:b/>
                      <w:bCs w:val="0"/>
                    </w:rPr>
                    <w:t>坐标</w:t>
                  </w:r>
                </w:p>
              </w:tc>
              <w:tc>
                <w:tcPr>
                  <w:tcW w:w="443" w:type="pct"/>
                  <w:vMerge w:val="restart"/>
                  <w:tcBorders>
                    <w:bottom w:val="nil"/>
                    <w:tl2br w:val="nil"/>
                    <w:tr2bl w:val="nil"/>
                  </w:tcBorders>
                  <w:vAlign w:val="center"/>
                </w:tcPr>
                <w:p>
                  <w:pPr>
                    <w:pStyle w:val="32"/>
                    <w:ind w:firstLine="0" w:firstLineChars="0"/>
                    <w:rPr>
                      <w:b/>
                      <w:bCs w:val="0"/>
                    </w:rPr>
                  </w:pPr>
                  <w:r>
                    <w:rPr>
                      <w:b/>
                      <w:bCs w:val="0"/>
                    </w:rPr>
                    <w:t>保护对象</w:t>
                  </w:r>
                </w:p>
              </w:tc>
              <w:tc>
                <w:tcPr>
                  <w:tcW w:w="604" w:type="pct"/>
                  <w:vMerge w:val="restart"/>
                  <w:tcBorders>
                    <w:bottom w:val="nil"/>
                    <w:tl2br w:val="nil"/>
                    <w:tr2bl w:val="nil"/>
                  </w:tcBorders>
                  <w:vAlign w:val="center"/>
                </w:tcPr>
                <w:p>
                  <w:pPr>
                    <w:pStyle w:val="32"/>
                    <w:ind w:firstLine="0" w:firstLineChars="0"/>
                    <w:rPr>
                      <w:b/>
                      <w:bCs w:val="0"/>
                    </w:rPr>
                  </w:pPr>
                  <w:r>
                    <w:rPr>
                      <w:b/>
                      <w:bCs w:val="0"/>
                    </w:rPr>
                    <w:t>保护内容</w:t>
                  </w:r>
                </w:p>
              </w:tc>
              <w:tc>
                <w:tcPr>
                  <w:tcW w:w="444" w:type="pct"/>
                  <w:vMerge w:val="restart"/>
                  <w:tcBorders>
                    <w:bottom w:val="nil"/>
                    <w:tl2br w:val="nil"/>
                    <w:tr2bl w:val="nil"/>
                  </w:tcBorders>
                  <w:vAlign w:val="center"/>
                </w:tcPr>
                <w:p>
                  <w:pPr>
                    <w:pStyle w:val="32"/>
                    <w:ind w:firstLine="0" w:firstLineChars="0"/>
                    <w:rPr>
                      <w:b/>
                      <w:bCs w:val="0"/>
                    </w:rPr>
                  </w:pPr>
                  <w:r>
                    <w:rPr>
                      <w:b/>
                      <w:bCs w:val="0"/>
                    </w:rPr>
                    <w:t>人数</w:t>
                  </w:r>
                </w:p>
              </w:tc>
              <w:tc>
                <w:tcPr>
                  <w:tcW w:w="591" w:type="pct"/>
                  <w:vMerge w:val="restart"/>
                  <w:tcBorders>
                    <w:bottom w:val="nil"/>
                    <w:tl2br w:val="nil"/>
                    <w:tr2bl w:val="nil"/>
                  </w:tcBorders>
                  <w:vAlign w:val="center"/>
                </w:tcPr>
                <w:p>
                  <w:pPr>
                    <w:pStyle w:val="32"/>
                    <w:ind w:firstLine="0" w:firstLineChars="0"/>
                    <w:rPr>
                      <w:b/>
                      <w:bCs w:val="0"/>
                    </w:rPr>
                  </w:pPr>
                  <w:r>
                    <w:rPr>
                      <w:b/>
                      <w:bCs w:val="0"/>
                    </w:rPr>
                    <w:t>相对地理方位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continue"/>
                  <w:tcBorders>
                    <w:bottom w:val="single" w:color="auto" w:sz="12" w:space="0"/>
                  </w:tcBorders>
                  <w:vAlign w:val="center"/>
                </w:tcPr>
                <w:p>
                  <w:pPr>
                    <w:pStyle w:val="32"/>
                  </w:pPr>
                </w:p>
              </w:tc>
              <w:tc>
                <w:tcPr>
                  <w:tcW w:w="957" w:type="pct"/>
                  <w:vMerge w:val="continue"/>
                  <w:tcBorders>
                    <w:bottom w:val="single" w:color="auto" w:sz="12" w:space="0"/>
                  </w:tcBorders>
                  <w:vAlign w:val="center"/>
                </w:tcPr>
                <w:p>
                  <w:pPr>
                    <w:pStyle w:val="32"/>
                  </w:pPr>
                </w:p>
              </w:tc>
              <w:tc>
                <w:tcPr>
                  <w:tcW w:w="766" w:type="pct"/>
                  <w:tcBorders>
                    <w:bottom w:val="single" w:color="000000" w:sz="12" w:space="0"/>
                  </w:tcBorders>
                  <w:vAlign w:val="center"/>
                </w:tcPr>
                <w:p>
                  <w:pPr>
                    <w:pStyle w:val="32"/>
                    <w:ind w:firstLine="211" w:firstLineChars="100"/>
                    <w:rPr>
                      <w:b/>
                      <w:bCs w:val="0"/>
                    </w:rPr>
                  </w:pPr>
                  <w:r>
                    <w:rPr>
                      <w:rFonts w:hint="eastAsia"/>
                      <w:b/>
                      <w:bCs w:val="0"/>
                    </w:rPr>
                    <w:t>经度</w:t>
                  </w:r>
                </w:p>
              </w:tc>
              <w:tc>
                <w:tcPr>
                  <w:tcW w:w="702" w:type="pct"/>
                  <w:tcBorders>
                    <w:bottom w:val="single" w:color="000000" w:sz="12" w:space="0"/>
                  </w:tcBorders>
                  <w:vAlign w:val="center"/>
                </w:tcPr>
                <w:p>
                  <w:pPr>
                    <w:pStyle w:val="32"/>
                    <w:ind w:firstLine="211" w:firstLineChars="100"/>
                    <w:rPr>
                      <w:b/>
                      <w:bCs w:val="0"/>
                    </w:rPr>
                  </w:pPr>
                  <w:r>
                    <w:rPr>
                      <w:rFonts w:hint="eastAsia"/>
                      <w:b/>
                      <w:bCs w:val="0"/>
                    </w:rPr>
                    <w:t>纬度</w:t>
                  </w:r>
                </w:p>
              </w:tc>
              <w:tc>
                <w:tcPr>
                  <w:tcW w:w="443" w:type="pct"/>
                  <w:vMerge w:val="continue"/>
                  <w:tcBorders>
                    <w:top w:val="nil"/>
                    <w:bottom w:val="single" w:color="000000" w:sz="12" w:space="0"/>
                    <w:tl2br w:val="nil"/>
                    <w:tr2bl w:val="nil"/>
                  </w:tcBorders>
                  <w:vAlign w:val="center"/>
                </w:tcPr>
                <w:p>
                  <w:pPr>
                    <w:pStyle w:val="32"/>
                  </w:pPr>
                </w:p>
              </w:tc>
              <w:tc>
                <w:tcPr>
                  <w:tcW w:w="604" w:type="pct"/>
                  <w:vMerge w:val="continue"/>
                  <w:tcBorders>
                    <w:top w:val="nil"/>
                    <w:bottom w:val="single" w:color="000000" w:sz="12" w:space="0"/>
                    <w:tl2br w:val="nil"/>
                    <w:tr2bl w:val="nil"/>
                  </w:tcBorders>
                  <w:vAlign w:val="center"/>
                </w:tcPr>
                <w:p>
                  <w:pPr>
                    <w:pStyle w:val="32"/>
                  </w:pPr>
                </w:p>
              </w:tc>
              <w:tc>
                <w:tcPr>
                  <w:tcW w:w="444" w:type="pct"/>
                  <w:vMerge w:val="continue"/>
                  <w:tcBorders>
                    <w:top w:val="nil"/>
                    <w:bottom w:val="single" w:color="000000" w:sz="12" w:space="0"/>
                    <w:tl2br w:val="nil"/>
                    <w:tr2bl w:val="nil"/>
                  </w:tcBorders>
                  <w:vAlign w:val="center"/>
                </w:tcPr>
                <w:p>
                  <w:pPr>
                    <w:pStyle w:val="32"/>
                  </w:pPr>
                </w:p>
              </w:tc>
              <w:tc>
                <w:tcPr>
                  <w:tcW w:w="591" w:type="pct"/>
                  <w:vMerge w:val="continue"/>
                  <w:tcBorders>
                    <w:top w:val="nil"/>
                    <w:bottom w:val="single" w:color="000000" w:sz="12" w:space="0"/>
                    <w:tl2br w:val="nil"/>
                    <w:tr2bl w:val="nil"/>
                  </w:tcBorders>
                  <w:vAlign w:val="center"/>
                </w:tcPr>
                <w:p>
                  <w:pPr>
                    <w:pStyle w:val="32"/>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restart"/>
                  <w:tcBorders>
                    <w:top w:val="single" w:color="auto" w:sz="12" w:space="0"/>
                    <w:tl2br w:val="nil"/>
                    <w:tr2bl w:val="nil"/>
                  </w:tcBorders>
                  <w:vAlign w:val="center"/>
                </w:tcPr>
                <w:p>
                  <w:pPr>
                    <w:pStyle w:val="32"/>
                    <w:ind w:firstLine="0" w:firstLineChars="0"/>
                  </w:pPr>
                  <w:r>
                    <w:rPr>
                      <w:rFonts w:hint="eastAsia"/>
                    </w:rPr>
                    <w:t>大气</w:t>
                  </w:r>
                  <w:r>
                    <w:t>环境</w:t>
                  </w:r>
                </w:p>
              </w:tc>
              <w:tc>
                <w:tcPr>
                  <w:tcW w:w="957" w:type="pct"/>
                  <w:tcBorders>
                    <w:top w:val="single" w:color="auto" w:sz="12" w:space="0"/>
                    <w:tl2br w:val="nil"/>
                    <w:tr2bl w:val="nil"/>
                  </w:tcBorders>
                  <w:vAlign w:val="center"/>
                </w:tcPr>
                <w:p>
                  <w:pPr>
                    <w:pStyle w:val="32"/>
                    <w:ind w:firstLine="0" w:firstLineChars="0"/>
                  </w:pPr>
                  <w:r>
                    <w:rPr>
                      <w:rFonts w:hint="eastAsia"/>
                    </w:rPr>
                    <w:t>家属楼</w:t>
                  </w:r>
                </w:p>
              </w:tc>
              <w:tc>
                <w:tcPr>
                  <w:tcW w:w="766" w:type="pct"/>
                  <w:tcBorders>
                    <w:top w:val="single" w:color="000000" w:sz="12" w:space="0"/>
                    <w:tl2br w:val="nil"/>
                    <w:tr2bl w:val="nil"/>
                  </w:tcBorders>
                  <w:vAlign w:val="center"/>
                </w:tcPr>
                <w:p>
                  <w:pPr>
                    <w:pStyle w:val="32"/>
                    <w:ind w:firstLine="0" w:firstLineChars="0"/>
                  </w:pPr>
                  <w:r>
                    <w:rPr>
                      <w:rFonts w:hint="eastAsia"/>
                    </w:rPr>
                    <w:t>87.299410</w:t>
                  </w:r>
                </w:p>
              </w:tc>
              <w:tc>
                <w:tcPr>
                  <w:tcW w:w="702" w:type="pct"/>
                  <w:tcBorders>
                    <w:top w:val="single" w:color="000000" w:sz="12" w:space="0"/>
                    <w:tl2br w:val="nil"/>
                    <w:tr2bl w:val="nil"/>
                  </w:tcBorders>
                  <w:vAlign w:val="center"/>
                </w:tcPr>
                <w:p>
                  <w:pPr>
                    <w:pStyle w:val="32"/>
                    <w:ind w:firstLine="0" w:firstLineChars="0"/>
                  </w:pPr>
                  <w:r>
                    <w:rPr>
                      <w:rFonts w:hint="eastAsia"/>
                    </w:rPr>
                    <w:t>44.000135</w:t>
                  </w:r>
                </w:p>
              </w:tc>
              <w:tc>
                <w:tcPr>
                  <w:tcW w:w="443" w:type="pct"/>
                  <w:tcBorders>
                    <w:top w:val="single" w:color="000000" w:sz="12" w:space="0"/>
                    <w:tl2br w:val="nil"/>
                    <w:tr2bl w:val="nil"/>
                  </w:tcBorders>
                  <w:vAlign w:val="center"/>
                </w:tcPr>
                <w:p>
                  <w:pPr>
                    <w:pStyle w:val="32"/>
                    <w:ind w:firstLine="0" w:firstLineChars="0"/>
                  </w:pPr>
                  <w:r>
                    <w:rPr>
                      <w:rFonts w:hint="eastAsia"/>
                    </w:rPr>
                    <w:t>居民</w:t>
                  </w:r>
                </w:p>
              </w:tc>
              <w:tc>
                <w:tcPr>
                  <w:tcW w:w="604" w:type="pct"/>
                  <w:vMerge w:val="restart"/>
                  <w:tcBorders>
                    <w:top w:val="single" w:color="000000" w:sz="12" w:space="0"/>
                    <w:tl2br w:val="nil"/>
                    <w:tr2bl w:val="nil"/>
                  </w:tcBorders>
                  <w:vAlign w:val="center"/>
                </w:tcPr>
                <w:p>
                  <w:pPr>
                    <w:pStyle w:val="32"/>
                    <w:ind w:firstLine="0" w:firstLineChars="0"/>
                    <w:rPr>
                      <w:spacing w:val="-4"/>
                    </w:rPr>
                  </w:pPr>
                  <w:r>
                    <w:rPr>
                      <w:spacing w:val="-4"/>
                    </w:rPr>
                    <w:t>《环境空气质量标准》（GB3095-2012）及修改单二级标准</w:t>
                  </w:r>
                </w:p>
              </w:tc>
              <w:tc>
                <w:tcPr>
                  <w:tcW w:w="444" w:type="pct"/>
                  <w:tcBorders>
                    <w:top w:val="single" w:color="000000" w:sz="12" w:space="0"/>
                    <w:tl2br w:val="nil"/>
                    <w:tr2bl w:val="nil"/>
                  </w:tcBorders>
                  <w:vAlign w:val="center"/>
                </w:tcPr>
                <w:p>
                  <w:pPr>
                    <w:pStyle w:val="32"/>
                    <w:ind w:firstLine="0" w:firstLineChars="0"/>
                  </w:pPr>
                  <w:r>
                    <w:rPr>
                      <w:rFonts w:hint="eastAsia"/>
                    </w:rPr>
                    <w:t>650</w:t>
                  </w:r>
                </w:p>
              </w:tc>
              <w:tc>
                <w:tcPr>
                  <w:tcW w:w="591" w:type="pct"/>
                  <w:tcBorders>
                    <w:top w:val="single" w:color="000000" w:sz="12" w:space="0"/>
                    <w:tl2br w:val="nil"/>
                    <w:tr2bl w:val="nil"/>
                  </w:tcBorders>
                  <w:vAlign w:val="center"/>
                </w:tcPr>
                <w:p>
                  <w:pPr>
                    <w:pStyle w:val="32"/>
                    <w:ind w:firstLine="0" w:firstLineChars="0"/>
                  </w:pPr>
                  <w:r>
                    <w:t>南侧</w:t>
                  </w:r>
                </w:p>
                <w:p>
                  <w:pPr>
                    <w:pStyle w:val="32"/>
                    <w:ind w:firstLine="0" w:firstLineChars="0"/>
                  </w:pPr>
                  <w:r>
                    <w:rPr>
                      <w:rFonts w:hint="eastAsia"/>
                    </w:rPr>
                    <w:t>5</w:t>
                  </w:r>
                  <w:r>
                    <w:t>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continue"/>
                  <w:tcBorders>
                    <w:tl2br w:val="nil"/>
                    <w:tr2bl w:val="nil"/>
                  </w:tcBorders>
                  <w:vAlign w:val="center"/>
                </w:tcPr>
                <w:p>
                  <w:pPr>
                    <w:pStyle w:val="32"/>
                    <w:ind w:firstLine="0" w:firstLineChars="0"/>
                  </w:pPr>
                </w:p>
              </w:tc>
              <w:tc>
                <w:tcPr>
                  <w:tcW w:w="957" w:type="pct"/>
                  <w:tcBorders>
                    <w:tl2br w:val="nil"/>
                    <w:tr2bl w:val="nil"/>
                  </w:tcBorders>
                  <w:vAlign w:val="center"/>
                </w:tcPr>
                <w:p>
                  <w:pPr>
                    <w:pStyle w:val="32"/>
                    <w:ind w:firstLine="0" w:firstLineChars="0"/>
                  </w:pPr>
                  <w:r>
                    <w:rPr>
                      <w:rFonts w:hint="eastAsia"/>
                    </w:rPr>
                    <w:t>天馨花园</w:t>
                  </w:r>
                </w:p>
              </w:tc>
              <w:tc>
                <w:tcPr>
                  <w:tcW w:w="766" w:type="pct"/>
                  <w:tcBorders>
                    <w:tl2br w:val="nil"/>
                    <w:tr2bl w:val="nil"/>
                  </w:tcBorders>
                  <w:vAlign w:val="center"/>
                </w:tcPr>
                <w:p>
                  <w:pPr>
                    <w:pStyle w:val="32"/>
                    <w:ind w:firstLine="0" w:firstLineChars="0"/>
                  </w:pPr>
                  <w:r>
                    <w:rPr>
                      <w:rFonts w:hint="eastAsia"/>
                    </w:rPr>
                    <w:t>87.300775</w:t>
                  </w:r>
                </w:p>
              </w:tc>
              <w:tc>
                <w:tcPr>
                  <w:tcW w:w="702" w:type="pct"/>
                  <w:tcBorders>
                    <w:tl2br w:val="nil"/>
                    <w:tr2bl w:val="nil"/>
                  </w:tcBorders>
                  <w:vAlign w:val="center"/>
                </w:tcPr>
                <w:p>
                  <w:pPr>
                    <w:pStyle w:val="32"/>
                    <w:ind w:firstLine="0" w:firstLineChars="0"/>
                  </w:pPr>
                  <w:r>
                    <w:rPr>
                      <w:rFonts w:hint="eastAsia"/>
                    </w:rPr>
                    <w:t>43.999868</w:t>
                  </w:r>
                </w:p>
              </w:tc>
              <w:tc>
                <w:tcPr>
                  <w:tcW w:w="443" w:type="pct"/>
                  <w:tcBorders>
                    <w:tl2br w:val="nil"/>
                    <w:tr2bl w:val="nil"/>
                  </w:tcBorders>
                  <w:vAlign w:val="center"/>
                </w:tcPr>
                <w:p>
                  <w:pPr>
                    <w:pStyle w:val="32"/>
                    <w:ind w:firstLine="0" w:firstLineChars="0"/>
                  </w:pPr>
                  <w:r>
                    <w:rPr>
                      <w:rFonts w:hint="eastAsia"/>
                    </w:rPr>
                    <w:t>居民</w:t>
                  </w:r>
                </w:p>
              </w:tc>
              <w:tc>
                <w:tcPr>
                  <w:tcW w:w="604" w:type="pct"/>
                  <w:vMerge w:val="continue"/>
                  <w:tcBorders>
                    <w:tl2br w:val="nil"/>
                    <w:tr2bl w:val="nil"/>
                  </w:tcBorders>
                  <w:vAlign w:val="center"/>
                </w:tcPr>
                <w:p>
                  <w:pPr>
                    <w:pStyle w:val="32"/>
                  </w:pPr>
                </w:p>
              </w:tc>
              <w:tc>
                <w:tcPr>
                  <w:tcW w:w="444" w:type="pct"/>
                  <w:tcBorders>
                    <w:tl2br w:val="nil"/>
                    <w:tr2bl w:val="nil"/>
                  </w:tcBorders>
                  <w:vAlign w:val="center"/>
                </w:tcPr>
                <w:p>
                  <w:pPr>
                    <w:pStyle w:val="32"/>
                    <w:ind w:firstLine="0" w:firstLineChars="0"/>
                  </w:pPr>
                  <w:r>
                    <w:rPr>
                      <w:rFonts w:hint="eastAsia"/>
                    </w:rPr>
                    <w:t>1100</w:t>
                  </w:r>
                  <w:r>
                    <w:rPr>
                      <w:rFonts w:hint="eastAsia"/>
                    </w:rPr>
                    <w:tab/>
                  </w:r>
                </w:p>
              </w:tc>
              <w:tc>
                <w:tcPr>
                  <w:tcW w:w="591" w:type="pct"/>
                  <w:tcBorders>
                    <w:tl2br w:val="nil"/>
                    <w:tr2bl w:val="nil"/>
                  </w:tcBorders>
                  <w:vAlign w:val="center"/>
                </w:tcPr>
                <w:p>
                  <w:pPr>
                    <w:pStyle w:val="32"/>
                    <w:ind w:firstLine="0" w:firstLineChars="0"/>
                  </w:pPr>
                  <w:r>
                    <w:rPr>
                      <w:rFonts w:hint="eastAsia"/>
                    </w:rPr>
                    <w:t>东南侧150m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continue"/>
                  <w:tcBorders>
                    <w:tl2br w:val="nil"/>
                    <w:tr2bl w:val="nil"/>
                  </w:tcBorders>
                  <w:vAlign w:val="center"/>
                </w:tcPr>
                <w:p>
                  <w:pPr>
                    <w:pStyle w:val="32"/>
                    <w:ind w:firstLine="0" w:firstLineChars="0"/>
                  </w:pPr>
                </w:p>
              </w:tc>
              <w:tc>
                <w:tcPr>
                  <w:tcW w:w="957" w:type="pct"/>
                  <w:tcBorders>
                    <w:tl2br w:val="nil"/>
                    <w:tr2bl w:val="nil"/>
                  </w:tcBorders>
                  <w:vAlign w:val="center"/>
                </w:tcPr>
                <w:p>
                  <w:pPr>
                    <w:pStyle w:val="32"/>
                    <w:ind w:firstLine="0" w:firstLineChars="0"/>
                    <w:rPr>
                      <w:rFonts w:hint="eastAsia"/>
                    </w:rPr>
                  </w:pPr>
                  <w:r>
                    <w:rPr>
                      <w:rFonts w:hint="eastAsia"/>
                    </w:rPr>
                    <w:t>昌吉电视台家属院</w:t>
                  </w:r>
                </w:p>
              </w:tc>
              <w:tc>
                <w:tcPr>
                  <w:tcW w:w="766" w:type="pct"/>
                  <w:tcBorders>
                    <w:tl2br w:val="nil"/>
                    <w:tr2bl w:val="nil"/>
                  </w:tcBorders>
                  <w:vAlign w:val="center"/>
                </w:tcPr>
                <w:p>
                  <w:pPr>
                    <w:pStyle w:val="32"/>
                    <w:ind w:firstLine="0" w:firstLineChars="0"/>
                    <w:rPr>
                      <w:rFonts w:hint="eastAsia"/>
                    </w:rPr>
                  </w:pPr>
                  <w:r>
                    <w:rPr>
                      <w:rFonts w:hint="eastAsia"/>
                    </w:rPr>
                    <w:t>87.</w:t>
                  </w:r>
                  <w:r>
                    <w:t>2975</w:t>
                  </w:r>
                  <w:r>
                    <w:rPr>
                      <w:rFonts w:hint="eastAsia"/>
                    </w:rPr>
                    <w:t>7</w:t>
                  </w:r>
                  <w:r>
                    <w:t>4</w:t>
                  </w:r>
                </w:p>
              </w:tc>
              <w:tc>
                <w:tcPr>
                  <w:tcW w:w="702" w:type="pct"/>
                  <w:tcBorders>
                    <w:tl2br w:val="nil"/>
                    <w:tr2bl w:val="nil"/>
                  </w:tcBorders>
                  <w:vAlign w:val="center"/>
                </w:tcPr>
                <w:p>
                  <w:pPr>
                    <w:pStyle w:val="32"/>
                    <w:ind w:firstLine="0" w:firstLineChars="0"/>
                    <w:rPr>
                      <w:rFonts w:hint="eastAsia"/>
                    </w:rPr>
                  </w:pPr>
                  <w:r>
                    <w:rPr>
                      <w:rFonts w:hint="eastAsia"/>
                    </w:rPr>
                    <w:t>43.</w:t>
                  </w:r>
                  <w:r>
                    <w:t>997373</w:t>
                  </w:r>
                </w:p>
              </w:tc>
              <w:tc>
                <w:tcPr>
                  <w:tcW w:w="443" w:type="pct"/>
                  <w:tcBorders>
                    <w:tl2br w:val="nil"/>
                    <w:tr2bl w:val="nil"/>
                  </w:tcBorders>
                  <w:vAlign w:val="center"/>
                </w:tcPr>
                <w:p>
                  <w:pPr>
                    <w:pStyle w:val="32"/>
                    <w:ind w:firstLine="0" w:firstLineChars="0"/>
                    <w:rPr>
                      <w:rFonts w:hint="eastAsia"/>
                    </w:rPr>
                  </w:pPr>
                  <w:r>
                    <w:rPr>
                      <w:rFonts w:hint="eastAsia"/>
                    </w:rPr>
                    <w:t>居民</w:t>
                  </w:r>
                </w:p>
              </w:tc>
              <w:tc>
                <w:tcPr>
                  <w:tcW w:w="604" w:type="pct"/>
                  <w:vMerge w:val="continue"/>
                  <w:tcBorders>
                    <w:tl2br w:val="nil"/>
                    <w:tr2bl w:val="nil"/>
                  </w:tcBorders>
                  <w:vAlign w:val="center"/>
                </w:tcPr>
                <w:p>
                  <w:pPr>
                    <w:pStyle w:val="32"/>
                  </w:pPr>
                </w:p>
              </w:tc>
              <w:tc>
                <w:tcPr>
                  <w:tcW w:w="444" w:type="pct"/>
                  <w:tcBorders>
                    <w:tl2br w:val="nil"/>
                    <w:tr2bl w:val="nil"/>
                  </w:tcBorders>
                  <w:vAlign w:val="center"/>
                </w:tcPr>
                <w:p>
                  <w:pPr>
                    <w:pStyle w:val="32"/>
                    <w:ind w:firstLine="0" w:firstLineChars="0"/>
                    <w:rPr>
                      <w:rFonts w:hint="eastAsia"/>
                    </w:rPr>
                  </w:pPr>
                  <w:r>
                    <w:t>450</w:t>
                  </w:r>
                </w:p>
              </w:tc>
              <w:tc>
                <w:tcPr>
                  <w:tcW w:w="591" w:type="pct"/>
                  <w:tcBorders>
                    <w:tl2br w:val="nil"/>
                    <w:tr2bl w:val="nil"/>
                  </w:tcBorders>
                  <w:vAlign w:val="center"/>
                </w:tcPr>
                <w:p>
                  <w:pPr>
                    <w:pStyle w:val="32"/>
                    <w:ind w:firstLine="0" w:firstLineChars="0"/>
                    <w:rPr>
                      <w:rFonts w:hint="eastAsia"/>
                    </w:rPr>
                  </w:pPr>
                  <w:r>
                    <w:rPr>
                      <w:rFonts w:hint="eastAsia"/>
                    </w:rPr>
                    <w:t>东南侧</w:t>
                  </w:r>
                  <w:r>
                    <w:t>20</w:t>
                  </w:r>
                  <w:r>
                    <w:rPr>
                      <w:rFonts w:hint="eastAsia"/>
                    </w:rPr>
                    <w:t>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continue"/>
                  <w:tcBorders>
                    <w:tl2br w:val="nil"/>
                    <w:tr2bl w:val="nil"/>
                  </w:tcBorders>
                  <w:vAlign w:val="center"/>
                </w:tcPr>
                <w:p>
                  <w:pPr>
                    <w:pStyle w:val="32"/>
                    <w:ind w:firstLine="0" w:firstLineChars="0"/>
                  </w:pPr>
                </w:p>
              </w:tc>
              <w:tc>
                <w:tcPr>
                  <w:tcW w:w="957" w:type="pct"/>
                  <w:tcBorders>
                    <w:tl2br w:val="nil"/>
                    <w:tr2bl w:val="nil"/>
                  </w:tcBorders>
                  <w:vAlign w:val="center"/>
                </w:tcPr>
                <w:p>
                  <w:pPr>
                    <w:pStyle w:val="32"/>
                    <w:ind w:firstLine="0" w:firstLineChars="0"/>
                  </w:pPr>
                  <w:r>
                    <w:rPr>
                      <w:rFonts w:hint="eastAsia"/>
                    </w:rPr>
                    <w:t>中国工商银行</w:t>
                  </w:r>
                </w:p>
              </w:tc>
              <w:tc>
                <w:tcPr>
                  <w:tcW w:w="766" w:type="pct"/>
                  <w:tcBorders>
                    <w:tl2br w:val="nil"/>
                    <w:tr2bl w:val="nil"/>
                  </w:tcBorders>
                  <w:vAlign w:val="center"/>
                </w:tcPr>
                <w:p>
                  <w:pPr>
                    <w:pStyle w:val="32"/>
                    <w:ind w:firstLine="0" w:firstLineChars="0"/>
                  </w:pPr>
                  <w:r>
                    <w:rPr>
                      <w:rFonts w:hint="eastAsia"/>
                    </w:rPr>
                    <w:t>87.298677</w:t>
                  </w:r>
                </w:p>
              </w:tc>
              <w:tc>
                <w:tcPr>
                  <w:tcW w:w="702" w:type="pct"/>
                  <w:tcBorders>
                    <w:tl2br w:val="nil"/>
                    <w:tr2bl w:val="nil"/>
                  </w:tcBorders>
                  <w:vAlign w:val="center"/>
                </w:tcPr>
                <w:p>
                  <w:pPr>
                    <w:pStyle w:val="32"/>
                    <w:ind w:firstLine="0" w:firstLineChars="0"/>
                  </w:pPr>
                  <w:r>
                    <w:rPr>
                      <w:rFonts w:hint="eastAsia"/>
                    </w:rPr>
                    <w:t>44.001524</w:t>
                  </w:r>
                </w:p>
              </w:tc>
              <w:tc>
                <w:tcPr>
                  <w:tcW w:w="443" w:type="pct"/>
                  <w:tcBorders>
                    <w:tl2br w:val="nil"/>
                    <w:tr2bl w:val="nil"/>
                  </w:tcBorders>
                  <w:vAlign w:val="center"/>
                </w:tcPr>
                <w:p>
                  <w:pPr>
                    <w:pStyle w:val="32"/>
                    <w:ind w:firstLine="0" w:firstLineChars="0"/>
                  </w:pPr>
                  <w:r>
                    <w:t>工作人员</w:t>
                  </w:r>
                </w:p>
              </w:tc>
              <w:tc>
                <w:tcPr>
                  <w:tcW w:w="604" w:type="pct"/>
                  <w:vMerge w:val="continue"/>
                  <w:tcBorders>
                    <w:tl2br w:val="nil"/>
                    <w:tr2bl w:val="nil"/>
                  </w:tcBorders>
                  <w:vAlign w:val="center"/>
                </w:tcPr>
                <w:p>
                  <w:pPr>
                    <w:pStyle w:val="32"/>
                  </w:pPr>
                </w:p>
              </w:tc>
              <w:tc>
                <w:tcPr>
                  <w:tcW w:w="444" w:type="pct"/>
                  <w:tcBorders>
                    <w:tl2br w:val="nil"/>
                    <w:tr2bl w:val="nil"/>
                  </w:tcBorders>
                  <w:vAlign w:val="center"/>
                </w:tcPr>
                <w:p>
                  <w:pPr>
                    <w:pStyle w:val="32"/>
                    <w:ind w:firstLine="0" w:firstLineChars="0"/>
                  </w:pPr>
                  <w:r>
                    <w:rPr>
                      <w:rFonts w:hint="eastAsia"/>
                    </w:rPr>
                    <w:t>65</w:t>
                  </w:r>
                </w:p>
              </w:tc>
              <w:tc>
                <w:tcPr>
                  <w:tcW w:w="591" w:type="pct"/>
                  <w:tcBorders>
                    <w:tl2br w:val="nil"/>
                    <w:tr2bl w:val="nil"/>
                  </w:tcBorders>
                  <w:vAlign w:val="center"/>
                </w:tcPr>
                <w:p>
                  <w:pPr>
                    <w:pStyle w:val="32"/>
                    <w:ind w:firstLine="0" w:firstLineChars="0"/>
                  </w:pPr>
                  <w:r>
                    <w:rPr>
                      <w:rFonts w:hint="eastAsia"/>
                    </w:rPr>
                    <w:t>西侧</w:t>
                  </w:r>
                </w:p>
                <w:p>
                  <w:pPr>
                    <w:pStyle w:val="32"/>
                    <w:ind w:firstLine="0" w:firstLineChars="0"/>
                  </w:pPr>
                  <w:r>
                    <w:rPr>
                      <w:rFonts w:hint="eastAsia"/>
                    </w:rPr>
                    <w:t>150m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continue"/>
                  <w:tcBorders>
                    <w:tl2br w:val="nil"/>
                    <w:tr2bl w:val="nil"/>
                  </w:tcBorders>
                  <w:vAlign w:val="center"/>
                </w:tcPr>
                <w:p>
                  <w:pPr>
                    <w:pStyle w:val="32"/>
                    <w:ind w:firstLine="0" w:firstLineChars="0"/>
                  </w:pPr>
                </w:p>
              </w:tc>
              <w:tc>
                <w:tcPr>
                  <w:tcW w:w="957" w:type="pct"/>
                  <w:tcBorders>
                    <w:tl2br w:val="nil"/>
                    <w:tr2bl w:val="nil"/>
                  </w:tcBorders>
                  <w:vAlign w:val="center"/>
                </w:tcPr>
                <w:p>
                  <w:pPr>
                    <w:pStyle w:val="32"/>
                    <w:ind w:firstLine="0" w:firstLineChars="0"/>
                  </w:pPr>
                  <w:r>
                    <w:rPr>
                      <w:rFonts w:hint="eastAsia"/>
                    </w:rPr>
                    <w:t>新疆东升鸿福大饭店</w:t>
                  </w:r>
                </w:p>
              </w:tc>
              <w:tc>
                <w:tcPr>
                  <w:tcW w:w="766" w:type="pct"/>
                  <w:tcBorders>
                    <w:tl2br w:val="nil"/>
                    <w:tr2bl w:val="nil"/>
                  </w:tcBorders>
                  <w:vAlign w:val="center"/>
                </w:tcPr>
                <w:p>
                  <w:pPr>
                    <w:pStyle w:val="32"/>
                    <w:ind w:firstLine="0" w:firstLineChars="0"/>
                  </w:pPr>
                  <w:r>
                    <w:t>87.2</w:t>
                  </w:r>
                  <w:r>
                    <w:rPr>
                      <w:rFonts w:hint="eastAsia"/>
                    </w:rPr>
                    <w:t>97599</w:t>
                  </w:r>
                </w:p>
              </w:tc>
              <w:tc>
                <w:tcPr>
                  <w:tcW w:w="702" w:type="pct"/>
                  <w:tcBorders>
                    <w:tl2br w:val="nil"/>
                    <w:tr2bl w:val="nil"/>
                  </w:tcBorders>
                  <w:vAlign w:val="center"/>
                </w:tcPr>
                <w:p>
                  <w:pPr>
                    <w:pStyle w:val="32"/>
                    <w:ind w:firstLine="0" w:firstLineChars="0"/>
                  </w:pPr>
                  <w:r>
                    <w:t>44.0</w:t>
                  </w:r>
                  <w:r>
                    <w:rPr>
                      <w:rFonts w:hint="eastAsia"/>
                    </w:rPr>
                    <w:t>01690</w:t>
                  </w:r>
                </w:p>
              </w:tc>
              <w:tc>
                <w:tcPr>
                  <w:tcW w:w="443" w:type="pct"/>
                  <w:tcBorders>
                    <w:tl2br w:val="nil"/>
                    <w:tr2bl w:val="nil"/>
                  </w:tcBorders>
                  <w:vAlign w:val="center"/>
                </w:tcPr>
                <w:p>
                  <w:pPr>
                    <w:pStyle w:val="32"/>
                    <w:ind w:firstLine="0" w:firstLineChars="0"/>
                  </w:pPr>
                  <w:r>
                    <w:t>工作人员</w:t>
                  </w:r>
                </w:p>
              </w:tc>
              <w:tc>
                <w:tcPr>
                  <w:tcW w:w="604" w:type="pct"/>
                  <w:vMerge w:val="continue"/>
                  <w:tcBorders>
                    <w:tl2br w:val="nil"/>
                    <w:tr2bl w:val="nil"/>
                  </w:tcBorders>
                  <w:vAlign w:val="center"/>
                </w:tcPr>
                <w:p>
                  <w:pPr>
                    <w:pStyle w:val="32"/>
                  </w:pPr>
                </w:p>
              </w:tc>
              <w:tc>
                <w:tcPr>
                  <w:tcW w:w="444" w:type="pct"/>
                  <w:tcBorders>
                    <w:tl2br w:val="nil"/>
                    <w:tr2bl w:val="nil"/>
                  </w:tcBorders>
                  <w:vAlign w:val="center"/>
                </w:tcPr>
                <w:p>
                  <w:pPr>
                    <w:pStyle w:val="32"/>
                    <w:ind w:firstLine="0" w:firstLineChars="0"/>
                  </w:pPr>
                  <w:r>
                    <w:rPr>
                      <w:rFonts w:hint="eastAsia"/>
                    </w:rPr>
                    <w:t>90</w:t>
                  </w:r>
                </w:p>
              </w:tc>
              <w:tc>
                <w:tcPr>
                  <w:tcW w:w="591" w:type="pct"/>
                  <w:tcBorders>
                    <w:tl2br w:val="nil"/>
                    <w:tr2bl w:val="nil"/>
                  </w:tcBorders>
                  <w:vAlign w:val="center"/>
                </w:tcPr>
                <w:p>
                  <w:pPr>
                    <w:pStyle w:val="32"/>
                    <w:ind w:firstLine="0" w:firstLineChars="0"/>
                  </w:pPr>
                  <w:r>
                    <w:t>西侧</w:t>
                  </w:r>
                </w:p>
                <w:p>
                  <w:pPr>
                    <w:pStyle w:val="32"/>
                    <w:ind w:firstLine="0" w:firstLineChars="0"/>
                  </w:pPr>
                  <w:r>
                    <w:rPr>
                      <w:rFonts w:hint="eastAsia"/>
                    </w:rPr>
                    <w:t>200</w:t>
                  </w:r>
                  <w: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continue"/>
                  <w:tcBorders>
                    <w:tl2br w:val="nil"/>
                    <w:tr2bl w:val="nil"/>
                  </w:tcBorders>
                  <w:vAlign w:val="center"/>
                </w:tcPr>
                <w:p>
                  <w:pPr>
                    <w:pStyle w:val="32"/>
                    <w:ind w:firstLine="0" w:firstLineChars="0"/>
                  </w:pPr>
                </w:p>
              </w:tc>
              <w:tc>
                <w:tcPr>
                  <w:tcW w:w="957" w:type="pct"/>
                  <w:tcBorders>
                    <w:tl2br w:val="nil"/>
                    <w:tr2bl w:val="nil"/>
                  </w:tcBorders>
                  <w:vAlign w:val="center"/>
                </w:tcPr>
                <w:p>
                  <w:pPr>
                    <w:pStyle w:val="32"/>
                    <w:ind w:firstLine="0" w:firstLineChars="0"/>
                  </w:pPr>
                  <w:r>
                    <w:rPr>
                      <w:rFonts w:hint="eastAsia"/>
                    </w:rPr>
                    <w:t>新疆地矿局</w:t>
                  </w:r>
                </w:p>
                <w:p>
                  <w:pPr>
                    <w:pStyle w:val="32"/>
                    <w:ind w:firstLine="0" w:firstLineChars="0"/>
                  </w:pPr>
                  <w:r>
                    <w:rPr>
                      <w:rFonts w:hint="eastAsia"/>
                    </w:rPr>
                    <w:t>昌吉地质村</w:t>
                  </w:r>
                </w:p>
              </w:tc>
              <w:tc>
                <w:tcPr>
                  <w:tcW w:w="766" w:type="pct"/>
                  <w:tcBorders>
                    <w:tl2br w:val="nil"/>
                    <w:tr2bl w:val="nil"/>
                  </w:tcBorders>
                  <w:vAlign w:val="center"/>
                </w:tcPr>
                <w:p>
                  <w:pPr>
                    <w:pStyle w:val="32"/>
                    <w:ind w:firstLine="0" w:firstLineChars="0"/>
                  </w:pPr>
                  <w:r>
                    <w:t>87.2</w:t>
                  </w:r>
                  <w:r>
                    <w:rPr>
                      <w:rFonts w:hint="eastAsia"/>
                    </w:rPr>
                    <w:t>97513</w:t>
                  </w:r>
                </w:p>
              </w:tc>
              <w:tc>
                <w:tcPr>
                  <w:tcW w:w="702" w:type="pct"/>
                  <w:tcBorders>
                    <w:tl2br w:val="nil"/>
                    <w:tr2bl w:val="nil"/>
                  </w:tcBorders>
                  <w:vAlign w:val="center"/>
                </w:tcPr>
                <w:p>
                  <w:pPr>
                    <w:pStyle w:val="32"/>
                    <w:ind w:firstLine="0" w:firstLineChars="0"/>
                  </w:pPr>
                  <w:r>
                    <w:t>4</w:t>
                  </w:r>
                  <w:r>
                    <w:rPr>
                      <w:rFonts w:hint="eastAsia"/>
                    </w:rPr>
                    <w:t>3</w:t>
                  </w:r>
                  <w:r>
                    <w:t>.</w:t>
                  </w:r>
                  <w:r>
                    <w:rPr>
                      <w:rFonts w:hint="eastAsia"/>
                    </w:rPr>
                    <w:t>998942</w:t>
                  </w:r>
                </w:p>
              </w:tc>
              <w:tc>
                <w:tcPr>
                  <w:tcW w:w="443" w:type="pct"/>
                  <w:tcBorders>
                    <w:tl2br w:val="nil"/>
                    <w:tr2bl w:val="nil"/>
                  </w:tcBorders>
                  <w:vAlign w:val="center"/>
                </w:tcPr>
                <w:p>
                  <w:pPr>
                    <w:pStyle w:val="32"/>
                    <w:ind w:firstLine="0" w:firstLineChars="0"/>
                  </w:pPr>
                  <w:r>
                    <w:t>工作人员</w:t>
                  </w:r>
                </w:p>
              </w:tc>
              <w:tc>
                <w:tcPr>
                  <w:tcW w:w="604" w:type="pct"/>
                  <w:vMerge w:val="continue"/>
                  <w:tcBorders>
                    <w:tl2br w:val="nil"/>
                    <w:tr2bl w:val="nil"/>
                  </w:tcBorders>
                  <w:vAlign w:val="center"/>
                </w:tcPr>
                <w:p>
                  <w:pPr>
                    <w:pStyle w:val="32"/>
                  </w:pPr>
                </w:p>
              </w:tc>
              <w:tc>
                <w:tcPr>
                  <w:tcW w:w="444" w:type="pct"/>
                  <w:tcBorders>
                    <w:tl2br w:val="nil"/>
                    <w:tr2bl w:val="nil"/>
                  </w:tcBorders>
                  <w:vAlign w:val="center"/>
                </w:tcPr>
                <w:p>
                  <w:pPr>
                    <w:pStyle w:val="32"/>
                    <w:ind w:firstLine="0" w:firstLineChars="0"/>
                  </w:pPr>
                  <w:r>
                    <w:rPr>
                      <w:rFonts w:hint="eastAsia"/>
                    </w:rPr>
                    <w:t>450</w:t>
                  </w:r>
                </w:p>
              </w:tc>
              <w:tc>
                <w:tcPr>
                  <w:tcW w:w="591" w:type="pct"/>
                  <w:tcBorders>
                    <w:tl2br w:val="nil"/>
                    <w:tr2bl w:val="nil"/>
                  </w:tcBorders>
                  <w:vAlign w:val="center"/>
                </w:tcPr>
                <w:p>
                  <w:pPr>
                    <w:pStyle w:val="32"/>
                    <w:ind w:firstLine="0" w:firstLineChars="0"/>
                  </w:pPr>
                  <w:r>
                    <w:rPr>
                      <w:rFonts w:hint="eastAsia"/>
                    </w:rPr>
                    <w:t>西南</w:t>
                  </w:r>
                  <w:r>
                    <w:t>侧</w:t>
                  </w:r>
                </w:p>
                <w:p>
                  <w:pPr>
                    <w:pStyle w:val="32"/>
                    <w:ind w:firstLine="0" w:firstLineChars="0"/>
                  </w:pPr>
                  <w:r>
                    <w:rPr>
                      <w:rFonts w:hint="eastAsia"/>
                    </w:rPr>
                    <w:t>300</w:t>
                  </w:r>
                  <w: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continue"/>
                  <w:tcBorders>
                    <w:tl2br w:val="nil"/>
                    <w:tr2bl w:val="nil"/>
                  </w:tcBorders>
                  <w:vAlign w:val="center"/>
                </w:tcPr>
                <w:p>
                  <w:pPr>
                    <w:pStyle w:val="32"/>
                    <w:ind w:firstLine="0" w:firstLineChars="0"/>
                  </w:pPr>
                </w:p>
              </w:tc>
              <w:tc>
                <w:tcPr>
                  <w:tcW w:w="957" w:type="pct"/>
                  <w:tcBorders>
                    <w:tl2br w:val="nil"/>
                    <w:tr2bl w:val="nil"/>
                  </w:tcBorders>
                  <w:vAlign w:val="center"/>
                </w:tcPr>
                <w:p>
                  <w:pPr>
                    <w:pStyle w:val="32"/>
                    <w:ind w:firstLine="0" w:firstLineChars="0"/>
                    <w:rPr>
                      <w:rFonts w:hint="eastAsia"/>
                    </w:rPr>
                  </w:pPr>
                  <w:bookmarkStart w:id="16" w:name="_Hlk96450803"/>
                  <w:r>
                    <w:rPr>
                      <w:rFonts w:hint="eastAsia"/>
                    </w:rPr>
                    <w:t>天润花苑</w:t>
                  </w:r>
                  <w:bookmarkEnd w:id="16"/>
                  <w:r>
                    <w:rPr>
                      <w:rFonts w:hint="eastAsia"/>
                    </w:rPr>
                    <w:t>小区</w:t>
                  </w:r>
                </w:p>
              </w:tc>
              <w:tc>
                <w:tcPr>
                  <w:tcW w:w="766" w:type="pct"/>
                  <w:tcBorders>
                    <w:tl2br w:val="nil"/>
                    <w:tr2bl w:val="nil"/>
                  </w:tcBorders>
                  <w:vAlign w:val="center"/>
                </w:tcPr>
                <w:p>
                  <w:pPr>
                    <w:pStyle w:val="32"/>
                    <w:ind w:firstLine="0" w:firstLineChars="0"/>
                  </w:pPr>
                  <w:r>
                    <w:t>87.3000</w:t>
                  </w:r>
                  <w:r>
                    <w:rPr>
                      <w:rFonts w:hint="eastAsia"/>
                    </w:rPr>
                    <w:t>13</w:t>
                  </w:r>
                </w:p>
              </w:tc>
              <w:tc>
                <w:tcPr>
                  <w:tcW w:w="702" w:type="pct"/>
                  <w:tcBorders>
                    <w:tl2br w:val="nil"/>
                    <w:tr2bl w:val="nil"/>
                  </w:tcBorders>
                  <w:vAlign w:val="center"/>
                </w:tcPr>
                <w:p>
                  <w:pPr>
                    <w:pStyle w:val="32"/>
                    <w:ind w:firstLine="0" w:firstLineChars="0"/>
                  </w:pPr>
                  <w:r>
                    <w:t>4</w:t>
                  </w:r>
                  <w:r>
                    <w:rPr>
                      <w:rFonts w:hint="eastAsia"/>
                    </w:rPr>
                    <w:t>3</w:t>
                  </w:r>
                  <w:r>
                    <w:t>.8999</w:t>
                  </w:r>
                  <w:r>
                    <w:rPr>
                      <w:rFonts w:hint="eastAsia"/>
                    </w:rPr>
                    <w:t>42</w:t>
                  </w:r>
                </w:p>
              </w:tc>
              <w:tc>
                <w:tcPr>
                  <w:tcW w:w="443" w:type="pct"/>
                  <w:tcBorders>
                    <w:tl2br w:val="nil"/>
                    <w:tr2bl w:val="nil"/>
                  </w:tcBorders>
                  <w:vAlign w:val="center"/>
                </w:tcPr>
                <w:p>
                  <w:pPr>
                    <w:pStyle w:val="32"/>
                    <w:ind w:firstLine="0" w:firstLineChars="0"/>
                  </w:pPr>
                  <w:r>
                    <w:rPr>
                      <w:rFonts w:hint="eastAsia"/>
                    </w:rPr>
                    <w:t>居民</w:t>
                  </w:r>
                </w:p>
              </w:tc>
              <w:tc>
                <w:tcPr>
                  <w:tcW w:w="604" w:type="pct"/>
                  <w:vMerge w:val="continue"/>
                  <w:tcBorders>
                    <w:tl2br w:val="nil"/>
                    <w:tr2bl w:val="nil"/>
                  </w:tcBorders>
                  <w:vAlign w:val="center"/>
                </w:tcPr>
                <w:p>
                  <w:pPr>
                    <w:pStyle w:val="32"/>
                  </w:pPr>
                </w:p>
              </w:tc>
              <w:tc>
                <w:tcPr>
                  <w:tcW w:w="444" w:type="pct"/>
                  <w:tcBorders>
                    <w:tl2br w:val="nil"/>
                    <w:tr2bl w:val="nil"/>
                  </w:tcBorders>
                  <w:vAlign w:val="center"/>
                </w:tcPr>
                <w:p>
                  <w:pPr>
                    <w:pStyle w:val="32"/>
                    <w:ind w:firstLine="0" w:firstLineChars="0"/>
                    <w:rPr>
                      <w:rFonts w:hint="eastAsia"/>
                    </w:rPr>
                  </w:pPr>
                  <w:r>
                    <w:t>800</w:t>
                  </w:r>
                </w:p>
              </w:tc>
              <w:tc>
                <w:tcPr>
                  <w:tcW w:w="591" w:type="pct"/>
                  <w:tcBorders>
                    <w:tl2br w:val="nil"/>
                    <w:tr2bl w:val="nil"/>
                  </w:tcBorders>
                  <w:vAlign w:val="center"/>
                </w:tcPr>
                <w:p>
                  <w:pPr>
                    <w:pStyle w:val="32"/>
                    <w:ind w:firstLine="0" w:firstLineChars="0"/>
                  </w:pPr>
                  <w:r>
                    <w:rPr>
                      <w:rFonts w:hint="eastAsia"/>
                    </w:rPr>
                    <w:t>东侧</w:t>
                  </w:r>
                </w:p>
                <w:p>
                  <w:pPr>
                    <w:pStyle w:val="32"/>
                    <w:ind w:firstLine="0" w:firstLineChars="0"/>
                    <w:rPr>
                      <w:rFonts w:hint="eastAsia"/>
                    </w:rPr>
                  </w:pPr>
                  <w:r>
                    <w:t>3</w:t>
                  </w:r>
                  <w:r>
                    <w:rPr>
                      <w:rFonts w:hint="eastAsia"/>
                    </w:rPr>
                    <w:t>50m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3" w:type="pct"/>
                  <w:vMerge w:val="continue"/>
                  <w:tcBorders>
                    <w:tl2br w:val="nil"/>
                    <w:tr2bl w:val="nil"/>
                  </w:tcBorders>
                  <w:vAlign w:val="center"/>
                </w:tcPr>
                <w:p>
                  <w:pPr>
                    <w:pStyle w:val="32"/>
                    <w:ind w:firstLine="0" w:firstLineChars="0"/>
                  </w:pPr>
                </w:p>
              </w:tc>
              <w:tc>
                <w:tcPr>
                  <w:tcW w:w="957" w:type="pct"/>
                  <w:tcBorders>
                    <w:tl2br w:val="nil"/>
                    <w:tr2bl w:val="nil"/>
                  </w:tcBorders>
                  <w:vAlign w:val="center"/>
                </w:tcPr>
                <w:p>
                  <w:pPr>
                    <w:pStyle w:val="32"/>
                    <w:ind w:firstLine="0" w:firstLineChars="0"/>
                    <w:rPr>
                      <w:rFonts w:hint="eastAsia"/>
                    </w:rPr>
                  </w:pPr>
                  <w:r>
                    <w:rPr>
                      <w:rFonts w:hint="eastAsia"/>
                    </w:rPr>
                    <w:t>理想家园</w:t>
                  </w:r>
                </w:p>
              </w:tc>
              <w:tc>
                <w:tcPr>
                  <w:tcW w:w="766" w:type="pct"/>
                  <w:tcBorders>
                    <w:tl2br w:val="nil"/>
                    <w:tr2bl w:val="nil"/>
                  </w:tcBorders>
                  <w:vAlign w:val="center"/>
                </w:tcPr>
                <w:p>
                  <w:pPr>
                    <w:pStyle w:val="32"/>
                    <w:ind w:firstLine="0" w:firstLineChars="0"/>
                  </w:pPr>
                  <w:r>
                    <w:t>87.</w:t>
                  </w:r>
                  <w:r>
                    <w:rPr>
                      <w:rFonts w:hint="eastAsia"/>
                    </w:rPr>
                    <w:t>2</w:t>
                  </w:r>
                  <w:r>
                    <w:t>99358</w:t>
                  </w:r>
                </w:p>
              </w:tc>
              <w:tc>
                <w:tcPr>
                  <w:tcW w:w="702" w:type="pct"/>
                  <w:tcBorders>
                    <w:tl2br w:val="nil"/>
                    <w:tr2bl w:val="nil"/>
                  </w:tcBorders>
                  <w:vAlign w:val="center"/>
                </w:tcPr>
                <w:p>
                  <w:pPr>
                    <w:pStyle w:val="32"/>
                    <w:ind w:firstLine="0" w:firstLineChars="0"/>
                  </w:pPr>
                  <w:r>
                    <w:t>4</w:t>
                  </w:r>
                  <w:r>
                    <w:rPr>
                      <w:rFonts w:hint="eastAsia"/>
                    </w:rPr>
                    <w:t>3</w:t>
                  </w:r>
                  <w:r>
                    <w:t>.</w:t>
                  </w:r>
                  <w:r>
                    <w:rPr>
                      <w:rFonts w:hint="eastAsia"/>
                    </w:rPr>
                    <w:t>9</w:t>
                  </w:r>
                  <w:r>
                    <w:t>96764</w:t>
                  </w:r>
                </w:p>
              </w:tc>
              <w:tc>
                <w:tcPr>
                  <w:tcW w:w="443" w:type="pct"/>
                  <w:tcBorders>
                    <w:tl2br w:val="nil"/>
                    <w:tr2bl w:val="nil"/>
                  </w:tcBorders>
                  <w:vAlign w:val="center"/>
                </w:tcPr>
                <w:p>
                  <w:pPr>
                    <w:pStyle w:val="32"/>
                    <w:ind w:firstLine="0" w:firstLineChars="0"/>
                    <w:rPr>
                      <w:rFonts w:hint="eastAsia"/>
                    </w:rPr>
                  </w:pPr>
                  <w:r>
                    <w:rPr>
                      <w:rFonts w:hint="eastAsia"/>
                    </w:rPr>
                    <w:t>居民</w:t>
                  </w:r>
                </w:p>
              </w:tc>
              <w:tc>
                <w:tcPr>
                  <w:tcW w:w="604" w:type="pct"/>
                  <w:vMerge w:val="continue"/>
                  <w:tcBorders>
                    <w:tl2br w:val="nil"/>
                    <w:tr2bl w:val="nil"/>
                  </w:tcBorders>
                  <w:vAlign w:val="center"/>
                </w:tcPr>
                <w:p>
                  <w:pPr>
                    <w:pStyle w:val="32"/>
                  </w:pPr>
                </w:p>
              </w:tc>
              <w:tc>
                <w:tcPr>
                  <w:tcW w:w="444" w:type="pct"/>
                  <w:tcBorders>
                    <w:tl2br w:val="nil"/>
                    <w:tr2bl w:val="nil"/>
                  </w:tcBorders>
                  <w:vAlign w:val="center"/>
                </w:tcPr>
                <w:p>
                  <w:pPr>
                    <w:pStyle w:val="32"/>
                    <w:ind w:firstLine="0" w:firstLineChars="0"/>
                  </w:pPr>
                  <w:r>
                    <w:rPr>
                      <w:rFonts w:hint="eastAsia"/>
                    </w:rPr>
                    <w:t>4</w:t>
                  </w:r>
                  <w:r>
                    <w:t>20</w:t>
                  </w:r>
                </w:p>
              </w:tc>
              <w:tc>
                <w:tcPr>
                  <w:tcW w:w="591" w:type="pct"/>
                  <w:tcBorders>
                    <w:tl2br w:val="nil"/>
                    <w:tr2bl w:val="nil"/>
                  </w:tcBorders>
                  <w:vAlign w:val="center"/>
                </w:tcPr>
                <w:p>
                  <w:pPr>
                    <w:pStyle w:val="32"/>
                    <w:ind w:firstLine="0" w:firstLineChars="0"/>
                  </w:pPr>
                  <w:r>
                    <w:rPr>
                      <w:rFonts w:hint="eastAsia"/>
                    </w:rPr>
                    <w:t>东南侧</w:t>
                  </w:r>
                </w:p>
                <w:p>
                  <w:pPr>
                    <w:pStyle w:val="32"/>
                    <w:ind w:firstLine="0" w:firstLineChars="0"/>
                    <w:rPr>
                      <w:rFonts w:hint="eastAsia"/>
                    </w:rPr>
                  </w:pPr>
                  <w:r>
                    <w:t>4</w:t>
                  </w:r>
                  <w:r>
                    <w:rPr>
                      <w:rFonts w:hint="eastAsia"/>
                    </w:rPr>
                    <w:t>50m</w:t>
                  </w:r>
                </w:p>
              </w:tc>
            </w:tr>
          </w:tbl>
          <w:p>
            <w:pPr>
              <w:pStyle w:val="10"/>
              <w:spacing w:line="360" w:lineRule="auto"/>
              <w:ind w:firstLine="0"/>
              <w:rPr>
                <w:b/>
                <w:sz w:val="24"/>
                <w:szCs w:val="22"/>
              </w:rPr>
            </w:pPr>
            <w:r>
              <w:rPr>
                <w:b/>
                <w:sz w:val="24"/>
                <w:szCs w:val="22"/>
              </w:rPr>
              <w:t>2.声环境</w:t>
            </w:r>
          </w:p>
          <w:p>
            <w:pPr>
              <w:pStyle w:val="10"/>
              <w:spacing w:line="360" w:lineRule="auto"/>
              <w:ind w:firstLine="480"/>
              <w:rPr>
                <w:bCs/>
                <w:sz w:val="24"/>
                <w:szCs w:val="22"/>
              </w:rPr>
            </w:pPr>
            <w:r>
              <w:rPr>
                <w:bCs/>
                <w:sz w:val="24"/>
                <w:szCs w:val="22"/>
              </w:rPr>
              <w:t>本项目声环境保护敏感目标见表3-</w:t>
            </w:r>
            <w:r>
              <w:rPr>
                <w:rFonts w:hint="eastAsia"/>
                <w:bCs/>
                <w:sz w:val="24"/>
                <w:szCs w:val="22"/>
              </w:rPr>
              <w:t>6</w:t>
            </w:r>
            <w:r>
              <w:rPr>
                <w:bCs/>
                <w:sz w:val="24"/>
                <w:szCs w:val="22"/>
              </w:rPr>
              <w:t>。</w:t>
            </w:r>
          </w:p>
          <w:p>
            <w:pPr>
              <w:pStyle w:val="21"/>
              <w:ind w:firstLine="0" w:firstLineChars="0"/>
              <w:rPr>
                <w:rFonts w:hint="default"/>
              </w:rPr>
            </w:pPr>
            <w:r>
              <w:rPr>
                <w:rFonts w:hint="default"/>
              </w:rPr>
              <w:t>表3-</w:t>
            </w:r>
            <w:r>
              <w:t>6</w:t>
            </w:r>
            <w:r>
              <w:rPr>
                <w:rFonts w:hint="default"/>
              </w:rPr>
              <w:t xml:space="preserve">  主要</w:t>
            </w:r>
            <w:r>
              <w:t>声</w:t>
            </w:r>
            <w:r>
              <w:rPr>
                <w:rFonts w:hint="default"/>
              </w:rPr>
              <w:t>环境保护敏感目标分布一览表</w:t>
            </w:r>
          </w:p>
          <w:tbl>
            <w:tblPr>
              <w:tblStyle w:val="17"/>
              <w:tblW w:w="81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63"/>
              <w:gridCol w:w="1151"/>
              <w:gridCol w:w="1262"/>
              <w:gridCol w:w="648"/>
              <w:gridCol w:w="1873"/>
              <w:gridCol w:w="701"/>
              <w:gridCol w:w="9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4" w:type="pct"/>
                  <w:vMerge w:val="restart"/>
                  <w:vAlign w:val="center"/>
                </w:tcPr>
                <w:p>
                  <w:pPr>
                    <w:pStyle w:val="32"/>
                    <w:ind w:firstLine="0" w:firstLineChars="0"/>
                    <w:rPr>
                      <w:b/>
                      <w:bCs w:val="0"/>
                    </w:rPr>
                  </w:pPr>
                  <w:r>
                    <w:rPr>
                      <w:b/>
                      <w:bCs w:val="0"/>
                    </w:rPr>
                    <w:t>环境要素</w:t>
                  </w:r>
                </w:p>
              </w:tc>
              <w:tc>
                <w:tcPr>
                  <w:tcW w:w="530" w:type="pct"/>
                  <w:vMerge w:val="restart"/>
                  <w:vAlign w:val="center"/>
                </w:tcPr>
                <w:p>
                  <w:pPr>
                    <w:pStyle w:val="32"/>
                    <w:ind w:firstLine="0" w:firstLineChars="0"/>
                    <w:rPr>
                      <w:b/>
                      <w:bCs w:val="0"/>
                    </w:rPr>
                  </w:pPr>
                  <w:r>
                    <w:rPr>
                      <w:b/>
                      <w:bCs w:val="0"/>
                    </w:rPr>
                    <w:t>名称</w:t>
                  </w:r>
                </w:p>
              </w:tc>
              <w:tc>
                <w:tcPr>
                  <w:tcW w:w="1482" w:type="pct"/>
                  <w:gridSpan w:val="2"/>
                  <w:vAlign w:val="center"/>
                </w:tcPr>
                <w:p>
                  <w:pPr>
                    <w:pStyle w:val="32"/>
                    <w:ind w:firstLine="0" w:firstLineChars="0"/>
                    <w:rPr>
                      <w:b/>
                      <w:bCs w:val="0"/>
                    </w:rPr>
                  </w:pPr>
                  <w:r>
                    <w:rPr>
                      <w:b/>
                      <w:bCs w:val="0"/>
                    </w:rPr>
                    <w:t>坐标</w:t>
                  </w:r>
                </w:p>
              </w:tc>
              <w:tc>
                <w:tcPr>
                  <w:tcW w:w="398" w:type="pct"/>
                  <w:vMerge w:val="restart"/>
                  <w:tcBorders>
                    <w:bottom w:val="nil"/>
                    <w:tl2br w:val="nil"/>
                    <w:tr2bl w:val="nil"/>
                  </w:tcBorders>
                  <w:vAlign w:val="center"/>
                </w:tcPr>
                <w:p>
                  <w:pPr>
                    <w:pStyle w:val="32"/>
                    <w:ind w:firstLine="0" w:firstLineChars="0"/>
                    <w:rPr>
                      <w:b/>
                      <w:bCs w:val="0"/>
                    </w:rPr>
                  </w:pPr>
                  <w:r>
                    <w:rPr>
                      <w:b/>
                      <w:bCs w:val="0"/>
                    </w:rPr>
                    <w:t>保护对象</w:t>
                  </w:r>
                </w:p>
              </w:tc>
              <w:tc>
                <w:tcPr>
                  <w:tcW w:w="1150" w:type="pct"/>
                  <w:vMerge w:val="restart"/>
                  <w:tcBorders>
                    <w:bottom w:val="nil"/>
                    <w:tl2br w:val="nil"/>
                    <w:tr2bl w:val="nil"/>
                  </w:tcBorders>
                  <w:vAlign w:val="center"/>
                </w:tcPr>
                <w:p>
                  <w:pPr>
                    <w:pStyle w:val="32"/>
                    <w:ind w:firstLine="0" w:firstLineChars="0"/>
                    <w:rPr>
                      <w:b/>
                      <w:bCs w:val="0"/>
                    </w:rPr>
                  </w:pPr>
                  <w:r>
                    <w:rPr>
                      <w:b/>
                      <w:bCs w:val="0"/>
                    </w:rPr>
                    <w:t>保护内容</w:t>
                  </w:r>
                </w:p>
              </w:tc>
              <w:tc>
                <w:tcPr>
                  <w:tcW w:w="431" w:type="pct"/>
                  <w:vMerge w:val="restart"/>
                  <w:tcBorders>
                    <w:bottom w:val="nil"/>
                    <w:tl2br w:val="nil"/>
                    <w:tr2bl w:val="nil"/>
                  </w:tcBorders>
                  <w:vAlign w:val="center"/>
                </w:tcPr>
                <w:p>
                  <w:pPr>
                    <w:pStyle w:val="32"/>
                    <w:ind w:firstLine="0" w:firstLineChars="0"/>
                    <w:rPr>
                      <w:b/>
                      <w:bCs w:val="0"/>
                    </w:rPr>
                  </w:pPr>
                  <w:r>
                    <w:rPr>
                      <w:b/>
                      <w:bCs w:val="0"/>
                    </w:rPr>
                    <w:t>人数</w:t>
                  </w:r>
                </w:p>
              </w:tc>
              <w:tc>
                <w:tcPr>
                  <w:tcW w:w="592" w:type="pct"/>
                  <w:vMerge w:val="restart"/>
                  <w:tcBorders>
                    <w:bottom w:val="nil"/>
                    <w:tl2br w:val="nil"/>
                    <w:tr2bl w:val="nil"/>
                  </w:tcBorders>
                  <w:vAlign w:val="center"/>
                </w:tcPr>
                <w:p>
                  <w:pPr>
                    <w:pStyle w:val="32"/>
                    <w:ind w:firstLine="0" w:firstLineChars="0"/>
                    <w:rPr>
                      <w:b/>
                      <w:bCs w:val="0"/>
                    </w:rPr>
                  </w:pPr>
                  <w:r>
                    <w:rPr>
                      <w:b/>
                      <w:bCs w:val="0"/>
                    </w:rPr>
                    <w:t>相对地理方位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4" w:type="pct"/>
                  <w:vMerge w:val="continue"/>
                  <w:tcBorders>
                    <w:bottom w:val="single" w:color="auto" w:sz="12" w:space="0"/>
                  </w:tcBorders>
                  <w:vAlign w:val="center"/>
                </w:tcPr>
                <w:p>
                  <w:pPr>
                    <w:pStyle w:val="32"/>
                  </w:pPr>
                </w:p>
              </w:tc>
              <w:tc>
                <w:tcPr>
                  <w:tcW w:w="530" w:type="pct"/>
                  <w:vMerge w:val="continue"/>
                  <w:tcBorders>
                    <w:bottom w:val="single" w:color="auto" w:sz="12" w:space="0"/>
                  </w:tcBorders>
                  <w:vAlign w:val="center"/>
                </w:tcPr>
                <w:p>
                  <w:pPr>
                    <w:pStyle w:val="32"/>
                  </w:pPr>
                </w:p>
              </w:tc>
              <w:tc>
                <w:tcPr>
                  <w:tcW w:w="707" w:type="pct"/>
                  <w:tcBorders>
                    <w:bottom w:val="single" w:color="000000" w:sz="12" w:space="0"/>
                  </w:tcBorders>
                  <w:vAlign w:val="center"/>
                </w:tcPr>
                <w:p>
                  <w:pPr>
                    <w:pStyle w:val="32"/>
                    <w:ind w:firstLine="211" w:firstLineChars="100"/>
                    <w:rPr>
                      <w:b/>
                      <w:bCs w:val="0"/>
                    </w:rPr>
                  </w:pPr>
                  <w:r>
                    <w:rPr>
                      <w:rFonts w:hint="eastAsia"/>
                      <w:b/>
                      <w:bCs w:val="0"/>
                    </w:rPr>
                    <w:t>经度</w:t>
                  </w:r>
                </w:p>
              </w:tc>
              <w:tc>
                <w:tcPr>
                  <w:tcW w:w="774" w:type="pct"/>
                  <w:tcBorders>
                    <w:bottom w:val="single" w:color="000000" w:sz="12" w:space="0"/>
                  </w:tcBorders>
                  <w:vAlign w:val="center"/>
                </w:tcPr>
                <w:p>
                  <w:pPr>
                    <w:pStyle w:val="32"/>
                    <w:ind w:firstLine="211" w:firstLineChars="100"/>
                    <w:rPr>
                      <w:b/>
                      <w:bCs w:val="0"/>
                    </w:rPr>
                  </w:pPr>
                  <w:r>
                    <w:rPr>
                      <w:rFonts w:hint="eastAsia"/>
                      <w:b/>
                      <w:bCs w:val="0"/>
                    </w:rPr>
                    <w:t>纬度</w:t>
                  </w:r>
                </w:p>
              </w:tc>
              <w:tc>
                <w:tcPr>
                  <w:tcW w:w="398" w:type="pct"/>
                  <w:vMerge w:val="continue"/>
                  <w:tcBorders>
                    <w:top w:val="nil"/>
                    <w:bottom w:val="single" w:color="000000" w:sz="12" w:space="0"/>
                    <w:tl2br w:val="nil"/>
                    <w:tr2bl w:val="nil"/>
                  </w:tcBorders>
                  <w:vAlign w:val="center"/>
                </w:tcPr>
                <w:p>
                  <w:pPr>
                    <w:pStyle w:val="32"/>
                  </w:pPr>
                </w:p>
              </w:tc>
              <w:tc>
                <w:tcPr>
                  <w:tcW w:w="1150" w:type="pct"/>
                  <w:vMerge w:val="continue"/>
                  <w:tcBorders>
                    <w:top w:val="nil"/>
                    <w:bottom w:val="single" w:color="000000" w:sz="12" w:space="0"/>
                    <w:tl2br w:val="nil"/>
                    <w:tr2bl w:val="nil"/>
                  </w:tcBorders>
                  <w:vAlign w:val="center"/>
                </w:tcPr>
                <w:p>
                  <w:pPr>
                    <w:pStyle w:val="32"/>
                  </w:pPr>
                </w:p>
              </w:tc>
              <w:tc>
                <w:tcPr>
                  <w:tcW w:w="431" w:type="pct"/>
                  <w:vMerge w:val="continue"/>
                  <w:tcBorders>
                    <w:top w:val="nil"/>
                    <w:bottom w:val="single" w:color="000000" w:sz="12" w:space="0"/>
                    <w:tl2br w:val="nil"/>
                    <w:tr2bl w:val="nil"/>
                  </w:tcBorders>
                  <w:vAlign w:val="center"/>
                </w:tcPr>
                <w:p>
                  <w:pPr>
                    <w:pStyle w:val="32"/>
                  </w:pPr>
                </w:p>
              </w:tc>
              <w:tc>
                <w:tcPr>
                  <w:tcW w:w="592" w:type="pct"/>
                  <w:vMerge w:val="continue"/>
                  <w:tcBorders>
                    <w:top w:val="nil"/>
                    <w:bottom w:val="single" w:color="000000" w:sz="12" w:space="0"/>
                    <w:tl2br w:val="nil"/>
                    <w:tr2bl w:val="nil"/>
                  </w:tcBorders>
                  <w:vAlign w:val="center"/>
                </w:tcPr>
                <w:p>
                  <w:pPr>
                    <w:pStyle w:val="32"/>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14" w:type="pct"/>
                  <w:tcBorders>
                    <w:top w:val="single" w:color="auto" w:sz="12" w:space="0"/>
                    <w:tl2br w:val="nil"/>
                    <w:tr2bl w:val="nil"/>
                  </w:tcBorders>
                  <w:vAlign w:val="center"/>
                </w:tcPr>
                <w:p>
                  <w:pPr>
                    <w:pStyle w:val="32"/>
                    <w:ind w:firstLine="0" w:firstLineChars="0"/>
                  </w:pPr>
                  <w:r>
                    <w:rPr>
                      <w:rFonts w:hint="eastAsia"/>
                    </w:rPr>
                    <w:t>声</w:t>
                  </w:r>
                  <w:r>
                    <w:t>环境</w:t>
                  </w:r>
                </w:p>
              </w:tc>
              <w:tc>
                <w:tcPr>
                  <w:tcW w:w="530" w:type="pct"/>
                  <w:tcBorders>
                    <w:top w:val="single" w:color="auto" w:sz="12" w:space="0"/>
                    <w:tl2br w:val="nil"/>
                    <w:tr2bl w:val="nil"/>
                  </w:tcBorders>
                  <w:vAlign w:val="center"/>
                </w:tcPr>
                <w:p>
                  <w:pPr>
                    <w:pStyle w:val="32"/>
                    <w:ind w:firstLine="0" w:firstLineChars="0"/>
                  </w:pPr>
                  <w:r>
                    <w:rPr>
                      <w:rFonts w:hint="eastAsia"/>
                    </w:rPr>
                    <w:t>家属楼</w:t>
                  </w:r>
                </w:p>
              </w:tc>
              <w:tc>
                <w:tcPr>
                  <w:tcW w:w="707" w:type="pct"/>
                  <w:tcBorders>
                    <w:top w:val="single" w:color="000000" w:sz="12" w:space="0"/>
                    <w:tl2br w:val="nil"/>
                    <w:tr2bl w:val="nil"/>
                  </w:tcBorders>
                  <w:vAlign w:val="center"/>
                </w:tcPr>
                <w:p>
                  <w:pPr>
                    <w:pStyle w:val="32"/>
                    <w:ind w:firstLine="0" w:firstLineChars="0"/>
                  </w:pPr>
                  <w:r>
                    <w:rPr>
                      <w:rFonts w:hint="eastAsia"/>
                    </w:rPr>
                    <w:t>87.299410</w:t>
                  </w:r>
                </w:p>
              </w:tc>
              <w:tc>
                <w:tcPr>
                  <w:tcW w:w="774" w:type="pct"/>
                  <w:tcBorders>
                    <w:top w:val="single" w:color="000000" w:sz="12" w:space="0"/>
                    <w:tl2br w:val="nil"/>
                    <w:tr2bl w:val="nil"/>
                  </w:tcBorders>
                  <w:vAlign w:val="center"/>
                </w:tcPr>
                <w:p>
                  <w:pPr>
                    <w:pStyle w:val="32"/>
                    <w:ind w:firstLine="0" w:firstLineChars="0"/>
                  </w:pPr>
                  <w:r>
                    <w:rPr>
                      <w:rFonts w:hint="eastAsia"/>
                    </w:rPr>
                    <w:t>44.000135</w:t>
                  </w:r>
                </w:p>
              </w:tc>
              <w:tc>
                <w:tcPr>
                  <w:tcW w:w="398" w:type="pct"/>
                  <w:tcBorders>
                    <w:top w:val="single" w:color="000000" w:sz="12" w:space="0"/>
                    <w:tl2br w:val="nil"/>
                    <w:tr2bl w:val="nil"/>
                  </w:tcBorders>
                  <w:vAlign w:val="center"/>
                </w:tcPr>
                <w:p>
                  <w:pPr>
                    <w:pStyle w:val="32"/>
                    <w:ind w:firstLine="0" w:firstLineChars="0"/>
                  </w:pPr>
                  <w:r>
                    <w:rPr>
                      <w:rFonts w:hint="eastAsia"/>
                    </w:rPr>
                    <w:t>居民</w:t>
                  </w:r>
                </w:p>
              </w:tc>
              <w:tc>
                <w:tcPr>
                  <w:tcW w:w="1150" w:type="pct"/>
                  <w:tcBorders>
                    <w:top w:val="single" w:color="000000" w:sz="12" w:space="0"/>
                    <w:tl2br w:val="nil"/>
                    <w:tr2bl w:val="nil"/>
                  </w:tcBorders>
                  <w:vAlign w:val="center"/>
                </w:tcPr>
                <w:p>
                  <w:pPr>
                    <w:pStyle w:val="32"/>
                    <w:ind w:firstLine="0" w:firstLineChars="0"/>
                    <w:rPr>
                      <w:spacing w:val="-4"/>
                    </w:rPr>
                  </w:pPr>
                  <w:r>
                    <w:rPr>
                      <w:spacing w:val="-4"/>
                    </w:rPr>
                    <w:t>《声环境质量标准》（GB3096-2008）</w:t>
                  </w:r>
                  <w:r>
                    <w:rPr>
                      <w:rFonts w:hint="eastAsia"/>
                      <w:spacing w:val="-4"/>
                    </w:rPr>
                    <w:t>1</w:t>
                  </w:r>
                  <w:r>
                    <w:rPr>
                      <w:spacing w:val="-4"/>
                    </w:rPr>
                    <w:t>类标准</w:t>
                  </w:r>
                </w:p>
              </w:tc>
              <w:tc>
                <w:tcPr>
                  <w:tcW w:w="431" w:type="pct"/>
                  <w:tcBorders>
                    <w:top w:val="single" w:color="000000" w:sz="12" w:space="0"/>
                    <w:tl2br w:val="nil"/>
                    <w:tr2bl w:val="nil"/>
                  </w:tcBorders>
                  <w:vAlign w:val="center"/>
                </w:tcPr>
                <w:p>
                  <w:pPr>
                    <w:pStyle w:val="32"/>
                    <w:ind w:firstLine="0" w:firstLineChars="0"/>
                  </w:pPr>
                  <w:r>
                    <w:rPr>
                      <w:rFonts w:hint="eastAsia"/>
                    </w:rPr>
                    <w:t>650</w:t>
                  </w:r>
                </w:p>
              </w:tc>
              <w:tc>
                <w:tcPr>
                  <w:tcW w:w="592" w:type="pct"/>
                  <w:tcBorders>
                    <w:top w:val="single" w:color="000000" w:sz="12" w:space="0"/>
                    <w:tl2br w:val="nil"/>
                    <w:tr2bl w:val="nil"/>
                  </w:tcBorders>
                  <w:vAlign w:val="center"/>
                </w:tcPr>
                <w:p>
                  <w:pPr>
                    <w:pStyle w:val="32"/>
                    <w:ind w:firstLine="0" w:firstLineChars="0"/>
                  </w:pPr>
                  <w:r>
                    <w:t>南侧</w:t>
                  </w:r>
                </w:p>
                <w:p>
                  <w:pPr>
                    <w:pStyle w:val="32"/>
                    <w:ind w:firstLine="0" w:firstLineChars="0"/>
                  </w:pPr>
                  <w:r>
                    <w:rPr>
                      <w:rFonts w:hint="eastAsia"/>
                    </w:rPr>
                    <w:t>5</w:t>
                  </w:r>
                  <w:r>
                    <w:t>0m</w:t>
                  </w:r>
                </w:p>
              </w:tc>
            </w:tr>
          </w:tbl>
          <w:p>
            <w:pPr>
              <w:pStyle w:val="10"/>
              <w:spacing w:line="360" w:lineRule="auto"/>
              <w:ind w:firstLine="0"/>
              <w:rPr>
                <w:b/>
                <w:sz w:val="24"/>
                <w:szCs w:val="22"/>
              </w:rPr>
            </w:pPr>
            <w:r>
              <w:rPr>
                <w:b/>
                <w:sz w:val="24"/>
                <w:szCs w:val="22"/>
              </w:rPr>
              <w:t>3.地下水环境</w:t>
            </w:r>
          </w:p>
          <w:p>
            <w:pPr>
              <w:pStyle w:val="10"/>
              <w:spacing w:line="360" w:lineRule="auto"/>
              <w:ind w:firstLine="480"/>
              <w:rPr>
                <w:color w:val="0000FF"/>
                <w:sz w:val="24"/>
              </w:rPr>
            </w:pPr>
            <w:r>
              <w:rPr>
                <w:bCs/>
                <w:sz w:val="24"/>
                <w:szCs w:val="22"/>
              </w:rPr>
              <w:t>本项目周界外500米范围内的地下水集中式饮用水水源和热水、矿泉水、温泉等特殊地下水资源。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0" w:hRule="atLeast"/>
          <w:jc w:val="center"/>
        </w:trPr>
        <w:tc>
          <w:tcPr>
            <w:tcW w:w="750" w:type="dxa"/>
            <w:tcMar>
              <w:left w:w="28" w:type="dxa"/>
              <w:right w:w="28" w:type="dxa"/>
            </w:tcMar>
            <w:vAlign w:val="center"/>
          </w:tcPr>
          <w:p>
            <w:pPr>
              <w:adjustRightInd w:val="0"/>
              <w:snapToGrid w:val="0"/>
              <w:jc w:val="center"/>
              <w:rPr>
                <w:kern w:val="0"/>
                <w:sz w:val="24"/>
              </w:rPr>
            </w:pPr>
            <w:r>
              <w:rPr>
                <w:kern w:val="0"/>
                <w:sz w:val="24"/>
              </w:rPr>
              <w:t>污染</w:t>
            </w:r>
          </w:p>
          <w:p>
            <w:pPr>
              <w:adjustRightInd w:val="0"/>
              <w:snapToGrid w:val="0"/>
              <w:jc w:val="center"/>
              <w:rPr>
                <w:kern w:val="0"/>
                <w:sz w:val="24"/>
              </w:rPr>
            </w:pPr>
            <w:r>
              <w:rPr>
                <w:kern w:val="0"/>
                <w:sz w:val="24"/>
              </w:rPr>
              <w:t>物排</w:t>
            </w:r>
          </w:p>
          <w:p>
            <w:pPr>
              <w:adjustRightInd w:val="0"/>
              <w:snapToGrid w:val="0"/>
              <w:jc w:val="center"/>
              <w:rPr>
                <w:kern w:val="0"/>
                <w:sz w:val="24"/>
              </w:rPr>
            </w:pPr>
            <w:r>
              <w:rPr>
                <w:kern w:val="0"/>
                <w:sz w:val="24"/>
              </w:rPr>
              <w:t>放控</w:t>
            </w:r>
          </w:p>
          <w:p>
            <w:pPr>
              <w:adjustRightInd w:val="0"/>
              <w:snapToGrid w:val="0"/>
              <w:jc w:val="center"/>
              <w:rPr>
                <w:kern w:val="0"/>
                <w:sz w:val="24"/>
              </w:rPr>
            </w:pPr>
            <w:r>
              <w:rPr>
                <w:kern w:val="0"/>
                <w:sz w:val="24"/>
              </w:rPr>
              <w:t>制标</w:t>
            </w:r>
          </w:p>
          <w:p>
            <w:pPr>
              <w:adjustRightInd w:val="0"/>
              <w:snapToGrid w:val="0"/>
              <w:jc w:val="center"/>
              <w:rPr>
                <w:color w:val="0000FF"/>
                <w:kern w:val="0"/>
                <w:sz w:val="24"/>
                <w:highlight w:val="yellow"/>
              </w:rPr>
            </w:pPr>
            <w:r>
              <w:rPr>
                <w:kern w:val="0"/>
                <w:sz w:val="24"/>
              </w:rPr>
              <w:t>准</w:t>
            </w:r>
          </w:p>
        </w:tc>
        <w:tc>
          <w:tcPr>
            <w:tcW w:w="8311" w:type="dxa"/>
            <w:vAlign w:val="center"/>
          </w:tcPr>
          <w:p>
            <w:pPr>
              <w:pStyle w:val="30"/>
              <w:spacing w:line="360" w:lineRule="auto"/>
              <w:ind w:firstLine="0" w:firstLineChars="0"/>
              <w:rPr>
                <w:b/>
                <w:bCs/>
                <w:color w:val="000000"/>
              </w:rPr>
            </w:pPr>
            <w:r>
              <w:rPr>
                <w:b/>
                <w:bCs/>
                <w:color w:val="000000"/>
              </w:rPr>
              <w:t>1.大气污染物排放标准</w:t>
            </w:r>
          </w:p>
          <w:p>
            <w:pPr>
              <w:pStyle w:val="30"/>
              <w:spacing w:line="360" w:lineRule="auto"/>
              <w:rPr>
                <w:color w:val="000000"/>
              </w:rPr>
            </w:pPr>
            <w:r>
              <w:rPr>
                <w:color w:val="000000"/>
              </w:rPr>
              <w:t>大气污染物排放限值见表3-</w:t>
            </w:r>
            <w:r>
              <w:rPr>
                <w:rFonts w:hint="eastAsia"/>
                <w:color w:val="000000"/>
              </w:rPr>
              <w:t>7</w:t>
            </w:r>
            <w:r>
              <w:rPr>
                <w:color w:val="000000"/>
              </w:rPr>
              <w:t>。</w:t>
            </w:r>
          </w:p>
          <w:p>
            <w:pPr>
              <w:pStyle w:val="21"/>
              <w:ind w:firstLine="422"/>
              <w:rPr>
                <w:rFonts w:hint="default"/>
                <w:color w:val="000000"/>
              </w:rPr>
            </w:pPr>
            <w:r>
              <w:rPr>
                <w:rFonts w:hint="default"/>
                <w:color w:val="000000"/>
              </w:rPr>
              <w:t>表3-</w:t>
            </w:r>
            <w:r>
              <w:rPr>
                <w:color w:val="000000"/>
              </w:rPr>
              <w:t>7</w:t>
            </w:r>
            <w:r>
              <w:rPr>
                <w:rFonts w:hint="default"/>
                <w:color w:val="000000"/>
              </w:rPr>
              <w:t xml:space="preserve">  大气污染物排放限值 </w:t>
            </w:r>
          </w:p>
          <w:tbl>
            <w:tblPr>
              <w:tblStyle w:val="17"/>
              <w:tblW w:w="8118" w:type="dxa"/>
              <w:tblInd w:w="5" w:type="dxa"/>
              <w:tblLayout w:type="fixed"/>
              <w:tblCellMar>
                <w:top w:w="0" w:type="dxa"/>
                <w:left w:w="108" w:type="dxa"/>
                <w:bottom w:w="0" w:type="dxa"/>
                <w:right w:w="108" w:type="dxa"/>
              </w:tblCellMar>
            </w:tblPr>
            <w:tblGrid>
              <w:gridCol w:w="1079"/>
              <w:gridCol w:w="1084"/>
              <w:gridCol w:w="3469"/>
              <w:gridCol w:w="2486"/>
            </w:tblGrid>
            <w:tr>
              <w:trPr>
                <w:trHeight w:val="23" w:hRule="atLeast"/>
              </w:trPr>
              <w:tc>
                <w:tcPr>
                  <w:tcW w:w="1079" w:type="dxa"/>
                  <w:tcBorders>
                    <w:top w:val="single" w:color="auto" w:sz="12" w:space="0"/>
                    <w:bottom w:val="single" w:color="auto" w:sz="12" w:space="0"/>
                    <w:right w:val="single" w:color="000000" w:sz="4" w:space="0"/>
                  </w:tcBorders>
                  <w:vAlign w:val="center"/>
                </w:tcPr>
                <w:p>
                  <w:pPr>
                    <w:pStyle w:val="23"/>
                    <w:wordWrap w:val="0"/>
                    <w:spacing w:after="0" w:line="240" w:lineRule="auto"/>
                    <w:jc w:val="center"/>
                    <w:rPr>
                      <w:b/>
                      <w:bCs/>
                    </w:rPr>
                  </w:pPr>
                  <w:r>
                    <w:rPr>
                      <w:rFonts w:hint="eastAsia"/>
                      <w:b/>
                      <w:bCs/>
                    </w:rPr>
                    <w:t>污染物</w:t>
                  </w:r>
                </w:p>
              </w:tc>
              <w:tc>
                <w:tcPr>
                  <w:tcW w:w="1084" w:type="dxa"/>
                  <w:tcBorders>
                    <w:top w:val="single" w:color="auto" w:sz="12" w:space="0"/>
                    <w:left w:val="single" w:color="000000" w:sz="4" w:space="0"/>
                    <w:bottom w:val="single" w:color="auto" w:sz="12" w:space="0"/>
                    <w:right w:val="single" w:color="000000" w:sz="4" w:space="0"/>
                  </w:tcBorders>
                  <w:vAlign w:val="center"/>
                </w:tcPr>
                <w:p>
                  <w:pPr>
                    <w:pStyle w:val="23"/>
                    <w:wordWrap w:val="0"/>
                    <w:spacing w:after="0" w:line="240" w:lineRule="auto"/>
                    <w:jc w:val="center"/>
                    <w:rPr>
                      <w:b/>
                      <w:bCs/>
                    </w:rPr>
                  </w:pPr>
                  <w:r>
                    <w:rPr>
                      <w:rFonts w:hint="eastAsia"/>
                      <w:b/>
                      <w:bCs/>
                    </w:rPr>
                    <w:t>排放形式</w:t>
                  </w:r>
                </w:p>
              </w:tc>
              <w:tc>
                <w:tcPr>
                  <w:tcW w:w="3469" w:type="dxa"/>
                  <w:tcBorders>
                    <w:top w:val="single" w:color="auto" w:sz="12" w:space="0"/>
                    <w:left w:val="single" w:color="000000" w:sz="4" w:space="0"/>
                    <w:bottom w:val="single" w:color="auto" w:sz="12" w:space="0"/>
                    <w:right w:val="single" w:color="000000" w:sz="4" w:space="0"/>
                  </w:tcBorders>
                  <w:vAlign w:val="center"/>
                </w:tcPr>
                <w:p>
                  <w:pPr>
                    <w:pStyle w:val="23"/>
                    <w:wordWrap w:val="0"/>
                    <w:spacing w:after="0" w:line="240" w:lineRule="auto"/>
                    <w:jc w:val="center"/>
                    <w:rPr>
                      <w:b/>
                      <w:bCs/>
                    </w:rPr>
                  </w:pPr>
                  <w:r>
                    <w:rPr>
                      <w:rFonts w:hint="eastAsia"/>
                      <w:b/>
                      <w:bCs/>
                    </w:rPr>
                    <w:t>标准</w:t>
                  </w:r>
                </w:p>
              </w:tc>
              <w:tc>
                <w:tcPr>
                  <w:tcW w:w="2486" w:type="dxa"/>
                  <w:tcBorders>
                    <w:top w:val="single" w:color="auto" w:sz="12" w:space="0"/>
                    <w:left w:val="single" w:color="000000" w:sz="4" w:space="0"/>
                    <w:bottom w:val="single" w:color="auto" w:sz="12" w:space="0"/>
                  </w:tcBorders>
                  <w:vAlign w:val="center"/>
                </w:tcPr>
                <w:p>
                  <w:pPr>
                    <w:pStyle w:val="23"/>
                    <w:tabs>
                      <w:tab w:val="left" w:pos="543"/>
                    </w:tabs>
                    <w:wordWrap w:val="0"/>
                    <w:spacing w:after="0" w:line="240" w:lineRule="auto"/>
                    <w:jc w:val="center"/>
                    <w:rPr>
                      <w:b/>
                      <w:bCs/>
                    </w:rPr>
                  </w:pPr>
                  <w:r>
                    <w:rPr>
                      <w:rFonts w:hint="eastAsia"/>
                      <w:b/>
                      <w:bCs/>
                    </w:rPr>
                    <w:t>限值</w:t>
                  </w:r>
                </w:p>
              </w:tc>
            </w:tr>
            <w:tr>
              <w:tblPrEx>
                <w:tblCellMar>
                  <w:top w:w="0" w:type="dxa"/>
                  <w:left w:w="108" w:type="dxa"/>
                  <w:bottom w:w="0" w:type="dxa"/>
                  <w:right w:w="108" w:type="dxa"/>
                </w:tblCellMar>
              </w:tblPrEx>
              <w:trPr>
                <w:trHeight w:val="23" w:hRule="atLeast"/>
              </w:trPr>
              <w:tc>
                <w:tcPr>
                  <w:tcW w:w="1079" w:type="dxa"/>
                  <w:tcBorders>
                    <w:top w:val="single" w:color="auto" w:sz="12" w:space="0"/>
                    <w:bottom w:val="single" w:color="auto" w:sz="4" w:space="0"/>
                    <w:right w:val="single" w:color="auto" w:sz="4" w:space="0"/>
                  </w:tcBorders>
                  <w:vAlign w:val="center"/>
                </w:tcPr>
                <w:p>
                  <w:pPr>
                    <w:pStyle w:val="23"/>
                    <w:wordWrap w:val="0"/>
                    <w:spacing w:after="0" w:line="240" w:lineRule="auto"/>
                    <w:jc w:val="center"/>
                  </w:pPr>
                  <w:r>
                    <w:rPr>
                      <w:rFonts w:hint="eastAsia"/>
                    </w:rPr>
                    <w:t>H</w:t>
                  </w:r>
                  <w:r>
                    <w:rPr>
                      <w:rFonts w:hint="eastAsia"/>
                      <w:vertAlign w:val="subscript"/>
                    </w:rPr>
                    <w:t>2</w:t>
                  </w:r>
                  <w:r>
                    <w:rPr>
                      <w:rFonts w:hint="eastAsia"/>
                    </w:rPr>
                    <w:t>S</w:t>
                  </w:r>
                </w:p>
              </w:tc>
              <w:tc>
                <w:tcPr>
                  <w:tcW w:w="1084" w:type="dxa"/>
                  <w:vMerge w:val="restart"/>
                  <w:tcBorders>
                    <w:top w:val="single" w:color="auto" w:sz="12" w:space="0"/>
                    <w:left w:val="single" w:color="auto" w:sz="4" w:space="0"/>
                    <w:right w:val="single" w:color="auto" w:sz="4" w:space="0"/>
                  </w:tcBorders>
                  <w:vAlign w:val="center"/>
                </w:tcPr>
                <w:p>
                  <w:pPr>
                    <w:pStyle w:val="23"/>
                    <w:wordWrap w:val="0"/>
                    <w:spacing w:after="0" w:line="240" w:lineRule="auto"/>
                    <w:jc w:val="center"/>
                  </w:pPr>
                  <w:r>
                    <w:rPr>
                      <w:rFonts w:hint="eastAsia"/>
                    </w:rPr>
                    <w:t>有组织</w:t>
                  </w:r>
                </w:p>
              </w:tc>
              <w:tc>
                <w:tcPr>
                  <w:tcW w:w="3469" w:type="dxa"/>
                  <w:vMerge w:val="restart"/>
                  <w:tcBorders>
                    <w:top w:val="single" w:color="auto" w:sz="12" w:space="0"/>
                    <w:left w:val="single" w:color="auto" w:sz="4" w:space="0"/>
                    <w:right w:val="single" w:color="auto" w:sz="4" w:space="0"/>
                  </w:tcBorders>
                  <w:vAlign w:val="center"/>
                </w:tcPr>
                <w:p>
                  <w:pPr>
                    <w:pStyle w:val="23"/>
                    <w:wordWrap w:val="0"/>
                    <w:spacing w:after="0" w:line="240" w:lineRule="auto"/>
                    <w:jc w:val="center"/>
                  </w:pPr>
                  <w:r>
                    <w:rPr>
                      <w:rFonts w:hint="eastAsia"/>
                    </w:rPr>
                    <w:t>《恶臭污染物排放标准》（GB14554-93）表2中排放限值</w:t>
                  </w:r>
                </w:p>
              </w:tc>
              <w:tc>
                <w:tcPr>
                  <w:tcW w:w="2486" w:type="dxa"/>
                  <w:tcBorders>
                    <w:top w:val="single" w:color="auto" w:sz="12" w:space="0"/>
                    <w:left w:val="single" w:color="auto" w:sz="4" w:space="0"/>
                    <w:bottom w:val="single" w:color="auto" w:sz="4" w:space="0"/>
                  </w:tcBorders>
                  <w:vAlign w:val="center"/>
                </w:tcPr>
                <w:p>
                  <w:pPr>
                    <w:pStyle w:val="23"/>
                    <w:wordWrap w:val="0"/>
                    <w:spacing w:after="0" w:line="240" w:lineRule="auto"/>
                    <w:jc w:val="center"/>
                  </w:pPr>
                  <w:r>
                    <w:rPr>
                      <w:rFonts w:hint="eastAsia"/>
                    </w:rPr>
                    <w:t>0.58kg/h</w:t>
                  </w:r>
                </w:p>
              </w:tc>
            </w:tr>
            <w:tr>
              <w:tblPrEx>
                <w:tblCellMar>
                  <w:top w:w="0" w:type="dxa"/>
                  <w:left w:w="108" w:type="dxa"/>
                  <w:bottom w:w="0" w:type="dxa"/>
                  <w:right w:w="108" w:type="dxa"/>
                </w:tblCellMar>
              </w:tblPrEx>
              <w:trPr>
                <w:trHeight w:val="23" w:hRule="atLeast"/>
              </w:trPr>
              <w:tc>
                <w:tcPr>
                  <w:tcW w:w="1079" w:type="dxa"/>
                  <w:tcBorders>
                    <w:top w:val="single" w:color="auto" w:sz="4" w:space="0"/>
                    <w:bottom w:val="single" w:color="auto" w:sz="4" w:space="0"/>
                    <w:right w:val="single" w:color="auto" w:sz="4" w:space="0"/>
                  </w:tcBorders>
                  <w:vAlign w:val="center"/>
                </w:tcPr>
                <w:p>
                  <w:pPr>
                    <w:pStyle w:val="23"/>
                    <w:wordWrap w:val="0"/>
                    <w:spacing w:after="0" w:line="240" w:lineRule="auto"/>
                    <w:jc w:val="center"/>
                  </w:pPr>
                  <w:r>
                    <w:rPr>
                      <w:rFonts w:hint="eastAsia"/>
                    </w:rPr>
                    <w:t>NH</w:t>
                  </w:r>
                  <w:r>
                    <w:rPr>
                      <w:rFonts w:hint="eastAsia"/>
                      <w:vertAlign w:val="subscript"/>
                    </w:rPr>
                    <w:t>3</w:t>
                  </w:r>
                </w:p>
              </w:tc>
              <w:tc>
                <w:tcPr>
                  <w:tcW w:w="1084" w:type="dxa"/>
                  <w:vMerge w:val="continue"/>
                  <w:tcBorders>
                    <w:left w:val="single" w:color="auto" w:sz="4" w:space="0"/>
                    <w:right w:val="single" w:color="auto" w:sz="4" w:space="0"/>
                  </w:tcBorders>
                  <w:vAlign w:val="center"/>
                </w:tcPr>
                <w:p>
                  <w:pPr>
                    <w:pStyle w:val="23"/>
                    <w:wordWrap w:val="0"/>
                    <w:spacing w:after="0" w:line="240" w:lineRule="auto"/>
                    <w:jc w:val="center"/>
                  </w:pPr>
                </w:p>
              </w:tc>
              <w:tc>
                <w:tcPr>
                  <w:tcW w:w="3469" w:type="dxa"/>
                  <w:vMerge w:val="continue"/>
                  <w:tcBorders>
                    <w:left w:val="single" w:color="auto" w:sz="4" w:space="0"/>
                    <w:right w:val="single" w:color="auto" w:sz="4" w:space="0"/>
                  </w:tcBorders>
                  <w:vAlign w:val="center"/>
                </w:tcPr>
                <w:p>
                  <w:pPr>
                    <w:pStyle w:val="23"/>
                    <w:wordWrap w:val="0"/>
                    <w:spacing w:after="0" w:line="240" w:lineRule="auto"/>
                    <w:jc w:val="center"/>
                  </w:pPr>
                </w:p>
              </w:tc>
              <w:tc>
                <w:tcPr>
                  <w:tcW w:w="2486"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rPr>
                      <w:rFonts w:hint="eastAsia"/>
                    </w:rPr>
                    <w:t>8.7kg/h</w:t>
                  </w:r>
                </w:p>
              </w:tc>
            </w:tr>
            <w:tr>
              <w:tblPrEx>
                <w:tblCellMar>
                  <w:top w:w="0" w:type="dxa"/>
                  <w:left w:w="108" w:type="dxa"/>
                  <w:bottom w:w="0" w:type="dxa"/>
                  <w:right w:w="108" w:type="dxa"/>
                </w:tblCellMar>
              </w:tblPrEx>
              <w:trPr>
                <w:trHeight w:val="23" w:hRule="atLeast"/>
              </w:trPr>
              <w:tc>
                <w:tcPr>
                  <w:tcW w:w="1079" w:type="dxa"/>
                  <w:tcBorders>
                    <w:top w:val="single" w:color="auto" w:sz="4" w:space="0"/>
                    <w:bottom w:val="single" w:color="auto" w:sz="4" w:space="0"/>
                    <w:right w:val="single" w:color="auto" w:sz="4" w:space="0"/>
                  </w:tcBorders>
                  <w:vAlign w:val="center"/>
                </w:tcPr>
                <w:p>
                  <w:pPr>
                    <w:pStyle w:val="23"/>
                    <w:tabs>
                      <w:tab w:val="left" w:pos="542"/>
                    </w:tabs>
                    <w:wordWrap w:val="0"/>
                    <w:spacing w:after="0" w:line="240" w:lineRule="auto"/>
                    <w:jc w:val="center"/>
                  </w:pPr>
                  <w:r>
                    <w:rPr>
                      <w:rFonts w:hint="eastAsia"/>
                    </w:rPr>
                    <w:t>臭气浓度</w:t>
                  </w:r>
                </w:p>
              </w:tc>
              <w:tc>
                <w:tcPr>
                  <w:tcW w:w="1084" w:type="dxa"/>
                  <w:vMerge w:val="continue"/>
                  <w:tcBorders>
                    <w:left w:val="single" w:color="auto" w:sz="4" w:space="0"/>
                    <w:bottom w:val="single" w:color="auto" w:sz="4" w:space="0"/>
                    <w:right w:val="single" w:color="auto" w:sz="4" w:space="0"/>
                  </w:tcBorders>
                  <w:vAlign w:val="center"/>
                </w:tcPr>
                <w:p>
                  <w:pPr>
                    <w:pStyle w:val="23"/>
                    <w:wordWrap w:val="0"/>
                    <w:spacing w:after="0" w:line="240" w:lineRule="auto"/>
                    <w:jc w:val="center"/>
                  </w:pPr>
                </w:p>
              </w:tc>
              <w:tc>
                <w:tcPr>
                  <w:tcW w:w="3469" w:type="dxa"/>
                  <w:vMerge w:val="continue"/>
                  <w:tcBorders>
                    <w:left w:val="single" w:color="auto" w:sz="4" w:space="0"/>
                    <w:bottom w:val="single" w:color="auto" w:sz="4" w:space="0"/>
                    <w:right w:val="single" w:color="auto" w:sz="4" w:space="0"/>
                  </w:tcBorders>
                  <w:vAlign w:val="center"/>
                </w:tcPr>
                <w:p>
                  <w:pPr>
                    <w:pStyle w:val="23"/>
                    <w:wordWrap w:val="0"/>
                    <w:spacing w:after="0" w:line="240" w:lineRule="auto"/>
                    <w:jc w:val="center"/>
                  </w:pPr>
                </w:p>
              </w:tc>
              <w:tc>
                <w:tcPr>
                  <w:tcW w:w="2486"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rPr>
                      <w:rFonts w:hint="eastAsia"/>
                    </w:rPr>
                    <w:t>6000kg/h（无量纲）</w:t>
                  </w:r>
                </w:p>
              </w:tc>
            </w:tr>
            <w:tr>
              <w:tblPrEx>
                <w:tblCellMar>
                  <w:top w:w="0" w:type="dxa"/>
                  <w:left w:w="108" w:type="dxa"/>
                  <w:bottom w:w="0" w:type="dxa"/>
                  <w:right w:w="108" w:type="dxa"/>
                </w:tblCellMar>
              </w:tblPrEx>
              <w:trPr>
                <w:trHeight w:val="23" w:hRule="atLeast"/>
              </w:trPr>
              <w:tc>
                <w:tcPr>
                  <w:tcW w:w="1079" w:type="dxa"/>
                  <w:tcBorders>
                    <w:top w:val="single" w:color="auto" w:sz="4" w:space="0"/>
                    <w:left w:val="nil"/>
                    <w:bottom w:val="single" w:color="auto" w:sz="4" w:space="0"/>
                    <w:right w:val="single" w:color="auto" w:sz="4" w:space="0"/>
                  </w:tcBorders>
                  <w:vAlign w:val="center"/>
                </w:tcPr>
                <w:p>
                  <w:pPr>
                    <w:pStyle w:val="23"/>
                    <w:wordWrap w:val="0"/>
                    <w:spacing w:after="0" w:line="240" w:lineRule="auto"/>
                    <w:jc w:val="center"/>
                  </w:pPr>
                  <w:r>
                    <w:rPr>
                      <w:rFonts w:hint="eastAsia"/>
                    </w:rPr>
                    <w:t>H</w:t>
                  </w:r>
                  <w:r>
                    <w:rPr>
                      <w:rFonts w:hint="eastAsia"/>
                      <w:vertAlign w:val="subscript"/>
                    </w:rPr>
                    <w:t>2</w:t>
                  </w:r>
                  <w:r>
                    <w:rPr>
                      <w:rFonts w:hint="eastAsia"/>
                    </w:rPr>
                    <w:t>S</w:t>
                  </w:r>
                </w:p>
              </w:tc>
              <w:tc>
                <w:tcPr>
                  <w:tcW w:w="1084" w:type="dxa"/>
                  <w:vMerge w:val="restart"/>
                  <w:tcBorders>
                    <w:top w:val="single" w:color="auto" w:sz="4" w:space="0"/>
                    <w:left w:val="single" w:color="auto" w:sz="4" w:space="0"/>
                    <w:bottom w:val="single" w:color="auto" w:sz="4" w:space="0"/>
                    <w:right w:val="single" w:color="auto" w:sz="4" w:space="0"/>
                  </w:tcBorders>
                  <w:vAlign w:val="center"/>
                </w:tcPr>
                <w:p>
                  <w:pPr>
                    <w:pStyle w:val="23"/>
                    <w:wordWrap w:val="0"/>
                    <w:spacing w:after="0" w:line="240" w:lineRule="auto"/>
                    <w:jc w:val="center"/>
                  </w:pPr>
                  <w:r>
                    <w:rPr>
                      <w:rFonts w:hint="eastAsia"/>
                    </w:rPr>
                    <w:t>无组织</w:t>
                  </w:r>
                </w:p>
              </w:tc>
              <w:tc>
                <w:tcPr>
                  <w:tcW w:w="3469" w:type="dxa"/>
                  <w:vMerge w:val="restart"/>
                  <w:tcBorders>
                    <w:top w:val="single" w:color="auto" w:sz="4" w:space="0"/>
                    <w:left w:val="single" w:color="auto" w:sz="4" w:space="0"/>
                    <w:right w:val="single" w:color="auto" w:sz="4" w:space="0"/>
                  </w:tcBorders>
                  <w:vAlign w:val="center"/>
                </w:tcPr>
                <w:p>
                  <w:pPr>
                    <w:pStyle w:val="23"/>
                    <w:wordWrap w:val="0"/>
                    <w:spacing w:after="0" w:line="240" w:lineRule="auto"/>
                    <w:jc w:val="center"/>
                  </w:pPr>
                  <w:r>
                    <w:rPr>
                      <w:rFonts w:hint="eastAsia"/>
                    </w:rPr>
                    <w:t>《医疗机构水污染排放标准》（GB18466-2005）表1中排放限值</w:t>
                  </w:r>
                </w:p>
              </w:tc>
              <w:tc>
                <w:tcPr>
                  <w:tcW w:w="2486" w:type="dxa"/>
                  <w:tcBorders>
                    <w:top w:val="single" w:color="auto" w:sz="4" w:space="0"/>
                    <w:left w:val="single" w:color="auto" w:sz="4" w:space="0"/>
                    <w:bottom w:val="single" w:color="auto" w:sz="4" w:space="0"/>
                    <w:right w:val="nil"/>
                  </w:tcBorders>
                  <w:vAlign w:val="center"/>
                </w:tcPr>
                <w:p>
                  <w:pPr>
                    <w:pStyle w:val="23"/>
                    <w:wordWrap w:val="0"/>
                    <w:spacing w:after="0" w:line="240" w:lineRule="auto"/>
                    <w:jc w:val="center"/>
                  </w:pPr>
                  <w:r>
                    <w:rPr>
                      <w:rFonts w:hint="eastAsia"/>
                    </w:rPr>
                    <w:t>0.03mg/m</w:t>
                  </w:r>
                  <w:r>
                    <w:rPr>
                      <w:rFonts w:hint="eastAsia"/>
                      <w:vertAlign w:val="superscript"/>
                    </w:rPr>
                    <w:t>3</w:t>
                  </w:r>
                </w:p>
              </w:tc>
            </w:tr>
            <w:tr>
              <w:tblPrEx>
                <w:tblCellMar>
                  <w:top w:w="0" w:type="dxa"/>
                  <w:left w:w="108" w:type="dxa"/>
                  <w:bottom w:w="0" w:type="dxa"/>
                  <w:right w:w="108" w:type="dxa"/>
                </w:tblCellMar>
              </w:tblPrEx>
              <w:trPr>
                <w:trHeight w:val="23" w:hRule="atLeast"/>
              </w:trPr>
              <w:tc>
                <w:tcPr>
                  <w:tcW w:w="1079" w:type="dxa"/>
                  <w:tcBorders>
                    <w:top w:val="single" w:color="auto" w:sz="4" w:space="0"/>
                    <w:left w:val="nil"/>
                    <w:bottom w:val="single" w:color="auto" w:sz="4" w:space="0"/>
                    <w:right w:val="single" w:color="auto" w:sz="4" w:space="0"/>
                  </w:tcBorders>
                  <w:vAlign w:val="center"/>
                </w:tcPr>
                <w:p>
                  <w:pPr>
                    <w:pStyle w:val="23"/>
                    <w:wordWrap w:val="0"/>
                    <w:spacing w:after="0" w:line="240" w:lineRule="auto"/>
                    <w:jc w:val="center"/>
                  </w:pPr>
                  <w:r>
                    <w:rPr>
                      <w:rFonts w:hint="eastAsia"/>
                    </w:rPr>
                    <w:t>NH</w:t>
                  </w:r>
                  <w:r>
                    <w:rPr>
                      <w:rFonts w:hint="eastAsia"/>
                      <w:vertAlign w:val="subscript"/>
                    </w:rPr>
                    <w:t>3</w:t>
                  </w: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pStyle w:val="23"/>
                    <w:wordWrap w:val="0"/>
                    <w:spacing w:after="0" w:line="240" w:lineRule="auto"/>
                    <w:jc w:val="center"/>
                  </w:pPr>
                </w:p>
              </w:tc>
              <w:tc>
                <w:tcPr>
                  <w:tcW w:w="3469" w:type="dxa"/>
                  <w:vMerge w:val="continue"/>
                  <w:tcBorders>
                    <w:left w:val="single" w:color="auto" w:sz="4" w:space="0"/>
                    <w:right w:val="single" w:color="auto" w:sz="4" w:space="0"/>
                  </w:tcBorders>
                  <w:vAlign w:val="center"/>
                </w:tcPr>
                <w:p>
                  <w:pPr>
                    <w:pStyle w:val="23"/>
                    <w:wordWrap w:val="0"/>
                    <w:spacing w:after="0" w:line="240" w:lineRule="auto"/>
                    <w:jc w:val="center"/>
                  </w:pPr>
                </w:p>
              </w:tc>
              <w:tc>
                <w:tcPr>
                  <w:tcW w:w="2486" w:type="dxa"/>
                  <w:tcBorders>
                    <w:top w:val="single" w:color="auto" w:sz="4" w:space="0"/>
                    <w:left w:val="single" w:color="auto" w:sz="4" w:space="0"/>
                    <w:bottom w:val="single" w:color="auto" w:sz="4" w:space="0"/>
                    <w:right w:val="nil"/>
                  </w:tcBorders>
                  <w:vAlign w:val="center"/>
                </w:tcPr>
                <w:p>
                  <w:pPr>
                    <w:pStyle w:val="23"/>
                    <w:wordWrap w:val="0"/>
                    <w:spacing w:after="0" w:line="240" w:lineRule="auto"/>
                    <w:jc w:val="center"/>
                  </w:pPr>
                  <w:r>
                    <w:rPr>
                      <w:rFonts w:hint="eastAsia"/>
                    </w:rPr>
                    <w:t>1.0mg/m</w:t>
                  </w:r>
                  <w:r>
                    <w:rPr>
                      <w:rFonts w:hint="eastAsia"/>
                      <w:vertAlign w:val="superscript"/>
                    </w:rPr>
                    <w:t>3</w:t>
                  </w:r>
                </w:p>
              </w:tc>
            </w:tr>
            <w:tr>
              <w:tblPrEx>
                <w:tblCellMar>
                  <w:top w:w="0" w:type="dxa"/>
                  <w:left w:w="108" w:type="dxa"/>
                  <w:bottom w:w="0" w:type="dxa"/>
                  <w:right w:w="108" w:type="dxa"/>
                </w:tblCellMar>
              </w:tblPrEx>
              <w:trPr>
                <w:trHeight w:val="23" w:hRule="atLeast"/>
              </w:trPr>
              <w:tc>
                <w:tcPr>
                  <w:tcW w:w="1079" w:type="dxa"/>
                  <w:tcBorders>
                    <w:top w:val="single" w:color="auto" w:sz="4" w:space="0"/>
                    <w:left w:val="nil"/>
                    <w:bottom w:val="single" w:color="auto" w:sz="12" w:space="0"/>
                    <w:right w:val="single" w:color="auto" w:sz="4" w:space="0"/>
                  </w:tcBorders>
                  <w:vAlign w:val="center"/>
                </w:tcPr>
                <w:p>
                  <w:pPr>
                    <w:pStyle w:val="23"/>
                    <w:wordWrap w:val="0"/>
                    <w:spacing w:after="0" w:line="240" w:lineRule="auto"/>
                    <w:jc w:val="center"/>
                  </w:pPr>
                  <w:r>
                    <w:rPr>
                      <w:rFonts w:hint="eastAsia"/>
                    </w:rPr>
                    <w:t>臭气浓度</w:t>
                  </w:r>
                </w:p>
              </w:tc>
              <w:tc>
                <w:tcPr>
                  <w:tcW w:w="1084" w:type="dxa"/>
                  <w:vMerge w:val="continue"/>
                  <w:tcBorders>
                    <w:top w:val="single" w:color="auto" w:sz="4" w:space="0"/>
                    <w:left w:val="single" w:color="auto" w:sz="4" w:space="0"/>
                    <w:bottom w:val="single" w:color="auto" w:sz="12" w:space="0"/>
                    <w:right w:val="single" w:color="auto" w:sz="4" w:space="0"/>
                  </w:tcBorders>
                  <w:vAlign w:val="center"/>
                </w:tcPr>
                <w:p>
                  <w:pPr>
                    <w:pStyle w:val="23"/>
                    <w:wordWrap w:val="0"/>
                    <w:spacing w:after="0" w:line="240" w:lineRule="auto"/>
                    <w:jc w:val="center"/>
                  </w:pPr>
                </w:p>
              </w:tc>
              <w:tc>
                <w:tcPr>
                  <w:tcW w:w="3469" w:type="dxa"/>
                  <w:vMerge w:val="continue"/>
                  <w:tcBorders>
                    <w:left w:val="single" w:color="auto" w:sz="4" w:space="0"/>
                    <w:bottom w:val="single" w:color="auto" w:sz="12" w:space="0"/>
                    <w:right w:val="single" w:color="auto" w:sz="4" w:space="0"/>
                  </w:tcBorders>
                  <w:vAlign w:val="center"/>
                </w:tcPr>
                <w:p>
                  <w:pPr>
                    <w:pStyle w:val="23"/>
                    <w:wordWrap w:val="0"/>
                    <w:spacing w:after="0" w:line="240" w:lineRule="auto"/>
                    <w:jc w:val="center"/>
                  </w:pPr>
                </w:p>
              </w:tc>
              <w:tc>
                <w:tcPr>
                  <w:tcW w:w="2486" w:type="dxa"/>
                  <w:tcBorders>
                    <w:top w:val="single" w:color="auto" w:sz="4" w:space="0"/>
                    <w:left w:val="single" w:color="auto" w:sz="4" w:space="0"/>
                    <w:bottom w:val="single" w:color="auto" w:sz="12" w:space="0"/>
                    <w:right w:val="nil"/>
                  </w:tcBorders>
                  <w:vAlign w:val="center"/>
                </w:tcPr>
                <w:p>
                  <w:pPr>
                    <w:pStyle w:val="23"/>
                    <w:wordWrap w:val="0"/>
                    <w:spacing w:after="0" w:line="240" w:lineRule="auto"/>
                    <w:jc w:val="center"/>
                  </w:pPr>
                  <w:r>
                    <w:rPr>
                      <w:rFonts w:hint="eastAsia"/>
                    </w:rPr>
                    <w:t>10mg/m</w:t>
                  </w:r>
                  <w:r>
                    <w:rPr>
                      <w:rFonts w:hint="eastAsia"/>
                      <w:vertAlign w:val="superscript"/>
                    </w:rPr>
                    <w:t>3</w:t>
                  </w:r>
                  <w:r>
                    <w:rPr>
                      <w:rFonts w:hint="eastAsia"/>
                    </w:rPr>
                    <w:t>（无量纲）</w:t>
                  </w:r>
                </w:p>
              </w:tc>
            </w:tr>
          </w:tbl>
          <w:p>
            <w:pPr>
              <w:pStyle w:val="6"/>
            </w:pPr>
            <w:r>
              <w:t>2.水污染物排放标准</w:t>
            </w:r>
          </w:p>
          <w:p>
            <w:pPr>
              <w:spacing w:line="360" w:lineRule="auto"/>
              <w:ind w:firstLine="480" w:firstLineChars="200"/>
              <w:rPr>
                <w:color w:val="000000"/>
                <w:sz w:val="24"/>
              </w:rPr>
            </w:pPr>
            <w:r>
              <w:rPr>
                <w:color w:val="000000"/>
                <w:sz w:val="24"/>
              </w:rPr>
              <w:t>本项目生活污水执行《污水综合排放标准》（GB 8978-1996）中三级标准，</w:t>
            </w:r>
            <w:r>
              <w:rPr>
                <w:rFonts w:hint="eastAsia"/>
                <w:bCs/>
                <w:color w:val="000000"/>
                <w:sz w:val="24"/>
              </w:rPr>
              <w:t>医疗</w:t>
            </w:r>
            <w:r>
              <w:rPr>
                <w:color w:val="000000"/>
                <w:sz w:val="24"/>
              </w:rPr>
              <w:t>废水执行</w:t>
            </w:r>
            <w:r>
              <w:rPr>
                <w:bCs/>
                <w:color w:val="000000"/>
                <w:spacing w:val="-10"/>
                <w:sz w:val="24"/>
              </w:rPr>
              <w:t>《医疗机构水污染排放标准》</w:t>
            </w:r>
            <w:r>
              <w:rPr>
                <w:rFonts w:hint="eastAsia"/>
                <w:bCs/>
                <w:color w:val="000000"/>
                <w:spacing w:val="-10"/>
                <w:sz w:val="24"/>
              </w:rPr>
              <w:t>（</w:t>
            </w:r>
            <w:r>
              <w:rPr>
                <w:bCs/>
                <w:color w:val="000000"/>
                <w:spacing w:val="-10"/>
                <w:sz w:val="24"/>
              </w:rPr>
              <w:t>GB18466-2005)</w:t>
            </w:r>
            <w:r>
              <w:rPr>
                <w:rFonts w:hint="eastAsia"/>
                <w:bCs/>
                <w:color w:val="000000"/>
                <w:spacing w:val="-10"/>
                <w:sz w:val="24"/>
              </w:rPr>
              <w:t>）</w:t>
            </w:r>
            <w:r>
              <w:rPr>
                <w:color w:val="000000"/>
                <w:sz w:val="24"/>
              </w:rPr>
              <w:t>表</w:t>
            </w:r>
            <w:r>
              <w:rPr>
                <w:rFonts w:hint="eastAsia"/>
                <w:color w:val="000000"/>
                <w:sz w:val="24"/>
              </w:rPr>
              <w:t>2</w:t>
            </w:r>
            <w:r>
              <w:rPr>
                <w:color w:val="000000"/>
                <w:sz w:val="24"/>
              </w:rPr>
              <w:t>的</w:t>
            </w:r>
            <w:r>
              <w:rPr>
                <w:rFonts w:hint="eastAsia"/>
                <w:color w:val="000000"/>
                <w:sz w:val="24"/>
              </w:rPr>
              <w:t>排放限值</w:t>
            </w:r>
            <w:r>
              <w:rPr>
                <w:color w:val="000000"/>
                <w:sz w:val="24"/>
              </w:rPr>
              <w:t>，详见表3-</w:t>
            </w:r>
            <w:r>
              <w:rPr>
                <w:rFonts w:hint="eastAsia"/>
                <w:color w:val="000000"/>
                <w:sz w:val="24"/>
              </w:rPr>
              <w:t>8</w:t>
            </w:r>
            <w:r>
              <w:rPr>
                <w:color w:val="000000"/>
                <w:sz w:val="24"/>
              </w:rPr>
              <w:t>。</w:t>
            </w:r>
          </w:p>
          <w:p>
            <w:pPr>
              <w:pStyle w:val="23"/>
              <w:spacing w:after="0" w:line="240" w:lineRule="auto"/>
              <w:jc w:val="center"/>
              <w:rPr>
                <w:rFonts w:ascii="宋体" w:hAnsi="宋体" w:cs="宋体"/>
                <w:b/>
                <w:bCs/>
                <w:sz w:val="24"/>
              </w:rPr>
            </w:pPr>
            <w:r>
              <w:rPr>
                <w:rFonts w:hint="eastAsia" w:ascii="宋体" w:hAnsi="宋体" w:cs="宋体"/>
                <w:b/>
                <w:bCs/>
                <w:szCs w:val="21"/>
              </w:rPr>
              <w:t>表</w:t>
            </w:r>
            <w:r>
              <w:rPr>
                <w:b/>
                <w:bCs/>
                <w:szCs w:val="21"/>
              </w:rPr>
              <w:t>3-</w:t>
            </w:r>
            <w:r>
              <w:rPr>
                <w:rFonts w:hint="eastAsia"/>
                <w:b/>
                <w:bCs/>
                <w:szCs w:val="21"/>
              </w:rPr>
              <w:t>8</w:t>
            </w:r>
            <w:r>
              <w:rPr>
                <w:rFonts w:hint="eastAsia" w:ascii="宋体" w:hAnsi="宋体" w:cs="宋体"/>
                <w:b/>
                <w:bCs/>
                <w:szCs w:val="21"/>
              </w:rPr>
              <w:t xml:space="preserve">   水污染物排放限值标准</w:t>
            </w:r>
          </w:p>
          <w:tbl>
            <w:tblPr>
              <w:tblStyle w:val="17"/>
              <w:tblW w:w="8138" w:type="dxa"/>
              <w:tblInd w:w="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2"/>
              <w:gridCol w:w="3808"/>
              <w:gridCol w:w="180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bottom w:val="single" w:color="auto" w:sz="12" w:space="0"/>
                    <w:right w:val="single" w:color="auto" w:sz="4" w:space="0"/>
                  </w:tcBorders>
                  <w:vAlign w:val="center"/>
                </w:tcPr>
                <w:p>
                  <w:pPr>
                    <w:pStyle w:val="23"/>
                    <w:wordWrap w:val="0"/>
                    <w:spacing w:after="0" w:line="240" w:lineRule="auto"/>
                    <w:jc w:val="center"/>
                    <w:rPr>
                      <w:b/>
                      <w:bCs/>
                    </w:rPr>
                  </w:pPr>
                  <w:r>
                    <w:rPr>
                      <w:b/>
                      <w:bCs/>
                    </w:rPr>
                    <w:t>污染物</w:t>
                  </w:r>
                </w:p>
              </w:tc>
              <w:tc>
                <w:tcPr>
                  <w:tcW w:w="3808" w:type="dxa"/>
                  <w:tcBorders>
                    <w:left w:val="single" w:color="auto" w:sz="4" w:space="0"/>
                    <w:bottom w:val="single" w:color="auto" w:sz="12" w:space="0"/>
                    <w:right w:val="single" w:color="auto" w:sz="4" w:space="0"/>
                  </w:tcBorders>
                  <w:vAlign w:val="center"/>
                </w:tcPr>
                <w:p>
                  <w:pPr>
                    <w:pStyle w:val="23"/>
                    <w:wordWrap w:val="0"/>
                    <w:spacing w:after="0" w:line="240" w:lineRule="auto"/>
                    <w:jc w:val="center"/>
                    <w:rPr>
                      <w:b/>
                      <w:bCs/>
                    </w:rPr>
                  </w:pPr>
                  <w:r>
                    <w:rPr>
                      <w:b/>
                      <w:bCs/>
                    </w:rPr>
                    <w:t>标准</w:t>
                  </w:r>
                </w:p>
              </w:tc>
              <w:tc>
                <w:tcPr>
                  <w:tcW w:w="1808" w:type="dxa"/>
                  <w:tcBorders>
                    <w:left w:val="single" w:color="auto" w:sz="4" w:space="0"/>
                    <w:bottom w:val="single" w:color="auto" w:sz="12" w:space="0"/>
                  </w:tcBorders>
                  <w:vAlign w:val="center"/>
                </w:tcPr>
                <w:p>
                  <w:pPr>
                    <w:pStyle w:val="23"/>
                    <w:tabs>
                      <w:tab w:val="left" w:pos="543"/>
                    </w:tabs>
                    <w:wordWrap w:val="0"/>
                    <w:spacing w:after="0" w:line="240" w:lineRule="auto"/>
                    <w:jc w:val="center"/>
                    <w:rPr>
                      <w:b/>
                      <w:bCs/>
                    </w:rPr>
                  </w:pPr>
                  <w:r>
                    <w:rPr>
                      <w:b/>
                      <w:bCs/>
                    </w:rPr>
                    <w:t>限值</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12" w:space="0"/>
                    <w:bottom w:val="single" w:color="auto" w:sz="4" w:space="0"/>
                    <w:right w:val="single" w:color="auto" w:sz="4" w:space="0"/>
                  </w:tcBorders>
                  <w:vAlign w:val="center"/>
                </w:tcPr>
                <w:p>
                  <w:pPr>
                    <w:pStyle w:val="23"/>
                    <w:wordWrap w:val="0"/>
                    <w:spacing w:after="0" w:line="240" w:lineRule="auto"/>
                    <w:jc w:val="center"/>
                  </w:pPr>
                  <w:r>
                    <w:rPr>
                      <w:szCs w:val="21"/>
                    </w:rPr>
                    <w:t>COD</w:t>
                  </w:r>
                </w:p>
              </w:tc>
              <w:tc>
                <w:tcPr>
                  <w:tcW w:w="3808" w:type="dxa"/>
                  <w:vMerge w:val="restart"/>
                  <w:tcBorders>
                    <w:top w:val="single" w:color="auto" w:sz="12" w:space="0"/>
                    <w:left w:val="single" w:color="auto" w:sz="4" w:space="0"/>
                    <w:bottom w:val="single" w:color="auto" w:sz="4" w:space="0"/>
                    <w:right w:val="single" w:color="auto" w:sz="4" w:space="0"/>
                  </w:tcBorders>
                  <w:vAlign w:val="center"/>
                </w:tcPr>
                <w:p>
                  <w:pPr>
                    <w:pStyle w:val="23"/>
                    <w:wordWrap w:val="0"/>
                    <w:spacing w:after="0" w:line="240" w:lineRule="auto"/>
                    <w:jc w:val="center"/>
                  </w:pPr>
                  <w:r>
                    <w:rPr>
                      <w:bCs/>
                    </w:rPr>
                    <w:t>《污水综合排放标准》（GB8978-1996）的三级标准</w:t>
                  </w:r>
                </w:p>
              </w:tc>
              <w:tc>
                <w:tcPr>
                  <w:tcW w:w="1808" w:type="dxa"/>
                  <w:tcBorders>
                    <w:top w:val="single" w:color="auto" w:sz="12" w:space="0"/>
                    <w:left w:val="single" w:color="auto" w:sz="4" w:space="0"/>
                    <w:bottom w:val="single" w:color="auto" w:sz="4" w:space="0"/>
                  </w:tcBorders>
                  <w:vAlign w:val="center"/>
                </w:tcPr>
                <w:p>
                  <w:pPr>
                    <w:pStyle w:val="23"/>
                    <w:wordWrap w:val="0"/>
                    <w:spacing w:after="0" w:line="240" w:lineRule="auto"/>
                    <w:jc w:val="center"/>
                  </w:pPr>
                  <w:r>
                    <w:t>500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4" w:space="0"/>
                    <w:bottom w:val="single" w:color="auto" w:sz="4" w:space="0"/>
                    <w:right w:val="single" w:color="auto" w:sz="4" w:space="0"/>
                  </w:tcBorders>
                  <w:vAlign w:val="center"/>
                </w:tcPr>
                <w:p>
                  <w:pPr>
                    <w:pStyle w:val="23"/>
                    <w:wordWrap w:val="0"/>
                    <w:spacing w:after="0" w:line="240" w:lineRule="auto"/>
                    <w:jc w:val="center"/>
                  </w:pPr>
                  <w:r>
                    <w:rPr>
                      <w:szCs w:val="21"/>
                    </w:rPr>
                    <w:t>BOD</w:t>
                  </w:r>
                  <w:r>
                    <w:rPr>
                      <w:szCs w:val="21"/>
                      <w:vertAlign w:val="subscript"/>
                    </w:rPr>
                    <w:t>5</w:t>
                  </w:r>
                </w:p>
              </w:tc>
              <w:tc>
                <w:tcPr>
                  <w:tcW w:w="3808" w:type="dxa"/>
                  <w:vMerge w:val="continue"/>
                  <w:tcBorders>
                    <w:top w:val="single" w:color="auto" w:sz="4" w:space="0"/>
                    <w:left w:val="single" w:color="auto" w:sz="4" w:space="0"/>
                    <w:bottom w:val="single" w:color="auto" w:sz="4" w:space="0"/>
                    <w:right w:val="single" w:color="auto" w:sz="4" w:space="0"/>
                  </w:tcBorders>
                  <w:vAlign w:val="center"/>
                </w:tcPr>
                <w:p>
                  <w:pPr>
                    <w:pStyle w:val="23"/>
                    <w:wordWrap w:val="0"/>
                    <w:spacing w:after="0" w:line="240" w:lineRule="auto"/>
                    <w:jc w:val="center"/>
                  </w:pPr>
                </w:p>
              </w:tc>
              <w:tc>
                <w:tcPr>
                  <w:tcW w:w="1808"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t>300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4" w:space="0"/>
                    <w:bottom w:val="single" w:color="auto" w:sz="4" w:space="0"/>
                    <w:right w:val="single" w:color="auto" w:sz="4" w:space="0"/>
                  </w:tcBorders>
                  <w:vAlign w:val="center"/>
                </w:tcPr>
                <w:p>
                  <w:pPr>
                    <w:pStyle w:val="23"/>
                    <w:wordWrap w:val="0"/>
                    <w:spacing w:after="0" w:line="240" w:lineRule="auto"/>
                    <w:jc w:val="center"/>
                  </w:pPr>
                  <w:r>
                    <w:rPr>
                      <w:szCs w:val="21"/>
                    </w:rPr>
                    <w:t>SS</w:t>
                  </w:r>
                </w:p>
              </w:tc>
              <w:tc>
                <w:tcPr>
                  <w:tcW w:w="3808" w:type="dxa"/>
                  <w:vMerge w:val="continue"/>
                  <w:tcBorders>
                    <w:top w:val="single" w:color="auto" w:sz="4" w:space="0"/>
                    <w:left w:val="single" w:color="auto" w:sz="4" w:space="0"/>
                    <w:bottom w:val="single" w:color="auto" w:sz="4" w:space="0"/>
                    <w:right w:val="single" w:color="auto" w:sz="4" w:space="0"/>
                  </w:tcBorders>
                  <w:vAlign w:val="center"/>
                </w:tcPr>
                <w:p>
                  <w:pPr>
                    <w:pStyle w:val="23"/>
                    <w:wordWrap w:val="0"/>
                    <w:spacing w:after="0" w:line="240" w:lineRule="auto"/>
                    <w:jc w:val="center"/>
                  </w:pPr>
                </w:p>
              </w:tc>
              <w:tc>
                <w:tcPr>
                  <w:tcW w:w="1808"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t>400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4" w:space="0"/>
                    <w:bottom w:val="single" w:color="auto" w:sz="4" w:space="0"/>
                    <w:right w:val="single" w:color="auto" w:sz="4" w:space="0"/>
                  </w:tcBorders>
                  <w:vAlign w:val="center"/>
                </w:tcPr>
                <w:p>
                  <w:pPr>
                    <w:pStyle w:val="23"/>
                    <w:wordWrap w:val="0"/>
                    <w:spacing w:after="0" w:line="240" w:lineRule="auto"/>
                    <w:jc w:val="center"/>
                    <w:rPr>
                      <w:szCs w:val="21"/>
                    </w:rPr>
                  </w:pPr>
                  <w:r>
                    <w:rPr>
                      <w:szCs w:val="21"/>
                    </w:rPr>
                    <w:t>NH</w:t>
                  </w:r>
                  <w:r>
                    <w:rPr>
                      <w:szCs w:val="21"/>
                      <w:vertAlign w:val="subscript"/>
                    </w:rPr>
                    <w:t>3</w:t>
                  </w:r>
                  <w:r>
                    <w:rPr>
                      <w:szCs w:val="21"/>
                    </w:rPr>
                    <w:t>-N</w:t>
                  </w:r>
                </w:p>
              </w:tc>
              <w:tc>
                <w:tcPr>
                  <w:tcW w:w="3808" w:type="dxa"/>
                  <w:vMerge w:val="continue"/>
                  <w:tcBorders>
                    <w:top w:val="single" w:color="auto" w:sz="4" w:space="0"/>
                    <w:left w:val="single" w:color="auto" w:sz="4" w:space="0"/>
                    <w:bottom w:val="single" w:color="auto" w:sz="4" w:space="0"/>
                    <w:right w:val="single" w:color="auto" w:sz="4" w:space="0"/>
                  </w:tcBorders>
                  <w:vAlign w:val="center"/>
                </w:tcPr>
                <w:p>
                  <w:pPr>
                    <w:pStyle w:val="23"/>
                    <w:wordWrap w:val="0"/>
                    <w:spacing w:after="0" w:line="240" w:lineRule="auto"/>
                    <w:jc w:val="center"/>
                  </w:pPr>
                </w:p>
              </w:tc>
              <w:tc>
                <w:tcPr>
                  <w:tcW w:w="1808"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4" w:space="0"/>
                    <w:bottom w:val="single" w:color="auto" w:sz="4" w:space="0"/>
                    <w:right w:val="single" w:color="auto" w:sz="4" w:space="0"/>
                  </w:tcBorders>
                  <w:vAlign w:val="center"/>
                </w:tcPr>
                <w:p>
                  <w:pPr>
                    <w:pStyle w:val="23"/>
                    <w:wordWrap w:val="0"/>
                    <w:spacing w:after="0" w:line="240" w:lineRule="auto"/>
                    <w:jc w:val="center"/>
                  </w:pPr>
                  <w:r>
                    <w:rPr>
                      <w:szCs w:val="21"/>
                    </w:rPr>
                    <w:t>COD</w:t>
                  </w:r>
                </w:p>
              </w:tc>
              <w:tc>
                <w:tcPr>
                  <w:tcW w:w="3808" w:type="dxa"/>
                  <w:vMerge w:val="restart"/>
                  <w:tcBorders>
                    <w:top w:val="single" w:color="auto" w:sz="4" w:space="0"/>
                    <w:left w:val="single" w:color="auto" w:sz="4" w:space="0"/>
                    <w:right w:val="single" w:color="auto" w:sz="4" w:space="0"/>
                  </w:tcBorders>
                  <w:vAlign w:val="center"/>
                </w:tcPr>
                <w:p>
                  <w:pPr>
                    <w:pStyle w:val="23"/>
                    <w:wordWrap w:val="0"/>
                    <w:spacing w:after="0" w:line="240" w:lineRule="auto"/>
                    <w:jc w:val="center"/>
                  </w:pPr>
                  <w:r>
                    <w:rPr>
                      <w:bCs/>
                    </w:rPr>
                    <w:t>《医疗机构水污染排放标准》(GB18466-2005)表2的排放限值</w:t>
                  </w:r>
                </w:p>
              </w:tc>
              <w:tc>
                <w:tcPr>
                  <w:tcW w:w="1808"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t>60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4" w:space="0"/>
                    <w:bottom w:val="single" w:color="auto" w:sz="4" w:space="0"/>
                    <w:right w:val="single" w:color="auto" w:sz="4" w:space="0"/>
                  </w:tcBorders>
                  <w:vAlign w:val="center"/>
                </w:tcPr>
                <w:p>
                  <w:pPr>
                    <w:pStyle w:val="23"/>
                    <w:wordWrap w:val="0"/>
                    <w:spacing w:after="0" w:line="240" w:lineRule="auto"/>
                    <w:jc w:val="center"/>
                  </w:pPr>
                  <w:r>
                    <w:rPr>
                      <w:szCs w:val="21"/>
                    </w:rPr>
                    <w:t>BOD</w:t>
                  </w:r>
                  <w:r>
                    <w:rPr>
                      <w:szCs w:val="21"/>
                      <w:vertAlign w:val="subscript"/>
                    </w:rPr>
                    <w:t>5</w:t>
                  </w:r>
                </w:p>
              </w:tc>
              <w:tc>
                <w:tcPr>
                  <w:tcW w:w="3808" w:type="dxa"/>
                  <w:vMerge w:val="continue"/>
                  <w:tcBorders>
                    <w:left w:val="single" w:color="auto" w:sz="4" w:space="0"/>
                    <w:right w:val="single" w:color="auto" w:sz="4" w:space="0"/>
                  </w:tcBorders>
                  <w:vAlign w:val="center"/>
                </w:tcPr>
                <w:p>
                  <w:pPr>
                    <w:pStyle w:val="23"/>
                    <w:wordWrap w:val="0"/>
                    <w:spacing w:after="0" w:line="240" w:lineRule="auto"/>
                    <w:jc w:val="center"/>
                  </w:pPr>
                </w:p>
              </w:tc>
              <w:tc>
                <w:tcPr>
                  <w:tcW w:w="1808"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t>20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4" w:space="0"/>
                    <w:bottom w:val="single" w:color="auto" w:sz="4" w:space="0"/>
                    <w:right w:val="single" w:color="auto" w:sz="4" w:space="0"/>
                  </w:tcBorders>
                  <w:vAlign w:val="center"/>
                </w:tcPr>
                <w:p>
                  <w:pPr>
                    <w:pStyle w:val="23"/>
                    <w:wordWrap w:val="0"/>
                    <w:spacing w:after="0" w:line="240" w:lineRule="auto"/>
                    <w:jc w:val="center"/>
                  </w:pPr>
                  <w:r>
                    <w:rPr>
                      <w:szCs w:val="21"/>
                    </w:rPr>
                    <w:t>SS</w:t>
                  </w:r>
                </w:p>
              </w:tc>
              <w:tc>
                <w:tcPr>
                  <w:tcW w:w="3808" w:type="dxa"/>
                  <w:vMerge w:val="continue"/>
                  <w:tcBorders>
                    <w:left w:val="single" w:color="auto" w:sz="4" w:space="0"/>
                    <w:right w:val="single" w:color="auto" w:sz="4" w:space="0"/>
                  </w:tcBorders>
                  <w:vAlign w:val="center"/>
                </w:tcPr>
                <w:p>
                  <w:pPr>
                    <w:pStyle w:val="23"/>
                    <w:wordWrap w:val="0"/>
                    <w:spacing w:after="0" w:line="240" w:lineRule="auto"/>
                    <w:jc w:val="center"/>
                  </w:pPr>
                </w:p>
              </w:tc>
              <w:tc>
                <w:tcPr>
                  <w:tcW w:w="1808"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t>20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4" w:space="0"/>
                    <w:bottom w:val="single" w:color="auto" w:sz="4" w:space="0"/>
                    <w:right w:val="single" w:color="auto" w:sz="4" w:space="0"/>
                  </w:tcBorders>
                  <w:vAlign w:val="center"/>
                </w:tcPr>
                <w:p>
                  <w:pPr>
                    <w:pStyle w:val="23"/>
                    <w:wordWrap w:val="0"/>
                    <w:spacing w:after="0" w:line="240" w:lineRule="auto"/>
                    <w:jc w:val="center"/>
                    <w:rPr>
                      <w:szCs w:val="21"/>
                    </w:rPr>
                  </w:pPr>
                  <w:r>
                    <w:rPr>
                      <w:szCs w:val="21"/>
                    </w:rPr>
                    <w:t>NH</w:t>
                  </w:r>
                  <w:r>
                    <w:rPr>
                      <w:szCs w:val="21"/>
                      <w:vertAlign w:val="subscript"/>
                    </w:rPr>
                    <w:t>3</w:t>
                  </w:r>
                  <w:r>
                    <w:rPr>
                      <w:szCs w:val="21"/>
                    </w:rPr>
                    <w:t>-N</w:t>
                  </w:r>
                </w:p>
              </w:tc>
              <w:tc>
                <w:tcPr>
                  <w:tcW w:w="3808" w:type="dxa"/>
                  <w:vMerge w:val="continue"/>
                  <w:tcBorders>
                    <w:left w:val="single" w:color="auto" w:sz="4" w:space="0"/>
                    <w:right w:val="single" w:color="auto" w:sz="4" w:space="0"/>
                  </w:tcBorders>
                  <w:vAlign w:val="center"/>
                </w:tcPr>
                <w:p>
                  <w:pPr>
                    <w:pStyle w:val="23"/>
                    <w:wordWrap w:val="0"/>
                    <w:spacing w:after="0" w:line="240" w:lineRule="auto"/>
                    <w:jc w:val="center"/>
                  </w:pPr>
                </w:p>
              </w:tc>
              <w:tc>
                <w:tcPr>
                  <w:tcW w:w="1808" w:type="dxa"/>
                  <w:tcBorders>
                    <w:top w:val="single" w:color="auto" w:sz="4" w:space="0"/>
                    <w:left w:val="single" w:color="auto" w:sz="4" w:space="0"/>
                    <w:bottom w:val="single" w:color="auto" w:sz="4" w:space="0"/>
                  </w:tcBorders>
                  <w:vAlign w:val="center"/>
                </w:tcPr>
                <w:p>
                  <w:pPr>
                    <w:pStyle w:val="23"/>
                    <w:wordWrap w:val="0"/>
                    <w:spacing w:after="0" w:line="240" w:lineRule="auto"/>
                    <w:jc w:val="center"/>
                  </w:pPr>
                  <w:r>
                    <w:t>15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22" w:type="dxa"/>
                  <w:tcBorders>
                    <w:top w:val="single" w:color="auto" w:sz="4" w:space="0"/>
                    <w:right w:val="single" w:color="auto" w:sz="4" w:space="0"/>
                  </w:tcBorders>
                  <w:vAlign w:val="center"/>
                </w:tcPr>
                <w:p>
                  <w:pPr>
                    <w:pStyle w:val="23"/>
                    <w:wordWrap w:val="0"/>
                    <w:spacing w:after="0" w:line="240" w:lineRule="auto"/>
                    <w:jc w:val="center"/>
                    <w:rPr>
                      <w:szCs w:val="21"/>
                    </w:rPr>
                  </w:pPr>
                  <w:r>
                    <w:rPr>
                      <w:szCs w:val="21"/>
                    </w:rPr>
                    <w:t>粪大肠菌群数（MPN/L）</w:t>
                  </w:r>
                </w:p>
              </w:tc>
              <w:tc>
                <w:tcPr>
                  <w:tcW w:w="3808" w:type="dxa"/>
                  <w:vMerge w:val="continue"/>
                  <w:tcBorders>
                    <w:left w:val="single" w:color="auto" w:sz="4" w:space="0"/>
                    <w:right w:val="single" w:color="auto" w:sz="4" w:space="0"/>
                  </w:tcBorders>
                  <w:vAlign w:val="center"/>
                </w:tcPr>
                <w:p>
                  <w:pPr>
                    <w:pStyle w:val="23"/>
                    <w:wordWrap w:val="0"/>
                    <w:spacing w:after="0" w:line="240" w:lineRule="auto"/>
                    <w:jc w:val="center"/>
                  </w:pPr>
                </w:p>
              </w:tc>
              <w:tc>
                <w:tcPr>
                  <w:tcW w:w="1808" w:type="dxa"/>
                  <w:tcBorders>
                    <w:top w:val="single" w:color="auto" w:sz="4" w:space="0"/>
                    <w:left w:val="single" w:color="auto" w:sz="4" w:space="0"/>
                  </w:tcBorders>
                  <w:vAlign w:val="center"/>
                </w:tcPr>
                <w:p>
                  <w:pPr>
                    <w:pStyle w:val="23"/>
                    <w:wordWrap w:val="0"/>
                    <w:spacing w:after="0" w:line="240" w:lineRule="auto"/>
                    <w:jc w:val="center"/>
                  </w:pPr>
                  <w:r>
                    <w:t>500</w:t>
                  </w:r>
                </w:p>
              </w:tc>
            </w:tr>
          </w:tbl>
          <w:p>
            <w:pPr>
              <w:pStyle w:val="6"/>
            </w:pPr>
            <w:r>
              <w:t>3.噪声</w:t>
            </w:r>
          </w:p>
          <w:p>
            <w:pPr>
              <w:pStyle w:val="23"/>
              <w:spacing w:after="0" w:line="240" w:lineRule="auto"/>
              <w:jc w:val="center"/>
              <w:rPr>
                <w:rFonts w:ascii="宋体" w:hAnsi="宋体" w:cs="宋体"/>
                <w:b/>
                <w:bCs/>
                <w:sz w:val="24"/>
              </w:rPr>
            </w:pPr>
            <w:r>
              <w:rPr>
                <w:rFonts w:hint="eastAsia" w:ascii="宋体" w:hAnsi="宋体" w:cs="宋体"/>
                <w:b/>
                <w:bCs/>
                <w:szCs w:val="21"/>
              </w:rPr>
              <w:t>表</w:t>
            </w:r>
            <w:r>
              <w:rPr>
                <w:b/>
                <w:bCs/>
                <w:szCs w:val="21"/>
              </w:rPr>
              <w:t>3-</w:t>
            </w:r>
            <w:r>
              <w:rPr>
                <w:rFonts w:hint="eastAsia"/>
                <w:b/>
                <w:bCs/>
                <w:szCs w:val="21"/>
              </w:rPr>
              <w:t>9</w:t>
            </w:r>
            <w:r>
              <w:rPr>
                <w:rFonts w:hint="eastAsia" w:ascii="宋体" w:hAnsi="宋体" w:cs="宋体"/>
                <w:b/>
                <w:bCs/>
                <w:szCs w:val="21"/>
              </w:rPr>
              <w:t xml:space="preserve">   噪声排放限值标准</w:t>
            </w:r>
          </w:p>
          <w:tbl>
            <w:tblPr>
              <w:tblStyle w:val="17"/>
              <w:tblW w:w="797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3930"/>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5" w:type="dxa"/>
                  <w:tcBorders>
                    <w:top w:val="single" w:color="auto" w:sz="12" w:space="0"/>
                    <w:left w:val="nil"/>
                    <w:bottom w:val="single" w:color="auto" w:sz="12" w:space="0"/>
                    <w:right w:val="single" w:color="auto" w:sz="4" w:space="0"/>
                  </w:tcBorders>
                  <w:vAlign w:val="center"/>
                </w:tcPr>
                <w:p>
                  <w:pPr>
                    <w:pStyle w:val="23"/>
                    <w:wordWrap w:val="0"/>
                    <w:spacing w:after="0" w:line="240" w:lineRule="auto"/>
                    <w:jc w:val="center"/>
                    <w:rPr>
                      <w:b/>
                      <w:bCs/>
                    </w:rPr>
                  </w:pPr>
                  <w:r>
                    <w:rPr>
                      <w:rFonts w:hint="eastAsia"/>
                      <w:b/>
                      <w:bCs/>
                    </w:rPr>
                    <w:t>时期</w:t>
                  </w:r>
                </w:p>
              </w:tc>
              <w:tc>
                <w:tcPr>
                  <w:tcW w:w="3930" w:type="dxa"/>
                  <w:tcBorders>
                    <w:top w:val="single" w:color="auto" w:sz="12" w:space="0"/>
                    <w:left w:val="single" w:color="auto" w:sz="4" w:space="0"/>
                    <w:bottom w:val="single" w:color="auto" w:sz="12" w:space="0"/>
                    <w:right w:val="single" w:color="auto" w:sz="4" w:space="0"/>
                  </w:tcBorders>
                  <w:vAlign w:val="center"/>
                </w:tcPr>
                <w:p>
                  <w:pPr>
                    <w:pStyle w:val="23"/>
                    <w:wordWrap w:val="0"/>
                    <w:spacing w:after="0" w:line="240" w:lineRule="auto"/>
                    <w:jc w:val="center"/>
                    <w:rPr>
                      <w:b/>
                      <w:bCs/>
                    </w:rPr>
                  </w:pPr>
                  <w:r>
                    <w:rPr>
                      <w:rFonts w:hint="eastAsia"/>
                      <w:b/>
                      <w:bCs/>
                    </w:rPr>
                    <w:t>标准</w:t>
                  </w:r>
                </w:p>
              </w:tc>
              <w:tc>
                <w:tcPr>
                  <w:tcW w:w="3019" w:type="dxa"/>
                  <w:tcBorders>
                    <w:top w:val="single" w:color="auto" w:sz="12" w:space="0"/>
                    <w:left w:val="single" w:color="auto" w:sz="4" w:space="0"/>
                    <w:bottom w:val="single" w:color="auto" w:sz="12" w:space="0"/>
                    <w:right w:val="nil"/>
                  </w:tcBorders>
                  <w:vAlign w:val="center"/>
                </w:tcPr>
                <w:p>
                  <w:pPr>
                    <w:pStyle w:val="23"/>
                    <w:wordWrap w:val="0"/>
                    <w:spacing w:after="0" w:line="240" w:lineRule="auto"/>
                    <w:jc w:val="center"/>
                    <w:rPr>
                      <w:b/>
                      <w:bCs/>
                    </w:rPr>
                  </w:pPr>
                  <w:r>
                    <w:rPr>
                      <w:rFonts w:hint="eastAsia"/>
                      <w:b/>
                      <w:bCs/>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5" w:type="dxa"/>
                  <w:tcBorders>
                    <w:top w:val="single" w:color="auto" w:sz="12" w:space="0"/>
                    <w:left w:val="nil"/>
                    <w:bottom w:val="single" w:color="auto" w:sz="4" w:space="0"/>
                    <w:right w:val="single" w:color="auto" w:sz="4" w:space="0"/>
                  </w:tcBorders>
                  <w:vAlign w:val="center"/>
                </w:tcPr>
                <w:p>
                  <w:pPr>
                    <w:pStyle w:val="23"/>
                    <w:wordWrap w:val="0"/>
                    <w:spacing w:after="0" w:line="240" w:lineRule="auto"/>
                    <w:jc w:val="center"/>
                    <w:rPr>
                      <w:rFonts w:ascii="黑体" w:hAnsi="黑体" w:eastAsia="黑体" w:cs="黑体"/>
                      <w:szCs w:val="21"/>
                    </w:rPr>
                  </w:pPr>
                  <w:r>
                    <w:rPr>
                      <w:rFonts w:hint="eastAsia" w:ascii="宋体" w:hAnsi="宋体" w:cs="宋体"/>
                      <w:szCs w:val="21"/>
                    </w:rPr>
                    <w:t>施工期</w:t>
                  </w:r>
                </w:p>
              </w:tc>
              <w:tc>
                <w:tcPr>
                  <w:tcW w:w="3930" w:type="dxa"/>
                  <w:tcBorders>
                    <w:top w:val="single" w:color="auto" w:sz="12" w:space="0"/>
                    <w:left w:val="single" w:color="auto" w:sz="4" w:space="0"/>
                    <w:bottom w:val="single" w:color="auto" w:sz="4" w:space="0"/>
                    <w:right w:val="single" w:color="auto" w:sz="4" w:space="0"/>
                  </w:tcBorders>
                  <w:vAlign w:val="center"/>
                </w:tcPr>
                <w:p>
                  <w:pPr>
                    <w:pStyle w:val="23"/>
                    <w:wordWrap w:val="0"/>
                    <w:spacing w:after="0" w:line="240" w:lineRule="auto"/>
                    <w:jc w:val="center"/>
                    <w:rPr>
                      <w:rFonts w:ascii="黑体" w:hAnsi="黑体" w:eastAsia="黑体" w:cs="黑体"/>
                      <w:szCs w:val="21"/>
                    </w:rPr>
                  </w:pPr>
                  <w:r>
                    <w:rPr>
                      <w:szCs w:val="21"/>
                    </w:rPr>
                    <w:t>《建筑施工场界环境噪声排放标准》</w:t>
                  </w:r>
                </w:p>
              </w:tc>
              <w:tc>
                <w:tcPr>
                  <w:tcW w:w="3019" w:type="dxa"/>
                  <w:tcBorders>
                    <w:top w:val="single" w:color="auto" w:sz="12" w:space="0"/>
                    <w:left w:val="single" w:color="auto" w:sz="4" w:space="0"/>
                    <w:bottom w:val="single" w:color="auto" w:sz="4" w:space="0"/>
                    <w:right w:val="nil"/>
                  </w:tcBorders>
                  <w:vAlign w:val="center"/>
                </w:tcPr>
                <w:p>
                  <w:pPr>
                    <w:pStyle w:val="23"/>
                    <w:wordWrap w:val="0"/>
                    <w:spacing w:after="0" w:line="240" w:lineRule="auto"/>
                    <w:jc w:val="center"/>
                    <w:rPr>
                      <w:rFonts w:ascii="黑体" w:hAnsi="黑体" w:cs="黑体"/>
                      <w:szCs w:val="21"/>
                    </w:rPr>
                  </w:pPr>
                  <w:r>
                    <w:rPr>
                      <w:rFonts w:hint="eastAsia" w:ascii="宋体" w:hAnsi="宋体" w:cs="宋体"/>
                      <w:szCs w:val="21"/>
                    </w:rPr>
                    <w:t>昼间</w:t>
                  </w:r>
                  <w:r>
                    <w:rPr>
                      <w:szCs w:val="21"/>
                    </w:rPr>
                    <w:t>70dB（A）</w:t>
                  </w:r>
                  <w:r>
                    <w:rPr>
                      <w:rFonts w:hint="eastAsia" w:ascii="宋体" w:hAnsi="宋体" w:cs="宋体"/>
                      <w:szCs w:val="21"/>
                    </w:rPr>
                    <w:t>、夜间</w:t>
                  </w:r>
                  <w:r>
                    <w:rPr>
                      <w:rFonts w:hint="eastAsia"/>
                      <w:szCs w:val="21"/>
                    </w:rPr>
                    <w:t>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5" w:type="dxa"/>
                  <w:tcBorders>
                    <w:top w:val="single" w:color="auto" w:sz="4" w:space="0"/>
                    <w:left w:val="nil"/>
                    <w:bottom w:val="single" w:color="auto" w:sz="12" w:space="0"/>
                    <w:right w:val="single" w:color="auto" w:sz="4" w:space="0"/>
                  </w:tcBorders>
                  <w:vAlign w:val="center"/>
                </w:tcPr>
                <w:p>
                  <w:pPr>
                    <w:pStyle w:val="23"/>
                    <w:wordWrap w:val="0"/>
                    <w:spacing w:after="0" w:line="240" w:lineRule="auto"/>
                    <w:jc w:val="center"/>
                    <w:rPr>
                      <w:rFonts w:ascii="黑体" w:hAnsi="黑体" w:eastAsia="黑体" w:cs="黑体"/>
                      <w:szCs w:val="21"/>
                    </w:rPr>
                  </w:pPr>
                  <w:r>
                    <w:rPr>
                      <w:rFonts w:hint="eastAsia" w:ascii="宋体" w:hAnsi="宋体" w:cs="宋体"/>
                      <w:szCs w:val="21"/>
                    </w:rPr>
                    <w:t>运营期</w:t>
                  </w:r>
                </w:p>
              </w:tc>
              <w:tc>
                <w:tcPr>
                  <w:tcW w:w="3930" w:type="dxa"/>
                  <w:tcBorders>
                    <w:top w:val="single" w:color="auto" w:sz="4" w:space="0"/>
                    <w:left w:val="single" w:color="auto" w:sz="4" w:space="0"/>
                    <w:bottom w:val="single" w:color="auto" w:sz="12" w:space="0"/>
                    <w:right w:val="single" w:color="auto" w:sz="4" w:space="0"/>
                  </w:tcBorders>
                  <w:vAlign w:val="center"/>
                </w:tcPr>
                <w:p>
                  <w:pPr>
                    <w:pStyle w:val="23"/>
                    <w:wordWrap w:val="0"/>
                    <w:spacing w:after="0" w:line="240" w:lineRule="auto"/>
                    <w:jc w:val="center"/>
                    <w:rPr>
                      <w:rFonts w:ascii="黑体" w:hAnsi="黑体" w:cs="黑体"/>
                      <w:szCs w:val="21"/>
                    </w:rPr>
                  </w:pPr>
                  <w:r>
                    <w:rPr>
                      <w:szCs w:val="21"/>
                    </w:rPr>
                    <w:t>《</w:t>
                  </w:r>
                  <w:r>
                    <w:rPr>
                      <w:rFonts w:hint="eastAsia"/>
                      <w:szCs w:val="21"/>
                    </w:rPr>
                    <w:t>工业企业厂界环境噪声排放标准</w:t>
                  </w:r>
                  <w:r>
                    <w:rPr>
                      <w:szCs w:val="21"/>
                    </w:rPr>
                    <w:t>》（GB</w:t>
                  </w:r>
                  <w:r>
                    <w:rPr>
                      <w:rFonts w:hint="eastAsia"/>
                      <w:szCs w:val="21"/>
                    </w:rPr>
                    <w:t>12348-2008</w:t>
                  </w:r>
                  <w:r>
                    <w:rPr>
                      <w:szCs w:val="21"/>
                    </w:rPr>
                    <w:t>）</w:t>
                  </w:r>
                  <w:r>
                    <w:rPr>
                      <w:rFonts w:hint="eastAsia"/>
                      <w:szCs w:val="21"/>
                    </w:rPr>
                    <w:t>中1类限值</w:t>
                  </w:r>
                </w:p>
              </w:tc>
              <w:tc>
                <w:tcPr>
                  <w:tcW w:w="3019" w:type="dxa"/>
                  <w:tcBorders>
                    <w:top w:val="single" w:color="auto" w:sz="4" w:space="0"/>
                    <w:left w:val="single" w:color="auto" w:sz="4" w:space="0"/>
                    <w:bottom w:val="single" w:color="auto" w:sz="12" w:space="0"/>
                    <w:right w:val="nil"/>
                  </w:tcBorders>
                  <w:vAlign w:val="center"/>
                </w:tcPr>
                <w:p>
                  <w:pPr>
                    <w:pStyle w:val="23"/>
                    <w:wordWrap w:val="0"/>
                    <w:spacing w:after="0" w:line="240" w:lineRule="auto"/>
                    <w:jc w:val="center"/>
                    <w:rPr>
                      <w:rFonts w:ascii="黑体" w:hAnsi="黑体" w:eastAsia="黑体" w:cs="黑体"/>
                      <w:szCs w:val="21"/>
                    </w:rPr>
                  </w:pPr>
                  <w:r>
                    <w:rPr>
                      <w:rFonts w:hint="eastAsia" w:ascii="宋体" w:hAnsi="宋体" w:cs="宋体"/>
                      <w:szCs w:val="21"/>
                    </w:rPr>
                    <w:t>昼间</w:t>
                  </w:r>
                  <w:r>
                    <w:rPr>
                      <w:rFonts w:hint="eastAsia"/>
                      <w:szCs w:val="21"/>
                    </w:rPr>
                    <w:t>55dB（A）</w:t>
                  </w:r>
                  <w:r>
                    <w:rPr>
                      <w:rFonts w:hint="eastAsia" w:ascii="宋体" w:hAnsi="宋体" w:cs="宋体"/>
                      <w:szCs w:val="21"/>
                    </w:rPr>
                    <w:t>、夜间</w:t>
                  </w:r>
                  <w:r>
                    <w:rPr>
                      <w:rFonts w:hint="eastAsia"/>
                      <w:szCs w:val="21"/>
                    </w:rPr>
                    <w:t>45dB（A）</w:t>
                  </w:r>
                </w:p>
              </w:tc>
            </w:tr>
          </w:tbl>
          <w:p>
            <w:pPr>
              <w:pStyle w:val="6"/>
            </w:pPr>
            <w:r>
              <w:t>4.固体废物</w:t>
            </w:r>
          </w:p>
          <w:p>
            <w:pPr>
              <w:pStyle w:val="23"/>
              <w:wordWrap w:val="0"/>
              <w:spacing w:after="0" w:line="360" w:lineRule="auto"/>
              <w:ind w:firstLine="480" w:firstLineChars="200"/>
              <w:rPr>
                <w:b/>
                <w:bCs/>
                <w:color w:val="000000"/>
                <w:szCs w:val="21"/>
              </w:rPr>
            </w:pPr>
            <w:r>
              <w:rPr>
                <w:rFonts w:hint="eastAsia"/>
                <w:color w:val="000000"/>
                <w:sz w:val="24"/>
              </w:rPr>
              <w:t>本项目</w:t>
            </w:r>
            <w:r>
              <w:rPr>
                <w:color w:val="000000"/>
                <w:sz w:val="24"/>
              </w:rPr>
              <w:t>一般固体执行《一般工业固体废物贮存和填埋污染控制标准》（GB 18599-2020）</w:t>
            </w:r>
            <w:r>
              <w:rPr>
                <w:rFonts w:hint="eastAsia"/>
                <w:color w:val="000000"/>
                <w:sz w:val="24"/>
              </w:rPr>
              <w:t>；医疗废物执行</w:t>
            </w:r>
            <w:r>
              <w:rPr>
                <w:color w:val="000000"/>
                <w:sz w:val="24"/>
              </w:rPr>
              <w:t>《危险废物贮存污染控制标准》（GB18597-2001）及其修改单相关要求</w:t>
            </w:r>
            <w:r>
              <w:rPr>
                <w:rFonts w:hint="eastAsia"/>
                <w:color w:val="000000"/>
                <w:sz w:val="24"/>
              </w:rPr>
              <w:t>；</w:t>
            </w:r>
            <w:r>
              <w:rPr>
                <w:color w:val="000000"/>
                <w:sz w:val="24"/>
              </w:rPr>
              <w:t>污泥执行《医疗机构水污染物排放标准》（GB18466-2005）中表4标准，污泥控制标准详见下表。</w:t>
            </w:r>
          </w:p>
          <w:p>
            <w:pPr>
              <w:pStyle w:val="23"/>
              <w:spacing w:after="0" w:line="240" w:lineRule="auto"/>
              <w:jc w:val="center"/>
              <w:rPr>
                <w:b/>
                <w:bCs/>
                <w:color w:val="000000"/>
                <w:szCs w:val="21"/>
              </w:rPr>
            </w:pPr>
            <w:r>
              <w:rPr>
                <w:b/>
                <w:bCs/>
                <w:color w:val="000000"/>
                <w:szCs w:val="21"/>
              </w:rPr>
              <w:t>表3-1</w:t>
            </w:r>
            <w:r>
              <w:rPr>
                <w:rFonts w:hint="eastAsia"/>
                <w:b/>
                <w:bCs/>
                <w:color w:val="000000"/>
                <w:szCs w:val="21"/>
              </w:rPr>
              <w:t>0</w:t>
            </w:r>
            <w:r>
              <w:rPr>
                <w:b/>
                <w:bCs/>
                <w:color w:val="000000"/>
                <w:szCs w:val="21"/>
              </w:rPr>
              <w:t xml:space="preserve">    医疗机构污泥控制标准</w:t>
            </w:r>
          </w:p>
          <w:tbl>
            <w:tblPr>
              <w:tblStyle w:val="18"/>
              <w:tblW w:w="8039"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5"/>
              <w:gridCol w:w="1562"/>
              <w:gridCol w:w="1334"/>
              <w:gridCol w:w="1117"/>
              <w:gridCol w:w="1108"/>
              <w:gridCol w:w="111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22" w:type="pct"/>
                  <w:tcBorders>
                    <w:bottom w:val="single" w:color="000000" w:sz="12" w:space="0"/>
                    <w:right w:val="single" w:color="auto" w:sz="4" w:space="0"/>
                  </w:tcBorders>
                  <w:vAlign w:val="center"/>
                </w:tcPr>
                <w:p>
                  <w:pPr>
                    <w:pStyle w:val="23"/>
                    <w:spacing w:after="0" w:line="240" w:lineRule="auto"/>
                    <w:jc w:val="center"/>
                    <w:rPr>
                      <w:b/>
                      <w:bCs/>
                      <w:color w:val="000000"/>
                      <w:szCs w:val="21"/>
                    </w:rPr>
                  </w:pPr>
                  <w:r>
                    <w:rPr>
                      <w:b/>
                      <w:bCs/>
                      <w:color w:val="000000"/>
                      <w:szCs w:val="21"/>
                    </w:rPr>
                    <w:t>医疗机构类别</w:t>
                  </w:r>
                </w:p>
              </w:tc>
              <w:tc>
                <w:tcPr>
                  <w:tcW w:w="971" w:type="pct"/>
                  <w:tcBorders>
                    <w:left w:val="single" w:color="auto" w:sz="4" w:space="0"/>
                    <w:bottom w:val="single" w:color="000000" w:sz="12" w:space="0"/>
                    <w:right w:val="single" w:color="auto" w:sz="4" w:space="0"/>
                  </w:tcBorders>
                  <w:vAlign w:val="center"/>
                </w:tcPr>
                <w:p>
                  <w:pPr>
                    <w:pStyle w:val="23"/>
                    <w:spacing w:after="0" w:line="240" w:lineRule="auto"/>
                    <w:jc w:val="center"/>
                    <w:rPr>
                      <w:b/>
                      <w:bCs/>
                      <w:color w:val="000000"/>
                      <w:szCs w:val="21"/>
                    </w:rPr>
                  </w:pPr>
                  <w:r>
                    <w:rPr>
                      <w:b/>
                      <w:bCs/>
                      <w:color w:val="000000"/>
                      <w:szCs w:val="21"/>
                    </w:rPr>
                    <w:t>粪大肠菌群数/（MPN/g）</w:t>
                  </w:r>
                </w:p>
              </w:tc>
              <w:tc>
                <w:tcPr>
                  <w:tcW w:w="829" w:type="pct"/>
                  <w:tcBorders>
                    <w:left w:val="single" w:color="auto" w:sz="4" w:space="0"/>
                    <w:bottom w:val="single" w:color="000000" w:sz="12" w:space="0"/>
                    <w:right w:val="single" w:color="auto" w:sz="4" w:space="0"/>
                  </w:tcBorders>
                  <w:vAlign w:val="center"/>
                </w:tcPr>
                <w:p>
                  <w:pPr>
                    <w:pStyle w:val="23"/>
                    <w:spacing w:after="0" w:line="240" w:lineRule="auto"/>
                    <w:jc w:val="center"/>
                    <w:rPr>
                      <w:b/>
                      <w:bCs/>
                      <w:color w:val="000000"/>
                      <w:szCs w:val="21"/>
                    </w:rPr>
                  </w:pPr>
                  <w:r>
                    <w:rPr>
                      <w:b/>
                      <w:bCs/>
                      <w:color w:val="000000"/>
                      <w:szCs w:val="21"/>
                    </w:rPr>
                    <w:t>肠道致病菌</w:t>
                  </w:r>
                </w:p>
              </w:tc>
              <w:tc>
                <w:tcPr>
                  <w:tcW w:w="695" w:type="pct"/>
                  <w:tcBorders>
                    <w:left w:val="single" w:color="auto" w:sz="4" w:space="0"/>
                    <w:bottom w:val="single" w:color="000000" w:sz="12" w:space="0"/>
                    <w:right w:val="single" w:color="auto" w:sz="4" w:space="0"/>
                  </w:tcBorders>
                  <w:vAlign w:val="center"/>
                </w:tcPr>
                <w:p>
                  <w:pPr>
                    <w:pStyle w:val="23"/>
                    <w:spacing w:after="0" w:line="240" w:lineRule="auto"/>
                    <w:jc w:val="center"/>
                    <w:rPr>
                      <w:b/>
                      <w:bCs/>
                      <w:color w:val="000000"/>
                      <w:szCs w:val="21"/>
                    </w:rPr>
                  </w:pPr>
                  <w:r>
                    <w:rPr>
                      <w:b/>
                      <w:bCs/>
                      <w:color w:val="000000"/>
                      <w:szCs w:val="21"/>
                    </w:rPr>
                    <w:t>肠道病毒</w:t>
                  </w:r>
                </w:p>
              </w:tc>
              <w:tc>
                <w:tcPr>
                  <w:tcW w:w="689" w:type="pct"/>
                  <w:tcBorders>
                    <w:left w:val="single" w:color="auto" w:sz="4" w:space="0"/>
                    <w:bottom w:val="single" w:color="000000" w:sz="12" w:space="0"/>
                    <w:right w:val="single" w:color="auto" w:sz="4" w:space="0"/>
                  </w:tcBorders>
                  <w:vAlign w:val="center"/>
                </w:tcPr>
                <w:p>
                  <w:pPr>
                    <w:pStyle w:val="23"/>
                    <w:spacing w:after="0" w:line="240" w:lineRule="auto"/>
                    <w:jc w:val="center"/>
                    <w:rPr>
                      <w:b/>
                      <w:bCs/>
                      <w:color w:val="000000"/>
                      <w:szCs w:val="21"/>
                    </w:rPr>
                  </w:pPr>
                  <w:r>
                    <w:rPr>
                      <w:b/>
                      <w:bCs/>
                      <w:color w:val="000000"/>
                      <w:szCs w:val="21"/>
                    </w:rPr>
                    <w:t>结核杆菌</w:t>
                  </w:r>
                </w:p>
              </w:tc>
              <w:tc>
                <w:tcPr>
                  <w:tcW w:w="692" w:type="pct"/>
                  <w:tcBorders>
                    <w:left w:val="single" w:color="auto" w:sz="4" w:space="0"/>
                    <w:bottom w:val="single" w:color="000000" w:sz="12" w:space="0"/>
                    <w:right w:val="nil"/>
                  </w:tcBorders>
                  <w:vAlign w:val="center"/>
                </w:tcPr>
                <w:p>
                  <w:pPr>
                    <w:pStyle w:val="23"/>
                    <w:spacing w:after="0" w:line="240" w:lineRule="auto"/>
                    <w:jc w:val="center"/>
                    <w:rPr>
                      <w:b/>
                      <w:bCs/>
                      <w:color w:val="000000"/>
                      <w:szCs w:val="21"/>
                    </w:rPr>
                  </w:pPr>
                  <w:r>
                    <w:rPr>
                      <w:b/>
                      <w:bCs/>
                      <w:color w:val="000000"/>
                      <w:szCs w:val="21"/>
                    </w:rPr>
                    <w:t>蛔虫卵死亡率/%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22" w:type="pct"/>
                  <w:tcBorders>
                    <w:top w:val="single" w:color="000000" w:sz="12" w:space="0"/>
                    <w:bottom w:val="single" w:color="000000" w:sz="12" w:space="0"/>
                    <w:right w:val="single" w:color="auto" w:sz="4" w:space="0"/>
                  </w:tcBorders>
                  <w:vAlign w:val="center"/>
                </w:tcPr>
                <w:p>
                  <w:pPr>
                    <w:pStyle w:val="23"/>
                    <w:spacing w:after="0" w:line="240" w:lineRule="auto"/>
                    <w:jc w:val="center"/>
                    <w:rPr>
                      <w:color w:val="000000"/>
                      <w:szCs w:val="21"/>
                    </w:rPr>
                  </w:pPr>
                  <w:r>
                    <w:rPr>
                      <w:color w:val="000000"/>
                      <w:szCs w:val="21"/>
                    </w:rPr>
                    <w:t>传染病医疗机构</w:t>
                  </w:r>
                </w:p>
              </w:tc>
              <w:tc>
                <w:tcPr>
                  <w:tcW w:w="971" w:type="pct"/>
                  <w:tcBorders>
                    <w:top w:val="single" w:color="000000" w:sz="12" w:space="0"/>
                    <w:left w:val="single" w:color="auto" w:sz="4" w:space="0"/>
                    <w:bottom w:val="single" w:color="000000" w:sz="12" w:space="0"/>
                    <w:right w:val="single" w:color="auto" w:sz="4" w:space="0"/>
                  </w:tcBorders>
                  <w:vAlign w:val="center"/>
                </w:tcPr>
                <w:p>
                  <w:pPr>
                    <w:pStyle w:val="23"/>
                    <w:spacing w:after="0" w:line="240" w:lineRule="auto"/>
                    <w:jc w:val="center"/>
                    <w:rPr>
                      <w:b/>
                      <w:bCs/>
                      <w:color w:val="000000"/>
                      <w:szCs w:val="21"/>
                    </w:rPr>
                  </w:pPr>
                  <w:r>
                    <w:rPr>
                      <w:color w:val="000000"/>
                      <w:szCs w:val="21"/>
                    </w:rPr>
                    <w:t>≤100</w:t>
                  </w:r>
                </w:p>
              </w:tc>
              <w:tc>
                <w:tcPr>
                  <w:tcW w:w="829" w:type="pct"/>
                  <w:tcBorders>
                    <w:top w:val="single" w:color="000000" w:sz="12" w:space="0"/>
                    <w:left w:val="single" w:color="auto" w:sz="4" w:space="0"/>
                    <w:bottom w:val="single" w:color="000000" w:sz="12" w:space="0"/>
                    <w:right w:val="single" w:color="auto" w:sz="4" w:space="0"/>
                  </w:tcBorders>
                  <w:vAlign w:val="center"/>
                </w:tcPr>
                <w:p>
                  <w:pPr>
                    <w:pStyle w:val="23"/>
                    <w:spacing w:after="0" w:line="240" w:lineRule="auto"/>
                    <w:jc w:val="center"/>
                    <w:rPr>
                      <w:color w:val="000000"/>
                      <w:szCs w:val="21"/>
                    </w:rPr>
                  </w:pPr>
                  <w:r>
                    <w:rPr>
                      <w:color w:val="000000"/>
                      <w:szCs w:val="21"/>
                    </w:rPr>
                    <w:t>不得检出</w:t>
                  </w:r>
                </w:p>
              </w:tc>
              <w:tc>
                <w:tcPr>
                  <w:tcW w:w="695" w:type="pct"/>
                  <w:tcBorders>
                    <w:top w:val="single" w:color="000000" w:sz="12" w:space="0"/>
                    <w:left w:val="single" w:color="auto" w:sz="4" w:space="0"/>
                    <w:bottom w:val="single" w:color="000000" w:sz="12" w:space="0"/>
                    <w:right w:val="single" w:color="auto" w:sz="4" w:space="0"/>
                  </w:tcBorders>
                  <w:vAlign w:val="center"/>
                </w:tcPr>
                <w:p>
                  <w:pPr>
                    <w:pStyle w:val="23"/>
                    <w:spacing w:after="0" w:line="240" w:lineRule="auto"/>
                    <w:jc w:val="center"/>
                    <w:rPr>
                      <w:color w:val="000000"/>
                      <w:szCs w:val="21"/>
                    </w:rPr>
                  </w:pPr>
                  <w:r>
                    <w:rPr>
                      <w:color w:val="000000"/>
                      <w:szCs w:val="21"/>
                    </w:rPr>
                    <w:t>不得检出</w:t>
                  </w:r>
                </w:p>
              </w:tc>
              <w:tc>
                <w:tcPr>
                  <w:tcW w:w="689" w:type="pct"/>
                  <w:tcBorders>
                    <w:top w:val="single" w:color="000000" w:sz="12" w:space="0"/>
                    <w:left w:val="single" w:color="auto" w:sz="4" w:space="0"/>
                    <w:bottom w:val="single" w:color="000000" w:sz="12" w:space="0"/>
                    <w:right w:val="single" w:color="auto" w:sz="4" w:space="0"/>
                  </w:tcBorders>
                  <w:vAlign w:val="center"/>
                </w:tcPr>
                <w:p>
                  <w:pPr>
                    <w:pStyle w:val="23"/>
                    <w:spacing w:after="0" w:line="240" w:lineRule="auto"/>
                    <w:jc w:val="center"/>
                    <w:rPr>
                      <w:color w:val="000000"/>
                      <w:szCs w:val="21"/>
                    </w:rPr>
                  </w:pPr>
                  <w:r>
                    <w:rPr>
                      <w:color w:val="000000"/>
                      <w:szCs w:val="21"/>
                    </w:rPr>
                    <w:t>-</w:t>
                  </w:r>
                </w:p>
              </w:tc>
              <w:tc>
                <w:tcPr>
                  <w:tcW w:w="692" w:type="pct"/>
                  <w:tcBorders>
                    <w:top w:val="single" w:color="000000" w:sz="12" w:space="0"/>
                    <w:left w:val="single" w:color="auto" w:sz="4" w:space="0"/>
                    <w:bottom w:val="single" w:color="000000" w:sz="12" w:space="0"/>
                    <w:right w:val="nil"/>
                  </w:tcBorders>
                  <w:vAlign w:val="center"/>
                </w:tcPr>
                <w:p>
                  <w:pPr>
                    <w:pStyle w:val="23"/>
                    <w:spacing w:after="0" w:line="240" w:lineRule="auto"/>
                    <w:jc w:val="center"/>
                    <w:rPr>
                      <w:color w:val="000000"/>
                      <w:szCs w:val="21"/>
                    </w:rPr>
                  </w:pPr>
                  <w:r>
                    <w:rPr>
                      <w:color w:val="000000"/>
                      <w:szCs w:val="21"/>
                    </w:rPr>
                    <w:t>＞95</w:t>
                  </w:r>
                </w:p>
              </w:tc>
            </w:tr>
          </w:tbl>
          <w:p>
            <w:pPr>
              <w:pStyle w:val="30"/>
              <w:spacing w:line="480" w:lineRule="exact"/>
              <w:ind w:firstLine="0" w:firstLineChars="0"/>
              <w:rPr>
                <w:color w:val="0000FF"/>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2" w:hRule="atLeast"/>
          <w:jc w:val="center"/>
        </w:trPr>
        <w:tc>
          <w:tcPr>
            <w:tcW w:w="750" w:type="dxa"/>
            <w:vAlign w:val="center"/>
          </w:tcPr>
          <w:p>
            <w:pPr>
              <w:adjustRightInd w:val="0"/>
              <w:snapToGrid w:val="0"/>
              <w:jc w:val="center"/>
              <w:rPr>
                <w:kern w:val="0"/>
                <w:sz w:val="24"/>
              </w:rPr>
            </w:pPr>
            <w:r>
              <w:rPr>
                <w:rFonts w:hint="eastAsia"/>
                <w:kern w:val="0"/>
                <w:sz w:val="24"/>
              </w:rPr>
              <w:t>总量</w:t>
            </w:r>
          </w:p>
          <w:p>
            <w:pPr>
              <w:adjustRightInd w:val="0"/>
              <w:snapToGrid w:val="0"/>
              <w:jc w:val="center"/>
              <w:rPr>
                <w:kern w:val="0"/>
                <w:sz w:val="24"/>
              </w:rPr>
            </w:pPr>
            <w:r>
              <w:rPr>
                <w:rFonts w:hint="eastAsia"/>
                <w:kern w:val="0"/>
                <w:sz w:val="24"/>
              </w:rPr>
              <w:t>控制</w:t>
            </w:r>
          </w:p>
          <w:p>
            <w:pPr>
              <w:adjustRightInd w:val="0"/>
              <w:snapToGrid w:val="0"/>
              <w:jc w:val="center"/>
              <w:rPr>
                <w:rFonts w:ascii="宋体" w:hAnsi="宋体" w:cs="宋体"/>
                <w:kern w:val="0"/>
                <w:szCs w:val="21"/>
              </w:rPr>
            </w:pPr>
            <w:r>
              <w:rPr>
                <w:rFonts w:hint="eastAsia"/>
                <w:kern w:val="0"/>
                <w:sz w:val="24"/>
              </w:rPr>
              <w:t>指标</w:t>
            </w:r>
          </w:p>
        </w:tc>
        <w:tc>
          <w:tcPr>
            <w:tcW w:w="8311" w:type="dxa"/>
            <w:vAlign w:val="center"/>
          </w:tcPr>
          <w:p>
            <w:pPr>
              <w:adjustRightInd w:val="0"/>
              <w:snapToGrid w:val="0"/>
              <w:spacing w:line="360" w:lineRule="auto"/>
              <w:ind w:firstLine="480" w:firstLineChars="200"/>
              <w:rPr>
                <w:rFonts w:ascii="宋体" w:hAnsi="宋体" w:cs="宋体"/>
                <w:kern w:val="0"/>
                <w:szCs w:val="21"/>
              </w:rPr>
            </w:pPr>
            <w:r>
              <w:rPr>
                <w:rFonts w:hint="eastAsia"/>
                <w:color w:val="000000"/>
                <w:sz w:val="24"/>
              </w:rPr>
              <w:t>根据国家总量控制指标，结合本项目所在区域的环境特征及本项目排污情况。医疗废水经过原有污水处理站处理后可进入昌吉市第二污水处理厂进行处理，因此建议本项目不单独设立总量控制指标，将该部分污水纳入昌吉市第二污水处理厂总量控制指标即可。</w:t>
            </w:r>
          </w:p>
        </w:tc>
      </w:tr>
    </w:tbl>
    <w:p>
      <w:pPr>
        <w:rPr>
          <w:rFonts w:ascii="黑体" w:hAnsi="黑体" w:eastAsia="黑体"/>
          <w:snapToGrid w:val="0"/>
          <w:sz w:val="30"/>
          <w:szCs w:val="30"/>
        </w:rPr>
      </w:pPr>
      <w:r>
        <w:rPr>
          <w:rFonts w:hint="eastAsia" w:ascii="黑体" w:hAnsi="黑体" w:eastAsia="黑体"/>
          <w:snapToGrid w:val="0"/>
          <w:sz w:val="30"/>
          <w:szCs w:val="30"/>
        </w:rPr>
        <w:br w:type="page"/>
      </w:r>
    </w:p>
    <w:p>
      <w:pPr>
        <w:pStyle w:val="1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四、主要环境影响和保护措施</w:t>
      </w:r>
    </w:p>
    <w:tbl>
      <w:tblPr>
        <w:tblStyle w:val="17"/>
        <w:tblW w:w="90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2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65" w:type="dxa"/>
            <w:tcMar>
              <w:left w:w="28" w:type="dxa"/>
              <w:right w:w="28" w:type="dxa"/>
            </w:tcMar>
            <w:vAlign w:val="center"/>
          </w:tcPr>
          <w:p>
            <w:pPr>
              <w:pStyle w:val="16"/>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pPr>
              <w:pStyle w:val="16"/>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pPr>
              <w:pStyle w:val="16"/>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pPr>
              <w:pStyle w:val="16"/>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pPr>
              <w:pStyle w:val="16"/>
              <w:adjustRightInd w:val="0"/>
              <w:snapToGrid w:val="0"/>
              <w:spacing w:before="0" w:beforeAutospacing="0" w:after="0" w:afterAutospacing="0"/>
              <w:jc w:val="center"/>
              <w:rPr>
                <w:rFonts w:ascii="Times New Roman" w:hAnsi="Times New Roman"/>
                <w:bCs/>
                <w:kern w:val="2"/>
                <w:szCs w:val="24"/>
                <w:highlight w:val="yellow"/>
              </w:rPr>
            </w:pPr>
            <w:r>
              <w:rPr>
                <w:rFonts w:ascii="Times New Roman" w:hAnsi="Times New Roman"/>
                <w:kern w:val="2"/>
                <w:szCs w:val="24"/>
              </w:rPr>
              <w:t>施</w:t>
            </w:r>
          </w:p>
        </w:tc>
        <w:tc>
          <w:tcPr>
            <w:tcW w:w="8283" w:type="dxa"/>
            <w:vAlign w:val="center"/>
          </w:tcPr>
          <w:p>
            <w:pPr>
              <w:adjustRightInd w:val="0"/>
              <w:snapToGrid w:val="0"/>
              <w:spacing w:line="360" w:lineRule="auto"/>
              <w:ind w:firstLine="480" w:firstLineChars="200"/>
              <w:rPr>
                <w:sz w:val="24"/>
              </w:rPr>
            </w:pPr>
            <w:r>
              <w:rPr>
                <w:sz w:val="24"/>
              </w:rPr>
              <w:t>本项目为昌吉州中医医院中医特色重点医院建设项目，为</w:t>
            </w:r>
            <w:r>
              <w:rPr>
                <w:rFonts w:hint="eastAsia"/>
                <w:sz w:val="24"/>
              </w:rPr>
              <w:t>扩建</w:t>
            </w:r>
            <w:r>
              <w:rPr>
                <w:sz w:val="24"/>
              </w:rPr>
              <w:t>项目，建设内容主要为</w:t>
            </w:r>
            <w:r>
              <w:rPr>
                <w:rFonts w:hint="eastAsia"/>
                <w:sz w:val="24"/>
              </w:rPr>
              <w:t>建设</w:t>
            </w:r>
            <w:r>
              <w:rPr>
                <w:sz w:val="24"/>
              </w:rPr>
              <w:t>1栋</w:t>
            </w:r>
            <w:r>
              <w:rPr>
                <w:rFonts w:hint="eastAsia"/>
                <w:sz w:val="24"/>
              </w:rPr>
              <w:t>康复楼</w:t>
            </w:r>
            <w:r>
              <w:rPr>
                <w:sz w:val="24"/>
              </w:rPr>
              <w:t>，建设工程开工期202</w:t>
            </w:r>
            <w:r>
              <w:rPr>
                <w:rFonts w:hint="eastAsia"/>
                <w:sz w:val="24"/>
              </w:rPr>
              <w:t>2</w:t>
            </w:r>
            <w:r>
              <w:rPr>
                <w:sz w:val="24"/>
              </w:rPr>
              <w:t>年</w:t>
            </w:r>
            <w:r>
              <w:rPr>
                <w:rFonts w:hint="eastAsia"/>
                <w:sz w:val="24"/>
              </w:rPr>
              <w:t>3</w:t>
            </w:r>
            <w:r>
              <w:rPr>
                <w:sz w:val="24"/>
              </w:rPr>
              <w:t>月，施工工期为</w:t>
            </w:r>
            <w:r>
              <w:rPr>
                <w:rFonts w:hint="eastAsia"/>
                <w:sz w:val="24"/>
              </w:rPr>
              <w:t>25</w:t>
            </w:r>
            <w:r>
              <w:rPr>
                <w:sz w:val="24"/>
              </w:rPr>
              <w:t>月。</w:t>
            </w:r>
          </w:p>
          <w:p>
            <w:pPr>
              <w:pStyle w:val="22"/>
              <w:spacing w:line="360" w:lineRule="auto"/>
              <w:rPr>
                <w:rFonts w:ascii="Times New Roman" w:cs="Times New Roman"/>
                <w:b/>
                <w:bCs/>
                <w:color w:val="auto"/>
                <w:kern w:val="2"/>
                <w:szCs w:val="32"/>
              </w:rPr>
            </w:pPr>
            <w:r>
              <w:rPr>
                <w:rFonts w:hint="eastAsia" w:ascii="Times New Roman" w:cs="Times New Roman"/>
                <w:b/>
                <w:bCs/>
                <w:color w:val="auto"/>
                <w:kern w:val="2"/>
                <w:szCs w:val="32"/>
              </w:rPr>
              <w:t>1.废气</w:t>
            </w:r>
          </w:p>
          <w:p>
            <w:pPr>
              <w:adjustRightInd w:val="0"/>
              <w:snapToGrid w:val="0"/>
              <w:spacing w:line="360" w:lineRule="auto"/>
              <w:rPr>
                <w:b/>
                <w:bCs/>
                <w:sz w:val="24"/>
              </w:rPr>
            </w:pPr>
            <w:r>
              <w:rPr>
                <w:b/>
                <w:bCs/>
                <w:sz w:val="24"/>
              </w:rPr>
              <w:t>1.</w:t>
            </w:r>
            <w:r>
              <w:rPr>
                <w:rFonts w:hint="eastAsia"/>
                <w:b/>
                <w:bCs/>
                <w:sz w:val="24"/>
              </w:rPr>
              <w:t>1</w:t>
            </w:r>
            <w:r>
              <w:rPr>
                <w:b/>
                <w:bCs/>
                <w:sz w:val="24"/>
              </w:rPr>
              <w:t>废气污染物</w:t>
            </w:r>
            <w:r>
              <w:rPr>
                <w:b/>
                <w:bCs/>
                <w:sz w:val="24"/>
                <w:szCs w:val="32"/>
              </w:rPr>
              <w:t>防治措施</w:t>
            </w:r>
          </w:p>
          <w:p>
            <w:pPr>
              <w:adjustRightInd w:val="0"/>
              <w:snapToGrid w:val="0"/>
              <w:spacing w:line="360" w:lineRule="auto"/>
              <w:ind w:firstLine="480" w:firstLineChars="200"/>
              <w:rPr>
                <w:sz w:val="24"/>
              </w:rPr>
            </w:pPr>
            <w:r>
              <w:rPr>
                <w:sz w:val="24"/>
              </w:rPr>
              <w:t>本项目在施工期大气污染源主要来自于以下几点：</w:t>
            </w:r>
          </w:p>
          <w:p>
            <w:pPr>
              <w:adjustRightInd w:val="0"/>
              <w:snapToGrid w:val="0"/>
              <w:spacing w:line="360" w:lineRule="auto"/>
              <w:ind w:firstLine="480" w:firstLineChars="200"/>
              <w:rPr>
                <w:sz w:val="24"/>
              </w:rPr>
            </w:pPr>
            <w:r>
              <w:rPr>
                <w:sz w:val="24"/>
              </w:rPr>
              <w:t>（1）车辆来往造成的现场道路扬尘。</w:t>
            </w:r>
          </w:p>
          <w:p>
            <w:pPr>
              <w:adjustRightInd w:val="0"/>
              <w:snapToGrid w:val="0"/>
              <w:spacing w:line="360" w:lineRule="auto"/>
              <w:ind w:firstLine="480" w:firstLineChars="200"/>
              <w:rPr>
                <w:sz w:val="24"/>
              </w:rPr>
            </w:pPr>
            <w:r>
              <w:rPr>
                <w:sz w:val="24"/>
              </w:rPr>
              <w:t>（2）施工机械设备排放的少量无组织废气等。</w:t>
            </w:r>
          </w:p>
          <w:p>
            <w:pPr>
              <w:adjustRightInd w:val="0"/>
              <w:snapToGrid w:val="0"/>
              <w:spacing w:line="360" w:lineRule="auto"/>
              <w:ind w:firstLine="480" w:firstLineChars="200"/>
              <w:rPr>
                <w:sz w:val="24"/>
              </w:rPr>
            </w:pPr>
            <w:r>
              <w:rPr>
                <w:sz w:val="24"/>
              </w:rPr>
              <w:t>（3）装修期间产生的装修废气</w:t>
            </w:r>
          </w:p>
          <w:p>
            <w:pPr>
              <w:adjustRightInd w:val="0"/>
              <w:snapToGrid w:val="0"/>
              <w:spacing w:line="360" w:lineRule="auto"/>
              <w:ind w:firstLine="480" w:firstLineChars="200"/>
              <w:rPr>
                <w:sz w:val="24"/>
              </w:rPr>
            </w:pPr>
            <w:r>
              <w:rPr>
                <w:sz w:val="24"/>
              </w:rPr>
              <w:t>施工扬尘防治措施：</w:t>
            </w:r>
          </w:p>
          <w:p>
            <w:pPr>
              <w:adjustRightInd w:val="0"/>
              <w:snapToGrid w:val="0"/>
              <w:spacing w:line="360" w:lineRule="auto"/>
              <w:ind w:firstLine="480" w:firstLineChars="200"/>
              <w:rPr>
                <w:sz w:val="24"/>
              </w:rPr>
            </w:pPr>
            <w:r>
              <w:rPr>
                <w:sz w:val="24"/>
              </w:rPr>
              <w:t>根据《新疆维吾尔</w:t>
            </w:r>
            <w:r>
              <w:t>自治区大气污染防治条例》第三十八条房屋建筑、</w:t>
            </w:r>
            <w:r>
              <w:rPr>
                <w:sz w:val="24"/>
              </w:rPr>
              <w:t>市政府</w:t>
            </w:r>
            <w:r>
              <w:t>基础设施</w:t>
            </w:r>
            <w:r>
              <w:rPr>
                <w:sz w:val="24"/>
              </w:rPr>
              <w:t>建设和城市规划区内水利工程等可能产生扬尘污染活动的施工现场，施工单位应当采取下列防尘措施：</w:t>
            </w:r>
          </w:p>
          <w:p>
            <w:pPr>
              <w:adjustRightInd w:val="0"/>
              <w:snapToGrid w:val="0"/>
              <w:spacing w:line="360" w:lineRule="auto"/>
              <w:ind w:firstLine="480" w:firstLineChars="200"/>
              <w:rPr>
                <w:sz w:val="24"/>
              </w:rPr>
            </w:pPr>
            <w:r>
              <w:rPr>
                <w:sz w:val="24"/>
              </w:rPr>
              <w:t>①建设工程开工前，按照标准在施工现场周围设置围挡，并对围挡进行维护；</w:t>
            </w:r>
          </w:p>
          <w:p>
            <w:pPr>
              <w:adjustRightInd w:val="0"/>
              <w:snapToGrid w:val="0"/>
              <w:spacing w:line="360" w:lineRule="auto"/>
              <w:ind w:firstLine="480" w:firstLineChars="200"/>
              <w:rPr>
                <w:sz w:val="24"/>
              </w:rPr>
            </w:pPr>
            <w:r>
              <w:rPr>
                <w:sz w:val="24"/>
              </w:rPr>
              <w:t xml:space="preserve">②在施工现场出入口公示施工现场负责人、环保监督员、扬尘污染主要控制措施、举报电话等信息； </w:t>
            </w:r>
          </w:p>
          <w:p>
            <w:pPr>
              <w:adjustRightInd w:val="0"/>
              <w:snapToGrid w:val="0"/>
              <w:spacing w:line="360" w:lineRule="auto"/>
              <w:ind w:firstLine="480" w:firstLineChars="200"/>
              <w:rPr>
                <w:sz w:val="24"/>
              </w:rPr>
            </w:pPr>
            <w:r>
              <w:rPr>
                <w:sz w:val="24"/>
              </w:rPr>
              <w:t>③对施工现场内主要道路和物料堆放场地进行硬化，对土方进行集中堆放，并采取覆盖或者密闭等措施；</w:t>
            </w:r>
          </w:p>
          <w:p>
            <w:pPr>
              <w:adjustRightInd w:val="0"/>
              <w:snapToGrid w:val="0"/>
              <w:spacing w:line="360" w:lineRule="auto"/>
              <w:ind w:firstLine="480" w:firstLineChars="200"/>
              <w:rPr>
                <w:sz w:val="24"/>
              </w:rPr>
            </w:pPr>
            <w:r>
              <w:rPr>
                <w:sz w:val="24"/>
              </w:rPr>
              <w:t>④施工现场出口处设施车辆冲洗设施，施工车辆清洗干净后方可上路行驶；</w:t>
            </w:r>
          </w:p>
          <w:p>
            <w:pPr>
              <w:adjustRightInd w:val="0"/>
              <w:snapToGrid w:val="0"/>
              <w:spacing w:line="360" w:lineRule="auto"/>
              <w:ind w:firstLine="480" w:firstLineChars="200"/>
              <w:rPr>
                <w:sz w:val="24"/>
              </w:rPr>
            </w:pPr>
            <w:r>
              <w:rPr>
                <w:sz w:val="24"/>
              </w:rPr>
              <w:t>⑤土方开挖施工过程中，及时回填修复，并采取洒水等措施防治扬尘污染；</w:t>
            </w:r>
          </w:p>
          <w:p>
            <w:pPr>
              <w:pStyle w:val="31"/>
              <w:ind w:firstLine="480"/>
              <w:rPr>
                <w:rFonts w:cs="Times New Roman"/>
              </w:rPr>
            </w:pPr>
            <w:r>
              <w:rPr>
                <w:rFonts w:hint="eastAsia" w:cs="Times New Roman"/>
              </w:rPr>
              <w:t>⑥</w:t>
            </w:r>
            <w:r>
              <w:rPr>
                <w:rFonts w:cs="Times New Roman"/>
              </w:rPr>
              <w:t>及时对施工现场进行清理和平整，不得从高处向下倾倒或者抛洒各类物料和建筑垃圾。</w:t>
            </w:r>
          </w:p>
          <w:p>
            <w:pPr>
              <w:pStyle w:val="6"/>
            </w:pPr>
            <w:r>
              <w:t xml:space="preserve">1.2车辆废气防治措施 </w:t>
            </w:r>
          </w:p>
          <w:p>
            <w:pPr>
              <w:pStyle w:val="31"/>
              <w:ind w:firstLine="480"/>
              <w:rPr>
                <w:rFonts w:cs="Times New Roman"/>
              </w:rPr>
            </w:pPr>
            <w:r>
              <w:rPr>
                <w:rFonts w:cs="Times New Roman"/>
              </w:rPr>
              <w:t>针对汽车燃油废气，施工单位应选用符合国家有关标准的施工机械和运输工具，使其排放的废气符合国家有关标准，以控制施工区大气环境污染。</w:t>
            </w:r>
          </w:p>
          <w:p>
            <w:pPr>
              <w:adjustRightInd w:val="0"/>
              <w:snapToGrid w:val="0"/>
              <w:spacing w:line="360" w:lineRule="auto"/>
              <w:rPr>
                <w:b/>
                <w:bCs/>
                <w:sz w:val="24"/>
              </w:rPr>
            </w:pPr>
            <w:r>
              <w:rPr>
                <w:rFonts w:hint="eastAsia"/>
                <w:b/>
                <w:bCs/>
                <w:sz w:val="24"/>
              </w:rPr>
              <w:t>2.</w:t>
            </w:r>
            <w:r>
              <w:rPr>
                <w:b/>
                <w:bCs/>
                <w:sz w:val="24"/>
              </w:rPr>
              <w:t>废水</w:t>
            </w:r>
          </w:p>
          <w:p>
            <w:pPr>
              <w:pStyle w:val="6"/>
            </w:pPr>
            <w:r>
              <w:t>2.1施工废水</w:t>
            </w:r>
          </w:p>
          <w:p>
            <w:pPr>
              <w:pStyle w:val="31"/>
              <w:ind w:firstLine="480"/>
              <w:rPr>
                <w:rFonts w:cs="Times New Roman"/>
              </w:rPr>
            </w:pPr>
            <w:r>
              <w:rPr>
                <w:rFonts w:cs="Times New Roman"/>
              </w:rPr>
              <w:t>施工期施工工地产生的废水主要为</w:t>
            </w:r>
            <w:r>
              <w:rPr>
                <w:rFonts w:hint="eastAsia" w:cs="Times New Roman"/>
                <w:color w:val="000000"/>
              </w:rPr>
              <w:t>养护水</w:t>
            </w:r>
            <w:r>
              <w:rPr>
                <w:rFonts w:cs="Times New Roman"/>
              </w:rPr>
              <w:t xml:space="preserve">等，废水中主要污染物为悬浮物，产生量小。施工废水经集中收集后排入临时废水沉淀池，经沉淀后全部回用于洒水降尘。 </w:t>
            </w:r>
          </w:p>
          <w:p>
            <w:pPr>
              <w:adjustRightInd w:val="0"/>
              <w:snapToGrid w:val="0"/>
              <w:spacing w:line="360" w:lineRule="auto"/>
              <w:rPr>
                <w:b/>
                <w:bCs/>
                <w:sz w:val="24"/>
              </w:rPr>
            </w:pPr>
            <w:r>
              <w:rPr>
                <w:b/>
                <w:bCs/>
                <w:sz w:val="24"/>
              </w:rPr>
              <w:t xml:space="preserve">2.2生活污水 </w:t>
            </w:r>
          </w:p>
          <w:p>
            <w:pPr>
              <w:adjustRightInd w:val="0"/>
              <w:snapToGrid w:val="0"/>
              <w:spacing w:line="360" w:lineRule="auto"/>
              <w:ind w:firstLine="480" w:firstLineChars="200"/>
              <w:rPr>
                <w:b/>
                <w:bCs/>
                <w:sz w:val="24"/>
              </w:rPr>
            </w:pPr>
            <w:r>
              <w:rPr>
                <w:kern w:val="0"/>
                <w:sz w:val="24"/>
                <w:szCs w:val="21"/>
              </w:rPr>
              <w:t>本项目施工期产生的生活污水</w:t>
            </w:r>
            <w:r>
              <w:rPr>
                <w:rFonts w:hint="eastAsia"/>
                <w:kern w:val="0"/>
                <w:sz w:val="24"/>
                <w:szCs w:val="21"/>
              </w:rPr>
              <w:t>依托</w:t>
            </w:r>
            <w:r>
              <w:rPr>
                <w:rFonts w:hint="eastAsia"/>
                <w:sz w:val="24"/>
              </w:rPr>
              <w:t>加气站</w:t>
            </w:r>
            <w:r>
              <w:rPr>
                <w:rFonts w:hint="eastAsia"/>
                <w:kern w:val="0"/>
                <w:sz w:val="24"/>
                <w:szCs w:val="21"/>
              </w:rPr>
              <w:t>现有</w:t>
            </w:r>
            <w:r>
              <w:rPr>
                <w:kern w:val="0"/>
                <w:sz w:val="24"/>
                <w:szCs w:val="21"/>
              </w:rPr>
              <w:t xml:space="preserve">市政污水管网。 </w:t>
            </w:r>
          </w:p>
          <w:p>
            <w:pPr>
              <w:adjustRightInd w:val="0"/>
              <w:snapToGrid w:val="0"/>
              <w:spacing w:line="360" w:lineRule="auto"/>
              <w:rPr>
                <w:b/>
                <w:bCs/>
                <w:sz w:val="24"/>
              </w:rPr>
            </w:pPr>
            <w:r>
              <w:rPr>
                <w:b/>
                <w:bCs/>
                <w:sz w:val="24"/>
              </w:rPr>
              <w:t>3.噪声</w:t>
            </w:r>
            <w:r>
              <w:rPr>
                <w:b/>
                <w:bCs/>
                <w:sz w:val="24"/>
                <w:szCs w:val="32"/>
              </w:rPr>
              <w:t>防治措施</w:t>
            </w:r>
          </w:p>
          <w:p>
            <w:pPr>
              <w:pStyle w:val="31"/>
              <w:ind w:firstLine="480"/>
              <w:rPr>
                <w:rFonts w:cs="Times New Roman"/>
              </w:rPr>
            </w:pPr>
            <w:r>
              <w:rPr>
                <w:rFonts w:cs="Times New Roman"/>
              </w:rPr>
              <w:t>施工期的噪声主要来源于装修过程中的施工设备，其全部为室内作业。主要施工设备有电钻、磨光机、电锯等，一般在70-85dB(A)之间。</w:t>
            </w:r>
          </w:p>
          <w:p>
            <w:pPr>
              <w:pStyle w:val="31"/>
              <w:ind w:firstLine="480"/>
              <w:rPr>
                <w:rFonts w:cs="Times New Roman"/>
              </w:rPr>
            </w:pPr>
            <w:r>
              <w:rPr>
                <w:rFonts w:cs="Times New Roman"/>
              </w:rPr>
              <w:t>主要采取以下环保防治措施：</w:t>
            </w:r>
          </w:p>
          <w:p>
            <w:pPr>
              <w:pStyle w:val="31"/>
              <w:ind w:firstLine="480"/>
              <w:rPr>
                <w:rFonts w:cs="Times New Roman"/>
              </w:rPr>
            </w:pPr>
            <w:r>
              <w:rPr>
                <w:rFonts w:cs="Times New Roman"/>
              </w:rPr>
              <w:t>（1）尽量选用低噪声机械设备或带隔声、消声的设备。</w:t>
            </w:r>
          </w:p>
          <w:p>
            <w:pPr>
              <w:pStyle w:val="31"/>
              <w:ind w:firstLine="480"/>
              <w:rPr>
                <w:rFonts w:cs="Times New Roman"/>
              </w:rPr>
            </w:pPr>
            <w:r>
              <w:rPr>
                <w:rFonts w:cs="Times New Roman"/>
              </w:rPr>
              <w:t>（2）午休时间和夜间应禁止高噪声设备施工。</w:t>
            </w:r>
          </w:p>
          <w:p>
            <w:pPr>
              <w:pStyle w:val="31"/>
              <w:ind w:firstLine="480"/>
              <w:rPr>
                <w:rFonts w:cs="Times New Roman"/>
              </w:rPr>
            </w:pPr>
            <w:r>
              <w:rPr>
                <w:rFonts w:cs="Times New Roman"/>
              </w:rPr>
              <w:t>（3）合理安排施工时间和施工场所，并对设备定期保养，严格操作规范。</w:t>
            </w:r>
          </w:p>
          <w:p>
            <w:pPr>
              <w:pStyle w:val="31"/>
              <w:ind w:firstLine="480"/>
              <w:rPr>
                <w:rFonts w:cs="Times New Roman"/>
              </w:rPr>
            </w:pPr>
            <w:r>
              <w:rPr>
                <w:rFonts w:cs="Times New Roman"/>
              </w:rPr>
              <w:t>采取上述有效措施对项目区施工噪声进行控制后，本项目施工噪声对周围声环境影响较小。</w:t>
            </w:r>
          </w:p>
          <w:p>
            <w:pPr>
              <w:adjustRightInd w:val="0"/>
              <w:snapToGrid w:val="0"/>
              <w:spacing w:line="360" w:lineRule="auto"/>
              <w:rPr>
                <w:b/>
                <w:bCs/>
                <w:sz w:val="24"/>
                <w:szCs w:val="32"/>
              </w:rPr>
            </w:pPr>
            <w:r>
              <w:rPr>
                <w:b/>
                <w:bCs/>
                <w:sz w:val="24"/>
              </w:rPr>
              <w:t>4</w:t>
            </w:r>
            <w:r>
              <w:rPr>
                <w:b/>
                <w:bCs/>
                <w:sz w:val="24"/>
                <w:szCs w:val="32"/>
              </w:rPr>
              <w:t>.固体废</w:t>
            </w:r>
            <w:r>
              <w:rPr>
                <w:rFonts w:hint="eastAsia"/>
                <w:b/>
                <w:bCs/>
                <w:sz w:val="24"/>
                <w:szCs w:val="32"/>
              </w:rPr>
              <w:t>物</w:t>
            </w:r>
          </w:p>
          <w:p>
            <w:pPr>
              <w:adjustRightInd w:val="0"/>
              <w:snapToGrid w:val="0"/>
              <w:spacing w:line="360" w:lineRule="auto"/>
              <w:rPr>
                <w:b/>
                <w:bCs/>
                <w:sz w:val="24"/>
                <w:szCs w:val="32"/>
              </w:rPr>
            </w:pPr>
            <w:r>
              <w:rPr>
                <w:b/>
                <w:bCs/>
                <w:sz w:val="24"/>
                <w:szCs w:val="32"/>
              </w:rPr>
              <w:t xml:space="preserve">4.1施工固废 </w:t>
            </w:r>
          </w:p>
          <w:p>
            <w:pPr>
              <w:adjustRightInd w:val="0"/>
              <w:snapToGrid w:val="0"/>
              <w:spacing w:line="360" w:lineRule="auto"/>
              <w:ind w:firstLine="480" w:firstLineChars="200"/>
              <w:rPr>
                <w:sz w:val="24"/>
              </w:rPr>
            </w:pPr>
            <w:r>
              <w:rPr>
                <w:sz w:val="24"/>
              </w:rPr>
              <w:t>施工期产生的建筑垃圾主要包括开挖产生的土石方、混凝土废料等</w:t>
            </w:r>
            <w:r>
              <w:rPr>
                <w:rFonts w:hint="eastAsia"/>
                <w:sz w:val="24"/>
              </w:rPr>
              <w:t>，</w:t>
            </w:r>
            <w:r>
              <w:rPr>
                <w:sz w:val="24"/>
              </w:rPr>
              <w:t>项目土石方就地平衡；施工期的建筑垃圾应及时运至当地环卫部门指定的建筑垃圾场统一处理。</w:t>
            </w:r>
          </w:p>
          <w:p>
            <w:pPr>
              <w:pStyle w:val="6"/>
            </w:pPr>
            <w:r>
              <w:t>4.2生活垃圾</w:t>
            </w:r>
          </w:p>
          <w:p>
            <w:pPr>
              <w:spacing w:line="360" w:lineRule="auto"/>
              <w:ind w:firstLine="480" w:firstLineChars="200"/>
              <w:rPr>
                <w:rFonts w:hint="eastAsia" w:eastAsia="宋体"/>
                <w:sz w:val="24"/>
                <w:lang w:eastAsia="zh-CN"/>
              </w:rPr>
            </w:pPr>
            <w:r>
              <w:rPr>
                <w:sz w:val="24"/>
              </w:rPr>
              <w:t>施工期产生的生活垃圾处理</w:t>
            </w:r>
            <w:r>
              <w:rPr>
                <w:rFonts w:hint="eastAsia"/>
                <w:sz w:val="24"/>
              </w:rPr>
              <w:t>依托加气站现有垃圾</w:t>
            </w:r>
            <w:r>
              <w:rPr>
                <w:sz w:val="24"/>
              </w:rPr>
              <w:t>收集箱，集中收集后交由环卫部门</w:t>
            </w:r>
            <w:r>
              <w:rPr>
                <w:rFonts w:hint="eastAsia"/>
                <w:sz w:val="24"/>
              </w:rPr>
              <w:t>清运</w:t>
            </w:r>
            <w:r>
              <w:rPr>
                <w:rFonts w:hint="eastAsia"/>
                <w:sz w:val="24"/>
                <w:lang w:eastAsia="zh-CN"/>
              </w:rPr>
              <w:t>。</w:t>
            </w:r>
          </w:p>
          <w:p>
            <w:pPr>
              <w:spacing w:line="360" w:lineRule="auto"/>
              <w:ind w:firstLine="480" w:firstLineChars="200"/>
              <w:rPr>
                <w:rFonts w:hint="eastAsia"/>
                <w:sz w:val="24"/>
              </w:rPr>
            </w:pPr>
          </w:p>
          <w:p>
            <w:pPr>
              <w:spacing w:line="360" w:lineRule="auto"/>
              <w:ind w:firstLine="480" w:firstLineChars="200"/>
              <w:rPr>
                <w:sz w:val="24"/>
              </w:rPr>
            </w:pPr>
          </w:p>
          <w:p>
            <w:pPr>
              <w:pStyle w:val="22"/>
              <w:tabs>
                <w:tab w:val="left" w:pos="1845"/>
              </w:tabs>
              <w:spacing w:line="360" w:lineRule="auto"/>
              <w:rPr>
                <w:rFonts w:ascii="Times New Roman" w:cs="Times New Roman"/>
                <w:highlight w:val="yellow"/>
              </w:rPr>
            </w:pPr>
          </w:p>
          <w:p>
            <w:pPr>
              <w:pStyle w:val="22"/>
              <w:tabs>
                <w:tab w:val="left" w:pos="1845"/>
              </w:tabs>
              <w:rPr>
                <w:rFonts w:ascii="Times New Roman" w:cs="Times New Roman"/>
                <w:highlight w:val="yellow"/>
              </w:rPr>
            </w:pPr>
          </w:p>
          <w:p>
            <w:pPr>
              <w:rPr>
                <w:sz w:val="24"/>
                <w:highlight w:val="yellow"/>
              </w:rPr>
            </w:pPr>
          </w:p>
          <w:p>
            <w:pPr>
              <w:pStyle w:val="6"/>
              <w:rPr>
                <w:highlight w:val="yellow"/>
              </w:rPr>
            </w:pPr>
          </w:p>
          <w:p>
            <w:pPr>
              <w:rPr>
                <w:sz w:val="24"/>
                <w:highlight w:val="yellow"/>
              </w:rPr>
            </w:pPr>
          </w:p>
          <w:p>
            <w:pPr>
              <w:adjustRightInd w:val="0"/>
              <w:snapToGrid w:val="0"/>
              <w:rPr>
                <w:bCs/>
                <w:spacing w:val="-10"/>
                <w:sz w:val="24"/>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62" w:hRule="atLeast"/>
          <w:jc w:val="center"/>
        </w:trPr>
        <w:tc>
          <w:tcPr>
            <w:tcW w:w="765" w:type="dxa"/>
            <w:tcMar>
              <w:left w:w="28" w:type="dxa"/>
              <w:right w:w="28" w:type="dxa"/>
            </w:tcMar>
            <w:vAlign w:val="center"/>
          </w:tcPr>
          <w:p>
            <w:pPr>
              <w:adjustRightInd w:val="0"/>
              <w:snapToGrid w:val="0"/>
              <w:jc w:val="center"/>
              <w:rPr>
                <w:bCs/>
                <w:szCs w:val="21"/>
              </w:rPr>
            </w:pPr>
            <w:r>
              <w:rPr>
                <w:bCs/>
                <w:szCs w:val="21"/>
              </w:rPr>
              <w:t>运营</w:t>
            </w:r>
          </w:p>
          <w:p>
            <w:pPr>
              <w:adjustRightInd w:val="0"/>
              <w:snapToGrid w:val="0"/>
              <w:jc w:val="center"/>
              <w:rPr>
                <w:bCs/>
                <w:szCs w:val="21"/>
              </w:rPr>
            </w:pPr>
            <w:r>
              <w:rPr>
                <w:bCs/>
                <w:szCs w:val="21"/>
              </w:rPr>
              <w:t>期环</w:t>
            </w:r>
          </w:p>
          <w:p>
            <w:pPr>
              <w:adjustRightInd w:val="0"/>
              <w:snapToGrid w:val="0"/>
              <w:jc w:val="center"/>
              <w:rPr>
                <w:bCs/>
                <w:szCs w:val="21"/>
              </w:rPr>
            </w:pPr>
            <w:r>
              <w:rPr>
                <w:bCs/>
                <w:szCs w:val="21"/>
              </w:rPr>
              <w:t>境影</w:t>
            </w:r>
          </w:p>
          <w:p>
            <w:pPr>
              <w:adjustRightInd w:val="0"/>
              <w:snapToGrid w:val="0"/>
              <w:jc w:val="center"/>
              <w:rPr>
                <w:bCs/>
                <w:szCs w:val="21"/>
              </w:rPr>
            </w:pPr>
            <w:r>
              <w:rPr>
                <w:bCs/>
                <w:szCs w:val="21"/>
              </w:rPr>
              <w:t>响和</w:t>
            </w:r>
          </w:p>
          <w:p>
            <w:pPr>
              <w:adjustRightInd w:val="0"/>
              <w:snapToGrid w:val="0"/>
              <w:jc w:val="center"/>
              <w:rPr>
                <w:bCs/>
                <w:szCs w:val="21"/>
              </w:rPr>
            </w:pPr>
            <w:r>
              <w:rPr>
                <w:bCs/>
                <w:szCs w:val="21"/>
              </w:rPr>
              <w:t>保护</w:t>
            </w:r>
          </w:p>
          <w:p>
            <w:pPr>
              <w:adjustRightInd w:val="0"/>
              <w:snapToGrid w:val="0"/>
              <w:jc w:val="center"/>
              <w:rPr>
                <w:bCs/>
                <w:szCs w:val="21"/>
              </w:rPr>
            </w:pPr>
            <w:r>
              <w:rPr>
                <w:bCs/>
                <w:szCs w:val="21"/>
              </w:rPr>
              <w:t>措施</w:t>
            </w:r>
          </w:p>
        </w:tc>
        <w:tc>
          <w:tcPr>
            <w:tcW w:w="8283" w:type="dxa"/>
          </w:tcPr>
          <w:p>
            <w:pPr>
              <w:spacing w:line="360" w:lineRule="auto"/>
              <w:rPr>
                <w:b/>
                <w:sz w:val="24"/>
              </w:rPr>
            </w:pPr>
            <w:r>
              <w:rPr>
                <w:rFonts w:hint="eastAsia"/>
                <w:b/>
                <w:sz w:val="24"/>
              </w:rPr>
              <w:t>1</w:t>
            </w:r>
            <w:r>
              <w:rPr>
                <w:b/>
                <w:sz w:val="24"/>
              </w:rPr>
              <w:t>.水环境影响分析</w:t>
            </w:r>
            <w:r>
              <w:rPr>
                <w:rStyle w:val="26"/>
              </w:rPr>
              <w:t>及防治措施</w:t>
            </w:r>
          </w:p>
          <w:p>
            <w:pPr>
              <w:pStyle w:val="6"/>
            </w:pPr>
            <w:r>
              <w:rPr>
                <w:rFonts w:hint="eastAsia"/>
              </w:rPr>
              <w:t>1</w:t>
            </w:r>
            <w:r>
              <w:t>.1废水产生、处置及排放情况</w:t>
            </w:r>
          </w:p>
          <w:p>
            <w:pPr>
              <w:spacing w:line="360" w:lineRule="auto"/>
              <w:ind w:firstLine="480" w:firstLineChars="200"/>
              <w:rPr>
                <w:bCs/>
                <w:spacing w:val="-10"/>
                <w:sz w:val="24"/>
              </w:rPr>
            </w:pPr>
            <w:r>
              <w:rPr>
                <w:sz w:val="24"/>
              </w:rPr>
              <w:t>通过给排水分析，本项目医疗废水排放总量为</w:t>
            </w:r>
            <w:r>
              <w:rPr>
                <w:rFonts w:hint="eastAsia"/>
                <w:color w:val="000000"/>
                <w:sz w:val="24"/>
              </w:rPr>
              <w:t>68.41</w:t>
            </w:r>
            <w:r>
              <w:rPr>
                <w:color w:val="000000"/>
                <w:sz w:val="24"/>
                <w:lang w:val="zh-CN"/>
              </w:rPr>
              <w:t>m</w:t>
            </w:r>
            <w:r>
              <w:rPr>
                <w:color w:val="000000"/>
                <w:sz w:val="24"/>
                <w:vertAlign w:val="superscript"/>
                <w:lang w:val="zh-CN"/>
              </w:rPr>
              <w:t>3</w:t>
            </w:r>
            <w:r>
              <w:rPr>
                <w:color w:val="000000"/>
                <w:sz w:val="24"/>
                <w:lang w:val="zh-CN"/>
              </w:rPr>
              <w:t>/d</w:t>
            </w:r>
            <w:r>
              <w:rPr>
                <w:color w:val="000000"/>
                <w:sz w:val="24"/>
              </w:rPr>
              <w:t>（</w:t>
            </w:r>
            <w:r>
              <w:rPr>
                <w:rFonts w:hint="eastAsia"/>
                <w:color w:val="000000"/>
                <w:sz w:val="24"/>
              </w:rPr>
              <w:t>24627.6</w:t>
            </w:r>
            <w:r>
              <w:rPr>
                <w:color w:val="000000"/>
                <w:sz w:val="24"/>
                <w:lang w:val="zh-CN"/>
              </w:rPr>
              <w:t>m</w:t>
            </w:r>
            <w:r>
              <w:rPr>
                <w:color w:val="000000"/>
                <w:sz w:val="24"/>
                <w:vertAlign w:val="superscript"/>
                <w:lang w:val="zh-CN"/>
              </w:rPr>
              <w:t>3</w:t>
            </w:r>
            <w:r>
              <w:rPr>
                <w:color w:val="000000"/>
                <w:sz w:val="24"/>
                <w:lang w:val="zh-CN"/>
              </w:rPr>
              <w:t>/</w:t>
            </w:r>
            <w:r>
              <w:rPr>
                <w:color w:val="000000"/>
                <w:sz w:val="24"/>
              </w:rPr>
              <w:t>a）</w:t>
            </w:r>
            <w:r>
              <w:rPr>
                <w:sz w:val="24"/>
              </w:rPr>
              <w:t>，</w:t>
            </w:r>
            <w:r>
              <w:rPr>
                <w:rFonts w:hint="eastAsia"/>
                <w:sz w:val="24"/>
              </w:rPr>
              <w:t>根据项目设计资料和同类</w:t>
            </w:r>
            <w:r>
              <w:rPr>
                <w:sz w:val="24"/>
              </w:rPr>
              <w:t>医疗</w:t>
            </w:r>
            <w:r>
              <w:rPr>
                <w:rFonts w:hint="eastAsia"/>
                <w:sz w:val="24"/>
              </w:rPr>
              <w:t>出水水质资料类比，</w:t>
            </w:r>
            <w:r>
              <w:rPr>
                <w:bCs/>
                <w:spacing w:val="-10"/>
                <w:sz w:val="24"/>
              </w:rPr>
              <w:t>外排废水中主要污染因子及其产生浓度为COD</w:t>
            </w:r>
            <w:r>
              <w:rPr>
                <w:rFonts w:hint="eastAsia"/>
                <w:bCs/>
                <w:spacing w:val="-10"/>
                <w:sz w:val="24"/>
              </w:rPr>
              <w:t xml:space="preserve">cr 300 </w:t>
            </w:r>
            <w:r>
              <w:rPr>
                <w:bCs/>
                <w:spacing w:val="-10"/>
                <w:sz w:val="24"/>
              </w:rPr>
              <w:t>mg/L、BOD</w:t>
            </w:r>
            <w:r>
              <w:rPr>
                <w:rFonts w:hint="eastAsia"/>
                <w:bCs/>
                <w:spacing w:val="-10"/>
                <w:sz w:val="24"/>
                <w:vertAlign w:val="subscript"/>
              </w:rPr>
              <w:t>5</w:t>
            </w:r>
            <w:r>
              <w:rPr>
                <w:rFonts w:hint="eastAsia"/>
                <w:bCs/>
                <w:spacing w:val="-10"/>
                <w:sz w:val="24"/>
              </w:rPr>
              <w:t xml:space="preserve"> 80 </w:t>
            </w:r>
            <w:r>
              <w:rPr>
                <w:bCs/>
                <w:spacing w:val="-10"/>
                <w:sz w:val="24"/>
              </w:rPr>
              <w:t>mg/L、SS</w:t>
            </w:r>
            <w:r>
              <w:rPr>
                <w:rFonts w:hint="eastAsia"/>
                <w:bCs/>
                <w:spacing w:val="-10"/>
                <w:sz w:val="24"/>
              </w:rPr>
              <w:t xml:space="preserve"> 100 </w:t>
            </w:r>
            <w:r>
              <w:rPr>
                <w:bCs/>
                <w:spacing w:val="-10"/>
                <w:sz w:val="24"/>
              </w:rPr>
              <w:t>mg/L、氨氮</w:t>
            </w:r>
            <w:r>
              <w:rPr>
                <w:rFonts w:hint="eastAsia"/>
                <w:bCs/>
                <w:spacing w:val="-10"/>
                <w:sz w:val="24"/>
              </w:rPr>
              <w:t xml:space="preserve"> 60 </w:t>
            </w:r>
            <w:r>
              <w:rPr>
                <w:bCs/>
                <w:spacing w:val="-10"/>
                <w:sz w:val="24"/>
              </w:rPr>
              <w:t>mg/L</w:t>
            </w:r>
            <w:r>
              <w:rPr>
                <w:rFonts w:hint="eastAsia"/>
                <w:bCs/>
                <w:spacing w:val="-10"/>
                <w:sz w:val="24"/>
              </w:rPr>
              <w:t>、</w:t>
            </w:r>
            <w:r>
              <w:rPr>
                <w:rFonts w:hint="eastAsia"/>
                <w:sz w:val="24"/>
              </w:rPr>
              <w:t>粪大肠菌群数</w:t>
            </w:r>
            <w:r>
              <w:rPr>
                <w:rFonts w:hint="eastAsia"/>
                <w:bCs/>
                <w:spacing w:val="-10"/>
                <w:sz w:val="24"/>
              </w:rPr>
              <w:t xml:space="preserve">/（MPN/L）3×10 </w:t>
            </w:r>
            <w:r>
              <w:rPr>
                <w:rFonts w:hint="eastAsia"/>
                <w:bCs/>
                <w:spacing w:val="-10"/>
                <w:sz w:val="24"/>
                <w:vertAlign w:val="superscript"/>
              </w:rPr>
              <w:t>6</w:t>
            </w:r>
            <w:r>
              <w:rPr>
                <w:rFonts w:hint="eastAsia"/>
                <w:bCs/>
                <w:spacing w:val="-10"/>
                <w:sz w:val="24"/>
              </w:rPr>
              <w:t>，</w:t>
            </w:r>
            <w:r>
              <w:rPr>
                <w:sz w:val="24"/>
              </w:rPr>
              <w:t>经过医院原有二级生化处理（生物接触氧化）+消毒处理（</w:t>
            </w:r>
            <w:r>
              <w:rPr>
                <w:rFonts w:hint="eastAsia"/>
                <w:sz w:val="24"/>
              </w:rPr>
              <w:t>次氯酸钠</w:t>
            </w:r>
            <w:r>
              <w:rPr>
                <w:sz w:val="24"/>
              </w:rPr>
              <w:t>）处理</w:t>
            </w:r>
            <w:r>
              <w:rPr>
                <w:rFonts w:hint="eastAsia"/>
                <w:bCs/>
                <w:spacing w:val="-10"/>
                <w:sz w:val="24"/>
              </w:rPr>
              <w:t>，</w:t>
            </w:r>
            <w:r>
              <w:rPr>
                <w:sz w:val="24"/>
              </w:rPr>
              <w:t>工艺处理达标后排入市政污水管网，进入</w:t>
            </w:r>
            <w:r>
              <w:rPr>
                <w:rFonts w:hint="eastAsia"/>
                <w:sz w:val="24"/>
              </w:rPr>
              <w:t>昌吉市第二</w:t>
            </w:r>
            <w:r>
              <w:rPr>
                <w:sz w:val="24"/>
              </w:rPr>
              <w:t>污水处理厂处理。</w:t>
            </w:r>
            <w:r>
              <w:rPr>
                <w:rFonts w:hint="eastAsia"/>
                <w:sz w:val="24"/>
              </w:rPr>
              <w:t>其中，粪大肠菌群数</w:t>
            </w:r>
            <w:r>
              <w:rPr>
                <w:rFonts w:hint="eastAsia"/>
                <w:bCs/>
                <w:spacing w:val="-10"/>
                <w:sz w:val="24"/>
              </w:rPr>
              <w:t>总处理效率为99.99%</w:t>
            </w:r>
            <w:r>
              <w:rPr>
                <w:bCs/>
                <w:spacing w:val="-10"/>
                <w:sz w:val="24"/>
              </w:rPr>
              <w:t>。</w:t>
            </w:r>
          </w:p>
          <w:p>
            <w:pPr>
              <w:pStyle w:val="6"/>
              <w:ind w:firstLine="440" w:firstLineChars="200"/>
              <w:rPr>
                <w:b w:val="0"/>
                <w:spacing w:val="-10"/>
                <w:szCs w:val="24"/>
              </w:rPr>
            </w:pPr>
            <w:r>
              <w:rPr>
                <w:b w:val="0"/>
                <w:spacing w:val="-10"/>
                <w:szCs w:val="24"/>
              </w:rPr>
              <w:t>本项目</w:t>
            </w:r>
            <w:r>
              <w:rPr>
                <w:rFonts w:hint="eastAsia"/>
                <w:b w:val="0"/>
                <w:spacing w:val="-10"/>
                <w:szCs w:val="24"/>
              </w:rPr>
              <w:t>用水</w:t>
            </w:r>
            <w:r>
              <w:rPr>
                <w:b w:val="0"/>
                <w:spacing w:val="-10"/>
                <w:szCs w:val="24"/>
              </w:rPr>
              <w:t>情况及排水情况见表</w:t>
            </w:r>
            <w:r>
              <w:rPr>
                <w:rFonts w:hint="eastAsia"/>
                <w:b w:val="0"/>
                <w:spacing w:val="-10"/>
                <w:szCs w:val="24"/>
              </w:rPr>
              <w:t>4-1</w:t>
            </w:r>
            <w:r>
              <w:rPr>
                <w:b w:val="0"/>
                <w:spacing w:val="-10"/>
                <w:szCs w:val="24"/>
              </w:rPr>
              <w:t>。</w:t>
            </w:r>
          </w:p>
          <w:p>
            <w:pPr>
              <w:pStyle w:val="21"/>
              <w:ind w:firstLine="442"/>
              <w:rPr>
                <w:rFonts w:hint="default"/>
              </w:rPr>
            </w:pPr>
            <w:r>
              <w:rPr>
                <w:sz w:val="22"/>
                <w:szCs w:val="22"/>
              </w:rPr>
              <w:t>表4-1  本项目康复楼医疗废水主要污染物产排情况表</w:t>
            </w:r>
            <w:r>
              <w:t xml:space="preserve">        </w:t>
            </w:r>
          </w:p>
          <w:tbl>
            <w:tblPr>
              <w:tblStyle w:val="18"/>
              <w:tblW w:w="821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94"/>
              <w:gridCol w:w="881"/>
              <w:gridCol w:w="1052"/>
              <w:gridCol w:w="1617"/>
              <w:gridCol w:w="986"/>
              <w:gridCol w:w="868"/>
              <w:gridCol w:w="11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trPr>
              <w:tc>
                <w:tcPr>
                  <w:tcW w:w="430" w:type="pct"/>
                  <w:vMerge w:val="restart"/>
                  <w:tcBorders>
                    <w:bottom w:val="single" w:color="auto" w:sz="4" w:space="0"/>
                  </w:tcBorders>
                  <w:vAlign w:val="center"/>
                </w:tcPr>
                <w:p>
                  <w:pPr>
                    <w:pStyle w:val="28"/>
                    <w:spacing w:before="31" w:after="31"/>
                    <w:rPr>
                      <w:b/>
                      <w:bCs/>
                      <w:szCs w:val="21"/>
                    </w:rPr>
                  </w:pPr>
                  <w:r>
                    <w:rPr>
                      <w:b/>
                      <w:bCs/>
                      <w:szCs w:val="21"/>
                    </w:rPr>
                    <w:t>废水类别</w:t>
                  </w:r>
                </w:p>
              </w:tc>
              <w:tc>
                <w:tcPr>
                  <w:tcW w:w="604" w:type="pct"/>
                  <w:vMerge w:val="restart"/>
                  <w:tcBorders>
                    <w:bottom w:val="single" w:color="auto" w:sz="4" w:space="0"/>
                  </w:tcBorders>
                  <w:vAlign w:val="center"/>
                </w:tcPr>
                <w:p>
                  <w:pPr>
                    <w:pStyle w:val="28"/>
                    <w:spacing w:before="31" w:after="31"/>
                    <w:rPr>
                      <w:b/>
                      <w:bCs/>
                      <w:szCs w:val="21"/>
                    </w:rPr>
                  </w:pPr>
                  <w:r>
                    <w:rPr>
                      <w:b/>
                      <w:bCs/>
                      <w:szCs w:val="21"/>
                    </w:rPr>
                    <w:t>污染物</w:t>
                  </w:r>
                </w:p>
              </w:tc>
              <w:tc>
                <w:tcPr>
                  <w:tcW w:w="1176" w:type="pct"/>
                  <w:gridSpan w:val="2"/>
                  <w:tcBorders>
                    <w:bottom w:val="single" w:color="auto" w:sz="4" w:space="0"/>
                  </w:tcBorders>
                  <w:vAlign w:val="center"/>
                </w:tcPr>
                <w:p>
                  <w:pPr>
                    <w:pStyle w:val="28"/>
                    <w:spacing w:before="31" w:after="31"/>
                    <w:rPr>
                      <w:b/>
                      <w:bCs/>
                      <w:szCs w:val="21"/>
                    </w:rPr>
                  </w:pPr>
                  <w:r>
                    <w:rPr>
                      <w:b/>
                      <w:bCs/>
                      <w:szCs w:val="21"/>
                    </w:rPr>
                    <w:t>产生情况</w:t>
                  </w:r>
                </w:p>
              </w:tc>
              <w:tc>
                <w:tcPr>
                  <w:tcW w:w="983" w:type="pct"/>
                  <w:vMerge w:val="restart"/>
                  <w:tcBorders>
                    <w:bottom w:val="single" w:color="auto" w:sz="4" w:space="0"/>
                  </w:tcBorders>
                  <w:vAlign w:val="center"/>
                </w:tcPr>
                <w:p>
                  <w:pPr>
                    <w:pStyle w:val="28"/>
                    <w:spacing w:before="31" w:after="31"/>
                    <w:rPr>
                      <w:b/>
                      <w:bCs/>
                      <w:szCs w:val="21"/>
                    </w:rPr>
                  </w:pPr>
                  <w:r>
                    <w:rPr>
                      <w:b/>
                      <w:bCs/>
                      <w:szCs w:val="21"/>
                    </w:rPr>
                    <w:t>治理措施</w:t>
                  </w:r>
                </w:p>
              </w:tc>
              <w:tc>
                <w:tcPr>
                  <w:tcW w:w="1128" w:type="pct"/>
                  <w:gridSpan w:val="2"/>
                  <w:tcBorders>
                    <w:bottom w:val="single" w:color="auto" w:sz="4" w:space="0"/>
                  </w:tcBorders>
                  <w:vAlign w:val="center"/>
                </w:tcPr>
                <w:p>
                  <w:pPr>
                    <w:pStyle w:val="28"/>
                    <w:spacing w:before="31" w:after="31"/>
                    <w:rPr>
                      <w:b/>
                      <w:bCs/>
                      <w:szCs w:val="21"/>
                    </w:rPr>
                  </w:pPr>
                  <w:r>
                    <w:rPr>
                      <w:b/>
                      <w:bCs/>
                      <w:szCs w:val="21"/>
                    </w:rPr>
                    <w:t>排放情况</w:t>
                  </w:r>
                </w:p>
              </w:tc>
              <w:tc>
                <w:tcPr>
                  <w:tcW w:w="676" w:type="pct"/>
                  <w:vMerge w:val="restart"/>
                  <w:tcBorders>
                    <w:bottom w:val="single" w:color="auto" w:sz="12" w:space="0"/>
                  </w:tcBorders>
                  <w:vAlign w:val="center"/>
                </w:tcPr>
                <w:p>
                  <w:pPr>
                    <w:pStyle w:val="28"/>
                    <w:spacing w:before="31" w:after="31"/>
                    <w:rPr>
                      <w:szCs w:val="21"/>
                    </w:rPr>
                  </w:pPr>
                  <w:r>
                    <w:rPr>
                      <w:b/>
                      <w:bCs/>
                      <w:szCs w:val="21"/>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0" w:type="pct"/>
                  <w:vMerge w:val="continue"/>
                  <w:tcBorders>
                    <w:top w:val="single" w:color="auto" w:sz="4" w:space="0"/>
                    <w:bottom w:val="single" w:color="auto" w:sz="12" w:space="0"/>
                  </w:tcBorders>
                  <w:vAlign w:val="center"/>
                </w:tcPr>
                <w:p>
                  <w:pPr>
                    <w:pStyle w:val="28"/>
                    <w:spacing w:before="31" w:after="31"/>
                    <w:rPr>
                      <w:b/>
                      <w:bCs/>
                      <w:szCs w:val="21"/>
                    </w:rPr>
                  </w:pPr>
                </w:p>
              </w:tc>
              <w:tc>
                <w:tcPr>
                  <w:tcW w:w="604" w:type="pct"/>
                  <w:vMerge w:val="continue"/>
                  <w:tcBorders>
                    <w:top w:val="single" w:color="auto" w:sz="4" w:space="0"/>
                    <w:bottom w:val="single" w:color="auto" w:sz="12" w:space="0"/>
                  </w:tcBorders>
                  <w:vAlign w:val="center"/>
                </w:tcPr>
                <w:p>
                  <w:pPr>
                    <w:pStyle w:val="28"/>
                    <w:spacing w:before="31" w:after="31"/>
                    <w:rPr>
                      <w:b/>
                      <w:bCs/>
                      <w:szCs w:val="21"/>
                    </w:rPr>
                  </w:pPr>
                </w:p>
              </w:tc>
              <w:tc>
                <w:tcPr>
                  <w:tcW w:w="536" w:type="pct"/>
                  <w:tcBorders>
                    <w:top w:val="single" w:color="auto" w:sz="4" w:space="0"/>
                    <w:bottom w:val="single" w:color="auto" w:sz="12" w:space="0"/>
                  </w:tcBorders>
                  <w:vAlign w:val="center"/>
                </w:tcPr>
                <w:p>
                  <w:pPr>
                    <w:pStyle w:val="28"/>
                    <w:spacing w:before="31" w:after="31"/>
                    <w:rPr>
                      <w:b/>
                      <w:bCs/>
                      <w:szCs w:val="21"/>
                    </w:rPr>
                  </w:pPr>
                  <w:r>
                    <w:rPr>
                      <w:b/>
                      <w:bCs/>
                      <w:szCs w:val="21"/>
                    </w:rPr>
                    <w:t>产生量</w:t>
                  </w:r>
                </w:p>
              </w:tc>
              <w:tc>
                <w:tcPr>
                  <w:tcW w:w="640" w:type="pct"/>
                  <w:tcBorders>
                    <w:top w:val="single" w:color="auto" w:sz="4" w:space="0"/>
                    <w:bottom w:val="single" w:color="auto" w:sz="12" w:space="0"/>
                  </w:tcBorders>
                  <w:vAlign w:val="center"/>
                </w:tcPr>
                <w:p>
                  <w:pPr>
                    <w:pStyle w:val="28"/>
                    <w:spacing w:before="31" w:after="31"/>
                    <w:rPr>
                      <w:b/>
                      <w:bCs/>
                      <w:szCs w:val="21"/>
                    </w:rPr>
                  </w:pPr>
                  <w:r>
                    <w:rPr>
                      <w:b/>
                      <w:bCs/>
                      <w:szCs w:val="21"/>
                    </w:rPr>
                    <w:t>浓度</w:t>
                  </w:r>
                </w:p>
              </w:tc>
              <w:tc>
                <w:tcPr>
                  <w:tcW w:w="983" w:type="pct"/>
                  <w:vMerge w:val="continue"/>
                  <w:tcBorders>
                    <w:top w:val="single" w:color="auto" w:sz="4" w:space="0"/>
                    <w:bottom w:val="single" w:color="auto" w:sz="12" w:space="0"/>
                  </w:tcBorders>
                  <w:vAlign w:val="center"/>
                </w:tcPr>
                <w:p>
                  <w:pPr>
                    <w:pStyle w:val="28"/>
                    <w:spacing w:before="31" w:after="31"/>
                    <w:rPr>
                      <w:b/>
                      <w:bCs/>
                      <w:szCs w:val="21"/>
                    </w:rPr>
                  </w:pPr>
                </w:p>
              </w:tc>
              <w:tc>
                <w:tcPr>
                  <w:tcW w:w="600" w:type="pct"/>
                  <w:tcBorders>
                    <w:top w:val="single" w:color="auto" w:sz="4" w:space="0"/>
                    <w:bottom w:val="single" w:color="auto" w:sz="12" w:space="0"/>
                  </w:tcBorders>
                  <w:vAlign w:val="center"/>
                </w:tcPr>
                <w:p>
                  <w:pPr>
                    <w:pStyle w:val="28"/>
                    <w:spacing w:before="31" w:after="31"/>
                    <w:rPr>
                      <w:b/>
                      <w:bCs/>
                      <w:szCs w:val="21"/>
                    </w:rPr>
                  </w:pPr>
                  <w:r>
                    <w:rPr>
                      <w:b/>
                      <w:bCs/>
                      <w:szCs w:val="21"/>
                    </w:rPr>
                    <w:t>排放量</w:t>
                  </w:r>
                </w:p>
              </w:tc>
              <w:tc>
                <w:tcPr>
                  <w:tcW w:w="528" w:type="pct"/>
                  <w:tcBorders>
                    <w:top w:val="single" w:color="auto" w:sz="4" w:space="0"/>
                    <w:bottom w:val="single" w:color="auto" w:sz="12" w:space="0"/>
                  </w:tcBorders>
                  <w:vAlign w:val="center"/>
                </w:tcPr>
                <w:p>
                  <w:pPr>
                    <w:pStyle w:val="28"/>
                    <w:spacing w:before="31" w:after="31"/>
                    <w:rPr>
                      <w:b/>
                      <w:bCs/>
                      <w:szCs w:val="21"/>
                    </w:rPr>
                  </w:pPr>
                  <w:r>
                    <w:rPr>
                      <w:b/>
                      <w:bCs/>
                      <w:szCs w:val="21"/>
                    </w:rPr>
                    <w:t>浓度</w:t>
                  </w:r>
                </w:p>
              </w:tc>
              <w:tc>
                <w:tcPr>
                  <w:tcW w:w="676" w:type="pct"/>
                  <w:vMerge w:val="continue"/>
                  <w:tcBorders>
                    <w:top w:val="single" w:color="auto" w:sz="12" w:space="0"/>
                    <w:bottom w:val="single" w:color="auto" w:sz="12" w:space="0"/>
                  </w:tcBorders>
                  <w:vAlign w:val="center"/>
                </w:tcPr>
                <w:p>
                  <w:pPr>
                    <w:pStyle w:val="28"/>
                    <w:spacing w:before="31" w:after="31"/>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0" w:type="pct"/>
                  <w:vMerge w:val="restart"/>
                  <w:tcBorders>
                    <w:top w:val="single" w:color="auto" w:sz="12" w:space="0"/>
                  </w:tcBorders>
                  <w:vAlign w:val="center"/>
                </w:tcPr>
                <w:p>
                  <w:pPr>
                    <w:pStyle w:val="28"/>
                    <w:spacing w:before="31" w:after="31"/>
                    <w:rPr>
                      <w:szCs w:val="21"/>
                      <w:highlight w:val="yellow"/>
                    </w:rPr>
                  </w:pPr>
                  <w:r>
                    <w:rPr>
                      <w:rFonts w:hint="eastAsia"/>
                      <w:szCs w:val="21"/>
                    </w:rPr>
                    <w:t>医疗</w:t>
                  </w:r>
                  <w:r>
                    <w:rPr>
                      <w:szCs w:val="21"/>
                    </w:rPr>
                    <w:t>废水（</w:t>
                  </w:r>
                  <w:r>
                    <w:rPr>
                      <w:rFonts w:hint="eastAsia"/>
                      <w:szCs w:val="21"/>
                    </w:rPr>
                    <w:t>24627.6</w:t>
                  </w:r>
                  <w:r>
                    <w:rPr>
                      <w:rFonts w:hint="eastAsia"/>
                      <w:bCs/>
                      <w:spacing w:val="-10"/>
                      <w:szCs w:val="21"/>
                    </w:rPr>
                    <w:t xml:space="preserve"> t/a</w:t>
                  </w:r>
                  <w:r>
                    <w:rPr>
                      <w:szCs w:val="21"/>
                    </w:rPr>
                    <w:t>）</w:t>
                  </w:r>
                </w:p>
              </w:tc>
              <w:tc>
                <w:tcPr>
                  <w:tcW w:w="604" w:type="pct"/>
                  <w:tcBorders>
                    <w:top w:val="single" w:color="auto" w:sz="12" w:space="0"/>
                    <w:bottom w:val="single" w:color="auto" w:sz="4" w:space="0"/>
                  </w:tcBorders>
                  <w:vAlign w:val="center"/>
                </w:tcPr>
                <w:p>
                  <w:pPr>
                    <w:pStyle w:val="28"/>
                    <w:spacing w:before="31" w:after="31"/>
                    <w:rPr>
                      <w:szCs w:val="21"/>
                    </w:rPr>
                  </w:pPr>
                  <w:r>
                    <w:rPr>
                      <w:szCs w:val="21"/>
                    </w:rPr>
                    <w:t>COD</w:t>
                  </w:r>
                  <w:r>
                    <w:rPr>
                      <w:bCs/>
                      <w:spacing w:val="-10"/>
                      <w:szCs w:val="21"/>
                      <w:vertAlign w:val="subscript"/>
                    </w:rPr>
                    <w:t>Cr</w:t>
                  </w:r>
                </w:p>
              </w:tc>
              <w:tc>
                <w:tcPr>
                  <w:tcW w:w="536" w:type="pct"/>
                  <w:tcBorders>
                    <w:top w:val="single" w:color="auto" w:sz="12" w:space="0"/>
                    <w:bottom w:val="single" w:color="auto" w:sz="4" w:space="0"/>
                  </w:tcBorders>
                  <w:vAlign w:val="center"/>
                </w:tcPr>
                <w:p>
                  <w:pPr>
                    <w:pStyle w:val="28"/>
                    <w:spacing w:before="31" w:after="31"/>
                    <w:rPr>
                      <w:bCs/>
                      <w:spacing w:val="-10"/>
                      <w:szCs w:val="21"/>
                    </w:rPr>
                  </w:pPr>
                  <w:r>
                    <w:rPr>
                      <w:rFonts w:hint="eastAsia"/>
                      <w:bCs/>
                      <w:spacing w:val="-10"/>
                      <w:szCs w:val="21"/>
                    </w:rPr>
                    <w:t>7.39 t/a</w:t>
                  </w:r>
                </w:p>
              </w:tc>
              <w:tc>
                <w:tcPr>
                  <w:tcW w:w="640" w:type="pct"/>
                  <w:tcBorders>
                    <w:top w:val="single" w:color="auto" w:sz="12" w:space="0"/>
                    <w:bottom w:val="single" w:color="auto" w:sz="4" w:space="0"/>
                  </w:tcBorders>
                  <w:vAlign w:val="center"/>
                </w:tcPr>
                <w:p>
                  <w:pPr>
                    <w:pStyle w:val="28"/>
                    <w:spacing w:before="31" w:after="31"/>
                    <w:rPr>
                      <w:szCs w:val="21"/>
                    </w:rPr>
                  </w:pPr>
                  <w:r>
                    <w:rPr>
                      <w:rFonts w:hint="eastAsia"/>
                      <w:bCs/>
                      <w:spacing w:val="-10"/>
                      <w:szCs w:val="21"/>
                    </w:rPr>
                    <w:t xml:space="preserve">300 </w:t>
                  </w:r>
                  <w:r>
                    <w:rPr>
                      <w:szCs w:val="21"/>
                    </w:rPr>
                    <w:t>mg/L</w:t>
                  </w:r>
                </w:p>
              </w:tc>
              <w:tc>
                <w:tcPr>
                  <w:tcW w:w="983" w:type="pct"/>
                  <w:vMerge w:val="restart"/>
                  <w:tcBorders>
                    <w:top w:val="single" w:color="auto" w:sz="12" w:space="0"/>
                  </w:tcBorders>
                  <w:vAlign w:val="center"/>
                </w:tcPr>
                <w:p>
                  <w:pPr>
                    <w:pStyle w:val="28"/>
                    <w:spacing w:before="31" w:after="31"/>
                    <w:rPr>
                      <w:szCs w:val="21"/>
                      <w:highlight w:val="yellow"/>
                    </w:rPr>
                  </w:pPr>
                  <w:r>
                    <w:rPr>
                      <w:szCs w:val="21"/>
                    </w:rPr>
                    <w:t>经</w:t>
                  </w:r>
                  <w:r>
                    <w:rPr>
                      <w:rFonts w:hint="eastAsia"/>
                      <w:szCs w:val="21"/>
                    </w:rPr>
                    <w:t>专用管道收集后，排入污水处理设施</w:t>
                  </w:r>
                  <w:r>
                    <w:rPr>
                      <w:szCs w:val="21"/>
                    </w:rPr>
                    <w:t>进行二级生化处理（生物接触氧化）+消毒处理（次氯酸钠）工艺</w:t>
                  </w:r>
                  <w:r>
                    <w:rPr>
                      <w:rFonts w:hint="eastAsia"/>
                      <w:szCs w:val="21"/>
                    </w:rPr>
                    <w:t>处理</w:t>
                  </w:r>
                </w:p>
              </w:tc>
              <w:tc>
                <w:tcPr>
                  <w:tcW w:w="600" w:type="pct"/>
                  <w:tcBorders>
                    <w:top w:val="single" w:color="auto" w:sz="12" w:space="0"/>
                    <w:bottom w:val="single" w:color="auto" w:sz="4" w:space="0"/>
                  </w:tcBorders>
                  <w:vAlign w:val="center"/>
                </w:tcPr>
                <w:p>
                  <w:pPr>
                    <w:pStyle w:val="28"/>
                    <w:spacing w:before="31" w:after="31"/>
                    <w:rPr>
                      <w:bCs/>
                      <w:color w:val="0000FF"/>
                      <w:spacing w:val="-10"/>
                      <w:szCs w:val="21"/>
                    </w:rPr>
                  </w:pPr>
                  <w:r>
                    <w:rPr>
                      <w:rFonts w:hint="eastAsia"/>
                      <w:bCs/>
                      <w:spacing w:val="-10"/>
                      <w:szCs w:val="21"/>
                    </w:rPr>
                    <w:t>1.11 t/a</w:t>
                  </w:r>
                </w:p>
              </w:tc>
              <w:tc>
                <w:tcPr>
                  <w:tcW w:w="528" w:type="pct"/>
                  <w:tcBorders>
                    <w:top w:val="single" w:color="auto" w:sz="12" w:space="0"/>
                    <w:bottom w:val="single" w:color="auto" w:sz="4" w:space="0"/>
                  </w:tcBorders>
                  <w:vAlign w:val="center"/>
                </w:tcPr>
                <w:p>
                  <w:pPr>
                    <w:pStyle w:val="28"/>
                    <w:spacing w:before="31" w:after="31"/>
                    <w:rPr>
                      <w:szCs w:val="21"/>
                    </w:rPr>
                  </w:pPr>
                  <w:r>
                    <w:rPr>
                      <w:rFonts w:hint="eastAsia"/>
                      <w:bCs/>
                      <w:spacing w:val="-10"/>
                      <w:szCs w:val="21"/>
                    </w:rPr>
                    <w:t>45</w:t>
                  </w:r>
                  <w:r>
                    <w:rPr>
                      <w:szCs w:val="21"/>
                    </w:rPr>
                    <w:t>mg/L</w:t>
                  </w:r>
                </w:p>
              </w:tc>
              <w:tc>
                <w:tcPr>
                  <w:tcW w:w="676" w:type="pct"/>
                  <w:tcBorders>
                    <w:top w:val="single" w:color="auto" w:sz="12" w:space="0"/>
                    <w:bottom w:val="single" w:color="auto" w:sz="4" w:space="0"/>
                  </w:tcBorders>
                  <w:vAlign w:val="center"/>
                </w:tcPr>
                <w:p>
                  <w:pPr>
                    <w:pStyle w:val="28"/>
                    <w:spacing w:before="31" w:after="31"/>
                    <w:rPr>
                      <w:szCs w:val="21"/>
                    </w:rPr>
                  </w:pPr>
                  <w:r>
                    <w:rPr>
                      <w:bCs/>
                      <w:spacing w:val="-10"/>
                      <w:szCs w:val="21"/>
                    </w:rPr>
                    <w:t>60</w:t>
                  </w:r>
                  <w:r>
                    <w:rPr>
                      <w:szCs w:val="21"/>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0" w:type="pct"/>
                  <w:vMerge w:val="continue"/>
                  <w:vAlign w:val="center"/>
                </w:tcPr>
                <w:p>
                  <w:pPr>
                    <w:pStyle w:val="28"/>
                    <w:spacing w:before="31" w:after="31"/>
                    <w:rPr>
                      <w:szCs w:val="21"/>
                      <w:highlight w:val="yellow"/>
                    </w:rPr>
                  </w:pPr>
                </w:p>
              </w:tc>
              <w:tc>
                <w:tcPr>
                  <w:tcW w:w="604" w:type="pct"/>
                  <w:tcBorders>
                    <w:top w:val="single" w:color="auto" w:sz="4" w:space="0"/>
                    <w:bottom w:val="single" w:color="auto" w:sz="4" w:space="0"/>
                  </w:tcBorders>
                  <w:vAlign w:val="center"/>
                </w:tcPr>
                <w:p>
                  <w:pPr>
                    <w:pStyle w:val="28"/>
                    <w:spacing w:before="31" w:after="31"/>
                    <w:rPr>
                      <w:szCs w:val="21"/>
                    </w:rPr>
                  </w:pPr>
                  <w:r>
                    <w:rPr>
                      <w:szCs w:val="21"/>
                    </w:rPr>
                    <w:t>BOD</w:t>
                  </w:r>
                  <w:r>
                    <w:rPr>
                      <w:szCs w:val="21"/>
                      <w:vertAlign w:val="subscript"/>
                    </w:rPr>
                    <w:t>5</w:t>
                  </w:r>
                </w:p>
              </w:tc>
              <w:tc>
                <w:tcPr>
                  <w:tcW w:w="536" w:type="pct"/>
                  <w:tcBorders>
                    <w:top w:val="single" w:color="auto" w:sz="4" w:space="0"/>
                    <w:bottom w:val="single" w:color="auto" w:sz="4" w:space="0"/>
                  </w:tcBorders>
                  <w:vAlign w:val="center"/>
                </w:tcPr>
                <w:p>
                  <w:pPr>
                    <w:pStyle w:val="28"/>
                    <w:spacing w:before="31" w:after="31"/>
                    <w:rPr>
                      <w:bCs/>
                      <w:spacing w:val="-10"/>
                      <w:szCs w:val="21"/>
                    </w:rPr>
                  </w:pPr>
                  <w:r>
                    <w:rPr>
                      <w:rFonts w:hint="eastAsia"/>
                      <w:bCs/>
                      <w:spacing w:val="-10"/>
                      <w:szCs w:val="21"/>
                    </w:rPr>
                    <w:t>1.97 t/a</w:t>
                  </w:r>
                </w:p>
              </w:tc>
              <w:tc>
                <w:tcPr>
                  <w:tcW w:w="640" w:type="pct"/>
                  <w:tcBorders>
                    <w:top w:val="single" w:color="auto" w:sz="4" w:space="0"/>
                    <w:bottom w:val="single" w:color="auto" w:sz="4" w:space="0"/>
                  </w:tcBorders>
                  <w:vAlign w:val="center"/>
                </w:tcPr>
                <w:p>
                  <w:pPr>
                    <w:pStyle w:val="28"/>
                    <w:spacing w:before="31" w:after="31"/>
                    <w:rPr>
                      <w:szCs w:val="21"/>
                    </w:rPr>
                  </w:pPr>
                  <w:r>
                    <w:rPr>
                      <w:rFonts w:hint="eastAsia"/>
                      <w:szCs w:val="21"/>
                    </w:rPr>
                    <w:t xml:space="preserve">80 </w:t>
                  </w:r>
                  <w:r>
                    <w:rPr>
                      <w:szCs w:val="21"/>
                    </w:rPr>
                    <w:t>mg/L</w:t>
                  </w:r>
                </w:p>
              </w:tc>
              <w:tc>
                <w:tcPr>
                  <w:tcW w:w="983" w:type="pct"/>
                  <w:vMerge w:val="continue"/>
                  <w:vAlign w:val="center"/>
                </w:tcPr>
                <w:p>
                  <w:pPr>
                    <w:pStyle w:val="28"/>
                    <w:spacing w:before="31" w:after="31"/>
                    <w:rPr>
                      <w:szCs w:val="21"/>
                      <w:highlight w:val="yellow"/>
                    </w:rPr>
                  </w:pPr>
                </w:p>
              </w:tc>
              <w:tc>
                <w:tcPr>
                  <w:tcW w:w="600" w:type="pct"/>
                  <w:tcBorders>
                    <w:top w:val="single" w:color="auto" w:sz="4" w:space="0"/>
                    <w:bottom w:val="single" w:color="auto" w:sz="4" w:space="0"/>
                  </w:tcBorders>
                  <w:vAlign w:val="center"/>
                </w:tcPr>
                <w:p>
                  <w:pPr>
                    <w:pStyle w:val="28"/>
                    <w:spacing w:before="31" w:after="31"/>
                    <w:rPr>
                      <w:bCs/>
                      <w:spacing w:val="-10"/>
                      <w:szCs w:val="21"/>
                    </w:rPr>
                  </w:pPr>
                  <w:r>
                    <w:rPr>
                      <w:rFonts w:hint="eastAsia"/>
                      <w:bCs/>
                      <w:spacing w:val="-10"/>
                      <w:szCs w:val="21"/>
                    </w:rPr>
                    <w:t>0.30 t/a</w:t>
                  </w:r>
                </w:p>
              </w:tc>
              <w:tc>
                <w:tcPr>
                  <w:tcW w:w="528" w:type="pct"/>
                  <w:tcBorders>
                    <w:top w:val="single" w:color="auto" w:sz="4" w:space="0"/>
                    <w:bottom w:val="single" w:color="auto" w:sz="4" w:space="0"/>
                  </w:tcBorders>
                  <w:vAlign w:val="center"/>
                </w:tcPr>
                <w:p>
                  <w:pPr>
                    <w:pStyle w:val="28"/>
                    <w:spacing w:before="31" w:after="31"/>
                    <w:rPr>
                      <w:szCs w:val="21"/>
                    </w:rPr>
                  </w:pPr>
                  <w:r>
                    <w:rPr>
                      <w:rFonts w:hint="eastAsia"/>
                      <w:bCs/>
                      <w:spacing w:val="-10"/>
                      <w:szCs w:val="21"/>
                    </w:rPr>
                    <w:t>12</w:t>
                  </w:r>
                  <w:r>
                    <w:rPr>
                      <w:szCs w:val="21"/>
                    </w:rPr>
                    <w:t>mg/L</w:t>
                  </w:r>
                </w:p>
              </w:tc>
              <w:tc>
                <w:tcPr>
                  <w:tcW w:w="676" w:type="pct"/>
                  <w:tcBorders>
                    <w:top w:val="single" w:color="auto" w:sz="4" w:space="0"/>
                    <w:bottom w:val="single" w:color="auto" w:sz="4" w:space="0"/>
                  </w:tcBorders>
                  <w:vAlign w:val="center"/>
                </w:tcPr>
                <w:p>
                  <w:pPr>
                    <w:pStyle w:val="28"/>
                    <w:spacing w:before="31" w:after="31"/>
                    <w:rPr>
                      <w:szCs w:val="21"/>
                    </w:rPr>
                  </w:pPr>
                  <w:r>
                    <w:rPr>
                      <w:bCs/>
                      <w:spacing w:val="-10"/>
                      <w:szCs w:val="21"/>
                    </w:rPr>
                    <w:t>20</w:t>
                  </w:r>
                  <w:r>
                    <w:rPr>
                      <w:szCs w:val="21"/>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0" w:type="pct"/>
                  <w:vMerge w:val="continue"/>
                  <w:vAlign w:val="center"/>
                </w:tcPr>
                <w:p>
                  <w:pPr>
                    <w:pStyle w:val="28"/>
                    <w:spacing w:before="31" w:after="31"/>
                    <w:rPr>
                      <w:szCs w:val="21"/>
                      <w:highlight w:val="yellow"/>
                    </w:rPr>
                  </w:pPr>
                </w:p>
              </w:tc>
              <w:tc>
                <w:tcPr>
                  <w:tcW w:w="604" w:type="pct"/>
                  <w:tcBorders>
                    <w:top w:val="single" w:color="auto" w:sz="4" w:space="0"/>
                    <w:bottom w:val="single" w:color="auto" w:sz="4" w:space="0"/>
                  </w:tcBorders>
                  <w:vAlign w:val="center"/>
                </w:tcPr>
                <w:p>
                  <w:pPr>
                    <w:pStyle w:val="28"/>
                    <w:spacing w:before="31" w:after="31"/>
                    <w:rPr>
                      <w:szCs w:val="21"/>
                    </w:rPr>
                  </w:pPr>
                  <w:r>
                    <w:rPr>
                      <w:szCs w:val="21"/>
                    </w:rPr>
                    <w:t>SS</w:t>
                  </w:r>
                </w:p>
              </w:tc>
              <w:tc>
                <w:tcPr>
                  <w:tcW w:w="536" w:type="pct"/>
                  <w:tcBorders>
                    <w:top w:val="single" w:color="auto" w:sz="4" w:space="0"/>
                    <w:bottom w:val="single" w:color="auto" w:sz="4" w:space="0"/>
                  </w:tcBorders>
                  <w:vAlign w:val="center"/>
                </w:tcPr>
                <w:p>
                  <w:pPr>
                    <w:pStyle w:val="28"/>
                    <w:spacing w:before="31" w:after="31"/>
                    <w:rPr>
                      <w:bCs/>
                      <w:spacing w:val="-10"/>
                      <w:szCs w:val="21"/>
                    </w:rPr>
                  </w:pPr>
                  <w:r>
                    <w:rPr>
                      <w:rFonts w:hint="eastAsia"/>
                      <w:bCs/>
                      <w:spacing w:val="-10"/>
                      <w:szCs w:val="21"/>
                    </w:rPr>
                    <w:t>2.46 t/a</w:t>
                  </w:r>
                </w:p>
              </w:tc>
              <w:tc>
                <w:tcPr>
                  <w:tcW w:w="640" w:type="pct"/>
                  <w:tcBorders>
                    <w:top w:val="single" w:color="auto" w:sz="4" w:space="0"/>
                    <w:bottom w:val="single" w:color="auto" w:sz="4" w:space="0"/>
                  </w:tcBorders>
                  <w:vAlign w:val="center"/>
                </w:tcPr>
                <w:p>
                  <w:pPr>
                    <w:pStyle w:val="28"/>
                    <w:spacing w:before="31" w:after="31"/>
                    <w:rPr>
                      <w:szCs w:val="21"/>
                    </w:rPr>
                  </w:pPr>
                  <w:r>
                    <w:rPr>
                      <w:rFonts w:hint="eastAsia"/>
                      <w:bCs/>
                      <w:spacing w:val="-10"/>
                      <w:szCs w:val="21"/>
                    </w:rPr>
                    <w:t xml:space="preserve">100 </w:t>
                  </w:r>
                  <w:r>
                    <w:rPr>
                      <w:szCs w:val="21"/>
                    </w:rPr>
                    <w:t>mg/L</w:t>
                  </w:r>
                </w:p>
              </w:tc>
              <w:tc>
                <w:tcPr>
                  <w:tcW w:w="983" w:type="pct"/>
                  <w:vMerge w:val="continue"/>
                  <w:vAlign w:val="center"/>
                </w:tcPr>
                <w:p>
                  <w:pPr>
                    <w:pStyle w:val="28"/>
                    <w:spacing w:before="31" w:after="31"/>
                    <w:rPr>
                      <w:szCs w:val="21"/>
                      <w:highlight w:val="yellow"/>
                    </w:rPr>
                  </w:pPr>
                </w:p>
              </w:tc>
              <w:tc>
                <w:tcPr>
                  <w:tcW w:w="600" w:type="pct"/>
                  <w:tcBorders>
                    <w:top w:val="single" w:color="auto" w:sz="4" w:space="0"/>
                    <w:bottom w:val="single" w:color="auto" w:sz="4" w:space="0"/>
                  </w:tcBorders>
                  <w:vAlign w:val="center"/>
                </w:tcPr>
                <w:p>
                  <w:pPr>
                    <w:pStyle w:val="28"/>
                    <w:spacing w:before="31" w:after="31"/>
                    <w:rPr>
                      <w:bCs/>
                      <w:spacing w:val="-10"/>
                      <w:szCs w:val="21"/>
                    </w:rPr>
                  </w:pPr>
                  <w:r>
                    <w:rPr>
                      <w:rFonts w:hint="eastAsia"/>
                      <w:bCs/>
                      <w:spacing w:val="-10"/>
                      <w:szCs w:val="21"/>
                    </w:rPr>
                    <w:t>0.37 t/a</w:t>
                  </w:r>
                </w:p>
              </w:tc>
              <w:tc>
                <w:tcPr>
                  <w:tcW w:w="528" w:type="pct"/>
                  <w:tcBorders>
                    <w:top w:val="single" w:color="auto" w:sz="4" w:space="0"/>
                    <w:bottom w:val="single" w:color="auto" w:sz="4" w:space="0"/>
                  </w:tcBorders>
                  <w:vAlign w:val="center"/>
                </w:tcPr>
                <w:p>
                  <w:pPr>
                    <w:pStyle w:val="28"/>
                    <w:spacing w:before="31" w:after="31"/>
                    <w:rPr>
                      <w:szCs w:val="21"/>
                    </w:rPr>
                  </w:pPr>
                  <w:r>
                    <w:rPr>
                      <w:bCs/>
                      <w:spacing w:val="-10"/>
                      <w:szCs w:val="21"/>
                    </w:rPr>
                    <w:t>1</w:t>
                  </w:r>
                  <w:r>
                    <w:rPr>
                      <w:rFonts w:hint="eastAsia"/>
                      <w:bCs/>
                      <w:spacing w:val="-10"/>
                      <w:szCs w:val="21"/>
                    </w:rPr>
                    <w:t>5</w:t>
                  </w:r>
                  <w:r>
                    <w:rPr>
                      <w:szCs w:val="21"/>
                    </w:rPr>
                    <w:t>mg/L</w:t>
                  </w:r>
                </w:p>
              </w:tc>
              <w:tc>
                <w:tcPr>
                  <w:tcW w:w="676" w:type="pct"/>
                  <w:tcBorders>
                    <w:top w:val="single" w:color="auto" w:sz="4" w:space="0"/>
                    <w:bottom w:val="single" w:color="auto" w:sz="4" w:space="0"/>
                  </w:tcBorders>
                  <w:vAlign w:val="center"/>
                </w:tcPr>
                <w:p>
                  <w:pPr>
                    <w:pStyle w:val="28"/>
                    <w:spacing w:before="31" w:after="31"/>
                    <w:rPr>
                      <w:szCs w:val="21"/>
                    </w:rPr>
                  </w:pPr>
                  <w:r>
                    <w:rPr>
                      <w:bCs/>
                      <w:spacing w:val="-10"/>
                      <w:szCs w:val="21"/>
                    </w:rPr>
                    <w:t>20</w:t>
                  </w:r>
                  <w:r>
                    <w:rPr>
                      <w:szCs w:val="21"/>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0" w:type="pct"/>
                  <w:vMerge w:val="continue"/>
                  <w:vAlign w:val="center"/>
                </w:tcPr>
                <w:p>
                  <w:pPr>
                    <w:pStyle w:val="28"/>
                    <w:spacing w:before="31" w:after="31"/>
                    <w:rPr>
                      <w:szCs w:val="21"/>
                      <w:highlight w:val="yellow"/>
                    </w:rPr>
                  </w:pPr>
                </w:p>
              </w:tc>
              <w:tc>
                <w:tcPr>
                  <w:tcW w:w="604" w:type="pct"/>
                  <w:tcBorders>
                    <w:top w:val="single" w:color="auto" w:sz="4" w:space="0"/>
                    <w:bottom w:val="single" w:color="auto" w:sz="4" w:space="0"/>
                  </w:tcBorders>
                  <w:vAlign w:val="center"/>
                </w:tcPr>
                <w:p>
                  <w:pPr>
                    <w:pStyle w:val="28"/>
                    <w:spacing w:before="31" w:after="31"/>
                    <w:rPr>
                      <w:szCs w:val="21"/>
                    </w:rPr>
                  </w:pPr>
                  <w:r>
                    <w:rPr>
                      <w:szCs w:val="21"/>
                    </w:rPr>
                    <w:t>NH</w:t>
                  </w:r>
                  <w:r>
                    <w:rPr>
                      <w:szCs w:val="21"/>
                      <w:vertAlign w:val="subscript"/>
                    </w:rPr>
                    <w:t>3</w:t>
                  </w:r>
                  <w:r>
                    <w:rPr>
                      <w:szCs w:val="21"/>
                    </w:rPr>
                    <w:t>-N</w:t>
                  </w:r>
                </w:p>
              </w:tc>
              <w:tc>
                <w:tcPr>
                  <w:tcW w:w="536" w:type="pct"/>
                  <w:tcBorders>
                    <w:top w:val="single" w:color="auto" w:sz="4" w:space="0"/>
                    <w:bottom w:val="single" w:color="auto" w:sz="4" w:space="0"/>
                  </w:tcBorders>
                  <w:vAlign w:val="center"/>
                </w:tcPr>
                <w:p>
                  <w:pPr>
                    <w:pStyle w:val="28"/>
                    <w:spacing w:before="31" w:after="31"/>
                    <w:rPr>
                      <w:bCs/>
                      <w:spacing w:val="-10"/>
                      <w:szCs w:val="21"/>
                    </w:rPr>
                  </w:pPr>
                  <w:r>
                    <w:rPr>
                      <w:rFonts w:hint="eastAsia"/>
                      <w:bCs/>
                      <w:spacing w:val="-10"/>
                      <w:szCs w:val="21"/>
                    </w:rPr>
                    <w:t>1.48 t/a</w:t>
                  </w:r>
                </w:p>
              </w:tc>
              <w:tc>
                <w:tcPr>
                  <w:tcW w:w="640" w:type="pct"/>
                  <w:tcBorders>
                    <w:top w:val="single" w:color="auto" w:sz="4" w:space="0"/>
                    <w:bottom w:val="single" w:color="auto" w:sz="4" w:space="0"/>
                  </w:tcBorders>
                  <w:vAlign w:val="center"/>
                </w:tcPr>
                <w:p>
                  <w:pPr>
                    <w:pStyle w:val="28"/>
                    <w:spacing w:before="31" w:after="31"/>
                    <w:rPr>
                      <w:szCs w:val="21"/>
                    </w:rPr>
                  </w:pPr>
                  <w:r>
                    <w:rPr>
                      <w:rFonts w:hint="eastAsia"/>
                      <w:bCs/>
                      <w:spacing w:val="-10"/>
                      <w:szCs w:val="21"/>
                    </w:rPr>
                    <w:t xml:space="preserve">60 </w:t>
                  </w:r>
                  <w:r>
                    <w:rPr>
                      <w:szCs w:val="21"/>
                    </w:rPr>
                    <w:t>mg/L</w:t>
                  </w:r>
                </w:p>
              </w:tc>
              <w:tc>
                <w:tcPr>
                  <w:tcW w:w="983" w:type="pct"/>
                  <w:vMerge w:val="continue"/>
                  <w:vAlign w:val="center"/>
                </w:tcPr>
                <w:p>
                  <w:pPr>
                    <w:pStyle w:val="28"/>
                    <w:spacing w:before="31" w:after="31"/>
                    <w:rPr>
                      <w:szCs w:val="21"/>
                      <w:highlight w:val="yellow"/>
                    </w:rPr>
                  </w:pPr>
                </w:p>
              </w:tc>
              <w:tc>
                <w:tcPr>
                  <w:tcW w:w="600" w:type="pct"/>
                  <w:tcBorders>
                    <w:top w:val="single" w:color="auto" w:sz="4" w:space="0"/>
                    <w:bottom w:val="single" w:color="auto" w:sz="4" w:space="0"/>
                  </w:tcBorders>
                  <w:vAlign w:val="center"/>
                </w:tcPr>
                <w:p>
                  <w:pPr>
                    <w:pStyle w:val="28"/>
                    <w:spacing w:before="31" w:after="31"/>
                    <w:rPr>
                      <w:bCs/>
                      <w:spacing w:val="-10"/>
                      <w:szCs w:val="21"/>
                    </w:rPr>
                  </w:pPr>
                  <w:r>
                    <w:rPr>
                      <w:rFonts w:hint="eastAsia"/>
                      <w:bCs/>
                      <w:spacing w:val="-10"/>
                      <w:szCs w:val="21"/>
                    </w:rPr>
                    <w:t>0.22 t/a</w:t>
                  </w:r>
                </w:p>
              </w:tc>
              <w:tc>
                <w:tcPr>
                  <w:tcW w:w="528" w:type="pct"/>
                  <w:tcBorders>
                    <w:top w:val="single" w:color="auto" w:sz="4" w:space="0"/>
                    <w:bottom w:val="single" w:color="auto" w:sz="4" w:space="0"/>
                  </w:tcBorders>
                  <w:vAlign w:val="center"/>
                </w:tcPr>
                <w:p>
                  <w:pPr>
                    <w:pStyle w:val="28"/>
                    <w:spacing w:before="31" w:after="31"/>
                    <w:rPr>
                      <w:szCs w:val="21"/>
                    </w:rPr>
                  </w:pPr>
                  <w:r>
                    <w:rPr>
                      <w:rFonts w:hint="eastAsia"/>
                      <w:bCs/>
                      <w:spacing w:val="-10"/>
                      <w:szCs w:val="21"/>
                    </w:rPr>
                    <w:t>9</w:t>
                  </w:r>
                  <w:r>
                    <w:rPr>
                      <w:szCs w:val="21"/>
                    </w:rPr>
                    <w:t>mg/L</w:t>
                  </w:r>
                </w:p>
              </w:tc>
              <w:tc>
                <w:tcPr>
                  <w:tcW w:w="676" w:type="pct"/>
                  <w:tcBorders>
                    <w:top w:val="single" w:color="auto" w:sz="4" w:space="0"/>
                    <w:bottom w:val="single" w:color="auto" w:sz="4" w:space="0"/>
                  </w:tcBorders>
                  <w:vAlign w:val="center"/>
                </w:tcPr>
                <w:p>
                  <w:pPr>
                    <w:pStyle w:val="28"/>
                    <w:spacing w:before="31" w:after="31"/>
                    <w:rPr>
                      <w:szCs w:val="21"/>
                    </w:rPr>
                  </w:pPr>
                  <w:r>
                    <w:rPr>
                      <w:bCs/>
                      <w:spacing w:val="-10"/>
                      <w:szCs w:val="21"/>
                    </w:rPr>
                    <w:t>15</w:t>
                  </w:r>
                  <w:r>
                    <w:rPr>
                      <w:szCs w:val="21"/>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0" w:type="pct"/>
                  <w:vMerge w:val="continue"/>
                  <w:vAlign w:val="center"/>
                </w:tcPr>
                <w:p>
                  <w:pPr>
                    <w:pStyle w:val="28"/>
                    <w:spacing w:before="31" w:after="31"/>
                    <w:rPr>
                      <w:szCs w:val="21"/>
                      <w:highlight w:val="yellow"/>
                    </w:rPr>
                  </w:pPr>
                </w:p>
              </w:tc>
              <w:tc>
                <w:tcPr>
                  <w:tcW w:w="604" w:type="pct"/>
                  <w:tcBorders>
                    <w:top w:val="single" w:color="auto" w:sz="4" w:space="0"/>
                    <w:bottom w:val="single" w:color="auto" w:sz="4" w:space="0"/>
                  </w:tcBorders>
                  <w:vAlign w:val="center"/>
                </w:tcPr>
                <w:p>
                  <w:pPr>
                    <w:pStyle w:val="28"/>
                    <w:spacing w:before="31" w:after="31"/>
                    <w:rPr>
                      <w:szCs w:val="21"/>
                    </w:rPr>
                  </w:pPr>
                  <w:r>
                    <w:rPr>
                      <w:rFonts w:hint="eastAsia"/>
                      <w:szCs w:val="21"/>
                    </w:rPr>
                    <w:t>粪大肠菌群数</w:t>
                  </w:r>
                </w:p>
              </w:tc>
              <w:tc>
                <w:tcPr>
                  <w:tcW w:w="536" w:type="pct"/>
                  <w:tcBorders>
                    <w:top w:val="single" w:color="auto" w:sz="4" w:space="0"/>
                    <w:bottom w:val="single" w:color="auto" w:sz="4" w:space="0"/>
                  </w:tcBorders>
                  <w:vAlign w:val="center"/>
                </w:tcPr>
                <w:p>
                  <w:pPr>
                    <w:pStyle w:val="28"/>
                    <w:spacing w:before="31" w:after="31"/>
                    <w:rPr>
                      <w:bCs/>
                      <w:spacing w:val="-10"/>
                      <w:szCs w:val="21"/>
                      <w:vertAlign w:val="superscript"/>
                    </w:rPr>
                  </w:pPr>
                  <w:r>
                    <w:rPr>
                      <w:rFonts w:hint="eastAsia"/>
                      <w:bCs/>
                      <w:spacing w:val="-10"/>
                      <w:szCs w:val="21"/>
                    </w:rPr>
                    <w:t>3×10</w:t>
                  </w:r>
                  <w:r>
                    <w:rPr>
                      <w:rFonts w:hint="eastAsia"/>
                      <w:bCs/>
                      <w:spacing w:val="-10"/>
                      <w:szCs w:val="21"/>
                      <w:vertAlign w:val="superscript"/>
                    </w:rPr>
                    <w:t>6</w:t>
                  </w:r>
                </w:p>
                <w:p>
                  <w:pPr>
                    <w:pStyle w:val="28"/>
                    <w:spacing w:before="31" w:after="31"/>
                    <w:rPr>
                      <w:bCs/>
                      <w:spacing w:val="-10"/>
                      <w:szCs w:val="21"/>
                    </w:rPr>
                  </w:pPr>
                  <w:r>
                    <w:rPr>
                      <w:rFonts w:hint="eastAsia"/>
                      <w:bCs/>
                      <w:spacing w:val="-10"/>
                      <w:szCs w:val="21"/>
                    </w:rPr>
                    <w:t>MPN/L</w:t>
                  </w:r>
                </w:p>
              </w:tc>
              <w:tc>
                <w:tcPr>
                  <w:tcW w:w="640" w:type="pct"/>
                  <w:tcBorders>
                    <w:top w:val="single" w:color="auto" w:sz="4" w:space="0"/>
                    <w:bottom w:val="single" w:color="auto" w:sz="4" w:space="0"/>
                  </w:tcBorders>
                  <w:vAlign w:val="center"/>
                </w:tcPr>
                <w:p>
                  <w:pPr>
                    <w:pStyle w:val="28"/>
                    <w:spacing w:before="31" w:after="31"/>
                  </w:pPr>
                  <w:r>
                    <w:rPr>
                      <w:rFonts w:hint="eastAsia"/>
                      <w:bCs/>
                      <w:spacing w:val="-10"/>
                      <w:szCs w:val="21"/>
                    </w:rPr>
                    <w:t>-</w:t>
                  </w:r>
                </w:p>
              </w:tc>
              <w:tc>
                <w:tcPr>
                  <w:tcW w:w="983" w:type="pct"/>
                  <w:vMerge w:val="continue"/>
                  <w:vAlign w:val="center"/>
                </w:tcPr>
                <w:p>
                  <w:pPr>
                    <w:pStyle w:val="28"/>
                    <w:spacing w:before="31" w:after="31"/>
                    <w:rPr>
                      <w:szCs w:val="21"/>
                      <w:highlight w:val="yellow"/>
                    </w:rPr>
                  </w:pPr>
                </w:p>
              </w:tc>
              <w:tc>
                <w:tcPr>
                  <w:tcW w:w="600" w:type="pct"/>
                  <w:tcBorders>
                    <w:top w:val="single" w:color="auto" w:sz="4" w:space="0"/>
                    <w:bottom w:val="single" w:color="auto" w:sz="4" w:space="0"/>
                  </w:tcBorders>
                  <w:vAlign w:val="center"/>
                </w:tcPr>
                <w:p>
                  <w:pPr>
                    <w:pStyle w:val="28"/>
                    <w:spacing w:before="31" w:after="31"/>
                    <w:rPr>
                      <w:bCs/>
                      <w:spacing w:val="-10"/>
                      <w:szCs w:val="21"/>
                    </w:rPr>
                  </w:pPr>
                  <w:r>
                    <w:rPr>
                      <w:rFonts w:hint="eastAsia"/>
                      <w:bCs/>
                      <w:spacing w:val="-10"/>
                      <w:szCs w:val="21"/>
                    </w:rPr>
                    <w:t>85</w:t>
                  </w:r>
                </w:p>
                <w:p>
                  <w:pPr>
                    <w:pStyle w:val="28"/>
                    <w:spacing w:before="31" w:after="31"/>
                    <w:rPr>
                      <w:bCs/>
                      <w:spacing w:val="-10"/>
                      <w:szCs w:val="21"/>
                    </w:rPr>
                  </w:pPr>
                  <w:r>
                    <w:rPr>
                      <w:rFonts w:hint="eastAsia"/>
                      <w:bCs/>
                      <w:spacing w:val="-10"/>
                      <w:szCs w:val="21"/>
                    </w:rPr>
                    <w:t>MPN/L</w:t>
                  </w:r>
                </w:p>
              </w:tc>
              <w:tc>
                <w:tcPr>
                  <w:tcW w:w="528" w:type="pct"/>
                  <w:tcBorders>
                    <w:top w:val="single" w:color="auto" w:sz="4" w:space="0"/>
                    <w:bottom w:val="single" w:color="auto" w:sz="4" w:space="0"/>
                  </w:tcBorders>
                  <w:vAlign w:val="center"/>
                </w:tcPr>
                <w:p>
                  <w:pPr>
                    <w:pStyle w:val="28"/>
                    <w:spacing w:before="31" w:after="31"/>
                    <w:rPr>
                      <w:szCs w:val="21"/>
                    </w:rPr>
                  </w:pPr>
                  <w:r>
                    <w:rPr>
                      <w:rFonts w:hint="eastAsia"/>
                      <w:szCs w:val="21"/>
                    </w:rPr>
                    <w:t>-</w:t>
                  </w:r>
                </w:p>
              </w:tc>
              <w:tc>
                <w:tcPr>
                  <w:tcW w:w="676" w:type="pct"/>
                  <w:tcBorders>
                    <w:top w:val="single" w:color="auto" w:sz="4" w:space="0"/>
                    <w:bottom w:val="single" w:color="auto" w:sz="4" w:space="0"/>
                  </w:tcBorders>
                  <w:vAlign w:val="center"/>
                </w:tcPr>
                <w:p>
                  <w:pPr>
                    <w:pStyle w:val="28"/>
                    <w:spacing w:before="31" w:after="31"/>
                    <w:rPr>
                      <w:bCs/>
                      <w:spacing w:val="-10"/>
                      <w:szCs w:val="21"/>
                    </w:rPr>
                  </w:pPr>
                  <w:r>
                    <w:rPr>
                      <w:rFonts w:hint="eastAsia"/>
                      <w:bCs/>
                      <w:spacing w:val="-10"/>
                      <w:szCs w:val="21"/>
                    </w:rPr>
                    <w:t>5</w:t>
                  </w:r>
                  <w:r>
                    <w:rPr>
                      <w:bCs/>
                      <w:spacing w:val="-10"/>
                      <w:szCs w:val="21"/>
                    </w:rPr>
                    <w:t>00</w:t>
                  </w:r>
                </w:p>
                <w:p>
                  <w:pPr>
                    <w:pStyle w:val="28"/>
                    <w:spacing w:before="31" w:after="31"/>
                    <w:rPr>
                      <w:szCs w:val="21"/>
                    </w:rPr>
                  </w:pPr>
                  <w:r>
                    <w:rPr>
                      <w:rFonts w:hint="eastAsia"/>
                      <w:bCs/>
                      <w:spacing w:val="-10"/>
                      <w:szCs w:val="21"/>
                    </w:rPr>
                    <w:t>MPN/L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0" w:type="pct"/>
                  <w:vMerge w:val="continue"/>
                  <w:tcBorders>
                    <w:bottom w:val="single" w:color="000000" w:sz="12" w:space="0"/>
                  </w:tcBorders>
                  <w:vAlign w:val="center"/>
                </w:tcPr>
                <w:p>
                  <w:pPr>
                    <w:pStyle w:val="28"/>
                    <w:spacing w:before="31" w:after="31"/>
                    <w:rPr>
                      <w:szCs w:val="21"/>
                      <w:highlight w:val="yellow"/>
                    </w:rPr>
                  </w:pPr>
                </w:p>
              </w:tc>
              <w:tc>
                <w:tcPr>
                  <w:tcW w:w="604" w:type="pct"/>
                  <w:tcBorders>
                    <w:top w:val="single" w:color="auto" w:sz="4" w:space="0"/>
                    <w:bottom w:val="single" w:color="000000" w:sz="12" w:space="0"/>
                  </w:tcBorders>
                  <w:vAlign w:val="center"/>
                </w:tcPr>
                <w:p>
                  <w:pPr>
                    <w:pStyle w:val="28"/>
                    <w:spacing w:before="31" w:after="31"/>
                    <w:rPr>
                      <w:szCs w:val="21"/>
                    </w:rPr>
                  </w:pPr>
                  <w:r>
                    <w:rPr>
                      <w:bCs/>
                      <w:spacing w:val="-10"/>
                      <w:szCs w:val="21"/>
                    </w:rPr>
                    <w:t>结核杆菌</w:t>
                  </w:r>
                </w:p>
              </w:tc>
              <w:tc>
                <w:tcPr>
                  <w:tcW w:w="536" w:type="pct"/>
                  <w:tcBorders>
                    <w:top w:val="single" w:color="auto" w:sz="4" w:space="0"/>
                    <w:bottom w:val="single" w:color="000000" w:sz="12" w:space="0"/>
                  </w:tcBorders>
                  <w:vAlign w:val="center"/>
                </w:tcPr>
                <w:p>
                  <w:pPr>
                    <w:pStyle w:val="28"/>
                    <w:spacing w:before="31" w:after="31"/>
                    <w:rPr>
                      <w:bCs/>
                      <w:spacing w:val="-10"/>
                      <w:szCs w:val="21"/>
                    </w:rPr>
                  </w:pPr>
                  <w:r>
                    <w:rPr>
                      <w:rFonts w:hint="eastAsia"/>
                      <w:szCs w:val="21"/>
                    </w:rPr>
                    <w:t>-</w:t>
                  </w:r>
                </w:p>
              </w:tc>
              <w:tc>
                <w:tcPr>
                  <w:tcW w:w="640" w:type="pct"/>
                  <w:tcBorders>
                    <w:top w:val="single" w:color="auto" w:sz="4" w:space="0"/>
                    <w:bottom w:val="single" w:color="000000" w:sz="12" w:space="0"/>
                  </w:tcBorders>
                  <w:vAlign w:val="center"/>
                </w:tcPr>
                <w:p>
                  <w:pPr>
                    <w:pStyle w:val="28"/>
                    <w:spacing w:before="31" w:after="31"/>
                    <w:rPr>
                      <w:bCs/>
                      <w:spacing w:val="-10"/>
                      <w:szCs w:val="21"/>
                    </w:rPr>
                  </w:pPr>
                  <w:r>
                    <w:rPr>
                      <w:rFonts w:hint="eastAsia"/>
                      <w:szCs w:val="21"/>
                    </w:rPr>
                    <w:t>-</w:t>
                  </w:r>
                </w:p>
              </w:tc>
              <w:tc>
                <w:tcPr>
                  <w:tcW w:w="983" w:type="pct"/>
                  <w:vMerge w:val="continue"/>
                  <w:tcBorders>
                    <w:bottom w:val="single" w:color="000000" w:sz="12" w:space="0"/>
                  </w:tcBorders>
                  <w:vAlign w:val="center"/>
                </w:tcPr>
                <w:p>
                  <w:pPr>
                    <w:pStyle w:val="28"/>
                    <w:spacing w:before="31" w:after="31"/>
                    <w:rPr>
                      <w:szCs w:val="21"/>
                      <w:highlight w:val="yellow"/>
                    </w:rPr>
                  </w:pPr>
                </w:p>
              </w:tc>
              <w:tc>
                <w:tcPr>
                  <w:tcW w:w="600" w:type="pct"/>
                  <w:tcBorders>
                    <w:top w:val="single" w:color="auto" w:sz="4" w:space="0"/>
                    <w:bottom w:val="single" w:color="000000" w:sz="12" w:space="0"/>
                  </w:tcBorders>
                  <w:vAlign w:val="center"/>
                </w:tcPr>
                <w:p>
                  <w:pPr>
                    <w:pStyle w:val="28"/>
                    <w:spacing w:before="31" w:after="31"/>
                    <w:rPr>
                      <w:bCs/>
                      <w:spacing w:val="-10"/>
                      <w:szCs w:val="21"/>
                    </w:rPr>
                  </w:pPr>
                  <w:r>
                    <w:rPr>
                      <w:rFonts w:hint="eastAsia"/>
                      <w:bCs/>
                      <w:spacing w:val="-10"/>
                      <w:szCs w:val="21"/>
                    </w:rPr>
                    <w:t>-</w:t>
                  </w:r>
                </w:p>
              </w:tc>
              <w:tc>
                <w:tcPr>
                  <w:tcW w:w="528" w:type="pct"/>
                  <w:tcBorders>
                    <w:top w:val="single" w:color="auto" w:sz="4" w:space="0"/>
                    <w:bottom w:val="single" w:color="000000" w:sz="12" w:space="0"/>
                  </w:tcBorders>
                  <w:vAlign w:val="center"/>
                </w:tcPr>
                <w:p>
                  <w:pPr>
                    <w:pStyle w:val="28"/>
                    <w:spacing w:before="31" w:after="31"/>
                    <w:rPr>
                      <w:szCs w:val="21"/>
                    </w:rPr>
                  </w:pPr>
                  <w:r>
                    <w:rPr>
                      <w:szCs w:val="21"/>
                    </w:rPr>
                    <w:t>-</w:t>
                  </w:r>
                </w:p>
              </w:tc>
              <w:tc>
                <w:tcPr>
                  <w:tcW w:w="676" w:type="pct"/>
                  <w:tcBorders>
                    <w:top w:val="single" w:color="auto" w:sz="4" w:space="0"/>
                    <w:bottom w:val="single" w:color="000000" w:sz="12" w:space="0"/>
                  </w:tcBorders>
                  <w:vAlign w:val="center"/>
                </w:tcPr>
                <w:p>
                  <w:pPr>
                    <w:pStyle w:val="28"/>
                    <w:spacing w:before="31" w:after="31"/>
                    <w:rPr>
                      <w:szCs w:val="21"/>
                    </w:rPr>
                  </w:pPr>
                  <w:r>
                    <w:rPr>
                      <w:szCs w:val="21"/>
                    </w:rPr>
                    <w:t>不得检出</w:t>
                  </w:r>
                </w:p>
              </w:tc>
            </w:tr>
          </w:tbl>
          <w:p>
            <w:pPr>
              <w:pStyle w:val="22"/>
              <w:spacing w:line="360" w:lineRule="auto"/>
              <w:jc w:val="both"/>
              <w:rPr>
                <w:rFonts w:ascii="Times New Roman" w:eastAsia="黑体" w:cs="Times New Roman"/>
                <w:color w:val="auto"/>
              </w:rPr>
            </w:pPr>
            <w:r>
              <w:rPr>
                <w:rFonts w:hint="eastAsia" w:ascii="Times New Roman" w:eastAsia="黑体" w:cs="Times New Roman"/>
                <w:b/>
                <w:bCs/>
                <w:color w:val="auto"/>
              </w:rPr>
              <w:t>1</w:t>
            </w:r>
            <w:r>
              <w:rPr>
                <w:rFonts w:ascii="Times New Roman" w:eastAsia="黑体" w:cs="Times New Roman"/>
                <w:b/>
                <w:bCs/>
                <w:color w:val="auto"/>
              </w:rPr>
              <w:t>.2</w:t>
            </w:r>
            <w:r>
              <w:rPr>
                <w:rFonts w:ascii="Times New Roman" w:cs="Times New Roman"/>
                <w:b/>
                <w:bCs/>
                <w:color w:val="auto"/>
              </w:rPr>
              <w:t>废水污染物治理措施可行性分析</w:t>
            </w:r>
          </w:p>
          <w:p>
            <w:pPr>
              <w:spacing w:line="360" w:lineRule="auto"/>
              <w:ind w:firstLine="480" w:firstLineChars="200"/>
              <w:rPr>
                <w:sz w:val="24"/>
              </w:rPr>
            </w:pPr>
            <w:r>
              <w:rPr>
                <w:rFonts w:hint="eastAsia"/>
                <w:sz w:val="24"/>
              </w:rPr>
              <w:t>（1）污水处理站可行性分析</w:t>
            </w:r>
          </w:p>
          <w:p>
            <w:pPr>
              <w:pStyle w:val="6"/>
              <w:ind w:firstLine="480" w:firstLineChars="200"/>
              <w:rPr>
                <w:b w:val="0"/>
                <w:bCs w:val="0"/>
                <w:szCs w:val="24"/>
              </w:rPr>
            </w:pPr>
            <w:r>
              <w:rPr>
                <w:b w:val="0"/>
                <w:bCs w:val="0"/>
                <w:szCs w:val="24"/>
              </w:rPr>
              <w:t>运营期间医疗区污水量较大，该类废水污染因子主要为COD</w:t>
            </w:r>
            <w:r>
              <w:rPr>
                <w:rFonts w:hint="eastAsia"/>
                <w:b w:val="0"/>
                <w:bCs w:val="0"/>
                <w:szCs w:val="24"/>
                <w:vertAlign w:val="subscript"/>
              </w:rPr>
              <w:t>cr</w:t>
            </w:r>
            <w:r>
              <w:rPr>
                <w:b w:val="0"/>
                <w:bCs w:val="0"/>
                <w:szCs w:val="24"/>
              </w:rPr>
              <w:t>、BOD</w:t>
            </w:r>
            <w:r>
              <w:rPr>
                <w:rFonts w:hint="eastAsia"/>
                <w:b w:val="0"/>
                <w:bCs w:val="0"/>
                <w:szCs w:val="24"/>
                <w:vertAlign w:val="subscript"/>
              </w:rPr>
              <w:t>5</w:t>
            </w:r>
            <w:r>
              <w:rPr>
                <w:b w:val="0"/>
                <w:bCs w:val="0"/>
                <w:szCs w:val="24"/>
              </w:rPr>
              <w:t>、SS、</w:t>
            </w:r>
            <w:r>
              <w:rPr>
                <w:rFonts w:hint="eastAsia"/>
                <w:b w:val="0"/>
                <w:bCs w:val="0"/>
                <w:szCs w:val="24"/>
              </w:rPr>
              <w:t>氨氮</w:t>
            </w:r>
            <w:r>
              <w:rPr>
                <w:b w:val="0"/>
                <w:bCs w:val="0"/>
                <w:szCs w:val="24"/>
              </w:rPr>
              <w:t>及粪大肠菌群。本项目废水处理依托医院原有污水处理站，污水处理工艺采用二级生化处理（生物接触氧化）+消毒处理（次氯酸钠）工艺</w:t>
            </w:r>
            <w:r>
              <w:rPr>
                <w:rFonts w:hint="eastAsia"/>
                <w:b w:val="0"/>
                <w:bCs w:val="0"/>
                <w:szCs w:val="24"/>
              </w:rPr>
              <w:t>，经</w:t>
            </w:r>
            <w:r>
              <w:rPr>
                <w:b w:val="0"/>
                <w:bCs w:val="0"/>
                <w:szCs w:val="24"/>
              </w:rPr>
              <w:t>处理后出</w:t>
            </w:r>
            <w:r>
              <w:rPr>
                <w:rFonts w:hint="eastAsia"/>
                <w:b w:val="0"/>
                <w:bCs w:val="0"/>
                <w:szCs w:val="24"/>
              </w:rPr>
              <w:t>废</w:t>
            </w:r>
            <w:r>
              <w:rPr>
                <w:b w:val="0"/>
                <w:bCs w:val="0"/>
                <w:szCs w:val="24"/>
              </w:rPr>
              <w:t>水达到《医疗机构水污染物排放标准》（GB18466-2005）表2综合医疗机构和其他医疗机构水污染物排放标准</w:t>
            </w:r>
            <w:r>
              <w:rPr>
                <w:rFonts w:hint="eastAsia"/>
                <w:b w:val="0"/>
                <w:bCs w:val="0"/>
                <w:szCs w:val="24"/>
              </w:rPr>
              <w:t>，最终排入昌吉市第二</w:t>
            </w:r>
            <w:r>
              <w:rPr>
                <w:b w:val="0"/>
                <w:bCs w:val="0"/>
                <w:szCs w:val="24"/>
              </w:rPr>
              <w:t>污水处理厂处理。</w:t>
            </w:r>
          </w:p>
          <w:p>
            <w:pPr>
              <w:pStyle w:val="6"/>
              <w:ind w:firstLine="480" w:firstLineChars="200"/>
              <w:rPr>
                <w:b w:val="0"/>
                <w:bCs w:val="0"/>
                <w:szCs w:val="24"/>
              </w:rPr>
            </w:pPr>
            <w:r>
              <w:rPr>
                <w:b w:val="0"/>
                <w:bCs w:val="0"/>
                <w:szCs w:val="24"/>
              </w:rPr>
              <w:t>医院原有项目废水排放量约为120m</w:t>
            </w:r>
            <w:r>
              <w:rPr>
                <w:b w:val="0"/>
                <w:bCs w:val="0"/>
                <w:szCs w:val="24"/>
                <w:vertAlign w:val="superscript"/>
              </w:rPr>
              <w:t>3</w:t>
            </w:r>
            <w:r>
              <w:rPr>
                <w:b w:val="0"/>
                <w:bCs w:val="0"/>
                <w:szCs w:val="24"/>
              </w:rPr>
              <w:t>/d，</w:t>
            </w:r>
            <w:r>
              <w:rPr>
                <w:rFonts w:hint="eastAsia"/>
                <w:b w:val="0"/>
                <w:bCs w:val="0"/>
                <w:szCs w:val="24"/>
              </w:rPr>
              <w:t>本次</w:t>
            </w:r>
            <w:r>
              <w:rPr>
                <w:b w:val="0"/>
                <w:bCs w:val="0"/>
                <w:szCs w:val="24"/>
              </w:rPr>
              <w:t>新增</w:t>
            </w:r>
            <w:r>
              <w:rPr>
                <w:rFonts w:hint="eastAsia"/>
                <w:b w:val="0"/>
                <w:bCs w:val="0"/>
                <w:szCs w:val="24"/>
              </w:rPr>
              <w:t>68.41</w:t>
            </w:r>
            <w:r>
              <w:rPr>
                <w:b w:val="0"/>
                <w:bCs w:val="0"/>
                <w:szCs w:val="24"/>
              </w:rPr>
              <w:t>m</w:t>
            </w:r>
            <w:r>
              <w:rPr>
                <w:b w:val="0"/>
                <w:bCs w:val="0"/>
                <w:szCs w:val="24"/>
                <w:vertAlign w:val="superscript"/>
              </w:rPr>
              <w:t>3</w:t>
            </w:r>
            <w:r>
              <w:rPr>
                <w:b w:val="0"/>
                <w:bCs w:val="0"/>
                <w:szCs w:val="24"/>
              </w:rPr>
              <w:t>/d，原有污水处理站处理规模为</w:t>
            </w:r>
            <w:r>
              <w:rPr>
                <w:rFonts w:hint="eastAsia"/>
                <w:b w:val="0"/>
                <w:bCs w:val="0"/>
                <w:szCs w:val="24"/>
              </w:rPr>
              <w:t>5</w:t>
            </w:r>
            <w:r>
              <w:rPr>
                <w:b w:val="0"/>
                <w:bCs w:val="0"/>
                <w:szCs w:val="24"/>
              </w:rPr>
              <w:t>00m</w:t>
            </w:r>
            <w:r>
              <w:rPr>
                <w:b w:val="0"/>
                <w:bCs w:val="0"/>
                <w:szCs w:val="24"/>
                <w:vertAlign w:val="superscript"/>
              </w:rPr>
              <w:t>3</w:t>
            </w:r>
            <w:r>
              <w:rPr>
                <w:b w:val="0"/>
                <w:bCs w:val="0"/>
                <w:szCs w:val="24"/>
              </w:rPr>
              <w:t>/d，本项目废水可满足污水处理站接纳要求。</w:t>
            </w:r>
          </w:p>
          <w:p>
            <w:pPr>
              <w:spacing w:line="360" w:lineRule="auto"/>
              <w:ind w:firstLine="480" w:firstLineChars="200"/>
              <w:rPr>
                <w:sz w:val="24"/>
              </w:rPr>
            </w:pPr>
            <w:r>
              <w:rPr>
                <w:rFonts w:hint="eastAsia"/>
                <w:sz w:val="24"/>
              </w:rPr>
              <w:t>（2）污水处理厂依托可行性分析</w:t>
            </w:r>
          </w:p>
          <w:p>
            <w:pPr>
              <w:spacing w:line="360" w:lineRule="auto"/>
              <w:ind w:firstLine="480" w:firstLineChars="200"/>
              <w:rPr>
                <w:sz w:val="24"/>
              </w:rPr>
            </w:pPr>
            <w:r>
              <w:rPr>
                <w:rFonts w:hint="eastAsia"/>
                <w:sz w:val="24"/>
              </w:rPr>
              <w:t>本项目区域污水管网已覆盖，昌吉市第二污水处理厂处理规模为10万立方米/日，实际处理量为8.6万立方米/日，尚有余量，可满足本项目68.41m</w:t>
            </w:r>
            <w:r>
              <w:rPr>
                <w:rFonts w:hint="eastAsia"/>
                <w:sz w:val="24"/>
                <w:vertAlign w:val="superscript"/>
              </w:rPr>
              <w:t>3</w:t>
            </w:r>
            <w:r>
              <w:rPr>
                <w:rFonts w:hint="eastAsia"/>
                <w:sz w:val="24"/>
              </w:rPr>
              <w:t>/d的污水量。医院废水接收标准为</w:t>
            </w:r>
            <w:r>
              <w:rPr>
                <w:bCs/>
                <w:spacing w:val="-10"/>
                <w:sz w:val="24"/>
              </w:rPr>
              <w:t>《医疗机构水污染物排放标准》（GB18466-2005）表2综合医疗机构和其他医疗机构水污染物排放标准</w:t>
            </w:r>
            <w:r>
              <w:rPr>
                <w:rFonts w:hint="eastAsia"/>
                <w:sz w:val="24"/>
              </w:rPr>
              <w:t>，废水通过卡鲁塞尔氧化沟处理工艺处理后，尾水水质达到《城镇污水处理厂污染物排放标准》（GB18918-2002）一级A标准。</w:t>
            </w:r>
          </w:p>
          <w:p>
            <w:pPr>
              <w:spacing w:line="360" w:lineRule="auto"/>
              <w:ind w:firstLine="480" w:firstLineChars="200"/>
              <w:rPr>
                <w:sz w:val="24"/>
              </w:rPr>
            </w:pPr>
            <w:r>
              <w:rPr>
                <w:rFonts w:hint="eastAsia"/>
                <w:sz w:val="24"/>
              </w:rPr>
              <w:t>综上，本项目废水收集、处理方案设计合理，废水处理工艺为可行性技术，设置的污水处理系统满足项目废水处理需求，因此项目废水处置措施合理可行。</w:t>
            </w:r>
          </w:p>
          <w:p>
            <w:pPr>
              <w:pStyle w:val="6"/>
            </w:pPr>
            <w:r>
              <w:rPr>
                <w:rFonts w:hint="eastAsia"/>
              </w:rPr>
              <w:t>2.</w:t>
            </w:r>
            <w:r>
              <w:t>噪声影响分析和保护措施</w:t>
            </w:r>
          </w:p>
          <w:p>
            <w:pPr>
              <w:pStyle w:val="6"/>
            </w:pPr>
            <w:r>
              <w:rPr>
                <w:rFonts w:hint="eastAsia"/>
              </w:rPr>
              <w:t>2</w:t>
            </w:r>
            <w:r>
              <w:t>.1噪声源影响分析</w:t>
            </w:r>
          </w:p>
          <w:p>
            <w:pPr>
              <w:widowControl/>
              <w:spacing w:line="360" w:lineRule="auto"/>
              <w:ind w:firstLine="480" w:firstLineChars="200"/>
            </w:pPr>
            <w:r>
              <w:rPr>
                <w:kern w:val="0"/>
                <w:sz w:val="24"/>
                <w:lang w:bidi="ar"/>
              </w:rPr>
              <w:t>本项目运营期主要噪声源来自门诊噪声、废水处理设施污水泵运行噪声，位于设备间的水泵。医院作为公共场所，每日的人流量较大，人员来往可能产生影响周围环境的嘈杂声，根据类比调查，这类噪声声级一般在65-75dB。污水泵及供水泵噪声声级约为70-80dB。各噪声源的排放特征及位置见表</w:t>
            </w:r>
            <w:r>
              <w:rPr>
                <w:sz w:val="24"/>
              </w:rPr>
              <w:t>4-</w:t>
            </w:r>
            <w:r>
              <w:rPr>
                <w:rFonts w:hint="eastAsia"/>
                <w:sz w:val="24"/>
              </w:rPr>
              <w:t>2</w:t>
            </w:r>
            <w:r>
              <w:t>。</w:t>
            </w:r>
          </w:p>
          <w:p>
            <w:pPr>
              <w:adjustRightInd w:val="0"/>
              <w:snapToGrid w:val="0"/>
              <w:jc w:val="center"/>
              <w:rPr>
                <w:b/>
                <w:szCs w:val="21"/>
              </w:rPr>
            </w:pPr>
            <w:r>
              <w:rPr>
                <w:b/>
                <w:szCs w:val="21"/>
              </w:rPr>
              <w:t>表4-</w:t>
            </w:r>
            <w:r>
              <w:rPr>
                <w:rFonts w:hint="eastAsia"/>
                <w:b/>
                <w:szCs w:val="21"/>
              </w:rPr>
              <w:t>2</w:t>
            </w:r>
            <w:r>
              <w:rPr>
                <w:b/>
                <w:szCs w:val="21"/>
              </w:rPr>
              <w:t xml:space="preserve">    医院噪声污染源一览表</w:t>
            </w:r>
          </w:p>
          <w:tbl>
            <w:tblPr>
              <w:tblStyle w:val="17"/>
              <w:tblW w:w="4998"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88"/>
              <w:gridCol w:w="1817"/>
              <w:gridCol w:w="1687"/>
              <w:gridCol w:w="3072"/>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pct"/>
                  <w:tcBorders>
                    <w:top w:val="single" w:color="auto" w:sz="12" w:space="0"/>
                    <w:bottom w:val="single" w:color="auto" w:sz="12" w:space="0"/>
                  </w:tcBorders>
                  <w:vAlign w:val="center"/>
                </w:tcPr>
                <w:p>
                  <w:pPr>
                    <w:jc w:val="center"/>
                    <w:textAlignment w:val="baseline"/>
                    <w:rPr>
                      <w:b/>
                      <w:szCs w:val="21"/>
                    </w:rPr>
                  </w:pPr>
                  <w:r>
                    <w:rPr>
                      <w:b/>
                      <w:szCs w:val="21"/>
                    </w:rPr>
                    <w:t>噪声源</w:t>
                  </w:r>
                </w:p>
              </w:tc>
              <w:tc>
                <w:tcPr>
                  <w:tcW w:w="1126" w:type="pct"/>
                  <w:tcBorders>
                    <w:top w:val="single" w:color="auto" w:sz="12" w:space="0"/>
                    <w:bottom w:val="single" w:color="auto" w:sz="12" w:space="0"/>
                  </w:tcBorders>
                  <w:vAlign w:val="center"/>
                </w:tcPr>
                <w:p>
                  <w:pPr>
                    <w:jc w:val="center"/>
                    <w:textAlignment w:val="baseline"/>
                    <w:rPr>
                      <w:b/>
                      <w:szCs w:val="21"/>
                    </w:rPr>
                  </w:pPr>
                  <w:r>
                    <w:rPr>
                      <w:b/>
                      <w:szCs w:val="21"/>
                    </w:rPr>
                    <w:t>噪声强度dB（A）</w:t>
                  </w:r>
                </w:p>
              </w:tc>
              <w:tc>
                <w:tcPr>
                  <w:tcW w:w="1046" w:type="pct"/>
                  <w:tcBorders>
                    <w:top w:val="single" w:color="auto" w:sz="12" w:space="0"/>
                    <w:bottom w:val="single" w:color="auto" w:sz="12" w:space="0"/>
                  </w:tcBorders>
                  <w:vAlign w:val="center"/>
                </w:tcPr>
                <w:p>
                  <w:pPr>
                    <w:jc w:val="center"/>
                    <w:textAlignment w:val="baseline"/>
                    <w:rPr>
                      <w:b/>
                      <w:szCs w:val="21"/>
                    </w:rPr>
                  </w:pPr>
                  <w:r>
                    <w:rPr>
                      <w:b/>
                      <w:szCs w:val="21"/>
                    </w:rPr>
                    <w:t>位置</w:t>
                  </w:r>
                </w:p>
              </w:tc>
              <w:tc>
                <w:tcPr>
                  <w:tcW w:w="1904" w:type="pct"/>
                  <w:tcBorders>
                    <w:top w:val="single" w:color="auto" w:sz="12" w:space="0"/>
                    <w:bottom w:val="single" w:color="auto" w:sz="12" w:space="0"/>
                  </w:tcBorders>
                  <w:vAlign w:val="center"/>
                </w:tcPr>
                <w:p>
                  <w:pPr>
                    <w:jc w:val="center"/>
                    <w:textAlignment w:val="baseline"/>
                    <w:rPr>
                      <w:b/>
                      <w:szCs w:val="21"/>
                    </w:rPr>
                  </w:pPr>
                  <w:r>
                    <w:rPr>
                      <w:b/>
                      <w:szCs w:val="21"/>
                    </w:rPr>
                    <w:t>防噪措施</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pct"/>
                  <w:tcBorders>
                    <w:top w:val="single" w:color="auto" w:sz="12" w:space="0"/>
                    <w:bottom w:val="single" w:color="auto" w:sz="4" w:space="0"/>
                  </w:tcBorders>
                  <w:vAlign w:val="center"/>
                </w:tcPr>
                <w:p>
                  <w:pPr>
                    <w:jc w:val="center"/>
                    <w:textAlignment w:val="baseline"/>
                    <w:rPr>
                      <w:szCs w:val="21"/>
                    </w:rPr>
                  </w:pPr>
                  <w:r>
                    <w:rPr>
                      <w:szCs w:val="21"/>
                    </w:rPr>
                    <w:t>门诊噪声</w:t>
                  </w:r>
                </w:p>
              </w:tc>
              <w:tc>
                <w:tcPr>
                  <w:tcW w:w="1126" w:type="pct"/>
                  <w:tcBorders>
                    <w:top w:val="single" w:color="auto" w:sz="12" w:space="0"/>
                  </w:tcBorders>
                  <w:vAlign w:val="center"/>
                </w:tcPr>
                <w:p>
                  <w:pPr>
                    <w:jc w:val="center"/>
                    <w:textAlignment w:val="baseline"/>
                    <w:rPr>
                      <w:szCs w:val="21"/>
                    </w:rPr>
                  </w:pPr>
                  <w:r>
                    <w:rPr>
                      <w:szCs w:val="21"/>
                    </w:rPr>
                    <w:t>65-75</w:t>
                  </w:r>
                </w:p>
              </w:tc>
              <w:tc>
                <w:tcPr>
                  <w:tcW w:w="1046" w:type="pct"/>
                  <w:tcBorders>
                    <w:top w:val="single" w:color="auto" w:sz="12" w:space="0"/>
                  </w:tcBorders>
                  <w:vAlign w:val="center"/>
                </w:tcPr>
                <w:p>
                  <w:pPr>
                    <w:jc w:val="center"/>
                    <w:textAlignment w:val="baseline"/>
                    <w:rPr>
                      <w:szCs w:val="21"/>
                    </w:rPr>
                  </w:pPr>
                  <w:r>
                    <w:rPr>
                      <w:szCs w:val="21"/>
                    </w:rPr>
                    <w:t>各门诊室</w:t>
                  </w:r>
                </w:p>
              </w:tc>
              <w:tc>
                <w:tcPr>
                  <w:tcW w:w="1904" w:type="pct"/>
                  <w:tcBorders>
                    <w:top w:val="single" w:color="auto" w:sz="12" w:space="0"/>
                  </w:tcBorders>
                  <w:vAlign w:val="center"/>
                </w:tcPr>
                <w:p>
                  <w:pPr>
                    <w:jc w:val="center"/>
                    <w:textAlignment w:val="baseline"/>
                    <w:rPr>
                      <w:szCs w:val="21"/>
                    </w:rPr>
                  </w:pPr>
                  <w:r>
                    <w:rPr>
                      <w:szCs w:val="21"/>
                    </w:rPr>
                    <w:t>房间墙体噪声</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pct"/>
                  <w:tcBorders>
                    <w:top w:val="single" w:color="auto" w:sz="4" w:space="0"/>
                    <w:bottom w:val="single" w:color="auto" w:sz="4" w:space="0"/>
                  </w:tcBorders>
                  <w:vAlign w:val="center"/>
                </w:tcPr>
                <w:p>
                  <w:pPr>
                    <w:jc w:val="center"/>
                    <w:textAlignment w:val="baseline"/>
                    <w:rPr>
                      <w:szCs w:val="21"/>
                    </w:rPr>
                  </w:pPr>
                  <w:r>
                    <w:rPr>
                      <w:szCs w:val="21"/>
                    </w:rPr>
                    <w:t>污水泵</w:t>
                  </w:r>
                </w:p>
              </w:tc>
              <w:tc>
                <w:tcPr>
                  <w:tcW w:w="1126" w:type="pct"/>
                  <w:tcBorders>
                    <w:bottom w:val="single" w:color="auto" w:sz="4" w:space="0"/>
                  </w:tcBorders>
                  <w:vAlign w:val="center"/>
                </w:tcPr>
                <w:p>
                  <w:pPr>
                    <w:jc w:val="center"/>
                    <w:textAlignment w:val="baseline"/>
                    <w:rPr>
                      <w:szCs w:val="21"/>
                    </w:rPr>
                  </w:pPr>
                  <w:r>
                    <w:rPr>
                      <w:szCs w:val="21"/>
                    </w:rPr>
                    <w:t>70-80</w:t>
                  </w:r>
                </w:p>
              </w:tc>
              <w:tc>
                <w:tcPr>
                  <w:tcW w:w="1046" w:type="pct"/>
                  <w:tcBorders>
                    <w:bottom w:val="single" w:color="auto" w:sz="4" w:space="0"/>
                  </w:tcBorders>
                  <w:vAlign w:val="center"/>
                </w:tcPr>
                <w:p>
                  <w:pPr>
                    <w:jc w:val="center"/>
                    <w:textAlignment w:val="baseline"/>
                    <w:rPr>
                      <w:szCs w:val="21"/>
                    </w:rPr>
                  </w:pPr>
                  <w:r>
                    <w:rPr>
                      <w:szCs w:val="21"/>
                    </w:rPr>
                    <w:t>污水</w:t>
                  </w:r>
                  <w:r>
                    <w:rPr>
                      <w:rFonts w:hint="eastAsia"/>
                      <w:szCs w:val="21"/>
                    </w:rPr>
                    <w:t>处理设施</w:t>
                  </w:r>
                </w:p>
              </w:tc>
              <w:tc>
                <w:tcPr>
                  <w:tcW w:w="1904" w:type="pct"/>
                  <w:tcBorders>
                    <w:bottom w:val="single" w:color="auto" w:sz="4" w:space="0"/>
                  </w:tcBorders>
                  <w:vAlign w:val="center"/>
                </w:tcPr>
                <w:p>
                  <w:pPr>
                    <w:jc w:val="center"/>
                    <w:textAlignment w:val="baseline"/>
                    <w:rPr>
                      <w:szCs w:val="21"/>
                    </w:rPr>
                  </w:pPr>
                  <w:r>
                    <w:rPr>
                      <w:szCs w:val="21"/>
                    </w:rPr>
                    <w:t>位于污水处理站，建筑隔声、减震</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pct"/>
                  <w:tcBorders>
                    <w:top w:val="single" w:color="auto" w:sz="4" w:space="0"/>
                    <w:bottom w:val="single" w:color="auto" w:sz="12" w:space="0"/>
                  </w:tcBorders>
                  <w:vAlign w:val="center"/>
                </w:tcPr>
                <w:p>
                  <w:pPr>
                    <w:jc w:val="center"/>
                    <w:textAlignment w:val="baseline"/>
                    <w:rPr>
                      <w:szCs w:val="21"/>
                    </w:rPr>
                  </w:pPr>
                  <w:r>
                    <w:rPr>
                      <w:szCs w:val="21"/>
                    </w:rPr>
                    <w:t>供水泵</w:t>
                  </w:r>
                </w:p>
              </w:tc>
              <w:tc>
                <w:tcPr>
                  <w:tcW w:w="1126" w:type="pct"/>
                  <w:tcBorders>
                    <w:top w:val="single" w:color="auto" w:sz="4" w:space="0"/>
                    <w:bottom w:val="single" w:color="auto" w:sz="12" w:space="0"/>
                  </w:tcBorders>
                  <w:vAlign w:val="center"/>
                </w:tcPr>
                <w:p>
                  <w:pPr>
                    <w:jc w:val="center"/>
                    <w:textAlignment w:val="baseline"/>
                    <w:rPr>
                      <w:szCs w:val="21"/>
                    </w:rPr>
                  </w:pPr>
                  <w:r>
                    <w:rPr>
                      <w:szCs w:val="21"/>
                    </w:rPr>
                    <w:t>70-80</w:t>
                  </w:r>
                </w:p>
              </w:tc>
              <w:tc>
                <w:tcPr>
                  <w:tcW w:w="1046" w:type="pct"/>
                  <w:tcBorders>
                    <w:top w:val="single" w:color="auto" w:sz="4" w:space="0"/>
                    <w:bottom w:val="single" w:color="auto" w:sz="12" w:space="0"/>
                  </w:tcBorders>
                  <w:vAlign w:val="center"/>
                </w:tcPr>
                <w:p>
                  <w:pPr>
                    <w:jc w:val="center"/>
                    <w:textAlignment w:val="baseline"/>
                    <w:rPr>
                      <w:szCs w:val="21"/>
                    </w:rPr>
                  </w:pPr>
                  <w:r>
                    <w:rPr>
                      <w:szCs w:val="21"/>
                    </w:rPr>
                    <w:t>设备间</w:t>
                  </w:r>
                </w:p>
              </w:tc>
              <w:tc>
                <w:tcPr>
                  <w:tcW w:w="1904" w:type="pct"/>
                  <w:tcBorders>
                    <w:top w:val="single" w:color="auto" w:sz="4" w:space="0"/>
                    <w:bottom w:val="single" w:color="auto" w:sz="12" w:space="0"/>
                  </w:tcBorders>
                  <w:vAlign w:val="center"/>
                </w:tcPr>
                <w:p>
                  <w:pPr>
                    <w:jc w:val="center"/>
                    <w:textAlignment w:val="baseline"/>
                    <w:rPr>
                      <w:szCs w:val="21"/>
                    </w:rPr>
                  </w:pPr>
                  <w:r>
                    <w:rPr>
                      <w:szCs w:val="21"/>
                    </w:rPr>
                    <w:t>位于设备间，建筑隔声、减震</w:t>
                  </w:r>
                </w:p>
              </w:tc>
            </w:tr>
          </w:tbl>
          <w:p>
            <w:pPr>
              <w:pStyle w:val="6"/>
            </w:pPr>
            <w:r>
              <w:rPr>
                <w:rFonts w:hint="eastAsia"/>
              </w:rPr>
              <w:t>2</w:t>
            </w:r>
            <w:r>
              <w:t>.2监测计划</w:t>
            </w:r>
          </w:p>
          <w:p>
            <w:pPr>
              <w:pStyle w:val="22"/>
              <w:spacing w:line="360" w:lineRule="auto"/>
              <w:ind w:firstLine="480" w:firstLineChars="200"/>
              <w:jc w:val="both"/>
              <w:rPr>
                <w:rFonts w:ascii="Times New Roman" w:cs="Times New Roman"/>
                <w:color w:val="auto"/>
              </w:rPr>
            </w:pPr>
            <w:r>
              <w:rPr>
                <w:rFonts w:ascii="Times New Roman" w:cs="Times New Roman"/>
                <w:color w:val="auto"/>
              </w:rPr>
              <w:t>根据《排污许可证申请与核发技术规范-医疗机构》（HJ1105-2020）中并未对噪声的监测频次进行要求，故本项目运营期噪声环境监测计划根据当地环保要求进行核定。</w:t>
            </w:r>
          </w:p>
          <w:p>
            <w:pPr>
              <w:pStyle w:val="22"/>
              <w:jc w:val="center"/>
              <w:rPr>
                <w:rFonts w:ascii="Times New Roman" w:eastAsia="黑体" w:cs="Times New Roman"/>
                <w:color w:val="auto"/>
                <w:sz w:val="21"/>
                <w:szCs w:val="21"/>
              </w:rPr>
            </w:pPr>
            <w:r>
              <w:rPr>
                <w:rFonts w:ascii="Times New Roman" w:cs="Times New Roman"/>
                <w:b/>
                <w:bCs/>
                <w:color w:val="auto"/>
                <w:sz w:val="21"/>
                <w:szCs w:val="21"/>
              </w:rPr>
              <w:t>表4-</w:t>
            </w:r>
            <w:r>
              <w:rPr>
                <w:rFonts w:hint="eastAsia" w:ascii="Times New Roman" w:cs="Times New Roman"/>
                <w:b/>
                <w:bCs/>
                <w:color w:val="auto"/>
                <w:sz w:val="21"/>
                <w:szCs w:val="21"/>
              </w:rPr>
              <w:t>3</w:t>
            </w:r>
            <w:r>
              <w:rPr>
                <w:rFonts w:ascii="Times New Roman" w:cs="Times New Roman"/>
                <w:b/>
                <w:bCs/>
                <w:color w:val="auto"/>
                <w:sz w:val="21"/>
                <w:szCs w:val="21"/>
              </w:rPr>
              <w:t xml:space="preserve">      噪声监测内容及计划</w:t>
            </w:r>
          </w:p>
          <w:tbl>
            <w:tblPr>
              <w:tblStyle w:val="17"/>
              <w:tblW w:w="4999"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1466"/>
              <w:gridCol w:w="1813"/>
              <w:gridCol w:w="1134"/>
              <w:gridCol w:w="3652"/>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3" w:hRule="atLeast"/>
              </w:trPr>
              <w:tc>
                <w:tcPr>
                  <w:tcW w:w="908" w:type="pct"/>
                  <w:tcBorders>
                    <w:bottom w:val="single" w:color="auto" w:sz="12" w:space="0"/>
                  </w:tcBorders>
                  <w:vAlign w:val="center"/>
                </w:tcPr>
                <w:p>
                  <w:pPr>
                    <w:pStyle w:val="22"/>
                    <w:adjustRightInd/>
                    <w:jc w:val="center"/>
                    <w:rPr>
                      <w:rFonts w:ascii="Times New Roman" w:cs="Times New Roman"/>
                      <w:b/>
                      <w:color w:val="auto"/>
                      <w:kern w:val="2"/>
                      <w:sz w:val="21"/>
                      <w:szCs w:val="21"/>
                    </w:rPr>
                  </w:pPr>
                  <w:r>
                    <w:rPr>
                      <w:rFonts w:ascii="Times New Roman" w:cs="Times New Roman"/>
                      <w:b/>
                      <w:color w:val="auto"/>
                      <w:kern w:val="2"/>
                      <w:sz w:val="21"/>
                      <w:szCs w:val="21"/>
                    </w:rPr>
                    <w:t>监测点位</w:t>
                  </w:r>
                </w:p>
              </w:tc>
              <w:tc>
                <w:tcPr>
                  <w:tcW w:w="1124" w:type="pct"/>
                  <w:tcBorders>
                    <w:bottom w:val="single" w:color="auto" w:sz="12" w:space="0"/>
                  </w:tcBorders>
                  <w:vAlign w:val="center"/>
                </w:tcPr>
                <w:p>
                  <w:pPr>
                    <w:pStyle w:val="22"/>
                    <w:adjustRightInd/>
                    <w:jc w:val="center"/>
                    <w:rPr>
                      <w:rFonts w:ascii="Times New Roman" w:cs="Times New Roman"/>
                      <w:b/>
                      <w:color w:val="auto"/>
                      <w:kern w:val="2"/>
                      <w:sz w:val="21"/>
                      <w:szCs w:val="21"/>
                    </w:rPr>
                  </w:pPr>
                  <w:r>
                    <w:rPr>
                      <w:rFonts w:ascii="Times New Roman" w:cs="Times New Roman"/>
                      <w:b/>
                      <w:color w:val="auto"/>
                      <w:kern w:val="2"/>
                      <w:sz w:val="21"/>
                      <w:szCs w:val="21"/>
                    </w:rPr>
                    <w:t>监测指标</w:t>
                  </w:r>
                </w:p>
              </w:tc>
              <w:tc>
                <w:tcPr>
                  <w:tcW w:w="703" w:type="pct"/>
                  <w:tcBorders>
                    <w:bottom w:val="single" w:color="auto" w:sz="12" w:space="0"/>
                  </w:tcBorders>
                  <w:vAlign w:val="center"/>
                </w:tcPr>
                <w:p>
                  <w:pPr>
                    <w:pStyle w:val="22"/>
                    <w:adjustRightInd/>
                    <w:jc w:val="center"/>
                    <w:rPr>
                      <w:rFonts w:ascii="Times New Roman" w:cs="Times New Roman"/>
                      <w:b/>
                      <w:color w:val="auto"/>
                      <w:kern w:val="2"/>
                      <w:sz w:val="21"/>
                      <w:szCs w:val="21"/>
                    </w:rPr>
                  </w:pPr>
                  <w:r>
                    <w:rPr>
                      <w:rFonts w:ascii="Times New Roman" w:cs="Times New Roman"/>
                      <w:b/>
                      <w:color w:val="auto"/>
                      <w:kern w:val="2"/>
                      <w:sz w:val="21"/>
                      <w:szCs w:val="21"/>
                    </w:rPr>
                    <w:t>监测频次</w:t>
                  </w:r>
                </w:p>
              </w:tc>
              <w:tc>
                <w:tcPr>
                  <w:tcW w:w="2264" w:type="pct"/>
                  <w:tcBorders>
                    <w:bottom w:val="single" w:color="auto" w:sz="12" w:space="0"/>
                  </w:tcBorders>
                  <w:vAlign w:val="center"/>
                </w:tcPr>
                <w:p>
                  <w:pPr>
                    <w:pStyle w:val="22"/>
                    <w:adjustRightInd/>
                    <w:jc w:val="center"/>
                    <w:rPr>
                      <w:rFonts w:ascii="Times New Roman" w:cs="Times New Roman"/>
                      <w:b/>
                      <w:color w:val="auto"/>
                      <w:kern w:val="2"/>
                      <w:sz w:val="21"/>
                      <w:szCs w:val="21"/>
                    </w:rPr>
                  </w:pPr>
                  <w:r>
                    <w:rPr>
                      <w:rFonts w:ascii="Times New Roman" w:cs="Times New Roman"/>
                      <w:b/>
                      <w:color w:val="auto"/>
                      <w:kern w:val="2"/>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3" w:hRule="atLeast"/>
              </w:trPr>
              <w:tc>
                <w:tcPr>
                  <w:tcW w:w="908" w:type="pct"/>
                  <w:tcBorders>
                    <w:top w:val="single" w:color="auto" w:sz="12" w:space="0"/>
                  </w:tcBorders>
                  <w:vAlign w:val="center"/>
                </w:tcPr>
                <w:p>
                  <w:pPr>
                    <w:pStyle w:val="22"/>
                    <w:adjustRightInd/>
                    <w:jc w:val="center"/>
                    <w:rPr>
                      <w:rFonts w:ascii="Times New Roman" w:cs="Times New Roman"/>
                      <w:color w:val="auto"/>
                      <w:sz w:val="21"/>
                      <w:szCs w:val="21"/>
                    </w:rPr>
                  </w:pPr>
                  <w:r>
                    <w:rPr>
                      <w:rFonts w:hint="eastAsia" w:ascii="Times New Roman" w:cs="Times New Roman"/>
                      <w:color w:val="auto"/>
                      <w:sz w:val="21"/>
                      <w:szCs w:val="21"/>
                    </w:rPr>
                    <w:t>项目区周界</w:t>
                  </w:r>
                  <w:r>
                    <w:rPr>
                      <w:rFonts w:ascii="Times New Roman" w:cs="Times New Roman"/>
                      <w:color w:val="auto"/>
                      <w:sz w:val="21"/>
                      <w:szCs w:val="21"/>
                    </w:rPr>
                    <w:t>外1米处</w:t>
                  </w:r>
                </w:p>
              </w:tc>
              <w:tc>
                <w:tcPr>
                  <w:tcW w:w="1124" w:type="pct"/>
                  <w:tcBorders>
                    <w:top w:val="single" w:color="auto" w:sz="12" w:space="0"/>
                  </w:tcBorders>
                  <w:vAlign w:val="center"/>
                </w:tcPr>
                <w:p>
                  <w:pPr>
                    <w:pStyle w:val="22"/>
                    <w:adjustRightInd/>
                    <w:jc w:val="center"/>
                    <w:rPr>
                      <w:rFonts w:ascii="Times New Roman" w:cs="Times New Roman"/>
                      <w:color w:val="auto"/>
                      <w:sz w:val="21"/>
                      <w:szCs w:val="21"/>
                    </w:rPr>
                  </w:pPr>
                  <w:r>
                    <w:rPr>
                      <w:rFonts w:ascii="Times New Roman" w:cs="Times New Roman"/>
                      <w:color w:val="auto"/>
                      <w:sz w:val="21"/>
                      <w:szCs w:val="21"/>
                    </w:rPr>
                    <w:t>等效连续A声级</w:t>
                  </w:r>
                </w:p>
              </w:tc>
              <w:tc>
                <w:tcPr>
                  <w:tcW w:w="703" w:type="pct"/>
                  <w:tcBorders>
                    <w:top w:val="single" w:color="auto" w:sz="12" w:space="0"/>
                  </w:tcBorders>
                  <w:vAlign w:val="center"/>
                </w:tcPr>
                <w:p>
                  <w:pPr>
                    <w:pStyle w:val="22"/>
                    <w:adjustRightInd/>
                    <w:jc w:val="center"/>
                    <w:rPr>
                      <w:rFonts w:ascii="Times New Roman" w:cs="Times New Roman"/>
                      <w:color w:val="auto"/>
                      <w:sz w:val="21"/>
                      <w:szCs w:val="21"/>
                    </w:rPr>
                  </w:pPr>
                  <w:r>
                    <w:rPr>
                      <w:rFonts w:ascii="Times New Roman" w:cs="Times New Roman"/>
                      <w:color w:val="auto"/>
                      <w:sz w:val="21"/>
                      <w:szCs w:val="21"/>
                    </w:rPr>
                    <w:t>1次/半年</w:t>
                  </w:r>
                </w:p>
              </w:tc>
              <w:tc>
                <w:tcPr>
                  <w:tcW w:w="2264" w:type="pct"/>
                  <w:tcBorders>
                    <w:top w:val="single" w:color="auto" w:sz="12" w:space="0"/>
                  </w:tcBorders>
                  <w:vAlign w:val="center"/>
                </w:tcPr>
                <w:p>
                  <w:pPr>
                    <w:pStyle w:val="22"/>
                    <w:adjustRightInd/>
                    <w:jc w:val="center"/>
                    <w:rPr>
                      <w:rFonts w:ascii="Times New Roman" w:cs="Times New Roman"/>
                      <w:color w:val="auto"/>
                      <w:sz w:val="21"/>
                      <w:szCs w:val="21"/>
                    </w:rPr>
                  </w:pPr>
                  <w:r>
                    <w:rPr>
                      <w:rFonts w:ascii="Times New Roman" w:cs="Times New Roman"/>
                      <w:color w:val="auto"/>
                      <w:sz w:val="21"/>
                      <w:szCs w:val="21"/>
                    </w:rPr>
                    <w:t>《工业企业厂界环境噪声排放标准》（GB12348-2008）</w:t>
                  </w:r>
                </w:p>
              </w:tc>
            </w:tr>
          </w:tbl>
          <w:p>
            <w:pPr>
              <w:pStyle w:val="6"/>
            </w:pPr>
            <w:r>
              <w:rPr>
                <w:rFonts w:hint="eastAsia"/>
              </w:rPr>
              <w:t>3.</w:t>
            </w:r>
            <w:r>
              <w:t>固体废物</w:t>
            </w:r>
          </w:p>
          <w:p>
            <w:pPr>
              <w:spacing w:line="360" w:lineRule="auto"/>
              <w:ind w:firstLine="480" w:firstLineChars="200"/>
              <w:rPr>
                <w:sz w:val="24"/>
              </w:rPr>
            </w:pPr>
            <w:r>
              <w:rPr>
                <w:sz w:val="24"/>
              </w:rPr>
              <w:t>本项目产生的固废主要包括生活垃圾、一般固废及危险废物。一般固废为废弃包装材料。危险废物主要包括医疗废物。</w:t>
            </w:r>
          </w:p>
          <w:p>
            <w:pPr>
              <w:pStyle w:val="6"/>
            </w:pPr>
            <w:r>
              <w:rPr>
                <w:rFonts w:hint="eastAsia"/>
              </w:rPr>
              <w:t>3</w:t>
            </w:r>
            <w:r>
              <w:t>.1生活垃圾</w:t>
            </w:r>
          </w:p>
          <w:p>
            <w:pPr>
              <w:pStyle w:val="11"/>
              <w:spacing w:line="360" w:lineRule="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本项目生活垃圾包括陪护人员及医护人员产生的生活垃圾。</w:t>
            </w:r>
          </w:p>
          <w:p>
            <w:pPr>
              <w:pStyle w:val="11"/>
              <w:spacing w:line="360" w:lineRule="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本项目</w:t>
            </w:r>
            <w:r>
              <w:rPr>
                <w:rFonts w:hint="eastAsia" w:hAnsi="Times New Roman"/>
                <w:color w:val="000000" w:themeColor="text1"/>
                <w14:textFill>
                  <w14:solidFill>
                    <w14:schemeClr w14:val="tx1"/>
                  </w14:solidFill>
                </w14:textFill>
              </w:rPr>
              <w:t>床位204床</w:t>
            </w:r>
            <w:bookmarkStart w:id="17" w:name="OLE_LINK92"/>
            <w:r>
              <w:rPr>
                <w:rFonts w:hAnsi="Times New Roman"/>
                <w:color w:val="000000" w:themeColor="text1"/>
                <w14:textFill>
                  <w14:solidFill>
                    <w14:schemeClr w14:val="tx1"/>
                  </w14:solidFill>
                </w14:textFill>
              </w:rPr>
              <w:t>（陪护人数与床位数1∶1计）</w:t>
            </w:r>
            <w:bookmarkEnd w:id="17"/>
            <w:r>
              <w:rPr>
                <w:rFonts w:hint="eastAsia" w:hAnsi="Times New Roman"/>
                <w:color w:val="000000" w:themeColor="text1"/>
                <w14:textFill>
                  <w14:solidFill>
                    <w14:schemeClr w14:val="tx1"/>
                  </w14:solidFill>
                </w14:textFill>
              </w:rPr>
              <w:t>，则陪护人员按204计</w:t>
            </w:r>
            <w:r>
              <w:rPr>
                <w:rFonts w:hAnsi="Times New Roman"/>
                <w:color w:val="000000" w:themeColor="text1"/>
                <w14:textFill>
                  <w14:solidFill>
                    <w14:schemeClr w14:val="tx1"/>
                  </w14:solidFill>
                </w14:textFill>
              </w:rPr>
              <w:t>，新增医护人员</w:t>
            </w:r>
            <w:r>
              <w:rPr>
                <w:rFonts w:hint="eastAsia" w:hAnsi="Times New Roman"/>
                <w:color w:val="000000" w:themeColor="text1"/>
                <w14:textFill>
                  <w14:solidFill>
                    <w14:schemeClr w14:val="tx1"/>
                  </w14:solidFill>
                </w14:textFill>
              </w:rPr>
              <w:t>158</w:t>
            </w:r>
            <w:r>
              <w:rPr>
                <w:rFonts w:hAnsi="Times New Roman"/>
                <w:color w:val="000000" w:themeColor="text1"/>
                <w14:textFill>
                  <w14:solidFill>
                    <w14:schemeClr w14:val="tx1"/>
                  </w14:solidFill>
                </w14:textFill>
              </w:rPr>
              <w:t>人，共计</w:t>
            </w:r>
            <w:r>
              <w:rPr>
                <w:rFonts w:hint="eastAsia" w:hAnsi="Times New Roman"/>
                <w:color w:val="000000" w:themeColor="text1"/>
                <w14:textFill>
                  <w14:solidFill>
                    <w14:schemeClr w14:val="tx1"/>
                  </w14:solidFill>
                </w14:textFill>
              </w:rPr>
              <w:t>362</w:t>
            </w:r>
            <w:r>
              <w:rPr>
                <w:rFonts w:hAnsi="Times New Roman"/>
                <w:color w:val="000000" w:themeColor="text1"/>
                <w14:textFill>
                  <w14:solidFill>
                    <w14:schemeClr w14:val="tx1"/>
                  </w14:solidFill>
                </w14:textFill>
              </w:rPr>
              <w:t>人。生活垃圾按0.5kg/人·d计，则产生的生活垃圾为</w:t>
            </w:r>
            <w:r>
              <w:rPr>
                <w:rFonts w:hint="eastAsia" w:hAnsi="Times New Roman"/>
                <w:color w:val="000000" w:themeColor="text1"/>
                <w14:textFill>
                  <w14:solidFill>
                    <w14:schemeClr w14:val="tx1"/>
                  </w14:solidFill>
                </w14:textFill>
              </w:rPr>
              <w:t>181</w:t>
            </w:r>
            <w:r>
              <w:rPr>
                <w:rFonts w:hAnsi="Times New Roman"/>
                <w:color w:val="000000" w:themeColor="text1"/>
                <w14:textFill>
                  <w14:solidFill>
                    <w14:schemeClr w14:val="tx1"/>
                  </w14:solidFill>
                </w14:textFill>
              </w:rPr>
              <w:t>kg/d（</w:t>
            </w:r>
            <w:bookmarkStart w:id="18" w:name="OLE_LINK47"/>
            <w:r>
              <w:rPr>
                <w:rFonts w:hint="eastAsia" w:hAnsi="Times New Roman"/>
                <w:color w:val="000000" w:themeColor="text1"/>
                <w14:textFill>
                  <w14:solidFill>
                    <w14:schemeClr w14:val="tx1"/>
                  </w14:solidFill>
                </w14:textFill>
              </w:rPr>
              <w:t>66.07</w:t>
            </w:r>
            <w:r>
              <w:rPr>
                <w:rFonts w:hAnsi="Times New Roman"/>
                <w:color w:val="000000" w:themeColor="text1"/>
                <w14:textFill>
                  <w14:solidFill>
                    <w14:schemeClr w14:val="tx1"/>
                  </w14:solidFill>
                </w14:textFill>
              </w:rPr>
              <w:t>t/a</w:t>
            </w:r>
            <w:bookmarkEnd w:id="18"/>
            <w:r>
              <w:rPr>
                <w:rFonts w:hAnsi="Times New Roman"/>
                <w:color w:val="000000" w:themeColor="text1"/>
                <w14:textFill>
                  <w14:solidFill>
                    <w14:schemeClr w14:val="tx1"/>
                  </w14:solidFill>
                </w14:textFill>
              </w:rPr>
              <w:t>）。</w:t>
            </w:r>
          </w:p>
          <w:p>
            <w:pPr>
              <w:pStyle w:val="6"/>
            </w:pPr>
            <w:r>
              <w:rPr>
                <w:rFonts w:hint="eastAsia"/>
              </w:rPr>
              <w:t>3</w:t>
            </w:r>
            <w:r>
              <w:t>.</w:t>
            </w:r>
            <w:r>
              <w:rPr>
                <w:rFonts w:hint="eastAsia"/>
              </w:rPr>
              <w:t>2</w:t>
            </w:r>
            <w:r>
              <w:t>一般固废</w:t>
            </w:r>
          </w:p>
          <w:p>
            <w:pPr>
              <w:spacing w:line="360" w:lineRule="auto"/>
              <w:ind w:firstLine="480" w:firstLineChars="200"/>
              <w:rPr>
                <w:sz w:val="24"/>
              </w:rPr>
            </w:pPr>
            <w:r>
              <w:rPr>
                <w:sz w:val="24"/>
              </w:rPr>
              <w:t>本项目产生的一般固废为废弃包装物，如包装袋、包装盒等。根据建设方提供资料，废气包装物产生量约1t/a，集中收集后同生活垃圾一起交由环卫部门处理。</w:t>
            </w:r>
          </w:p>
          <w:p>
            <w:pPr>
              <w:spacing w:line="360" w:lineRule="auto"/>
              <w:rPr>
                <w:b/>
                <w:bCs/>
                <w:sz w:val="24"/>
              </w:rPr>
            </w:pPr>
            <w:r>
              <w:rPr>
                <w:rFonts w:hint="eastAsia"/>
                <w:b/>
                <w:bCs/>
                <w:sz w:val="24"/>
              </w:rPr>
              <w:t>3</w:t>
            </w:r>
            <w:r>
              <w:rPr>
                <w:b/>
                <w:bCs/>
                <w:sz w:val="24"/>
              </w:rPr>
              <w:t>.</w:t>
            </w:r>
            <w:r>
              <w:rPr>
                <w:rFonts w:hint="eastAsia"/>
                <w:b/>
                <w:bCs/>
                <w:sz w:val="24"/>
              </w:rPr>
              <w:t>3</w:t>
            </w:r>
            <w:r>
              <w:rPr>
                <w:b/>
                <w:bCs/>
                <w:sz w:val="24"/>
              </w:rPr>
              <w:t>危险废物</w:t>
            </w:r>
          </w:p>
          <w:p>
            <w:pPr>
              <w:spacing w:line="360" w:lineRule="auto"/>
              <w:ind w:firstLine="480" w:firstLineChars="200"/>
              <w:rPr>
                <w:kern w:val="0"/>
                <w:sz w:val="24"/>
                <w:lang w:bidi="ar"/>
              </w:rPr>
            </w:pPr>
            <w:r>
              <w:rPr>
                <w:kern w:val="0"/>
                <w:sz w:val="24"/>
                <w:lang w:bidi="ar"/>
              </w:rPr>
              <w:t>项目医疗废物主要由病房及诊疗区产生。根据《国家危险废物名录》（2016），医疗废物属于危险废物，危废类别分别为HW01。</w:t>
            </w:r>
          </w:p>
          <w:p>
            <w:pPr>
              <w:spacing w:line="360" w:lineRule="auto"/>
              <w:ind w:firstLine="480" w:firstLineChars="200"/>
              <w:rPr>
                <w:color w:val="0000FF"/>
                <w:sz w:val="24"/>
              </w:rPr>
            </w:pPr>
            <w:r>
              <w:rPr>
                <w:rFonts w:hint="eastAsia"/>
                <w:kern w:val="0"/>
                <w:sz w:val="24"/>
                <w:lang w:bidi="ar"/>
              </w:rPr>
              <w:t>本项目康复楼共</w:t>
            </w:r>
            <w:r>
              <w:rPr>
                <w:kern w:val="0"/>
                <w:sz w:val="24"/>
                <w:lang w:bidi="ar"/>
              </w:rPr>
              <w:t>设置</w:t>
            </w:r>
            <w:r>
              <w:rPr>
                <w:rFonts w:hint="eastAsia"/>
                <w:kern w:val="0"/>
                <w:sz w:val="24"/>
                <w:lang w:bidi="ar"/>
              </w:rPr>
              <w:t>204</w:t>
            </w:r>
            <w:r>
              <w:rPr>
                <w:kern w:val="0"/>
                <w:sz w:val="24"/>
                <w:lang w:bidi="ar"/>
              </w:rPr>
              <w:t>个床位，医疗垃圾产生系数为0.53kg/床·d，则医疗垃圾产生量为</w:t>
            </w:r>
            <w:r>
              <w:rPr>
                <w:rFonts w:hint="eastAsia"/>
                <w:kern w:val="0"/>
                <w:sz w:val="24"/>
                <w:lang w:bidi="ar"/>
              </w:rPr>
              <w:t>108.12</w:t>
            </w:r>
            <w:r>
              <w:rPr>
                <w:kern w:val="0"/>
                <w:sz w:val="24"/>
                <w:lang w:bidi="ar"/>
              </w:rPr>
              <w:t>kg/d</w:t>
            </w:r>
            <w:r>
              <w:rPr>
                <w:rFonts w:hint="eastAsia"/>
                <w:kern w:val="0"/>
                <w:sz w:val="24"/>
                <w:lang w:bidi="ar"/>
              </w:rPr>
              <w:t>（39.46</w:t>
            </w:r>
            <w:r>
              <w:rPr>
                <w:kern w:val="0"/>
                <w:sz w:val="24"/>
                <w:lang w:bidi="ar"/>
              </w:rPr>
              <w:t>t/a</w:t>
            </w:r>
            <w:r>
              <w:rPr>
                <w:rFonts w:hint="eastAsia"/>
                <w:kern w:val="0"/>
                <w:sz w:val="24"/>
                <w:lang w:bidi="ar"/>
              </w:rPr>
              <w:t>）</w:t>
            </w:r>
            <w:r>
              <w:rPr>
                <w:kern w:val="0"/>
                <w:sz w:val="24"/>
                <w:lang w:bidi="ar"/>
              </w:rPr>
              <w:t>。医疗垃圾暂存于医院原有医疗废物暂存间，定期交由资质单位处置。</w:t>
            </w:r>
          </w:p>
          <w:p>
            <w:pPr>
              <w:pStyle w:val="22"/>
              <w:spacing w:line="360" w:lineRule="auto"/>
              <w:ind w:firstLine="480" w:firstLineChars="200"/>
              <w:jc w:val="both"/>
              <w:rPr>
                <w:rFonts w:ascii="Times New Roman" w:cs="Times New Roman"/>
                <w:color w:val="auto"/>
              </w:rPr>
            </w:pPr>
            <w:r>
              <w:rPr>
                <w:rFonts w:ascii="Times New Roman" w:cs="Times New Roman"/>
                <w:color w:val="auto"/>
              </w:rPr>
              <w:t>综上，项目产生的各类固废均能得到妥善处置，对周围环境影响较小。</w:t>
            </w:r>
          </w:p>
          <w:p>
            <w:pPr>
              <w:pStyle w:val="6"/>
            </w:pPr>
            <w:r>
              <w:rPr>
                <w:rFonts w:hint="eastAsia"/>
              </w:rPr>
              <w:t>3</w:t>
            </w:r>
            <w:r>
              <w:t>.</w:t>
            </w:r>
            <w:r>
              <w:rPr>
                <w:rFonts w:hint="eastAsia"/>
              </w:rPr>
              <w:t>4</w:t>
            </w:r>
            <w:r>
              <w:t>危险废物处置及防治措施</w:t>
            </w:r>
          </w:p>
          <w:p>
            <w:pPr>
              <w:pStyle w:val="6"/>
            </w:pPr>
            <w:r>
              <w:rPr>
                <w:rFonts w:hint="eastAsia"/>
              </w:rPr>
              <w:t>3</w:t>
            </w:r>
            <w:r>
              <w:t>.</w:t>
            </w:r>
            <w:r>
              <w:rPr>
                <w:rFonts w:hint="eastAsia"/>
              </w:rPr>
              <w:t>4</w:t>
            </w:r>
            <w:r>
              <w:t>.</w:t>
            </w:r>
            <w:r>
              <w:rPr>
                <w:rFonts w:hint="eastAsia"/>
              </w:rPr>
              <w:t>1医疗废物处置及防治措施</w:t>
            </w:r>
          </w:p>
          <w:p>
            <w:pPr>
              <w:pStyle w:val="11"/>
              <w:spacing w:line="360" w:lineRule="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项目医疗固废主要由病房及诊疗区各诊室产生。根据《国家危险废物名录》（2016），医疗废物属于危险废物，危废类别分别为</w:t>
            </w:r>
            <w:r>
              <w:rPr>
                <w:rFonts w:hAnsi="Times New Roman"/>
                <w:color w:val="000000" w:themeColor="text1"/>
                <w:shd w:val="clear" w:color="auto" w:fill="FFFFFF"/>
                <w14:textFill>
                  <w14:solidFill>
                    <w14:schemeClr w14:val="tx1"/>
                  </w14:solidFill>
                </w14:textFill>
              </w:rPr>
              <w:t>HW01</w:t>
            </w:r>
            <w:r>
              <w:rPr>
                <w:rFonts w:hAnsi="Times New Roman"/>
                <w:color w:val="000000" w:themeColor="text1"/>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本项目产生的医疗废物依托医院已建医疗废物暂存间储存，医疗废物实施分类收集，全部使用带</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医疗垃圾</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字样的专用袋密封包扎，运送至医院设定专用的医疗废物暂存处，</w:t>
            </w:r>
            <w:r>
              <w:rPr>
                <w:rFonts w:hint="eastAsia"/>
                <w:color w:val="000000" w:themeColor="text1"/>
                <w:sz w:val="24"/>
                <w14:textFill>
                  <w14:solidFill>
                    <w14:schemeClr w14:val="tx1"/>
                  </w14:solidFill>
                </w14:textFill>
              </w:rPr>
              <w:t>日清</w:t>
            </w:r>
            <w:r>
              <w:rPr>
                <w:color w:val="000000" w:themeColor="text1"/>
                <w:sz w:val="24"/>
                <w14:textFill>
                  <w14:solidFill>
                    <w14:schemeClr w14:val="tx1"/>
                  </w14:solidFill>
                </w14:textFill>
              </w:rPr>
              <w:t>，并配备加盖密封的垃圾周转箱，做为包装袋待运废弃物的暂存场所。垃圾收集和运输过程中，做到密封运输。周转箱上有明显的标志，由专管人员管理，定期交由资质单位处置，并对危险废物转移联单进行存档。</w:t>
            </w:r>
          </w:p>
          <w:p>
            <w:pPr>
              <w:topLinePunct/>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现有的医疗废物暂存间设计</w:t>
            </w:r>
            <w:r>
              <w:rPr>
                <w:rFonts w:hint="eastAsia"/>
                <w:color w:val="000000" w:themeColor="text1"/>
                <w:sz w:val="24"/>
                <w14:textFill>
                  <w14:solidFill>
                    <w14:schemeClr w14:val="tx1"/>
                  </w14:solidFill>
                </w14:textFill>
              </w:rPr>
              <w:t>规模30m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暂存量为</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t，现有项目实际暂存量约为0.</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t，</w:t>
            </w:r>
            <w:r>
              <w:rPr>
                <w:rFonts w:hint="eastAsia"/>
                <w:color w:val="000000" w:themeColor="text1"/>
                <w:sz w:val="24"/>
                <w14:textFill>
                  <w14:solidFill>
                    <w14:schemeClr w14:val="tx1"/>
                  </w14:solidFill>
                </w14:textFill>
              </w:rPr>
              <w:t>日清</w:t>
            </w:r>
            <w:r>
              <w:rPr>
                <w:color w:val="000000" w:themeColor="text1"/>
                <w:sz w:val="24"/>
                <w14:textFill>
                  <w14:solidFill>
                    <w14:schemeClr w14:val="tx1"/>
                  </w14:solidFill>
                </w14:textFill>
              </w:rPr>
              <w:t>，本项目新增暂存量约为</w:t>
            </w:r>
            <w:r>
              <w:rPr>
                <w:rFonts w:hint="eastAsia"/>
                <w:color w:val="000000" w:themeColor="text1"/>
                <w:sz w:val="24"/>
                <w14:textFill>
                  <w14:solidFill>
                    <w14:schemeClr w14:val="tx1"/>
                  </w14:solidFill>
                </w14:textFill>
              </w:rPr>
              <w:t>0.108</w:t>
            </w:r>
            <w:r>
              <w:rPr>
                <w:color w:val="000000" w:themeColor="text1"/>
                <w:sz w:val="24"/>
                <w14:textFill>
                  <w14:solidFill>
                    <w14:schemeClr w14:val="tx1"/>
                  </w14:solidFill>
                </w14:textFill>
              </w:rPr>
              <w:t>t，</w:t>
            </w:r>
            <w:bookmarkStart w:id="19" w:name="OLE_LINK57"/>
            <w:r>
              <w:rPr>
                <w:color w:val="000000" w:themeColor="text1"/>
                <w:sz w:val="24"/>
                <w14:textFill>
                  <w14:solidFill>
                    <w14:schemeClr w14:val="tx1"/>
                  </w14:solidFill>
                </w14:textFill>
              </w:rPr>
              <w:t>可以满足本项目医疗垃圾的接收能力，本项目依托的条件是具备的。</w:t>
            </w:r>
            <w:bookmarkEnd w:id="19"/>
          </w:p>
          <w:p>
            <w:pPr>
              <w:pStyle w:val="6"/>
            </w:pPr>
            <w:bookmarkStart w:id="20" w:name="OLE_LINK63"/>
            <w:r>
              <w:rPr>
                <w:rFonts w:hint="eastAsia"/>
              </w:rPr>
              <w:t>3.4.2依托昌吉市城市生活垃圾综合处理厂可行性分析</w:t>
            </w:r>
          </w:p>
          <w:p>
            <w:pPr>
              <w:pStyle w:val="22"/>
              <w:adjustRightInd/>
              <w:spacing w:line="360" w:lineRule="auto"/>
              <w:ind w:firstLine="480" w:firstLineChars="200"/>
              <w:jc w:val="both"/>
              <w:rPr>
                <w:rFonts w:ascii="Times New Roman" w:cs="Times New Roman"/>
                <w:color w:val="auto"/>
                <w:kern w:val="2"/>
              </w:rPr>
            </w:pPr>
            <w:r>
              <w:rPr>
                <w:rFonts w:ascii="Times New Roman" w:cs="Times New Roman"/>
                <w:color w:val="auto"/>
                <w:kern w:val="2"/>
              </w:rPr>
              <w:t>昌吉市城市生活垃圾综合处理项目位于昌吉市榆树沟镇312国道53km处，2002年11月21日取得原新疆维吾尔自治区生态环境厅批复（新环监函〔2002〕246号），于2019年3月完成并通过了该项目的竣工环境保护验收，具有处理HW01类危险废物经营许可证（见附件），且建设单位与昌吉市生活垃圾填埋场签署了</w:t>
            </w:r>
            <w:r>
              <w:rPr>
                <w:rFonts w:hint="eastAsia" w:ascii="Times New Roman" w:cs="Times New Roman"/>
                <w:color w:val="auto"/>
                <w:kern w:val="2"/>
              </w:rPr>
              <w:t>医疗废物清运</w:t>
            </w:r>
            <w:r>
              <w:rPr>
                <w:rFonts w:ascii="Times New Roman" w:cs="Times New Roman"/>
                <w:color w:val="auto"/>
                <w:kern w:val="2"/>
              </w:rPr>
              <w:t>处置协议</w:t>
            </w:r>
            <w:r>
              <w:rPr>
                <w:rFonts w:hint="eastAsia" w:ascii="Times New Roman" w:cs="Times New Roman"/>
                <w:color w:val="auto"/>
                <w:kern w:val="2"/>
              </w:rPr>
              <w:t>书</w:t>
            </w:r>
            <w:r>
              <w:rPr>
                <w:rFonts w:ascii="Times New Roman" w:cs="Times New Roman"/>
                <w:color w:val="auto"/>
                <w:kern w:val="2"/>
              </w:rPr>
              <w:t>（见附件）</w:t>
            </w:r>
            <w:r>
              <w:rPr>
                <w:rFonts w:ascii="Times New Roman" w:cs="Times New Roman"/>
                <w:color w:val="auto"/>
                <w:lang w:bidi="ar"/>
              </w:rPr>
              <w:t>，设计处理规模为3t/d，实际处理规模为1.8t/d，处理工艺为高温蒸煮。</w:t>
            </w:r>
          </w:p>
          <w:p>
            <w:pPr>
              <w:spacing w:line="360" w:lineRule="auto"/>
              <w:ind w:firstLine="480" w:firstLineChars="200"/>
              <w:rPr>
                <w:sz w:val="24"/>
              </w:rPr>
            </w:pPr>
            <w:r>
              <w:rPr>
                <w:rFonts w:hint="eastAsia"/>
                <w:sz w:val="24"/>
              </w:rPr>
              <w:t>本项目康复楼产生的医疗废物，建设单位需按照《医疗废物管理条例》和卫生、环保部门的要求，对医疗废物中的感染性废物、损伤性废物进行分类收集、毁形、消毒、密封、装袋暂存医疗废物暂存间，设置明显标志，并保证医疗废物专用收集容器完整密封并及时清洁消毒，</w:t>
            </w:r>
            <w:r>
              <w:rPr>
                <w:sz w:val="24"/>
              </w:rPr>
              <w:t>经收集到医疗废物暂存间后，定期清运至昌吉市城市生活垃圾处理厂做无害化处理。故本项目产生的生活垃圾及危险废物依托昌吉市生活垃圾填埋厂处理可行。</w:t>
            </w:r>
          </w:p>
          <w:p>
            <w:pPr>
              <w:spacing w:line="360" w:lineRule="auto"/>
              <w:ind w:firstLine="480" w:firstLineChars="200"/>
              <w:rPr>
                <w:sz w:val="24"/>
              </w:rPr>
            </w:pPr>
            <w:r>
              <w:rPr>
                <w:rFonts w:hint="eastAsia"/>
                <w:sz w:val="24"/>
              </w:rPr>
              <w:t>综上所述，本项目产生的各类危险废物均得到合理处置，不会对环境产生不利影响。</w:t>
            </w:r>
            <w:bookmarkEnd w:id="20"/>
          </w:p>
          <w:p>
            <w:pPr>
              <w:pStyle w:val="6"/>
            </w:pPr>
            <w:r>
              <w:rPr>
                <w:rFonts w:hint="eastAsia"/>
              </w:rPr>
              <w:t>4.</w:t>
            </w:r>
            <w:r>
              <w:t>地下水、土壤环境影响分析</w:t>
            </w:r>
          </w:p>
          <w:p>
            <w:pPr>
              <w:widowControl/>
              <w:spacing w:line="360" w:lineRule="auto"/>
              <w:ind w:firstLine="480" w:firstLineChars="200"/>
              <w:rPr>
                <w:kern w:val="0"/>
                <w:sz w:val="24"/>
                <w:lang w:bidi="ar"/>
              </w:rPr>
            </w:pPr>
            <w:r>
              <w:rPr>
                <w:kern w:val="0"/>
                <w:sz w:val="24"/>
                <w:lang w:bidi="ar"/>
              </w:rPr>
              <w:t>本项目的地下水及土壤污染源有生活污水、医疗废水、消毒池、污水处理站和医疗废物暂存间等，它们均属于地面污染源，如若管理不当产生事故，污染物通过重力下渗则会引起项目区土壤及地下水污染。</w:t>
            </w:r>
          </w:p>
          <w:p>
            <w:pPr>
              <w:pStyle w:val="6"/>
            </w:pPr>
            <w:r>
              <w:rPr>
                <w:rFonts w:hint="eastAsia"/>
              </w:rPr>
              <w:t>4</w:t>
            </w:r>
            <w:r>
              <w:t>.1防治措施</w:t>
            </w:r>
          </w:p>
          <w:p>
            <w:pPr>
              <w:pStyle w:val="6"/>
            </w:pPr>
            <w:r>
              <w:rPr>
                <w:rFonts w:hint="eastAsia"/>
              </w:rPr>
              <w:t>4</w:t>
            </w:r>
            <w:r>
              <w:t>.1.1源头控制措施</w:t>
            </w:r>
          </w:p>
          <w:p>
            <w:pPr>
              <w:widowControl/>
              <w:spacing w:line="360" w:lineRule="auto"/>
              <w:ind w:firstLine="480" w:firstLineChars="200"/>
              <w:rPr>
                <w:kern w:val="0"/>
                <w:sz w:val="24"/>
                <w:lang w:bidi="ar"/>
              </w:rPr>
            </w:pPr>
            <w:r>
              <w:rPr>
                <w:kern w:val="0"/>
                <w:sz w:val="24"/>
                <w:lang w:bidi="ar"/>
              </w:rPr>
              <w:t>本项目将对可能产生地下水污染的源采取合理的分区防治措施，以尽可能从源头上减少污染物排放；严格按照国家相关规范要求，对工艺、管道、设备等构筑物采取相应的措施，以防止和降低污染物的跑、冒、滴、漏，将污染物泄漏的环境风险事故降低到最低程度；做到污染物</w:t>
            </w:r>
            <w:r>
              <w:rPr>
                <w:rFonts w:hint="eastAsia"/>
                <w:kern w:val="0"/>
                <w:sz w:val="24"/>
                <w:lang w:bidi="ar"/>
              </w:rPr>
              <w:t>“</w:t>
            </w:r>
            <w:r>
              <w:rPr>
                <w:kern w:val="0"/>
                <w:sz w:val="24"/>
                <w:lang w:bidi="ar"/>
              </w:rPr>
              <w:t>早发现、早处理</w:t>
            </w:r>
            <w:r>
              <w:rPr>
                <w:rFonts w:hint="eastAsia"/>
                <w:kern w:val="0"/>
                <w:sz w:val="24"/>
                <w:lang w:bidi="ar"/>
              </w:rPr>
              <w:t>”</w:t>
            </w:r>
            <w:r>
              <w:rPr>
                <w:kern w:val="0"/>
                <w:sz w:val="24"/>
                <w:lang w:bidi="ar"/>
              </w:rPr>
              <w:t>，以减少由于埋地管道泄漏而可能造成的地下水污染。</w:t>
            </w:r>
          </w:p>
          <w:p>
            <w:pPr>
              <w:pStyle w:val="6"/>
            </w:pPr>
            <w:r>
              <w:rPr>
                <w:rFonts w:hint="eastAsia"/>
              </w:rPr>
              <w:t>4</w:t>
            </w:r>
            <w:r>
              <w:t>.1.2分区防控措施</w:t>
            </w:r>
          </w:p>
          <w:p>
            <w:pPr>
              <w:widowControl/>
              <w:spacing w:line="312" w:lineRule="auto"/>
              <w:ind w:firstLine="480" w:firstLineChars="200"/>
              <w:rPr>
                <w:szCs w:val="21"/>
              </w:rPr>
            </w:pPr>
            <w:r>
              <w:rPr>
                <w:kern w:val="0"/>
                <w:sz w:val="24"/>
                <w:lang w:bidi="ar"/>
              </w:rPr>
              <w:t>为防止生产过程中跑、冒、滴、漏的物料腐蚀地面，污染物入渗污染地下水，应对院区进行分区防渗处理。具体如下</w:t>
            </w:r>
            <w:r>
              <w:rPr>
                <w:szCs w:val="21"/>
              </w:rPr>
              <w:t>。</w:t>
            </w:r>
          </w:p>
          <w:p>
            <w:pPr>
              <w:widowControl/>
              <w:spacing w:line="360" w:lineRule="auto"/>
              <w:ind w:firstLine="480" w:firstLineChars="200"/>
            </w:pPr>
            <w:r>
              <w:rPr>
                <w:kern w:val="0"/>
                <w:sz w:val="24"/>
                <w:lang w:bidi="ar"/>
              </w:rPr>
              <w:t>（1）根据</w:t>
            </w:r>
            <w:r>
              <w:rPr>
                <w:rFonts w:hint="eastAsia"/>
                <w:kern w:val="0"/>
                <w:sz w:val="24"/>
                <w:lang w:bidi="ar"/>
              </w:rPr>
              <w:t>污水处理设施</w:t>
            </w:r>
            <w:r>
              <w:rPr>
                <w:kern w:val="0"/>
                <w:sz w:val="24"/>
                <w:lang w:bidi="ar"/>
              </w:rPr>
              <w:t>通过各种途径可能进入地下水环境的各种有害</w:t>
            </w:r>
            <w:r>
              <w:rPr>
                <w:rFonts w:hint="eastAsia"/>
                <w:kern w:val="0"/>
                <w:sz w:val="24"/>
                <w:lang w:bidi="ar"/>
              </w:rPr>
              <w:t>物质</w:t>
            </w:r>
            <w:r>
              <w:rPr>
                <w:kern w:val="0"/>
                <w:sz w:val="24"/>
                <w:lang w:bidi="ar"/>
              </w:rPr>
              <w:t>的泄漏量及其他各类污染物的性质、产生和排放量，将污染区进一步分为一般污染防治区、重点污染防治区；</w:t>
            </w:r>
          </w:p>
          <w:p>
            <w:pPr>
              <w:widowControl/>
              <w:spacing w:line="360" w:lineRule="auto"/>
              <w:ind w:firstLine="480" w:firstLineChars="200"/>
            </w:pPr>
            <w:r>
              <w:rPr>
                <w:kern w:val="0"/>
                <w:sz w:val="24"/>
                <w:lang w:bidi="ar"/>
              </w:rPr>
              <w:t>（2）重点污染防治区参照《危险废物安全填埋处置工程建设技术要求》（国家环保局2004.4.30颁布试行）和《危险废物填埋污染控制标准》制定防渗设计方案；</w:t>
            </w:r>
          </w:p>
          <w:p>
            <w:pPr>
              <w:widowControl/>
              <w:spacing w:line="360" w:lineRule="auto"/>
              <w:ind w:firstLine="480" w:firstLineChars="200"/>
            </w:pPr>
            <w:r>
              <w:rPr>
                <w:kern w:val="0"/>
                <w:sz w:val="24"/>
                <w:lang w:bidi="ar"/>
              </w:rPr>
              <w:t>（3）一般污染防治区参照《一般工业固体废物贮存、处置场污染控制标准》（GB18599－2001）制定防渗设计方案。</w:t>
            </w:r>
          </w:p>
          <w:p>
            <w:pPr>
              <w:widowControl/>
              <w:spacing w:line="360" w:lineRule="auto"/>
              <w:ind w:firstLine="480" w:firstLineChars="200"/>
              <w:rPr>
                <w:kern w:val="0"/>
                <w:sz w:val="24"/>
                <w:lang w:bidi="ar"/>
              </w:rPr>
            </w:pPr>
            <w:r>
              <w:rPr>
                <w:kern w:val="0"/>
                <w:sz w:val="24"/>
                <w:lang w:bidi="ar"/>
              </w:rPr>
              <w:t>根据项目各功能单元是否可能对地下水造成污染及其风险程度，将项目所在区域划分为重点污染防治区、一般污染防治区。重点污染防治区是可能会对地下水造成污染，风险程度较高或污染物浓度较高，需要重点防治或者需要重点保护的区域，一般污染防治区是可能会对地下水造成污染，但危害性或风险程度相对较低的区域。项目院区重点污染防治区主要包括污水</w:t>
            </w:r>
            <w:r>
              <w:rPr>
                <w:rFonts w:hint="eastAsia"/>
                <w:kern w:val="0"/>
                <w:sz w:val="24"/>
                <w:lang w:bidi="ar"/>
              </w:rPr>
              <w:t>处理</w:t>
            </w:r>
            <w:r>
              <w:rPr>
                <w:kern w:val="0"/>
                <w:sz w:val="24"/>
                <w:lang w:bidi="ar"/>
              </w:rPr>
              <w:t>站、医疗废物暂存间等区域。一般污染防治区主要包括医院行政办公区等区域。</w:t>
            </w:r>
          </w:p>
          <w:p>
            <w:pPr>
              <w:pStyle w:val="22"/>
              <w:jc w:val="center"/>
              <w:rPr>
                <w:rFonts w:ascii="Times New Roman" w:cs="Times New Roman"/>
                <w:b/>
                <w:bCs/>
                <w:color w:val="auto"/>
                <w:sz w:val="21"/>
                <w:szCs w:val="21"/>
              </w:rPr>
            </w:pPr>
            <w:r>
              <w:rPr>
                <w:rFonts w:ascii="Times New Roman" w:cs="Times New Roman"/>
                <w:b/>
                <w:bCs/>
                <w:color w:val="auto"/>
                <w:sz w:val="21"/>
                <w:szCs w:val="21"/>
                <w:lang w:bidi="ar"/>
              </w:rPr>
              <w:t>表4-</w:t>
            </w:r>
            <w:r>
              <w:rPr>
                <w:rFonts w:hint="eastAsia" w:ascii="Times New Roman" w:cs="Times New Roman"/>
                <w:b/>
                <w:bCs/>
                <w:color w:val="auto"/>
                <w:sz w:val="21"/>
                <w:szCs w:val="21"/>
                <w:lang w:bidi="ar"/>
              </w:rPr>
              <w:t>4</w:t>
            </w:r>
            <w:r>
              <w:rPr>
                <w:rFonts w:ascii="Times New Roman" w:cs="Times New Roman"/>
                <w:b/>
                <w:bCs/>
                <w:color w:val="auto"/>
                <w:sz w:val="21"/>
                <w:szCs w:val="21"/>
                <w:lang w:bidi="ar"/>
              </w:rPr>
              <w:t xml:space="preserve">    院区分区防渗措施一览表</w:t>
            </w:r>
          </w:p>
          <w:tbl>
            <w:tblPr>
              <w:tblStyle w:val="18"/>
              <w:tblW w:w="8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9"/>
              <w:gridCol w:w="2977"/>
              <w:gridCol w:w="3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 w:hRule="atLeast"/>
              </w:trPr>
              <w:tc>
                <w:tcPr>
                  <w:tcW w:w="828" w:type="pct"/>
                  <w:tcBorders>
                    <w:top w:val="single" w:color="auto" w:sz="12" w:space="0"/>
                    <w:bottom w:val="single" w:color="auto" w:sz="4" w:space="0"/>
                    <w:right w:val="single" w:color="auto" w:sz="4" w:space="0"/>
                  </w:tcBorders>
                  <w:vAlign w:val="center"/>
                </w:tcPr>
                <w:p>
                  <w:pPr>
                    <w:pStyle w:val="22"/>
                    <w:adjustRightInd/>
                    <w:jc w:val="center"/>
                    <w:rPr>
                      <w:rFonts w:ascii="Times New Roman" w:cs="Times New Roman"/>
                      <w:b/>
                      <w:bCs/>
                      <w:color w:val="auto"/>
                      <w:sz w:val="21"/>
                      <w:szCs w:val="21"/>
                    </w:rPr>
                  </w:pPr>
                  <w:r>
                    <w:rPr>
                      <w:rFonts w:ascii="Times New Roman" w:cs="Times New Roman"/>
                      <w:b/>
                      <w:bCs/>
                      <w:color w:val="auto"/>
                      <w:sz w:val="21"/>
                      <w:szCs w:val="21"/>
                    </w:rPr>
                    <w:t>名称</w:t>
                  </w:r>
                </w:p>
              </w:tc>
              <w:tc>
                <w:tcPr>
                  <w:tcW w:w="1828" w:type="pct"/>
                  <w:tcBorders>
                    <w:top w:val="single" w:color="auto" w:sz="12" w:space="0"/>
                    <w:left w:val="single" w:color="auto" w:sz="4" w:space="0"/>
                    <w:bottom w:val="single" w:color="auto" w:sz="4" w:space="0"/>
                    <w:right w:val="single" w:color="auto" w:sz="4" w:space="0"/>
                  </w:tcBorders>
                  <w:vAlign w:val="center"/>
                </w:tcPr>
                <w:p>
                  <w:pPr>
                    <w:pStyle w:val="22"/>
                    <w:adjustRightInd/>
                    <w:jc w:val="center"/>
                    <w:rPr>
                      <w:rFonts w:ascii="Times New Roman" w:cs="Times New Roman"/>
                      <w:b/>
                      <w:bCs/>
                      <w:color w:val="auto"/>
                      <w:sz w:val="21"/>
                      <w:szCs w:val="21"/>
                    </w:rPr>
                  </w:pPr>
                  <w:r>
                    <w:rPr>
                      <w:rFonts w:ascii="Times New Roman" w:cs="Times New Roman"/>
                      <w:b/>
                      <w:bCs/>
                      <w:color w:val="auto"/>
                      <w:sz w:val="21"/>
                      <w:szCs w:val="21"/>
                    </w:rPr>
                    <w:t>范围</w:t>
                  </w:r>
                </w:p>
              </w:tc>
              <w:tc>
                <w:tcPr>
                  <w:tcW w:w="2345" w:type="pct"/>
                  <w:tcBorders>
                    <w:top w:val="single" w:color="auto" w:sz="12" w:space="0"/>
                    <w:left w:val="single" w:color="auto" w:sz="4" w:space="0"/>
                    <w:bottom w:val="single" w:color="auto" w:sz="4" w:space="0"/>
                  </w:tcBorders>
                  <w:vAlign w:val="center"/>
                </w:tcPr>
                <w:p>
                  <w:pPr>
                    <w:pStyle w:val="22"/>
                    <w:adjustRightInd/>
                    <w:jc w:val="center"/>
                    <w:rPr>
                      <w:rFonts w:ascii="Times New Roman" w:cs="Times New Roman"/>
                      <w:b/>
                      <w:bCs/>
                      <w:color w:val="auto"/>
                      <w:sz w:val="21"/>
                      <w:szCs w:val="21"/>
                    </w:rPr>
                  </w:pPr>
                  <w:r>
                    <w:rPr>
                      <w:rFonts w:ascii="Times New Roman" w:cs="Times New Roman"/>
                      <w:b/>
                      <w:bCs/>
                      <w:color w:val="auto"/>
                      <w:sz w:val="21"/>
                      <w:szCs w:val="21"/>
                    </w:rPr>
                    <w:t>防渗要求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 w:hRule="atLeast"/>
              </w:trPr>
              <w:tc>
                <w:tcPr>
                  <w:tcW w:w="828" w:type="pct"/>
                  <w:vMerge w:val="restart"/>
                  <w:tcBorders>
                    <w:top w:val="single" w:color="auto" w:sz="12" w:space="0"/>
                    <w:right w:val="single" w:color="auto" w:sz="4" w:space="0"/>
                  </w:tcBorders>
                  <w:vAlign w:val="center"/>
                </w:tcPr>
                <w:p>
                  <w:pPr>
                    <w:pStyle w:val="22"/>
                    <w:adjustRightInd/>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重点防渗区</w:t>
                  </w:r>
                </w:p>
              </w:tc>
              <w:tc>
                <w:tcPr>
                  <w:tcW w:w="1828" w:type="pct"/>
                  <w:tcBorders>
                    <w:top w:val="single" w:color="auto" w:sz="12" w:space="0"/>
                    <w:left w:val="single" w:color="auto" w:sz="4" w:space="0"/>
                    <w:bottom w:val="single" w:color="auto" w:sz="4" w:space="0"/>
                    <w:right w:val="single" w:color="auto" w:sz="4" w:space="0"/>
                  </w:tcBorders>
                  <w:vAlign w:val="center"/>
                </w:tcPr>
                <w:p>
                  <w:pPr>
                    <w:pStyle w:val="22"/>
                    <w:adjustRightInd/>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污水处理站、医疗废物暂存间</w:t>
                  </w:r>
                </w:p>
              </w:tc>
              <w:tc>
                <w:tcPr>
                  <w:tcW w:w="2345" w:type="pct"/>
                  <w:vMerge w:val="restart"/>
                  <w:tcBorders>
                    <w:top w:val="single" w:color="auto" w:sz="12" w:space="0"/>
                    <w:left w:val="single" w:color="auto" w:sz="4" w:space="0"/>
                  </w:tcBorders>
                  <w:vAlign w:val="center"/>
                </w:tcPr>
                <w:p>
                  <w:pPr>
                    <w:widowControl/>
                    <w:jc w:val="center"/>
                    <w:rPr>
                      <w:szCs w:val="21"/>
                    </w:rPr>
                  </w:pPr>
                  <w:r>
                    <w:rPr>
                      <w:kern w:val="0"/>
                      <w:szCs w:val="21"/>
                      <w:lang w:bidi="ar"/>
                    </w:rPr>
                    <w:t>混凝土防渗，渗透系数≤10</w:t>
                  </w:r>
                  <w:r>
                    <w:rPr>
                      <w:kern w:val="0"/>
                      <w:szCs w:val="21"/>
                      <w:vertAlign w:val="superscript"/>
                      <w:lang w:bidi="ar"/>
                    </w:rPr>
                    <w:t>-10</w:t>
                  </w:r>
                  <w:r>
                    <w:rPr>
                      <w:kern w:val="0"/>
                      <w:szCs w:val="21"/>
                      <w:lang w:bidi="ar"/>
                    </w:rPr>
                    <w:t>cm/s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 w:hRule="atLeast"/>
              </w:trPr>
              <w:tc>
                <w:tcPr>
                  <w:tcW w:w="828" w:type="pct"/>
                  <w:vMerge w:val="continue"/>
                  <w:tcBorders>
                    <w:right w:val="single" w:color="auto" w:sz="4" w:space="0"/>
                  </w:tcBorders>
                  <w:vAlign w:val="center"/>
                </w:tcPr>
                <w:p>
                  <w:pPr>
                    <w:pStyle w:val="22"/>
                    <w:adjustRightInd/>
                    <w:jc w:val="center"/>
                    <w:rPr>
                      <w:rFonts w:ascii="Times New Roman" w:cs="Times New Roman"/>
                      <w:color w:val="000000" w:themeColor="text1"/>
                      <w:sz w:val="21"/>
                      <w:szCs w:val="21"/>
                      <w14:textFill>
                        <w14:solidFill>
                          <w14:schemeClr w14:val="tx1"/>
                        </w14:solidFill>
                      </w14:textFill>
                    </w:rPr>
                  </w:pPr>
                </w:p>
              </w:tc>
              <w:tc>
                <w:tcPr>
                  <w:tcW w:w="1828" w:type="pct"/>
                  <w:tcBorders>
                    <w:top w:val="single" w:color="auto" w:sz="4" w:space="0"/>
                    <w:left w:val="single" w:color="auto" w:sz="4" w:space="0"/>
                    <w:bottom w:val="single" w:color="auto" w:sz="4" w:space="0"/>
                    <w:right w:val="single" w:color="auto" w:sz="4" w:space="0"/>
                  </w:tcBorders>
                  <w:vAlign w:val="center"/>
                </w:tcPr>
                <w:p>
                  <w:pPr>
                    <w:pStyle w:val="22"/>
                    <w:adjustRightInd/>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污水管线</w:t>
                  </w:r>
                </w:p>
              </w:tc>
              <w:tc>
                <w:tcPr>
                  <w:tcW w:w="2345" w:type="pct"/>
                  <w:vMerge w:val="continue"/>
                  <w:tcBorders>
                    <w:left w:val="single" w:color="auto" w:sz="4" w:space="0"/>
                  </w:tcBorders>
                  <w:vAlign w:val="center"/>
                </w:tcPr>
                <w:p>
                  <w:pPr>
                    <w:widowControl/>
                    <w:jc w:val="center"/>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 w:hRule="atLeast"/>
              </w:trPr>
              <w:tc>
                <w:tcPr>
                  <w:tcW w:w="828" w:type="pct"/>
                  <w:tcBorders>
                    <w:top w:val="single" w:color="auto" w:sz="4" w:space="0"/>
                    <w:bottom w:val="single" w:color="000000" w:sz="12" w:space="0"/>
                    <w:right w:val="single" w:color="auto" w:sz="4" w:space="0"/>
                  </w:tcBorders>
                  <w:vAlign w:val="center"/>
                </w:tcPr>
                <w:p>
                  <w:pPr>
                    <w:pStyle w:val="22"/>
                    <w:adjustRightInd/>
                    <w:jc w:val="center"/>
                    <w:rPr>
                      <w:rFonts w:ascii="Times New Roman" w:cs="Times New Roman"/>
                      <w:color w:val="auto"/>
                      <w:sz w:val="21"/>
                      <w:szCs w:val="21"/>
                    </w:rPr>
                  </w:pPr>
                  <w:r>
                    <w:rPr>
                      <w:rFonts w:ascii="Times New Roman" w:cs="Times New Roman"/>
                      <w:color w:val="auto"/>
                      <w:sz w:val="21"/>
                      <w:szCs w:val="21"/>
                    </w:rPr>
                    <w:t>一般防渗区</w:t>
                  </w:r>
                </w:p>
              </w:tc>
              <w:tc>
                <w:tcPr>
                  <w:tcW w:w="1828" w:type="pct"/>
                  <w:tcBorders>
                    <w:top w:val="single" w:color="auto" w:sz="4" w:space="0"/>
                    <w:left w:val="single" w:color="auto" w:sz="4" w:space="0"/>
                    <w:bottom w:val="single" w:color="000000" w:sz="12" w:space="0"/>
                    <w:right w:val="single" w:color="auto" w:sz="4" w:space="0"/>
                  </w:tcBorders>
                  <w:vAlign w:val="center"/>
                </w:tcPr>
                <w:p>
                  <w:pPr>
                    <w:pStyle w:val="22"/>
                    <w:adjustRightInd/>
                    <w:jc w:val="center"/>
                    <w:rPr>
                      <w:rFonts w:ascii="Times New Roman" w:cs="Times New Roman"/>
                      <w:color w:val="auto"/>
                      <w:sz w:val="21"/>
                      <w:szCs w:val="21"/>
                    </w:rPr>
                  </w:pPr>
                  <w:r>
                    <w:rPr>
                      <w:rFonts w:ascii="Times New Roman" w:cs="Times New Roman"/>
                      <w:color w:val="auto"/>
                      <w:sz w:val="21"/>
                      <w:szCs w:val="21"/>
                    </w:rPr>
                    <w:t>办公区</w:t>
                  </w:r>
                </w:p>
              </w:tc>
              <w:tc>
                <w:tcPr>
                  <w:tcW w:w="2345" w:type="pct"/>
                  <w:tcBorders>
                    <w:top w:val="single" w:color="auto" w:sz="4" w:space="0"/>
                    <w:left w:val="single" w:color="auto" w:sz="4" w:space="0"/>
                    <w:bottom w:val="single" w:color="000000" w:sz="12" w:space="0"/>
                  </w:tcBorders>
                  <w:vAlign w:val="center"/>
                </w:tcPr>
                <w:p>
                  <w:pPr>
                    <w:widowControl/>
                    <w:jc w:val="center"/>
                    <w:rPr>
                      <w:szCs w:val="21"/>
                    </w:rPr>
                  </w:pPr>
                  <w:r>
                    <w:rPr>
                      <w:kern w:val="0"/>
                      <w:szCs w:val="21"/>
                      <w:lang w:bidi="ar"/>
                    </w:rPr>
                    <w:t>防渗层等效黏土Mb≥1.5m，K数≤10</w:t>
                  </w:r>
                  <w:r>
                    <w:rPr>
                      <w:kern w:val="0"/>
                      <w:szCs w:val="21"/>
                      <w:vertAlign w:val="superscript"/>
                      <w:lang w:bidi="ar"/>
                    </w:rPr>
                    <w:t>-7</w:t>
                  </w:r>
                  <w:r>
                    <w:rPr>
                      <w:kern w:val="0"/>
                      <w:szCs w:val="21"/>
                      <w:lang w:bidi="ar"/>
                    </w:rPr>
                    <w:t>cm/s</w:t>
                  </w:r>
                </w:p>
              </w:tc>
            </w:tr>
          </w:tbl>
          <w:p>
            <w:pPr>
              <w:pStyle w:val="22"/>
              <w:spacing w:line="360" w:lineRule="auto"/>
              <w:jc w:val="both"/>
              <w:rPr>
                <w:rFonts w:ascii="Times New Roman" w:cs="Times New Roman"/>
                <w:b/>
                <w:bCs/>
                <w:color w:val="auto"/>
              </w:rPr>
            </w:pPr>
            <w:r>
              <w:rPr>
                <w:rFonts w:hint="eastAsia" w:ascii="Times New Roman" w:cs="Times New Roman"/>
                <w:b/>
                <w:bCs/>
                <w:color w:val="auto"/>
              </w:rPr>
              <w:t>5.</w:t>
            </w:r>
            <w:r>
              <w:rPr>
                <w:rFonts w:ascii="Times New Roman" w:cs="Times New Roman"/>
                <w:b/>
                <w:bCs/>
                <w:color w:val="auto"/>
              </w:rPr>
              <w:t>生态环境影响分析</w:t>
            </w:r>
          </w:p>
          <w:p>
            <w:pPr>
              <w:spacing w:line="360" w:lineRule="auto"/>
              <w:ind w:firstLine="480" w:firstLineChars="200"/>
              <w:rPr>
                <w:snapToGrid w:val="0"/>
                <w:kern w:val="0"/>
                <w:sz w:val="24"/>
              </w:rPr>
            </w:pPr>
            <w:r>
              <w:rPr>
                <w:snapToGrid w:val="0"/>
                <w:kern w:val="0"/>
                <w:sz w:val="24"/>
              </w:rPr>
              <w:t>本项目为</w:t>
            </w:r>
            <w:r>
              <w:rPr>
                <w:rFonts w:hint="eastAsia"/>
                <w:snapToGrid w:val="0"/>
                <w:kern w:val="0"/>
                <w:sz w:val="24"/>
              </w:rPr>
              <w:t>扩建</w:t>
            </w:r>
            <w:r>
              <w:rPr>
                <w:snapToGrid w:val="0"/>
                <w:kern w:val="0"/>
                <w:sz w:val="24"/>
              </w:rPr>
              <w:t>项目，项目所在地周边无珍稀动植物物种和自然保护区等环境敏感区。本项目将在医院内部进行绿化，可降低污染对区域生态的影响。在各项环保设施正常运行状态下，各种污染物能够做到达标排放，不会对周围生态产生影响。</w:t>
            </w:r>
          </w:p>
          <w:p>
            <w:pPr>
              <w:spacing w:line="360" w:lineRule="auto"/>
              <w:ind w:firstLine="480" w:firstLineChars="200"/>
              <w:rPr>
                <w:b/>
                <w:bCs/>
              </w:rPr>
            </w:pPr>
            <w:r>
              <w:rPr>
                <w:snapToGrid w:val="0"/>
                <w:kern w:val="0"/>
                <w:sz w:val="24"/>
              </w:rPr>
              <w:t>综上可知，本项目不会对区域的生态环境造成不利影响。</w:t>
            </w:r>
          </w:p>
          <w:p>
            <w:pPr>
              <w:pStyle w:val="22"/>
              <w:spacing w:line="360" w:lineRule="auto"/>
              <w:jc w:val="both"/>
              <w:rPr>
                <w:rFonts w:ascii="Times New Roman" w:cs="Times New Roman"/>
                <w:b/>
                <w:bCs/>
                <w:color w:val="auto"/>
              </w:rPr>
            </w:pPr>
            <w:r>
              <w:rPr>
                <w:rFonts w:hint="eastAsia" w:ascii="Times New Roman" w:cs="Times New Roman"/>
                <w:b/>
                <w:bCs/>
                <w:color w:val="auto"/>
              </w:rPr>
              <w:t>6.</w:t>
            </w:r>
            <w:r>
              <w:rPr>
                <w:rFonts w:ascii="Times New Roman" w:cs="Times New Roman"/>
                <w:b/>
                <w:bCs/>
                <w:color w:val="auto"/>
              </w:rPr>
              <w:t>环境风险分析</w:t>
            </w:r>
          </w:p>
          <w:p>
            <w:pPr>
              <w:widowControl/>
              <w:spacing w:line="360" w:lineRule="auto"/>
              <w:ind w:firstLine="480" w:firstLineChars="200"/>
              <w:rPr>
                <w:sz w:val="24"/>
              </w:rPr>
            </w:pPr>
            <w:r>
              <w:rPr>
                <w:sz w:val="24"/>
              </w:rPr>
              <w:t>根据《建设项目环境风险评价技术导则》（HJ169-2018）、《关于切实加强风险防范严格环境影响评价管理的通知》（环发[2012]98号）、《关于进一步加强环境影响评价管理防范环境风险的通知》（环发[2012]77号）等要求，对本项目进行环境风险评价，通过对建设项目的环境风险进行分析、预测和评估，提出环境风险预防、控制、减缓措施，明确环境风险监控及应急建议要求，为建设项目环境风险防控提出科学依据。</w:t>
            </w:r>
          </w:p>
          <w:p>
            <w:pPr>
              <w:spacing w:line="360" w:lineRule="auto"/>
              <w:rPr>
                <w:b/>
                <w:bCs/>
              </w:rPr>
            </w:pPr>
            <w:r>
              <w:rPr>
                <w:rFonts w:hint="eastAsia"/>
                <w:b/>
                <w:bCs/>
                <w:sz w:val="24"/>
              </w:rPr>
              <w:t>6.1</w:t>
            </w:r>
            <w:r>
              <w:rPr>
                <w:b/>
                <w:bCs/>
                <w:sz w:val="24"/>
              </w:rPr>
              <w:t>环境风险潜势初判</w:t>
            </w:r>
          </w:p>
          <w:p>
            <w:pPr>
              <w:spacing w:line="360" w:lineRule="auto"/>
              <w:ind w:firstLine="480"/>
              <w:rPr>
                <w:sz w:val="24"/>
              </w:rPr>
            </w:pPr>
            <w:r>
              <w:rPr>
                <w:sz w:val="24"/>
              </w:rPr>
              <w:t>根据建设项目涉及的物质和</w:t>
            </w:r>
            <w:r>
              <w:rPr>
                <w:rFonts w:hint="eastAsia"/>
                <w:sz w:val="24"/>
              </w:rPr>
              <w:t>康复楼</w:t>
            </w:r>
            <w:r>
              <w:rPr>
                <w:sz w:val="24"/>
              </w:rPr>
              <w:t>危险性及其所在地的环境敏感程度，结合事故情形下环境影响途径，对建设项目潜在环境危害程度进行概化分析，按照表</w:t>
            </w:r>
            <w:r>
              <w:rPr>
                <w:rFonts w:hint="eastAsia"/>
                <w:sz w:val="24"/>
              </w:rPr>
              <w:t>4-5</w:t>
            </w:r>
            <w:r>
              <w:rPr>
                <w:sz w:val="24"/>
              </w:rPr>
              <w:t>确定环境风险潜势。</w:t>
            </w:r>
          </w:p>
          <w:p>
            <w:pPr>
              <w:pStyle w:val="8"/>
              <w:spacing w:line="240" w:lineRule="auto"/>
              <w:rPr>
                <w:sz w:val="21"/>
                <w:szCs w:val="21"/>
              </w:rPr>
            </w:pPr>
            <w:r>
              <w:rPr>
                <w:sz w:val="21"/>
                <w:szCs w:val="21"/>
              </w:rPr>
              <w:t>表</w:t>
            </w:r>
            <w:r>
              <w:rPr>
                <w:rFonts w:hint="eastAsia"/>
                <w:sz w:val="21"/>
                <w:szCs w:val="21"/>
              </w:rPr>
              <w:t>4-5</w:t>
            </w:r>
            <w:r>
              <w:rPr>
                <w:sz w:val="21"/>
                <w:szCs w:val="21"/>
              </w:rPr>
              <w:t xml:space="preserve">  建设项目环境风险潜势划分一览表</w:t>
            </w:r>
          </w:p>
          <w:tbl>
            <w:tblPr>
              <w:tblStyle w:val="17"/>
              <w:tblW w:w="819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507"/>
              <w:gridCol w:w="1507"/>
              <w:gridCol w:w="1509"/>
              <w:gridCol w:w="1514"/>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8" w:type="pct"/>
                  <w:vMerge w:val="restart"/>
                  <w:vAlign w:val="center"/>
                </w:tcPr>
                <w:p>
                  <w:pPr>
                    <w:jc w:val="center"/>
                    <w:rPr>
                      <w:b/>
                      <w:bCs/>
                      <w:szCs w:val="21"/>
                    </w:rPr>
                  </w:pPr>
                  <w:r>
                    <w:rPr>
                      <w:b/>
                      <w:bCs/>
                      <w:szCs w:val="21"/>
                    </w:rPr>
                    <w:t>环境敏感度（E）</w:t>
                  </w:r>
                </w:p>
              </w:tc>
              <w:tc>
                <w:tcPr>
                  <w:tcW w:w="3681" w:type="pct"/>
                  <w:gridSpan w:val="4"/>
                  <w:vAlign w:val="center"/>
                </w:tcPr>
                <w:p>
                  <w:pPr>
                    <w:jc w:val="center"/>
                    <w:rPr>
                      <w:b/>
                      <w:bCs/>
                      <w:szCs w:val="21"/>
                    </w:rPr>
                  </w:pPr>
                  <w:r>
                    <w:rPr>
                      <w:b/>
                      <w:bCs/>
                      <w:szCs w:val="21"/>
                    </w:rPr>
                    <w:t>危险物质及工艺系统危险性（P）</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8" w:type="pct"/>
                  <w:vMerge w:val="continue"/>
                  <w:tcBorders>
                    <w:bottom w:val="single" w:color="000000" w:sz="12" w:space="0"/>
                  </w:tcBorders>
                  <w:vAlign w:val="center"/>
                </w:tcPr>
                <w:p>
                  <w:pPr>
                    <w:jc w:val="center"/>
                    <w:rPr>
                      <w:b/>
                      <w:bCs/>
                      <w:szCs w:val="21"/>
                    </w:rPr>
                  </w:pPr>
                </w:p>
              </w:tc>
              <w:tc>
                <w:tcPr>
                  <w:tcW w:w="919" w:type="pct"/>
                  <w:tcBorders>
                    <w:bottom w:val="single" w:color="000000" w:sz="12" w:space="0"/>
                  </w:tcBorders>
                  <w:vAlign w:val="center"/>
                </w:tcPr>
                <w:p>
                  <w:pPr>
                    <w:jc w:val="center"/>
                    <w:rPr>
                      <w:b/>
                      <w:bCs/>
                      <w:szCs w:val="21"/>
                    </w:rPr>
                  </w:pPr>
                  <w:r>
                    <w:rPr>
                      <w:b/>
                      <w:bCs/>
                      <w:szCs w:val="21"/>
                    </w:rPr>
                    <w:t>极高危害（P1）</w:t>
                  </w:r>
                </w:p>
              </w:tc>
              <w:tc>
                <w:tcPr>
                  <w:tcW w:w="919" w:type="pct"/>
                  <w:tcBorders>
                    <w:bottom w:val="single" w:color="000000" w:sz="12" w:space="0"/>
                  </w:tcBorders>
                  <w:vAlign w:val="center"/>
                </w:tcPr>
                <w:p>
                  <w:pPr>
                    <w:jc w:val="center"/>
                    <w:rPr>
                      <w:b/>
                      <w:bCs/>
                      <w:szCs w:val="21"/>
                    </w:rPr>
                  </w:pPr>
                  <w:r>
                    <w:rPr>
                      <w:b/>
                      <w:bCs/>
                      <w:szCs w:val="21"/>
                    </w:rPr>
                    <w:t>高度危害（P2）</w:t>
                  </w:r>
                </w:p>
              </w:tc>
              <w:tc>
                <w:tcPr>
                  <w:tcW w:w="920" w:type="pct"/>
                  <w:tcBorders>
                    <w:bottom w:val="single" w:color="000000" w:sz="12" w:space="0"/>
                  </w:tcBorders>
                  <w:vAlign w:val="center"/>
                </w:tcPr>
                <w:p>
                  <w:pPr>
                    <w:jc w:val="center"/>
                    <w:rPr>
                      <w:b/>
                      <w:bCs/>
                      <w:szCs w:val="21"/>
                    </w:rPr>
                  </w:pPr>
                  <w:r>
                    <w:rPr>
                      <w:b/>
                      <w:bCs/>
                      <w:szCs w:val="21"/>
                    </w:rPr>
                    <w:t>中度危害（P3）</w:t>
                  </w:r>
                </w:p>
              </w:tc>
              <w:tc>
                <w:tcPr>
                  <w:tcW w:w="922" w:type="pct"/>
                  <w:tcBorders>
                    <w:bottom w:val="single" w:color="000000" w:sz="12" w:space="0"/>
                  </w:tcBorders>
                  <w:vAlign w:val="center"/>
                </w:tcPr>
                <w:p>
                  <w:pPr>
                    <w:jc w:val="center"/>
                    <w:rPr>
                      <w:b/>
                      <w:bCs/>
                      <w:szCs w:val="21"/>
                    </w:rPr>
                  </w:pPr>
                  <w:r>
                    <w:rPr>
                      <w:b/>
                      <w:bCs/>
                      <w:szCs w:val="21"/>
                    </w:rPr>
                    <w:t>轻度危害（P4）</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8" w:type="pct"/>
                  <w:tcBorders>
                    <w:top w:val="single" w:color="000000" w:sz="12" w:space="0"/>
                  </w:tcBorders>
                  <w:vAlign w:val="center"/>
                </w:tcPr>
                <w:p>
                  <w:pPr>
                    <w:jc w:val="center"/>
                    <w:rPr>
                      <w:szCs w:val="21"/>
                    </w:rPr>
                  </w:pPr>
                  <w:r>
                    <w:rPr>
                      <w:szCs w:val="21"/>
                    </w:rPr>
                    <w:t>环境高度敏感区（E1）</w:t>
                  </w:r>
                </w:p>
              </w:tc>
              <w:tc>
                <w:tcPr>
                  <w:tcW w:w="919" w:type="pct"/>
                  <w:tcBorders>
                    <w:top w:val="single" w:color="000000" w:sz="12" w:space="0"/>
                  </w:tcBorders>
                  <w:vAlign w:val="center"/>
                </w:tcPr>
                <w:p>
                  <w:pPr>
                    <w:jc w:val="center"/>
                    <w:rPr>
                      <w:szCs w:val="21"/>
                    </w:rPr>
                  </w:pPr>
                  <w:r>
                    <w:rPr>
                      <w:szCs w:val="21"/>
                    </w:rPr>
                    <w:t>IV</w:t>
                  </w:r>
                  <w:r>
                    <w:rPr>
                      <w:szCs w:val="21"/>
                      <w:vertAlign w:val="superscript"/>
                    </w:rPr>
                    <w:t>＋</w:t>
                  </w:r>
                </w:p>
              </w:tc>
              <w:tc>
                <w:tcPr>
                  <w:tcW w:w="919" w:type="pct"/>
                  <w:tcBorders>
                    <w:top w:val="single" w:color="000000" w:sz="12" w:space="0"/>
                  </w:tcBorders>
                  <w:vAlign w:val="center"/>
                </w:tcPr>
                <w:p>
                  <w:pPr>
                    <w:jc w:val="center"/>
                    <w:rPr>
                      <w:szCs w:val="21"/>
                    </w:rPr>
                  </w:pPr>
                  <w:r>
                    <w:rPr>
                      <w:szCs w:val="21"/>
                    </w:rPr>
                    <w:t>IV</w:t>
                  </w:r>
                </w:p>
              </w:tc>
              <w:tc>
                <w:tcPr>
                  <w:tcW w:w="920" w:type="pct"/>
                  <w:tcBorders>
                    <w:top w:val="single" w:color="000000" w:sz="12" w:space="0"/>
                  </w:tcBorders>
                  <w:vAlign w:val="center"/>
                </w:tcPr>
                <w:p>
                  <w:pPr>
                    <w:jc w:val="center"/>
                    <w:rPr>
                      <w:szCs w:val="21"/>
                    </w:rPr>
                  </w:pPr>
                  <w:r>
                    <w:rPr>
                      <w:szCs w:val="21"/>
                    </w:rPr>
                    <w:t>III</w:t>
                  </w:r>
                </w:p>
              </w:tc>
              <w:tc>
                <w:tcPr>
                  <w:tcW w:w="922" w:type="pct"/>
                  <w:tcBorders>
                    <w:top w:val="single" w:color="000000" w:sz="12" w:space="0"/>
                  </w:tcBorders>
                  <w:vAlign w:val="center"/>
                </w:tcPr>
                <w:p>
                  <w:pPr>
                    <w:jc w:val="center"/>
                    <w:rPr>
                      <w:szCs w:val="21"/>
                    </w:rPr>
                  </w:pPr>
                  <w:r>
                    <w:rPr>
                      <w:szCs w:val="21"/>
                    </w:rPr>
                    <w:t>III</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8" w:type="pct"/>
                  <w:vAlign w:val="center"/>
                </w:tcPr>
                <w:p>
                  <w:pPr>
                    <w:jc w:val="center"/>
                    <w:rPr>
                      <w:szCs w:val="21"/>
                    </w:rPr>
                  </w:pPr>
                  <w:r>
                    <w:rPr>
                      <w:szCs w:val="21"/>
                    </w:rPr>
                    <w:t>环境中度敏感区（E2）</w:t>
                  </w:r>
                </w:p>
              </w:tc>
              <w:tc>
                <w:tcPr>
                  <w:tcW w:w="919" w:type="pct"/>
                  <w:vAlign w:val="center"/>
                </w:tcPr>
                <w:p>
                  <w:pPr>
                    <w:jc w:val="center"/>
                    <w:rPr>
                      <w:szCs w:val="21"/>
                    </w:rPr>
                  </w:pPr>
                  <w:r>
                    <w:rPr>
                      <w:szCs w:val="21"/>
                    </w:rPr>
                    <w:t>IV</w:t>
                  </w:r>
                </w:p>
              </w:tc>
              <w:tc>
                <w:tcPr>
                  <w:tcW w:w="919" w:type="pct"/>
                  <w:vAlign w:val="center"/>
                </w:tcPr>
                <w:p>
                  <w:pPr>
                    <w:jc w:val="center"/>
                    <w:rPr>
                      <w:szCs w:val="21"/>
                    </w:rPr>
                  </w:pPr>
                  <w:r>
                    <w:rPr>
                      <w:szCs w:val="21"/>
                    </w:rPr>
                    <w:t>III</w:t>
                  </w:r>
                </w:p>
              </w:tc>
              <w:tc>
                <w:tcPr>
                  <w:tcW w:w="920" w:type="pct"/>
                  <w:vAlign w:val="center"/>
                </w:tcPr>
                <w:p>
                  <w:pPr>
                    <w:jc w:val="center"/>
                    <w:rPr>
                      <w:szCs w:val="21"/>
                    </w:rPr>
                  </w:pPr>
                  <w:r>
                    <w:rPr>
                      <w:szCs w:val="21"/>
                    </w:rPr>
                    <w:t>III</w:t>
                  </w:r>
                </w:p>
              </w:tc>
              <w:tc>
                <w:tcPr>
                  <w:tcW w:w="922" w:type="pct"/>
                  <w:vAlign w:val="center"/>
                </w:tcPr>
                <w:p>
                  <w:pPr>
                    <w:jc w:val="center"/>
                    <w:rPr>
                      <w:szCs w:val="21"/>
                    </w:rPr>
                  </w:pPr>
                  <w:r>
                    <w:rPr>
                      <w:szCs w:val="21"/>
                    </w:rPr>
                    <w:t>II</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8" w:type="pct"/>
                  <w:vAlign w:val="center"/>
                </w:tcPr>
                <w:p>
                  <w:pPr>
                    <w:jc w:val="center"/>
                    <w:rPr>
                      <w:szCs w:val="21"/>
                    </w:rPr>
                  </w:pPr>
                  <w:r>
                    <w:rPr>
                      <w:szCs w:val="21"/>
                    </w:rPr>
                    <w:t>环境低度敏感区（E3）</w:t>
                  </w:r>
                </w:p>
              </w:tc>
              <w:tc>
                <w:tcPr>
                  <w:tcW w:w="919" w:type="pct"/>
                  <w:vAlign w:val="center"/>
                </w:tcPr>
                <w:p>
                  <w:pPr>
                    <w:jc w:val="center"/>
                    <w:rPr>
                      <w:szCs w:val="21"/>
                    </w:rPr>
                  </w:pPr>
                  <w:r>
                    <w:rPr>
                      <w:szCs w:val="21"/>
                    </w:rPr>
                    <w:t>III</w:t>
                  </w:r>
                </w:p>
              </w:tc>
              <w:tc>
                <w:tcPr>
                  <w:tcW w:w="919" w:type="pct"/>
                  <w:vAlign w:val="center"/>
                </w:tcPr>
                <w:p>
                  <w:pPr>
                    <w:jc w:val="center"/>
                    <w:rPr>
                      <w:szCs w:val="21"/>
                    </w:rPr>
                  </w:pPr>
                  <w:r>
                    <w:rPr>
                      <w:szCs w:val="21"/>
                    </w:rPr>
                    <w:t>III</w:t>
                  </w:r>
                </w:p>
              </w:tc>
              <w:tc>
                <w:tcPr>
                  <w:tcW w:w="920" w:type="pct"/>
                  <w:vAlign w:val="center"/>
                </w:tcPr>
                <w:p>
                  <w:pPr>
                    <w:jc w:val="center"/>
                    <w:rPr>
                      <w:szCs w:val="21"/>
                    </w:rPr>
                  </w:pPr>
                  <w:r>
                    <w:rPr>
                      <w:szCs w:val="21"/>
                    </w:rPr>
                    <w:t>II</w:t>
                  </w:r>
                </w:p>
              </w:tc>
              <w:tc>
                <w:tcPr>
                  <w:tcW w:w="922" w:type="pct"/>
                  <w:vAlign w:val="center"/>
                </w:tcPr>
                <w:p>
                  <w:pPr>
                    <w:jc w:val="center"/>
                    <w:rPr>
                      <w:szCs w:val="21"/>
                    </w:rPr>
                  </w:pPr>
                  <w:r>
                    <w:rPr>
                      <w:szCs w:val="21"/>
                    </w:rPr>
                    <w:t>I</w:t>
                  </w:r>
                </w:p>
              </w:tc>
            </w:tr>
          </w:tbl>
          <w:p>
            <w:pPr>
              <w:spacing w:line="360" w:lineRule="auto"/>
              <w:ind w:firstLine="480"/>
              <w:rPr>
                <w:sz w:val="24"/>
              </w:rPr>
            </w:pPr>
            <w:r>
              <w:rPr>
                <w:sz w:val="24"/>
              </w:rPr>
              <w:t>根据《建设项目环境风险评价技术导则》（HJ 169-2018）附录C及附录D确定危险物质及工艺系统危险性（P）及环境敏感程度（E）。其中危险物质及工艺系统危险性（P）由危险物质数量与临界量比值（Q）、行业及生产工艺（M）确定。</w:t>
            </w:r>
          </w:p>
          <w:p>
            <w:pPr>
              <w:spacing w:line="360" w:lineRule="auto"/>
              <w:ind w:firstLine="480" w:firstLineChars="200"/>
              <w:rPr>
                <w:sz w:val="24"/>
              </w:rPr>
            </w:pPr>
            <w:r>
              <w:rPr>
                <w:kern w:val="0"/>
                <w:sz w:val="24"/>
              </w:rPr>
              <w:t>本项目</w:t>
            </w:r>
            <w:r>
              <w:rPr>
                <w:rFonts w:hint="eastAsia"/>
                <w:kern w:val="0"/>
                <w:sz w:val="24"/>
              </w:rPr>
              <w:t>药品制剂类中碘伏、75%酒精</w:t>
            </w:r>
            <w:r>
              <w:rPr>
                <w:kern w:val="0"/>
                <w:sz w:val="24"/>
              </w:rPr>
              <w:t>未被列入附录C，根据《建设项目环境风险评价技术导则》（HJ 169-2018）附录C要求，</w:t>
            </w:r>
            <w:r>
              <w:rPr>
                <w:sz w:val="24"/>
              </w:rPr>
              <w:t>当Q＜1时，不再对行业及生产工艺（M）及环境敏感程度（E）进行判定。</w:t>
            </w:r>
          </w:p>
          <w:p>
            <w:pPr>
              <w:spacing w:line="360" w:lineRule="auto"/>
              <w:rPr>
                <w:b/>
                <w:bCs/>
                <w:sz w:val="24"/>
              </w:rPr>
            </w:pPr>
            <w:r>
              <w:rPr>
                <w:rFonts w:hint="eastAsia"/>
                <w:b/>
                <w:bCs/>
                <w:sz w:val="24"/>
              </w:rPr>
              <w:t>6.2</w:t>
            </w:r>
            <w:r>
              <w:rPr>
                <w:b/>
                <w:bCs/>
                <w:sz w:val="24"/>
              </w:rPr>
              <w:t>环境风险评价工作等级</w:t>
            </w:r>
          </w:p>
          <w:p>
            <w:pPr>
              <w:spacing w:line="360" w:lineRule="auto"/>
              <w:ind w:firstLine="480"/>
            </w:pPr>
            <w:r>
              <w:rPr>
                <w:sz w:val="24"/>
              </w:rPr>
              <w:t>《建设项目环境风险评价技术导则》（HJ 169-2018）中环境风险评价工作级别划分的判据见表</w:t>
            </w:r>
            <w:r>
              <w:rPr>
                <w:rFonts w:hint="eastAsia"/>
                <w:bCs/>
                <w:spacing w:val="-10"/>
                <w:sz w:val="24"/>
              </w:rPr>
              <w:t>4-6</w:t>
            </w:r>
            <w:r>
              <w:rPr>
                <w:sz w:val="24"/>
              </w:rPr>
              <w:t>。</w:t>
            </w:r>
          </w:p>
          <w:p>
            <w:pPr>
              <w:pStyle w:val="8"/>
              <w:spacing w:line="240" w:lineRule="auto"/>
              <w:rPr>
                <w:sz w:val="21"/>
                <w:szCs w:val="21"/>
              </w:rPr>
            </w:pPr>
            <w:r>
              <w:rPr>
                <w:sz w:val="21"/>
                <w:szCs w:val="21"/>
              </w:rPr>
              <w:t>表</w:t>
            </w:r>
            <w:r>
              <w:rPr>
                <w:rFonts w:hint="eastAsia"/>
                <w:sz w:val="21"/>
                <w:szCs w:val="21"/>
              </w:rPr>
              <w:t xml:space="preserve">4-6    </w:t>
            </w:r>
            <w:r>
              <w:rPr>
                <w:sz w:val="21"/>
                <w:szCs w:val="21"/>
              </w:rPr>
              <w:t>评价工作等级划分表</w:t>
            </w:r>
          </w:p>
          <w:tbl>
            <w:tblPr>
              <w:tblStyle w:val="17"/>
              <w:tblW w:w="8241" w:type="dxa"/>
              <w:jc w:val="center"/>
              <w:tblBorders>
                <w:top w:val="single" w:color="auto" w:sz="4"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648"/>
              <w:gridCol w:w="1648"/>
              <w:gridCol w:w="1648"/>
              <w:gridCol w:w="1650"/>
            </w:tblGrid>
            <w:tr>
              <w:tblPrEx>
                <w:tblBorders>
                  <w:top w:val="single" w:color="auto" w:sz="4"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99" w:type="pct"/>
                  <w:tcBorders>
                    <w:top w:val="single" w:color="000000" w:sz="12" w:space="0"/>
                    <w:bottom w:val="single" w:color="000000" w:sz="12" w:space="0"/>
                  </w:tcBorders>
                  <w:vAlign w:val="center"/>
                </w:tcPr>
                <w:p>
                  <w:pPr>
                    <w:jc w:val="center"/>
                    <w:rPr>
                      <w:b/>
                      <w:bCs/>
                    </w:rPr>
                  </w:pPr>
                  <w:r>
                    <w:rPr>
                      <w:b/>
                      <w:bCs/>
                    </w:rPr>
                    <w:t>环境风险潜势</w:t>
                  </w:r>
                </w:p>
              </w:tc>
              <w:tc>
                <w:tcPr>
                  <w:tcW w:w="1000" w:type="pct"/>
                  <w:tcBorders>
                    <w:top w:val="single" w:color="000000" w:sz="12" w:space="0"/>
                    <w:bottom w:val="single" w:color="000000" w:sz="12" w:space="0"/>
                  </w:tcBorders>
                  <w:vAlign w:val="center"/>
                </w:tcPr>
                <w:p>
                  <w:pPr>
                    <w:jc w:val="center"/>
                    <w:rPr>
                      <w:b/>
                      <w:bCs/>
                    </w:rPr>
                  </w:pPr>
                  <w:r>
                    <w:rPr>
                      <w:b/>
                      <w:bCs/>
                    </w:rPr>
                    <w:t>Ⅳ、Ⅳ</w:t>
                  </w:r>
                  <w:r>
                    <w:rPr>
                      <w:b/>
                      <w:bCs/>
                      <w:vertAlign w:val="superscript"/>
                    </w:rPr>
                    <w:t>+</w:t>
                  </w:r>
                </w:p>
              </w:tc>
              <w:tc>
                <w:tcPr>
                  <w:tcW w:w="1000" w:type="pct"/>
                  <w:tcBorders>
                    <w:top w:val="single" w:color="000000" w:sz="12" w:space="0"/>
                    <w:bottom w:val="single" w:color="000000" w:sz="12" w:space="0"/>
                  </w:tcBorders>
                  <w:vAlign w:val="center"/>
                </w:tcPr>
                <w:p>
                  <w:pPr>
                    <w:jc w:val="center"/>
                    <w:rPr>
                      <w:b/>
                      <w:bCs/>
                    </w:rPr>
                  </w:pPr>
                  <w:r>
                    <w:rPr>
                      <w:b/>
                      <w:bCs/>
                    </w:rPr>
                    <w:t>Ⅲ</w:t>
                  </w:r>
                </w:p>
              </w:tc>
              <w:tc>
                <w:tcPr>
                  <w:tcW w:w="1000" w:type="pct"/>
                  <w:tcBorders>
                    <w:top w:val="single" w:color="000000" w:sz="12" w:space="0"/>
                    <w:bottom w:val="single" w:color="000000" w:sz="12" w:space="0"/>
                  </w:tcBorders>
                  <w:vAlign w:val="center"/>
                </w:tcPr>
                <w:p>
                  <w:pPr>
                    <w:jc w:val="center"/>
                    <w:rPr>
                      <w:b/>
                      <w:bCs/>
                    </w:rPr>
                  </w:pPr>
                  <w:r>
                    <w:rPr>
                      <w:b/>
                      <w:bCs/>
                    </w:rPr>
                    <w:t>Ⅱ</w:t>
                  </w:r>
                </w:p>
              </w:tc>
              <w:tc>
                <w:tcPr>
                  <w:tcW w:w="1001" w:type="pct"/>
                  <w:tcBorders>
                    <w:top w:val="single" w:color="000000" w:sz="12" w:space="0"/>
                    <w:bottom w:val="single" w:color="000000" w:sz="12" w:space="0"/>
                  </w:tcBorders>
                  <w:vAlign w:val="center"/>
                </w:tcPr>
                <w:p>
                  <w:pPr>
                    <w:jc w:val="center"/>
                    <w:rPr>
                      <w:b/>
                      <w:bCs/>
                    </w:rPr>
                  </w:pPr>
                  <w:r>
                    <w:rPr>
                      <w:b/>
                      <w:bCs/>
                    </w:rPr>
                    <w:t>Ⅰ</w:t>
                  </w:r>
                </w:p>
              </w:tc>
            </w:tr>
            <w:tr>
              <w:tblPrEx>
                <w:tblBorders>
                  <w:top w:val="single" w:color="auto" w:sz="4"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99" w:type="pct"/>
                  <w:tcBorders>
                    <w:top w:val="single" w:color="000000" w:sz="12" w:space="0"/>
                  </w:tcBorders>
                  <w:vAlign w:val="center"/>
                </w:tcPr>
                <w:p>
                  <w:pPr>
                    <w:jc w:val="center"/>
                  </w:pPr>
                  <w:r>
                    <w:t>评价工作等级</w:t>
                  </w:r>
                </w:p>
              </w:tc>
              <w:tc>
                <w:tcPr>
                  <w:tcW w:w="1000" w:type="pct"/>
                  <w:tcBorders>
                    <w:top w:val="single" w:color="000000" w:sz="12" w:space="0"/>
                  </w:tcBorders>
                  <w:vAlign w:val="center"/>
                </w:tcPr>
                <w:p>
                  <w:pPr>
                    <w:jc w:val="center"/>
                  </w:pPr>
                  <w:r>
                    <w:t>一</w:t>
                  </w:r>
                </w:p>
              </w:tc>
              <w:tc>
                <w:tcPr>
                  <w:tcW w:w="1000" w:type="pct"/>
                  <w:tcBorders>
                    <w:top w:val="single" w:color="000000" w:sz="12" w:space="0"/>
                  </w:tcBorders>
                  <w:vAlign w:val="center"/>
                </w:tcPr>
                <w:p>
                  <w:pPr>
                    <w:jc w:val="center"/>
                  </w:pPr>
                  <w:r>
                    <w:t>二</w:t>
                  </w:r>
                </w:p>
              </w:tc>
              <w:tc>
                <w:tcPr>
                  <w:tcW w:w="1000" w:type="pct"/>
                  <w:tcBorders>
                    <w:top w:val="single" w:color="000000" w:sz="12" w:space="0"/>
                  </w:tcBorders>
                  <w:vAlign w:val="center"/>
                </w:tcPr>
                <w:p>
                  <w:pPr>
                    <w:jc w:val="center"/>
                  </w:pPr>
                  <w:r>
                    <w:t>三</w:t>
                  </w:r>
                </w:p>
              </w:tc>
              <w:tc>
                <w:tcPr>
                  <w:tcW w:w="1001" w:type="pct"/>
                  <w:tcBorders>
                    <w:top w:val="single" w:color="000000" w:sz="12" w:space="0"/>
                  </w:tcBorders>
                  <w:vAlign w:val="center"/>
                </w:tcPr>
                <w:p>
                  <w:pPr>
                    <w:jc w:val="center"/>
                  </w:pPr>
                  <w:r>
                    <w:t>简单分析</w:t>
                  </w:r>
                  <w:r>
                    <w:rPr>
                      <w:vertAlign w:val="superscript"/>
                    </w:rPr>
                    <w:t>a</w:t>
                  </w:r>
                </w:p>
              </w:tc>
            </w:tr>
            <w:tr>
              <w:tblPrEx>
                <w:tblBorders>
                  <w:top w:val="single" w:color="auto" w:sz="4"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000" w:type="pct"/>
                  <w:gridSpan w:val="5"/>
                  <w:vAlign w:val="center"/>
                </w:tcPr>
                <w:p>
                  <w:pPr>
                    <w:ind w:firstLine="420" w:firstLineChars="200"/>
                  </w:pPr>
                  <w:r>
                    <w:t>a是相对于详细评价工作内容而言，在描述危险物质、环境影响途径、环境危害后果、风险防范措施等方面给出定性的说明。</w:t>
                  </w:r>
                </w:p>
              </w:tc>
            </w:tr>
          </w:tbl>
          <w:p>
            <w:pPr>
              <w:spacing w:line="360" w:lineRule="auto"/>
              <w:ind w:firstLine="480"/>
              <w:rPr>
                <w:sz w:val="24"/>
              </w:rPr>
            </w:pPr>
            <w:r>
              <w:rPr>
                <w:sz w:val="24"/>
              </w:rPr>
              <w:t>本项目环境风险潜势为Ⅰ，根据《建设项目环境风险评价技术导则》（HJ/T169-2018）环境风险评价工作级别划分的判据，确定本工程环境风险评价工作级别为简单分析。</w:t>
            </w:r>
          </w:p>
          <w:p>
            <w:pPr>
              <w:spacing w:line="360" w:lineRule="auto"/>
              <w:rPr>
                <w:color w:val="000000"/>
                <w:kern w:val="0"/>
                <w:sz w:val="24"/>
                <w:lang w:bidi="ar"/>
              </w:rPr>
            </w:pPr>
            <w:r>
              <w:rPr>
                <w:rFonts w:hint="eastAsia"/>
                <w:b/>
                <w:bCs/>
                <w:sz w:val="24"/>
              </w:rPr>
              <w:t>6.3环境</w:t>
            </w:r>
            <w:r>
              <w:rPr>
                <w:b/>
                <w:bCs/>
                <w:sz w:val="24"/>
              </w:rPr>
              <w:t>风险识别</w:t>
            </w:r>
          </w:p>
          <w:p>
            <w:pPr>
              <w:widowControl/>
              <w:spacing w:line="360" w:lineRule="auto"/>
              <w:ind w:firstLine="480" w:firstLineChars="200"/>
            </w:pPr>
            <w:r>
              <w:rPr>
                <w:kern w:val="0"/>
                <w:sz w:val="24"/>
                <w:lang w:bidi="ar"/>
              </w:rPr>
              <w:t>本项目运营过程中的安全事故或其他的一些突发性事故会导致环境风险物质泄漏到环境中，引起环境质量的下降甚至恶性循环化以及其他的环境毒性效应。该项目风险源有：</w:t>
            </w:r>
          </w:p>
          <w:p>
            <w:pPr>
              <w:widowControl/>
              <w:spacing w:line="360" w:lineRule="auto"/>
              <w:ind w:firstLine="480" w:firstLineChars="200"/>
              <w:rPr>
                <w:sz w:val="24"/>
              </w:rPr>
            </w:pPr>
            <w:r>
              <w:rPr>
                <w:kern w:val="0"/>
                <w:sz w:val="24"/>
                <w:lang w:bidi="ar"/>
              </w:rPr>
              <w:t>（1）化学品储运的风险。</w:t>
            </w:r>
          </w:p>
          <w:p>
            <w:pPr>
              <w:widowControl/>
              <w:spacing w:line="360" w:lineRule="auto"/>
              <w:ind w:firstLine="480" w:firstLineChars="200"/>
              <w:rPr>
                <w:sz w:val="24"/>
              </w:rPr>
            </w:pPr>
            <w:r>
              <w:rPr>
                <w:kern w:val="0"/>
                <w:sz w:val="24"/>
                <w:lang w:bidi="ar"/>
              </w:rPr>
              <w:t>（2）医疗废水处理设施事故状态下的排污。</w:t>
            </w:r>
          </w:p>
          <w:p>
            <w:pPr>
              <w:widowControl/>
              <w:spacing w:line="360" w:lineRule="auto"/>
              <w:ind w:firstLine="480" w:firstLineChars="200"/>
              <w:rPr>
                <w:kern w:val="0"/>
                <w:sz w:val="24"/>
                <w:lang w:bidi="ar"/>
              </w:rPr>
            </w:pPr>
            <w:r>
              <w:rPr>
                <w:kern w:val="0"/>
                <w:sz w:val="24"/>
                <w:lang w:bidi="ar"/>
              </w:rPr>
              <w:t>（3）医疗废物在收集、贮存、运送过程中的存在的风险。</w:t>
            </w:r>
          </w:p>
          <w:p>
            <w:pPr>
              <w:widowControl/>
              <w:spacing w:line="360" w:lineRule="auto"/>
              <w:ind w:firstLine="480" w:firstLineChars="200"/>
              <w:rPr>
                <w:kern w:val="0"/>
                <w:sz w:val="24"/>
                <w:lang w:bidi="ar"/>
              </w:rPr>
            </w:pPr>
            <w:r>
              <w:rPr>
                <w:kern w:val="0"/>
                <w:sz w:val="24"/>
                <w:lang w:bidi="ar"/>
              </w:rPr>
              <w:t>（4）输送</w:t>
            </w:r>
            <w:r>
              <w:rPr>
                <w:rFonts w:hint="eastAsia"/>
                <w:kern w:val="0"/>
                <w:sz w:val="24"/>
                <w:lang w:bidi="ar"/>
              </w:rPr>
              <w:t>氧气罐</w:t>
            </w:r>
            <w:r>
              <w:rPr>
                <w:kern w:val="0"/>
                <w:sz w:val="24"/>
                <w:lang w:bidi="ar"/>
              </w:rPr>
              <w:t>的风险</w:t>
            </w:r>
          </w:p>
          <w:p>
            <w:pPr>
              <w:widowControl/>
              <w:spacing w:line="360" w:lineRule="auto"/>
              <w:rPr>
                <w:b/>
                <w:bCs/>
                <w:sz w:val="24"/>
              </w:rPr>
            </w:pPr>
            <w:r>
              <w:rPr>
                <w:rFonts w:hint="eastAsia"/>
                <w:b/>
                <w:bCs/>
                <w:sz w:val="24"/>
              </w:rPr>
              <w:t>6</w:t>
            </w:r>
            <w:r>
              <w:rPr>
                <w:b/>
                <w:bCs/>
                <w:sz w:val="24"/>
              </w:rPr>
              <w:t>.</w:t>
            </w:r>
            <w:r>
              <w:rPr>
                <w:rFonts w:hint="eastAsia"/>
                <w:b/>
                <w:bCs/>
                <w:sz w:val="24"/>
              </w:rPr>
              <w:t>4</w:t>
            </w:r>
            <w:r>
              <w:rPr>
                <w:b/>
                <w:bCs/>
                <w:sz w:val="24"/>
              </w:rPr>
              <w:t>环境风险分析及应急措施</w:t>
            </w:r>
          </w:p>
          <w:p>
            <w:pPr>
              <w:widowControl/>
              <w:spacing w:line="360" w:lineRule="auto"/>
              <w:rPr>
                <w:b/>
                <w:bCs/>
                <w:sz w:val="24"/>
              </w:rPr>
            </w:pPr>
            <w:r>
              <w:rPr>
                <w:rFonts w:hint="eastAsia"/>
                <w:b/>
                <w:bCs/>
                <w:kern w:val="0"/>
                <w:sz w:val="24"/>
                <w:lang w:bidi="ar"/>
              </w:rPr>
              <w:t>6</w:t>
            </w:r>
            <w:r>
              <w:rPr>
                <w:b/>
                <w:bCs/>
                <w:kern w:val="0"/>
                <w:sz w:val="24"/>
                <w:lang w:bidi="ar"/>
              </w:rPr>
              <w:t>.</w:t>
            </w:r>
            <w:r>
              <w:rPr>
                <w:rFonts w:hint="eastAsia"/>
                <w:b/>
                <w:bCs/>
                <w:kern w:val="0"/>
                <w:sz w:val="24"/>
                <w:lang w:bidi="ar"/>
              </w:rPr>
              <w:t>4</w:t>
            </w:r>
            <w:r>
              <w:rPr>
                <w:b/>
                <w:bCs/>
                <w:kern w:val="0"/>
                <w:sz w:val="24"/>
                <w:lang w:bidi="ar"/>
              </w:rPr>
              <w:t>.1氧气储存及使用的环境风险分析及防范措施</w:t>
            </w:r>
          </w:p>
          <w:p>
            <w:pPr>
              <w:widowControl/>
              <w:spacing w:line="360" w:lineRule="auto"/>
              <w:ind w:firstLine="480" w:firstLineChars="200"/>
              <w:rPr>
                <w:kern w:val="0"/>
                <w:sz w:val="24"/>
                <w:lang w:bidi="ar"/>
              </w:rPr>
            </w:pPr>
            <w:r>
              <w:rPr>
                <w:kern w:val="0"/>
                <w:sz w:val="24"/>
                <w:lang w:bidi="ar"/>
              </w:rPr>
              <w:t>（1）危险性分析</w:t>
            </w:r>
          </w:p>
          <w:p>
            <w:pPr>
              <w:widowControl/>
              <w:spacing w:line="360" w:lineRule="auto"/>
              <w:ind w:firstLine="480" w:firstLineChars="200"/>
              <w:rPr>
                <w:kern w:val="0"/>
                <w:sz w:val="24"/>
                <w:lang w:bidi="ar"/>
              </w:rPr>
            </w:pPr>
            <w:r>
              <w:rPr>
                <w:rFonts w:hint="eastAsia"/>
                <w:kern w:val="0"/>
                <w:sz w:val="24"/>
                <w:lang w:bidi="ar"/>
              </w:rPr>
              <w:t>①</w:t>
            </w:r>
            <w:r>
              <w:rPr>
                <w:kern w:val="0"/>
                <w:sz w:val="24"/>
                <w:lang w:bidi="ar"/>
              </w:rPr>
              <w:t>泄漏：由于管道、阀门等损坏，导致氧气的外泄。液氧泄漏一旦发生，会对设备周围部分地区造成速冻低温或高氧的环境；</w:t>
            </w:r>
          </w:p>
          <w:p>
            <w:pPr>
              <w:widowControl/>
              <w:spacing w:line="360" w:lineRule="auto"/>
              <w:ind w:firstLine="480" w:firstLineChars="200"/>
              <w:rPr>
                <w:kern w:val="0"/>
                <w:sz w:val="24"/>
                <w:lang w:bidi="ar"/>
              </w:rPr>
            </w:pPr>
            <w:r>
              <w:rPr>
                <w:rFonts w:hint="eastAsia"/>
                <w:kern w:val="0"/>
                <w:sz w:val="24"/>
                <w:lang w:bidi="ar"/>
              </w:rPr>
              <w:t>②</w:t>
            </w:r>
            <w:r>
              <w:rPr>
                <w:kern w:val="0"/>
                <w:sz w:val="24"/>
                <w:lang w:bidi="ar"/>
              </w:rPr>
              <w:t>火灾、爆炸：氧气为助燃气体，与易燃物（如乙炔、甲烷等）混合后容易形成有爆炸性的混合物。</w:t>
            </w:r>
          </w:p>
          <w:p>
            <w:pPr>
              <w:widowControl/>
              <w:spacing w:line="360" w:lineRule="auto"/>
              <w:ind w:firstLine="480" w:firstLineChars="200"/>
              <w:rPr>
                <w:kern w:val="0"/>
                <w:sz w:val="24"/>
                <w:lang w:bidi="ar"/>
              </w:rPr>
            </w:pPr>
            <w:r>
              <w:rPr>
                <w:kern w:val="0"/>
                <w:sz w:val="24"/>
                <w:lang w:bidi="ar"/>
              </w:rPr>
              <w:t>（2）事故应急措施</w:t>
            </w:r>
          </w:p>
          <w:p>
            <w:pPr>
              <w:widowControl/>
              <w:spacing w:line="360" w:lineRule="auto"/>
              <w:ind w:firstLine="480" w:firstLineChars="200"/>
            </w:pPr>
            <w:r>
              <w:rPr>
                <w:rFonts w:hint="eastAsia"/>
                <w:kern w:val="0"/>
                <w:sz w:val="24"/>
                <w:lang w:bidi="ar"/>
              </w:rPr>
              <w:t>①</w:t>
            </w:r>
            <w:r>
              <w:rPr>
                <w:kern w:val="0"/>
                <w:sz w:val="24"/>
                <w:lang w:bidi="ar"/>
              </w:rPr>
              <w:t>储罐发生氧气泄漏时，检修人员应注意个人安全和高氧易引发爆炸的危险，并注意排险。而泄漏气体一旦扩散到大气中，对周围水环境，大气环境并无影响。</w:t>
            </w:r>
          </w:p>
          <w:p>
            <w:pPr>
              <w:widowControl/>
              <w:spacing w:line="360" w:lineRule="auto"/>
              <w:ind w:firstLine="480" w:firstLineChars="200"/>
            </w:pPr>
            <w:r>
              <w:rPr>
                <w:rFonts w:hint="eastAsia"/>
                <w:kern w:val="0"/>
                <w:sz w:val="24"/>
                <w:lang w:bidi="ar"/>
              </w:rPr>
              <w:t>②</w:t>
            </w:r>
            <w:r>
              <w:rPr>
                <w:kern w:val="0"/>
                <w:sz w:val="24"/>
                <w:lang w:bidi="ar"/>
              </w:rPr>
              <w:t>本项目储罐设置在的独立空间内，氧气最大存储量较小，在日常操作规程满足安全生产相关要求的情况下风险较小，建设单位需制定相关的应急预案和突发事故下的监测方案，保障事故发生后得到妥善处理。</w:t>
            </w:r>
          </w:p>
          <w:p>
            <w:pPr>
              <w:pStyle w:val="22"/>
              <w:spacing w:line="360" w:lineRule="auto"/>
              <w:jc w:val="both"/>
              <w:rPr>
                <w:rFonts w:ascii="Times New Roman" w:cs="Times New Roman"/>
                <w:b/>
                <w:bCs/>
                <w:color w:val="auto"/>
                <w:lang w:bidi="ar"/>
              </w:rPr>
            </w:pPr>
            <w:r>
              <w:rPr>
                <w:rFonts w:hint="eastAsia" w:ascii="Times New Roman" w:cs="Times New Roman"/>
                <w:b/>
                <w:bCs/>
                <w:color w:val="auto"/>
                <w:lang w:bidi="ar"/>
              </w:rPr>
              <w:t>6</w:t>
            </w:r>
            <w:r>
              <w:rPr>
                <w:rFonts w:ascii="Times New Roman" w:cs="Times New Roman"/>
                <w:b/>
                <w:bCs/>
                <w:color w:val="auto"/>
                <w:lang w:bidi="ar"/>
              </w:rPr>
              <w:t>.</w:t>
            </w:r>
            <w:r>
              <w:rPr>
                <w:rFonts w:hint="eastAsia" w:ascii="Times New Roman" w:cs="Times New Roman"/>
                <w:b/>
                <w:bCs/>
                <w:color w:val="auto"/>
                <w:lang w:bidi="ar"/>
              </w:rPr>
              <w:t>4</w:t>
            </w:r>
            <w:r>
              <w:rPr>
                <w:rFonts w:ascii="Times New Roman" w:cs="Times New Roman"/>
                <w:b/>
                <w:bCs/>
                <w:color w:val="auto"/>
                <w:lang w:bidi="ar"/>
              </w:rPr>
              <w:t>.</w:t>
            </w:r>
            <w:r>
              <w:rPr>
                <w:rFonts w:hint="eastAsia" w:ascii="Times New Roman" w:cs="Times New Roman"/>
                <w:b/>
                <w:bCs/>
                <w:color w:val="auto"/>
                <w:lang w:bidi="ar"/>
              </w:rPr>
              <w:t>2</w:t>
            </w:r>
            <w:r>
              <w:rPr>
                <w:rFonts w:ascii="Times New Roman" w:cs="Times New Roman"/>
                <w:b/>
                <w:bCs/>
                <w:color w:val="auto"/>
                <w:lang w:bidi="ar"/>
              </w:rPr>
              <w:t>医疗污水处理站事故排放风险及防范措施</w:t>
            </w:r>
          </w:p>
          <w:p>
            <w:pPr>
              <w:pStyle w:val="22"/>
              <w:adjustRightInd/>
              <w:spacing w:line="360" w:lineRule="auto"/>
              <w:ind w:firstLine="480" w:firstLineChars="200"/>
              <w:jc w:val="both"/>
              <w:rPr>
                <w:rFonts w:ascii="Times New Roman" w:cs="Times New Roman"/>
                <w:color w:val="auto"/>
                <w:lang w:bidi="ar"/>
              </w:rPr>
            </w:pPr>
            <w:r>
              <w:rPr>
                <w:rFonts w:ascii="Times New Roman" w:cs="Times New Roman"/>
                <w:color w:val="auto"/>
                <w:lang w:bidi="ar"/>
              </w:rPr>
              <w:t>（1）危险性分析</w:t>
            </w:r>
          </w:p>
          <w:p>
            <w:pPr>
              <w:widowControl/>
              <w:spacing w:line="360" w:lineRule="auto"/>
              <w:ind w:firstLine="480" w:firstLineChars="200"/>
              <w:rPr>
                <w:kern w:val="0"/>
                <w:sz w:val="24"/>
                <w:lang w:bidi="ar"/>
              </w:rPr>
            </w:pPr>
            <w:r>
              <w:rPr>
                <w:kern w:val="0"/>
                <w:sz w:val="24"/>
                <w:lang w:bidi="ar"/>
              </w:rPr>
              <w:t>本项目因污染物防治设施非正常使用，如：管道破裂、泵设备损坏或失效、人为操作失误等，导致废水污染物未经处理直接排放至环境而引起的污染风险事故是比较常见的。</w:t>
            </w:r>
          </w:p>
          <w:p>
            <w:pPr>
              <w:pStyle w:val="22"/>
              <w:adjustRightInd/>
              <w:spacing w:line="360" w:lineRule="auto"/>
              <w:ind w:firstLine="480" w:firstLineChars="200"/>
              <w:jc w:val="both"/>
              <w:rPr>
                <w:rFonts w:ascii="Times New Roman" w:cs="Times New Roman"/>
                <w:color w:val="auto"/>
                <w:lang w:bidi="ar"/>
              </w:rPr>
            </w:pPr>
            <w:r>
              <w:rPr>
                <w:rFonts w:ascii="Times New Roman" w:cs="Times New Roman"/>
                <w:color w:val="auto"/>
                <w:lang w:bidi="ar"/>
              </w:rPr>
              <w:t>（2）防范措施</w:t>
            </w:r>
          </w:p>
          <w:p>
            <w:pPr>
              <w:widowControl/>
              <w:spacing w:line="336" w:lineRule="auto"/>
              <w:ind w:firstLine="480" w:firstLineChars="200"/>
              <w:rPr>
                <w:kern w:val="0"/>
                <w:sz w:val="24"/>
                <w:lang w:bidi="ar"/>
              </w:rPr>
            </w:pPr>
            <w:r>
              <w:rPr>
                <w:rFonts w:hint="eastAsia"/>
                <w:kern w:val="0"/>
                <w:sz w:val="24"/>
                <w:lang w:bidi="ar"/>
              </w:rPr>
              <w:t>①</w:t>
            </w:r>
            <w:r>
              <w:rPr>
                <w:kern w:val="0"/>
                <w:sz w:val="24"/>
                <w:lang w:bidi="ar"/>
              </w:rPr>
              <w:t>针对医疗废水事故排放所产生的风险，按照《医院污水处理工程技术规范》（HJ2029-2013），医院污水处理工程应急事故池容积不小于日排放量的100%，目前昌吉州中医医院废水排放量约为120m</w:t>
            </w:r>
            <w:r>
              <w:rPr>
                <w:kern w:val="0"/>
                <w:sz w:val="24"/>
                <w:vertAlign w:val="superscript"/>
                <w:lang w:bidi="ar"/>
              </w:rPr>
              <w:t>3</w:t>
            </w:r>
            <w:r>
              <w:rPr>
                <w:kern w:val="0"/>
                <w:sz w:val="24"/>
                <w:lang w:bidi="ar"/>
              </w:rPr>
              <w:t>/d，本项目医疗废水最大排放量为</w:t>
            </w:r>
            <w:r>
              <w:rPr>
                <w:rFonts w:hint="eastAsia"/>
                <w:kern w:val="0"/>
                <w:sz w:val="24"/>
                <w:lang w:bidi="ar"/>
              </w:rPr>
              <w:t>68.41</w:t>
            </w:r>
            <w:r>
              <w:rPr>
                <w:kern w:val="0"/>
                <w:sz w:val="24"/>
                <w:lang w:bidi="ar"/>
              </w:rPr>
              <w:t>m</w:t>
            </w:r>
            <w:r>
              <w:rPr>
                <w:kern w:val="0"/>
                <w:sz w:val="24"/>
                <w:vertAlign w:val="superscript"/>
                <w:lang w:bidi="ar"/>
              </w:rPr>
              <w:t>3</w:t>
            </w:r>
            <w:r>
              <w:rPr>
                <w:kern w:val="0"/>
                <w:sz w:val="24"/>
                <w:lang w:bidi="ar"/>
              </w:rPr>
              <w:t>/d，建议事故应急贮水容积设计应不小于</w:t>
            </w:r>
            <w:r>
              <w:rPr>
                <w:rFonts w:hint="eastAsia"/>
                <w:kern w:val="0"/>
                <w:sz w:val="24"/>
                <w:lang w:bidi="ar"/>
              </w:rPr>
              <w:t>190</w:t>
            </w:r>
            <w:r>
              <w:rPr>
                <w:kern w:val="0"/>
                <w:sz w:val="24"/>
                <w:lang w:bidi="ar"/>
              </w:rPr>
              <w:t>m</w:t>
            </w:r>
            <w:r>
              <w:rPr>
                <w:kern w:val="0"/>
                <w:sz w:val="24"/>
                <w:vertAlign w:val="superscript"/>
                <w:lang w:bidi="ar"/>
              </w:rPr>
              <w:t>3</w:t>
            </w:r>
            <w:r>
              <w:rPr>
                <w:kern w:val="0"/>
                <w:sz w:val="24"/>
                <w:lang w:bidi="ar"/>
              </w:rPr>
              <w:t>，本项目事故应急池设置于项目污水处理站旁，一旦污水处理系统发生异常，造成事故排放时，立即将事故废水引入应急池暂存，并对污水处理系统进行事故排除</w:t>
            </w:r>
            <w:r>
              <w:rPr>
                <w:rFonts w:hint="eastAsia"/>
                <w:kern w:val="0"/>
                <w:sz w:val="24"/>
                <w:lang w:bidi="ar"/>
              </w:rPr>
              <w:t>，</w:t>
            </w:r>
            <w:r>
              <w:rPr>
                <w:kern w:val="0"/>
                <w:sz w:val="24"/>
                <w:lang w:bidi="ar"/>
              </w:rPr>
              <w:t>等污水处理系统正常运行时将应急池污水重新引入污水处理系统处理达标后排放，防止事故污水对周边水环境的影响。</w:t>
            </w:r>
          </w:p>
          <w:p>
            <w:pPr>
              <w:widowControl/>
              <w:spacing w:line="360" w:lineRule="auto"/>
              <w:ind w:firstLine="480" w:firstLineChars="200"/>
              <w:rPr>
                <w:sz w:val="24"/>
              </w:rPr>
            </w:pPr>
            <w:r>
              <w:rPr>
                <w:rFonts w:hint="eastAsia"/>
                <w:kern w:val="0"/>
                <w:sz w:val="24"/>
                <w:lang w:bidi="ar"/>
              </w:rPr>
              <w:t>②</w:t>
            </w:r>
            <w:r>
              <w:rPr>
                <w:kern w:val="0"/>
                <w:sz w:val="24"/>
                <w:lang w:bidi="ar"/>
              </w:rPr>
              <w:t>污水处理系统出现故障，不能正常运行，立即启用应急设备（事故水池），保障污水能够得到及时处理并及时对出现故障的设备进行维修，确保污水做到达标排放，不污染地表水体。</w:t>
            </w:r>
          </w:p>
          <w:p>
            <w:pPr>
              <w:widowControl/>
              <w:spacing w:line="360" w:lineRule="auto"/>
              <w:ind w:firstLine="480" w:firstLineChars="200"/>
              <w:rPr>
                <w:sz w:val="24"/>
              </w:rPr>
            </w:pPr>
            <w:r>
              <w:rPr>
                <w:rFonts w:hint="eastAsia"/>
                <w:kern w:val="0"/>
                <w:sz w:val="24"/>
                <w:lang w:bidi="ar"/>
              </w:rPr>
              <w:t>③</w:t>
            </w:r>
            <w:r>
              <w:rPr>
                <w:kern w:val="0"/>
                <w:sz w:val="24"/>
                <w:lang w:bidi="ar"/>
              </w:rPr>
              <w:t>污水处理系统消毒设备出现故障，应立即启用备用的应急消毒剂，采用人工添加消毒剂的方式对污水进行消毒处理，做到达标排放。</w:t>
            </w:r>
          </w:p>
          <w:p>
            <w:pPr>
              <w:widowControl/>
              <w:spacing w:line="360" w:lineRule="auto"/>
              <w:ind w:firstLine="480" w:firstLineChars="200"/>
              <w:rPr>
                <w:sz w:val="24"/>
              </w:rPr>
            </w:pPr>
            <w:r>
              <w:rPr>
                <w:rFonts w:hint="eastAsia"/>
                <w:kern w:val="0"/>
                <w:sz w:val="24"/>
                <w:lang w:bidi="ar"/>
              </w:rPr>
              <w:t>④</w:t>
            </w:r>
            <w:r>
              <w:rPr>
                <w:kern w:val="0"/>
                <w:sz w:val="24"/>
                <w:lang w:bidi="ar"/>
              </w:rPr>
              <w:t>医院备有应急电源，在系统停电情况下，应立即启用应急电源，优先保证污水处理系统的用电，使其正常运转。</w:t>
            </w:r>
          </w:p>
          <w:p>
            <w:pPr>
              <w:widowControl/>
              <w:spacing w:line="360" w:lineRule="auto"/>
              <w:ind w:firstLine="480" w:firstLineChars="200"/>
            </w:pPr>
            <w:r>
              <w:rPr>
                <w:rFonts w:hint="eastAsia"/>
                <w:kern w:val="0"/>
                <w:sz w:val="24"/>
                <w:lang w:bidi="ar"/>
              </w:rPr>
              <w:t>⑤</w:t>
            </w:r>
            <w:r>
              <w:rPr>
                <w:kern w:val="0"/>
                <w:sz w:val="24"/>
                <w:lang w:bidi="ar"/>
              </w:rPr>
              <w:t>废水一旦出现泄露，需立即关闭水闸，减少废水泄露量。</w:t>
            </w:r>
          </w:p>
          <w:p>
            <w:pPr>
              <w:widowControl/>
              <w:spacing w:line="360" w:lineRule="auto"/>
              <w:rPr>
                <w:b/>
                <w:bCs/>
                <w:sz w:val="24"/>
              </w:rPr>
            </w:pPr>
            <w:r>
              <w:rPr>
                <w:rFonts w:hint="eastAsia"/>
                <w:b/>
                <w:bCs/>
                <w:kern w:val="0"/>
                <w:sz w:val="24"/>
                <w:lang w:bidi="ar"/>
              </w:rPr>
              <w:t>6</w:t>
            </w:r>
            <w:r>
              <w:rPr>
                <w:b/>
                <w:bCs/>
                <w:kern w:val="0"/>
                <w:sz w:val="24"/>
                <w:lang w:bidi="ar"/>
              </w:rPr>
              <w:t>.</w:t>
            </w:r>
            <w:r>
              <w:rPr>
                <w:rFonts w:hint="eastAsia"/>
                <w:b/>
                <w:bCs/>
                <w:kern w:val="0"/>
                <w:sz w:val="24"/>
                <w:lang w:bidi="ar"/>
              </w:rPr>
              <w:t>4</w:t>
            </w:r>
            <w:r>
              <w:rPr>
                <w:b/>
                <w:bCs/>
                <w:kern w:val="0"/>
                <w:sz w:val="24"/>
                <w:lang w:bidi="ar"/>
              </w:rPr>
              <w:t>.</w:t>
            </w:r>
            <w:r>
              <w:rPr>
                <w:rFonts w:hint="eastAsia"/>
                <w:b/>
                <w:bCs/>
                <w:kern w:val="0"/>
                <w:sz w:val="24"/>
                <w:lang w:bidi="ar"/>
              </w:rPr>
              <w:t>3</w:t>
            </w:r>
            <w:r>
              <w:rPr>
                <w:b/>
                <w:bCs/>
                <w:sz w:val="24"/>
              </w:rPr>
              <w:t>医疗废物</w:t>
            </w:r>
            <w:r>
              <w:rPr>
                <w:b/>
                <w:bCs/>
                <w:kern w:val="0"/>
                <w:sz w:val="24"/>
                <w:lang w:bidi="ar"/>
              </w:rPr>
              <w:t>在收集、贮存、运送过程中的</w:t>
            </w:r>
            <w:r>
              <w:rPr>
                <w:b/>
                <w:bCs/>
                <w:sz w:val="24"/>
              </w:rPr>
              <w:t>风险及防范措施</w:t>
            </w:r>
          </w:p>
          <w:p>
            <w:pPr>
              <w:pStyle w:val="22"/>
              <w:adjustRightInd/>
              <w:spacing w:line="360" w:lineRule="auto"/>
              <w:ind w:firstLine="480" w:firstLineChars="200"/>
              <w:jc w:val="both"/>
              <w:rPr>
                <w:rFonts w:ascii="Times New Roman" w:cs="Times New Roman"/>
                <w:color w:val="auto"/>
              </w:rPr>
            </w:pPr>
            <w:r>
              <w:rPr>
                <w:rFonts w:ascii="Times New Roman" w:cs="Times New Roman"/>
                <w:color w:val="auto"/>
              </w:rPr>
              <w:t>（1）危险性分析</w:t>
            </w:r>
          </w:p>
          <w:p>
            <w:pPr>
              <w:widowControl/>
              <w:spacing w:line="360" w:lineRule="auto"/>
              <w:ind w:firstLine="480" w:firstLineChars="200"/>
            </w:pPr>
            <w:r>
              <w:rPr>
                <w:kern w:val="0"/>
                <w:sz w:val="24"/>
                <w:lang w:bidi="ar"/>
              </w:rPr>
              <w:t>由于医疗垃圾具有空间污染和潜伏性污染等特征，其危害性是普通生活垃圾的几十、几百甚至上千倍，且基本没有回收再利用的价值；而且医疗废物残留及衍生的大量病菌是十分有害有毒的物质，如果不经分类收集等有效处理的话，很容易引起各种疾病的传播和蔓延。例如，如果项目医疗垃圾和生活垃圾混合一起的话，则可能会将还有血肉、细菌的医疗垃圾经非法收集回收加工后成为人们需要的日常生活用品，如：纱布、绷带、带血棉球制成棉被、医疗废弃石膏做成豆腐等。将极大地危害人们身心健康，成为疫病流行的源头，后果是不可想象的。</w:t>
            </w:r>
          </w:p>
          <w:p>
            <w:pPr>
              <w:pStyle w:val="22"/>
              <w:spacing w:line="360" w:lineRule="auto"/>
              <w:ind w:firstLine="480" w:firstLineChars="200"/>
              <w:jc w:val="both"/>
              <w:rPr>
                <w:rFonts w:ascii="Times New Roman" w:cs="Times New Roman"/>
                <w:color w:val="auto"/>
              </w:rPr>
            </w:pPr>
            <w:r>
              <w:rPr>
                <w:rFonts w:ascii="Times New Roman" w:cs="Times New Roman"/>
                <w:color w:val="auto"/>
              </w:rPr>
              <w:t>（2）突发事件防范措施</w:t>
            </w:r>
          </w:p>
          <w:p>
            <w:pPr>
              <w:widowControl/>
              <w:spacing w:line="360" w:lineRule="auto"/>
              <w:ind w:firstLine="480" w:firstLineChars="200"/>
              <w:rPr>
                <w:kern w:val="0"/>
                <w:sz w:val="24"/>
                <w:lang w:bidi="ar"/>
              </w:rPr>
            </w:pPr>
            <w:r>
              <w:rPr>
                <w:kern w:val="0"/>
                <w:sz w:val="24"/>
                <w:lang w:bidi="ar"/>
              </w:rPr>
              <w:t>1）应对项目产生的医疗垃圾进行科学的分类收集</w:t>
            </w:r>
          </w:p>
          <w:p>
            <w:pPr>
              <w:widowControl/>
              <w:spacing w:line="360" w:lineRule="auto"/>
              <w:ind w:firstLine="480" w:firstLineChars="200"/>
              <w:rPr>
                <w:sz w:val="24"/>
              </w:rPr>
            </w:pPr>
            <w:r>
              <w:rPr>
                <w:kern w:val="0"/>
                <w:sz w:val="24"/>
                <w:lang w:bidi="ar"/>
              </w:rPr>
              <w:t xml:space="preserve">病理性废物、损伤性废物、药物性废物及化学性废物是不能混合收集；放入包装物或者容器内的病理性废物、损伤性废物不得取出。当盛装的医疗废物达到包装物或者容器的3/4时，应当使用有效的封口方式，使包装物或者容器的封口紧实、严密。对于盛装医疗废物的塑料包装袋应当符合下列要求： </w:t>
            </w:r>
          </w:p>
          <w:p>
            <w:pPr>
              <w:widowControl/>
              <w:spacing w:line="360" w:lineRule="auto"/>
              <w:ind w:firstLine="480" w:firstLineChars="200"/>
              <w:rPr>
                <w:sz w:val="24"/>
              </w:rPr>
            </w:pPr>
            <w:r>
              <w:rPr>
                <w:kern w:val="0"/>
                <w:sz w:val="24"/>
                <w:lang w:bidi="ar"/>
              </w:rPr>
              <w:t xml:space="preserve">①包装袋在正常使用情况下，不应出现渗漏、破裂或穿孔； </w:t>
            </w:r>
          </w:p>
          <w:p>
            <w:pPr>
              <w:widowControl/>
              <w:spacing w:line="360" w:lineRule="auto"/>
              <w:ind w:firstLine="480" w:firstLineChars="200"/>
              <w:rPr>
                <w:sz w:val="24"/>
              </w:rPr>
            </w:pPr>
            <w:r>
              <w:rPr>
                <w:kern w:val="0"/>
                <w:sz w:val="24"/>
                <w:lang w:bidi="ar"/>
              </w:rPr>
              <w:t xml:space="preserve">②采用高温热处置技术处置医疗废物时，包装袋不应使用聚氯乙烯材料； </w:t>
            </w:r>
          </w:p>
          <w:p>
            <w:pPr>
              <w:widowControl/>
              <w:spacing w:line="360" w:lineRule="auto"/>
              <w:ind w:firstLine="480" w:firstLineChars="200"/>
              <w:rPr>
                <w:sz w:val="24"/>
              </w:rPr>
            </w:pPr>
            <w:r>
              <w:rPr>
                <w:kern w:val="0"/>
                <w:sz w:val="24"/>
                <w:lang w:bidi="ar"/>
              </w:rPr>
              <w:t xml:space="preserve">③包装袋大小适中，便于操作，配合周转箱（桶）运输； </w:t>
            </w:r>
          </w:p>
          <w:p>
            <w:pPr>
              <w:widowControl/>
              <w:spacing w:line="360" w:lineRule="auto"/>
              <w:ind w:firstLine="480" w:firstLineChars="200"/>
              <w:rPr>
                <w:sz w:val="24"/>
              </w:rPr>
            </w:pPr>
            <w:r>
              <w:rPr>
                <w:kern w:val="0"/>
                <w:sz w:val="24"/>
                <w:lang w:bidi="ar"/>
              </w:rPr>
              <w:t xml:space="preserve">④包装袋的颜色为淡黄，包装袋的明显处应印有警示标志和警告语。而盛装医疗废物的周转箱（桶）应符合下列要求： </w:t>
            </w:r>
          </w:p>
          <w:p>
            <w:pPr>
              <w:widowControl/>
              <w:spacing w:line="360" w:lineRule="auto"/>
              <w:ind w:firstLine="480" w:firstLineChars="200"/>
              <w:rPr>
                <w:sz w:val="24"/>
              </w:rPr>
            </w:pPr>
            <w:r>
              <w:rPr>
                <w:kern w:val="0"/>
                <w:sz w:val="24"/>
                <w:lang w:bidi="ar"/>
              </w:rPr>
              <w:t xml:space="preserve">A.周转箱（桶）整体应了液体渗漏，应便于清洗和消毒； </w:t>
            </w:r>
          </w:p>
          <w:p>
            <w:pPr>
              <w:widowControl/>
              <w:spacing w:line="360" w:lineRule="auto"/>
              <w:ind w:firstLine="480" w:firstLineChars="200"/>
              <w:rPr>
                <w:sz w:val="24"/>
              </w:rPr>
            </w:pPr>
            <w:r>
              <w:rPr>
                <w:kern w:val="0"/>
                <w:sz w:val="24"/>
                <w:lang w:bidi="ar"/>
              </w:rPr>
              <w:t>B.周转箱（桶）整体应淡黄，箱体侧面或桶身明显处应印有警示标志和警告语；</w:t>
            </w:r>
          </w:p>
          <w:p>
            <w:pPr>
              <w:widowControl/>
              <w:spacing w:line="360" w:lineRule="auto"/>
              <w:ind w:firstLine="480" w:firstLineChars="200"/>
              <w:rPr>
                <w:kern w:val="0"/>
                <w:sz w:val="24"/>
                <w:lang w:bidi="ar"/>
              </w:rPr>
            </w:pPr>
            <w:r>
              <w:rPr>
                <w:kern w:val="0"/>
                <w:sz w:val="24"/>
                <w:lang w:bidi="ar"/>
              </w:rPr>
              <w:t>C.周转箱整体装配密闭，箱体与箱盖能牢固扣紧，扣紧后不分离；</w:t>
            </w:r>
          </w:p>
          <w:p>
            <w:pPr>
              <w:widowControl/>
              <w:spacing w:line="360" w:lineRule="auto"/>
              <w:ind w:firstLine="480" w:firstLineChars="200"/>
              <w:rPr>
                <w:sz w:val="24"/>
              </w:rPr>
            </w:pPr>
            <w:r>
              <w:rPr>
                <w:kern w:val="0"/>
                <w:sz w:val="24"/>
                <w:lang w:bidi="ar"/>
              </w:rPr>
              <w:t xml:space="preserve">D.推荐尺寸长×宽×高为600×400×300（或400）mm。 </w:t>
            </w:r>
          </w:p>
          <w:p>
            <w:pPr>
              <w:widowControl/>
              <w:spacing w:line="360" w:lineRule="auto"/>
              <w:ind w:firstLine="480" w:firstLineChars="200"/>
              <w:rPr>
                <w:sz w:val="24"/>
              </w:rPr>
            </w:pPr>
            <w:r>
              <w:rPr>
                <w:kern w:val="0"/>
                <w:sz w:val="24"/>
                <w:lang w:bidi="ar"/>
              </w:rPr>
              <w:t>项目产生的废消毒剂应当由药剂科交由专门机构处置；批量的含有汞的体温计、血压计等医疗器具报废时，应当由设备科交由专门机构处置</w:t>
            </w:r>
            <w:r>
              <w:rPr>
                <w:rFonts w:hint="eastAsia"/>
                <w:kern w:val="0"/>
                <w:sz w:val="24"/>
                <w:lang w:bidi="ar"/>
              </w:rPr>
              <w:t>；</w:t>
            </w:r>
            <w:r>
              <w:rPr>
                <w:kern w:val="0"/>
                <w:sz w:val="24"/>
                <w:lang w:bidi="ar"/>
              </w:rPr>
              <w:t>所有锐利物都必须单独存放，并统一按医学废物处理</w:t>
            </w:r>
            <w:r>
              <w:rPr>
                <w:rFonts w:hint="eastAsia"/>
                <w:kern w:val="0"/>
                <w:sz w:val="24"/>
                <w:lang w:bidi="ar"/>
              </w:rPr>
              <w:t>；</w:t>
            </w:r>
            <w:r>
              <w:rPr>
                <w:kern w:val="0"/>
                <w:sz w:val="24"/>
                <w:lang w:bidi="ar"/>
              </w:rPr>
              <w:t>收集锐利物日包装容器必须使用硬质、防漏、防刺破材料</w:t>
            </w:r>
            <w:r>
              <w:rPr>
                <w:rFonts w:hint="eastAsia"/>
                <w:kern w:val="0"/>
                <w:sz w:val="24"/>
                <w:lang w:bidi="ar"/>
              </w:rPr>
              <w:t>；</w:t>
            </w:r>
            <w:r>
              <w:rPr>
                <w:kern w:val="0"/>
                <w:sz w:val="24"/>
                <w:lang w:bidi="ar"/>
              </w:rPr>
              <w:t>针或刀应保存在有明显标记、防泄漏、防刺破的容器内</w:t>
            </w:r>
            <w:r>
              <w:rPr>
                <w:rFonts w:hint="eastAsia"/>
                <w:kern w:val="0"/>
                <w:sz w:val="24"/>
                <w:lang w:bidi="ar"/>
              </w:rPr>
              <w:t>，</w:t>
            </w:r>
            <w:r>
              <w:rPr>
                <w:kern w:val="0"/>
                <w:sz w:val="24"/>
                <w:lang w:bidi="ar"/>
              </w:rPr>
              <w:t>处理锐利物品时应使用防刺破手套。</w:t>
            </w:r>
          </w:p>
          <w:p>
            <w:pPr>
              <w:widowControl/>
              <w:spacing w:line="360" w:lineRule="auto"/>
              <w:ind w:firstLine="480" w:firstLineChars="200"/>
              <w:rPr>
                <w:kern w:val="0"/>
                <w:sz w:val="24"/>
                <w:lang w:bidi="ar"/>
              </w:rPr>
            </w:pPr>
            <w:r>
              <w:rPr>
                <w:kern w:val="0"/>
                <w:sz w:val="24"/>
                <w:lang w:bidi="ar"/>
              </w:rPr>
              <w:t>为保证有害废料在产生、堆集和保存期间不发生意外、泄漏、破损等，应采取必要的控制措施，如：通风措施、相对封闭及隔离系统、安全措施、防火措施和安全通道。</w:t>
            </w:r>
          </w:p>
          <w:p>
            <w:pPr>
              <w:widowControl/>
              <w:spacing w:line="360" w:lineRule="auto"/>
              <w:ind w:firstLine="480" w:firstLineChars="200"/>
            </w:pPr>
            <w:r>
              <w:rPr>
                <w:kern w:val="0"/>
                <w:sz w:val="24"/>
                <w:lang w:bidi="ar"/>
              </w:rPr>
              <w:t>2）应对项目产生的医疗垃圾进行科学的分类收集</w:t>
            </w:r>
          </w:p>
          <w:p>
            <w:pPr>
              <w:widowControl/>
              <w:spacing w:line="360" w:lineRule="auto"/>
              <w:ind w:firstLine="480" w:firstLineChars="200"/>
            </w:pPr>
            <w:r>
              <w:rPr>
                <w:kern w:val="0"/>
                <w:sz w:val="24"/>
                <w:lang w:bidi="ar"/>
              </w:rPr>
              <w:t>本项目应当建立医疗废物暂时贮存设施、设备，不得露天存放医疗废物；医疗废物暂时贮存的时间不得超过1天，应得到及时、有效地处理。因为在医疗废物储存过程中，会有恶臭产生。恶臭强度和垃圾中有机物腐烂程度有很大关系，其中主要污染物为硫化氢、氨等。臭味有害于人体健康，恶臭对人的大脑皮层是一种恶性刺激，长期呆在恶臭环境里，会使人产生恶心、头晕、疲劳、食欲不振等症状。恶臭环境还会使某些疾病恶化。</w:t>
            </w:r>
          </w:p>
          <w:p>
            <w:pPr>
              <w:widowControl/>
              <w:spacing w:line="360" w:lineRule="auto"/>
              <w:ind w:firstLine="480" w:firstLineChars="200"/>
            </w:pPr>
            <w:r>
              <w:rPr>
                <w:kern w:val="0"/>
                <w:sz w:val="24"/>
                <w:lang w:bidi="ar"/>
              </w:rPr>
              <w:t>医疗卫生机构建立的医疗废物暂时贮存设施、设备应当达到以下要求：</w:t>
            </w:r>
          </w:p>
          <w:p>
            <w:pPr>
              <w:widowControl/>
              <w:spacing w:line="360" w:lineRule="auto"/>
              <w:ind w:firstLine="480" w:firstLineChars="200"/>
              <w:rPr>
                <w:kern w:val="0"/>
                <w:sz w:val="24"/>
                <w:lang w:bidi="ar"/>
              </w:rPr>
            </w:pPr>
            <w:r>
              <w:rPr>
                <w:kern w:val="0"/>
                <w:sz w:val="24"/>
                <w:lang w:bidi="ar"/>
              </w:rPr>
              <w:t>①远离医疗区、食品加工区、人员活动区和生活垃圾存放场所，方便医疗废物运送人员及运送工具、车辆的出入；</w:t>
            </w:r>
          </w:p>
          <w:p>
            <w:pPr>
              <w:widowControl/>
              <w:spacing w:line="360" w:lineRule="auto"/>
              <w:ind w:firstLine="480" w:firstLineChars="200"/>
              <w:rPr>
                <w:sz w:val="24"/>
              </w:rPr>
            </w:pPr>
            <w:r>
              <w:rPr>
                <w:kern w:val="0"/>
                <w:sz w:val="24"/>
                <w:lang w:bidi="ar"/>
              </w:rPr>
              <w:t>②有严密的封闭措施，设专（兼）职人员管理，防止非工作人员接触医疗废物；</w:t>
            </w:r>
          </w:p>
          <w:p>
            <w:pPr>
              <w:widowControl/>
              <w:spacing w:line="360" w:lineRule="auto"/>
              <w:ind w:firstLine="480" w:firstLineChars="200"/>
              <w:rPr>
                <w:sz w:val="24"/>
              </w:rPr>
            </w:pPr>
            <w:r>
              <w:rPr>
                <w:kern w:val="0"/>
                <w:sz w:val="24"/>
                <w:lang w:bidi="ar"/>
              </w:rPr>
              <w:t>③有防鼠、防蚊蝇、防蟑螂的安全措施；防止渗漏和雨水冲刷；易于清洁和消毒；避免阳光直射；</w:t>
            </w:r>
          </w:p>
          <w:p>
            <w:pPr>
              <w:widowControl/>
              <w:spacing w:line="360" w:lineRule="auto"/>
              <w:ind w:firstLine="480" w:firstLineChars="200"/>
              <w:rPr>
                <w:sz w:val="24"/>
              </w:rPr>
            </w:pPr>
            <w:r>
              <w:rPr>
                <w:kern w:val="0"/>
                <w:sz w:val="24"/>
                <w:lang w:bidi="ar"/>
              </w:rPr>
              <w:t>④设有明显的医疗废物警示标识和“禁止吸烟、饮食”的警示标识；</w:t>
            </w:r>
          </w:p>
          <w:p>
            <w:pPr>
              <w:widowControl/>
              <w:spacing w:line="360" w:lineRule="auto"/>
              <w:ind w:firstLine="480" w:firstLineChars="200"/>
            </w:pPr>
            <w:r>
              <w:rPr>
                <w:kern w:val="0"/>
                <w:sz w:val="24"/>
                <w:lang w:bidi="ar"/>
              </w:rPr>
              <w:t>3）医疗废物事故应急处置</w:t>
            </w:r>
          </w:p>
          <w:p>
            <w:pPr>
              <w:widowControl/>
              <w:spacing w:line="360" w:lineRule="auto"/>
              <w:ind w:firstLine="480" w:firstLineChars="200"/>
              <w:rPr>
                <w:sz w:val="24"/>
              </w:rPr>
            </w:pPr>
            <w:r>
              <w:rPr>
                <w:kern w:val="0"/>
                <w:sz w:val="24"/>
                <w:lang w:bidi="ar"/>
              </w:rPr>
              <w:t>发生医疗废物流失、泄漏、扩散和意外事故时，应当按照以下要求及时采取紧急处理措施：确定流失、泄漏、扩散的医疗废物的类别、数量、发生时间、影响范围及严重程度；组织有关人员尽快按照应急方案，对发生医疗废物泄漏、扩散的现场进行处理；对被医疗废物污染的区域进行处理时，应当尽可能减少对病人、医</w:t>
            </w:r>
            <w:r>
              <w:rPr>
                <w:rFonts w:hint="eastAsia"/>
                <w:sz w:val="24"/>
              </w:rPr>
              <w:t>护</w:t>
            </w:r>
            <w:r>
              <w:rPr>
                <w:kern w:val="0"/>
                <w:sz w:val="24"/>
                <w:lang w:bidi="ar"/>
              </w:rPr>
              <w:t>人员、其它现场人员及环境的影响；采取适当的安全处置措施，对泄漏物及受污染的区域、物品进行消毒或者其他无害化处置，必要时封锁污染区域，以防扩大污染；对感染性废物污染区域进行消毒时，消毒工作从污染最轻区域向污染最严重区域进行，对可能被污染的所有使用过的工具也应当进行消毒；工作人员应当做好卫生安全防护后进行工作。处理工作结束后，应当对事件的起因进行调查，并采取有效的防范措施预防类似事件的发生。</w:t>
            </w:r>
          </w:p>
          <w:p>
            <w:pPr>
              <w:widowControl/>
              <w:spacing w:line="360" w:lineRule="auto"/>
              <w:rPr>
                <w:b/>
                <w:bCs/>
                <w:kern w:val="0"/>
                <w:sz w:val="24"/>
                <w:lang w:bidi="ar"/>
              </w:rPr>
            </w:pPr>
            <w:r>
              <w:rPr>
                <w:rFonts w:hint="eastAsia"/>
                <w:b/>
                <w:bCs/>
                <w:kern w:val="0"/>
                <w:sz w:val="24"/>
                <w:lang w:bidi="ar"/>
              </w:rPr>
              <w:t>6</w:t>
            </w:r>
            <w:r>
              <w:rPr>
                <w:b/>
                <w:bCs/>
                <w:kern w:val="0"/>
                <w:sz w:val="24"/>
                <w:lang w:bidi="ar"/>
              </w:rPr>
              <w:t>.</w:t>
            </w:r>
            <w:r>
              <w:rPr>
                <w:rFonts w:hint="eastAsia"/>
                <w:b/>
                <w:bCs/>
                <w:kern w:val="0"/>
                <w:sz w:val="24"/>
                <w:lang w:bidi="ar"/>
              </w:rPr>
              <w:t>4</w:t>
            </w:r>
            <w:r>
              <w:rPr>
                <w:b/>
                <w:bCs/>
                <w:kern w:val="0"/>
                <w:sz w:val="24"/>
                <w:lang w:bidi="ar"/>
              </w:rPr>
              <w:t>.</w:t>
            </w:r>
            <w:r>
              <w:rPr>
                <w:rFonts w:hint="eastAsia"/>
                <w:b/>
                <w:bCs/>
                <w:kern w:val="0"/>
                <w:sz w:val="24"/>
                <w:lang w:bidi="ar"/>
              </w:rPr>
              <w:t>4</w:t>
            </w:r>
            <w:r>
              <w:rPr>
                <w:b/>
                <w:bCs/>
                <w:kern w:val="0"/>
                <w:sz w:val="24"/>
                <w:lang w:bidi="ar"/>
              </w:rPr>
              <w:t>突发事件防范措施</w:t>
            </w:r>
          </w:p>
          <w:p>
            <w:pPr>
              <w:spacing w:line="360" w:lineRule="auto"/>
              <w:ind w:firstLine="480" w:firstLineChars="200"/>
              <w:rPr>
                <w:kern w:val="0"/>
                <w:sz w:val="24"/>
                <w:lang w:bidi="ar"/>
              </w:rPr>
            </w:pPr>
            <w:r>
              <w:rPr>
                <w:kern w:val="0"/>
                <w:sz w:val="24"/>
                <w:lang w:bidi="ar"/>
              </w:rPr>
              <w:t>（</w:t>
            </w:r>
            <w:r>
              <w:rPr>
                <w:rFonts w:hint="eastAsia"/>
                <w:kern w:val="0"/>
                <w:sz w:val="24"/>
                <w:lang w:bidi="ar"/>
              </w:rPr>
              <w:t>1</w:t>
            </w:r>
            <w:r>
              <w:rPr>
                <w:kern w:val="0"/>
                <w:sz w:val="24"/>
                <w:lang w:bidi="ar"/>
              </w:rPr>
              <w:t>）污水处理设施事故下的防范措施：污水处理系统出现故障，不能正常运行，立即启用应急设备（事故水池），立即将事故废水引入应急池暂存，并对污水处理系统进行事故排除</w:t>
            </w:r>
            <w:r>
              <w:rPr>
                <w:rFonts w:hint="eastAsia"/>
                <w:kern w:val="0"/>
                <w:sz w:val="24"/>
                <w:lang w:bidi="ar"/>
              </w:rPr>
              <w:t>，</w:t>
            </w:r>
            <w:r>
              <w:rPr>
                <w:kern w:val="0"/>
                <w:sz w:val="24"/>
                <w:lang w:bidi="ar"/>
              </w:rPr>
              <w:t>等污水处理系统正常运行时将应急池污水重新引入污水处理系统处理达标后排放，防止事故污水对周边水环境的影响。</w:t>
            </w:r>
          </w:p>
          <w:p>
            <w:pPr>
              <w:widowControl/>
              <w:spacing w:line="360" w:lineRule="auto"/>
              <w:ind w:firstLine="480" w:firstLineChars="200"/>
              <w:rPr>
                <w:kern w:val="0"/>
                <w:sz w:val="24"/>
                <w:lang w:bidi="ar"/>
              </w:rPr>
            </w:pPr>
            <w:r>
              <w:rPr>
                <w:kern w:val="0"/>
                <w:sz w:val="24"/>
                <w:lang w:bidi="ar"/>
              </w:rPr>
              <w:t>（</w:t>
            </w:r>
            <w:r>
              <w:rPr>
                <w:rFonts w:hint="eastAsia"/>
                <w:kern w:val="0"/>
                <w:sz w:val="24"/>
                <w:lang w:bidi="ar"/>
              </w:rPr>
              <w:t>2</w:t>
            </w:r>
            <w:r>
              <w:rPr>
                <w:kern w:val="0"/>
                <w:sz w:val="24"/>
                <w:lang w:bidi="ar"/>
              </w:rPr>
              <w:t>）医疗废物事故应急处置：发生医疗废物流失、泄漏、扩散和意外事故时，应当按照以下要求及时采取紧急处理措施：确定流失、泄漏、扩散的医疗废物的类别、数量、发生时间、影响范围及严重程度；组织有关人员尽快按照应急方案，对发生医疗废物泄漏、扩散的现场进行处理；对被医疗废物污染的区域进行处理时，应当尽可能减少对病人、医</w:t>
            </w:r>
            <w:r>
              <w:rPr>
                <w:rFonts w:hint="eastAsia"/>
                <w:kern w:val="0"/>
                <w:sz w:val="24"/>
                <w:lang w:bidi="ar"/>
              </w:rPr>
              <w:t>护</w:t>
            </w:r>
            <w:r>
              <w:rPr>
                <w:kern w:val="0"/>
                <w:sz w:val="24"/>
                <w:lang w:bidi="ar"/>
              </w:rPr>
              <w:t>人员、其它现场人员及环境的影响；采取适当的安全处置措施，对泄漏物及受污染的区域、物品进行消毒或者其他无害化处置，必要时封锁污染区域，以防扩大污染；工作人员应当做好卫生安全防护后进行工作。处理工作结束后，应当对事件的起因进行调查，并采取有效的防范措施预防类似事件的发生。</w:t>
            </w:r>
          </w:p>
          <w:p>
            <w:pPr>
              <w:pStyle w:val="6"/>
            </w:pPr>
            <w:r>
              <w:rPr>
                <w:rFonts w:hint="eastAsia"/>
              </w:rPr>
              <w:t>6</w:t>
            </w:r>
            <w:r>
              <w:t>.</w:t>
            </w:r>
            <w:r>
              <w:rPr>
                <w:rFonts w:hint="eastAsia"/>
              </w:rPr>
              <w:t>5</w:t>
            </w:r>
            <w:r>
              <w:t>分析结论</w:t>
            </w:r>
          </w:p>
          <w:p>
            <w:pPr>
              <w:widowControl/>
              <w:spacing w:line="360" w:lineRule="auto"/>
              <w:ind w:firstLine="480" w:firstLineChars="200"/>
              <w:rPr>
                <w:kern w:val="0"/>
                <w:sz w:val="24"/>
                <w:lang w:bidi="ar"/>
              </w:rPr>
            </w:pPr>
            <w:r>
              <w:rPr>
                <w:kern w:val="0"/>
                <w:sz w:val="24"/>
                <w:lang w:bidi="ar"/>
              </w:rPr>
              <w:t>正常情况下，建设单位按照本环评要求加强员工的安全、环保知识和风险事故安全教育，提高职工的风险意识，并建立完善的预警系统，并配备必要的设施，制度严格的规程和措施，本项目的环境风险在可接受范围内。一旦发生事故，因为防护措施得力并反应迅速，可把事故造成的影响降到最小，所以本项目在环境风险方面来说是可行的。</w:t>
            </w:r>
          </w:p>
          <w:p>
            <w:pPr>
              <w:pStyle w:val="47"/>
              <w:adjustRightInd/>
              <w:snapToGrid/>
              <w:ind w:firstLine="0" w:firstLineChars="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6.6环境风险应急预案</w:t>
            </w:r>
          </w:p>
          <w:p>
            <w:pPr>
              <w:pStyle w:val="47"/>
              <w:adjustRightInd/>
              <w:snapToGrid/>
              <w:rPr>
                <w:b/>
                <w:color w:val="000000" w:themeColor="text1"/>
                <w:sz w:val="2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根据《企业事业单位突发环境事件应急预案备案管理办法（试行）》（</w:t>
            </w:r>
            <w:r>
              <w:rPr>
                <w:rFonts w:hint="eastAsia" w:ascii="Times New Roman" w:hAnsi="Times New Roman"/>
                <w:bCs/>
                <w:color w:val="000000" w:themeColor="text1"/>
                <w:spacing w:val="-10"/>
                <w14:textFill>
                  <w14:solidFill>
                    <w14:schemeClr w14:val="tx1"/>
                  </w14:solidFill>
                </w14:textFill>
              </w:rPr>
              <w:t>环发〔2015〕4号）</w:t>
            </w:r>
            <w:r>
              <w:rPr>
                <w:rFonts w:hint="eastAsia" w:ascii="宋体" w:hAnsi="宋体" w:cs="宋体"/>
                <w:color w:val="000000" w:themeColor="text1"/>
                <w14:textFill>
                  <w14:solidFill>
                    <w14:schemeClr w14:val="tx1"/>
                  </w14:solidFill>
                </w14:textFill>
              </w:rPr>
              <w:t>建设单位应编制突发环境事件应急预案，</w:t>
            </w:r>
            <w:r>
              <w:rPr>
                <w:rFonts w:ascii="Times New Roman" w:hAnsi="Times New Roman"/>
                <w:color w:val="000000" w:themeColor="text1"/>
                <w14:textFill>
                  <w14:solidFill>
                    <w14:schemeClr w14:val="tx1"/>
                  </w14:solidFill>
                </w14:textFill>
              </w:rPr>
              <w:t>应急预案所要求的基本内容可参照表</w:t>
            </w:r>
            <w:r>
              <w:rPr>
                <w:rFonts w:hint="eastAsia" w:ascii="Times New Roman" w:hAnsi="Times New Roman"/>
                <w:bCs/>
                <w:color w:val="000000" w:themeColor="text1"/>
                <w:spacing w:val="-10"/>
                <w14:textFill>
                  <w14:solidFill>
                    <w14:schemeClr w14:val="tx1"/>
                  </w14:solidFill>
                </w14:textFill>
              </w:rPr>
              <w:t>4-7</w:t>
            </w:r>
            <w:r>
              <w:rPr>
                <w:rFonts w:ascii="Times New Roman" w:hAnsi="Times New Roman"/>
                <w:color w:val="000000" w:themeColor="text1"/>
                <w14:textFill>
                  <w14:solidFill>
                    <w14:schemeClr w14:val="tx1"/>
                  </w14:solidFill>
                </w14:textFill>
              </w:rPr>
              <w:t>中的相关</w:t>
            </w:r>
            <w:r>
              <w:rPr>
                <w:rFonts w:hint="eastAsia" w:ascii="宋体" w:hAnsi="宋体" w:cs="宋体"/>
                <w:color w:val="000000" w:themeColor="text1"/>
                <w14:textFill>
                  <w14:solidFill>
                    <w14:schemeClr w14:val="tx1"/>
                  </w14:solidFill>
                </w14:textFill>
              </w:rPr>
              <w:t>内容。</w:t>
            </w:r>
          </w:p>
          <w:p>
            <w:pPr>
              <w:pStyle w:val="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表</w:t>
            </w:r>
            <w:r>
              <w:rPr>
                <w:rFonts w:hint="eastAsia"/>
                <w:color w:val="000000" w:themeColor="text1"/>
                <w:sz w:val="21"/>
                <w:szCs w:val="21"/>
                <w14:textFill>
                  <w14:solidFill>
                    <w14:schemeClr w14:val="tx1"/>
                  </w14:solidFill>
                </w14:textFill>
              </w:rPr>
              <w:t>4-7    应急预案内容一览表</w:t>
            </w:r>
          </w:p>
          <w:tbl>
            <w:tblPr>
              <w:tblStyle w:val="17"/>
              <w:tblW w:w="8237"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45"/>
              <w:gridCol w:w="5100"/>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tcBorders>
                    <w:bottom w:val="single" w:color="000000" w:sz="12"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484" w:type="pct"/>
                  <w:tcBorders>
                    <w:bottom w:val="single" w:color="000000" w:sz="12"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w:t>
                  </w:r>
                </w:p>
              </w:tc>
              <w:tc>
                <w:tcPr>
                  <w:tcW w:w="3096" w:type="pct"/>
                  <w:tcBorders>
                    <w:bottom w:val="single" w:color="000000" w:sz="12"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内容及要求</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tcBorders>
                    <w:top w:val="single" w:color="000000"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484" w:type="pct"/>
                  <w:tcBorders>
                    <w:top w:val="single" w:color="000000"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应急计划区</w:t>
                  </w:r>
                </w:p>
              </w:tc>
              <w:tc>
                <w:tcPr>
                  <w:tcW w:w="3096" w:type="pct"/>
                  <w:tcBorders>
                    <w:top w:val="single" w:color="000000"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危险目标，环境保护目标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应急组织机构、人员</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康复区应急组织机构、人员</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预案分级响应条件</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规定预案的级别及分级响应程序</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应急救援保障</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应急设施，设备与器材</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报警、通讯联络方式</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规定应急状态下的报警通讯方式、通知方式和交通保障、管制</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应急环境监测、抢险、救援及控制措施</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由专业队伍负责对事故现场进行侦查监测，对事故性质、参数与后果进行评估，为指挥部门提供决策依据</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应急检测、防护措施、清楚泄露措施和器材</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事故现场、临近区域、控制防火措施，控制和清楚污染措施及相应设备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人员紧急撤离、疏散，应急剂量控制、撤离组织计划</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事故现场、康复楼临近区、受事故影响的区域人员及公众对危险物应急剂量控制规定，撤离组织计划及救护，医疗救护与公众健康</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事故应急救援关闭程序与恢复措施</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规定应急状态终止程序；事故现场善后处理，恢复措施；临近区域解除事故警戒及善后恢复措施</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应急培训计划</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应急计划制定后，平时安排人员培训与演练</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2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48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公众教育和信息</w:t>
                  </w:r>
                </w:p>
              </w:tc>
              <w:tc>
                <w:tcPr>
                  <w:tcW w:w="3096"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对临近地区开展公众教育、培训和发布有关信息</w:t>
                  </w:r>
                </w:p>
              </w:tc>
            </w:tr>
          </w:tbl>
          <w:p>
            <w:pPr>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6.7环境风险评价结论</w:t>
            </w:r>
          </w:p>
          <w:p>
            <w:pPr>
              <w:spacing w:line="360" w:lineRule="auto"/>
              <w:ind w:firstLine="480"/>
              <w:rPr>
                <w:color w:val="0000FF"/>
                <w:sz w:val="24"/>
              </w:rPr>
            </w:pPr>
            <w:r>
              <w:rPr>
                <w:color w:val="000000" w:themeColor="text1"/>
                <w:sz w:val="24"/>
                <w14:textFill>
                  <w14:solidFill>
                    <w14:schemeClr w14:val="tx1"/>
                  </w14:solidFill>
                </w14:textFill>
              </w:rPr>
              <w:t>落实上述风险防范措施后，尽管风险事故发生的可能性依然存在，但是通过有效组织，严格管理控制，以及严密的事故应急预案，可将项目事故发生的环境风险降至最低，环境风险可接受。</w:t>
            </w:r>
          </w:p>
          <w:p>
            <w:pPr>
              <w:pStyle w:val="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表</w:t>
            </w:r>
            <w:r>
              <w:rPr>
                <w:rFonts w:hint="eastAsia"/>
                <w:color w:val="000000" w:themeColor="text1"/>
                <w:sz w:val="21"/>
                <w:szCs w:val="21"/>
                <w14:textFill>
                  <w14:solidFill>
                    <w14:schemeClr w14:val="tx1"/>
                  </w14:solidFill>
                </w14:textFill>
              </w:rPr>
              <w:t>4-8   建设项目环境风险简单分析内容表</w:t>
            </w:r>
          </w:p>
          <w:tbl>
            <w:tblPr>
              <w:tblStyle w:val="17"/>
              <w:tblW w:w="8263"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754"/>
              <w:gridCol w:w="1701"/>
              <w:gridCol w:w="849"/>
              <w:gridCol w:w="3416"/>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PrEx>
              <w:trPr>
                <w:trHeight w:val="18" w:hRule="atLeast"/>
                <w:jc w:val="center"/>
              </w:trPr>
              <w:tc>
                <w:tcPr>
                  <w:tcW w:w="934" w:type="pct"/>
                  <w:vAlign w:val="center"/>
                </w:tcPr>
                <w:p>
                  <w:pPr>
                    <w:jc w:val="center"/>
                    <w:rPr>
                      <w:b/>
                      <w:bCs/>
                      <w:color w:val="000000" w:themeColor="text1"/>
                      <w:highlight w:val="yellow"/>
                      <w14:textFill>
                        <w14:solidFill>
                          <w14:schemeClr w14:val="tx1"/>
                        </w14:solidFill>
                      </w14:textFill>
                    </w:rPr>
                  </w:pPr>
                  <w:r>
                    <w:rPr>
                      <w:b/>
                      <w:bCs/>
                      <w:color w:val="000000" w:themeColor="text1"/>
                      <w14:textFill>
                        <w14:solidFill>
                          <w14:schemeClr w14:val="tx1"/>
                        </w14:solidFill>
                      </w14:textFill>
                    </w:rPr>
                    <w:t>建设项目名称</w:t>
                  </w:r>
                </w:p>
              </w:tc>
              <w:tc>
                <w:tcPr>
                  <w:tcW w:w="4066" w:type="pct"/>
                  <w:gridSpan w:val="4"/>
                  <w:vAlign w:val="center"/>
                </w:tcPr>
                <w:p>
                  <w:pPr>
                    <w:jc w:val="center"/>
                    <w:rPr>
                      <w:b/>
                      <w:bCs/>
                      <w:color w:val="000000" w:themeColor="text1"/>
                      <w:highlight w:val="yellow"/>
                      <w14:textFill>
                        <w14:solidFill>
                          <w14:schemeClr w14:val="tx1"/>
                        </w14:solidFill>
                      </w14:textFill>
                    </w:rPr>
                  </w:pPr>
                  <w:r>
                    <w:rPr>
                      <w:color w:val="000000" w:themeColor="text1"/>
                      <w14:textFill>
                        <w14:solidFill>
                          <w14:schemeClr w14:val="tx1"/>
                        </w14:solidFill>
                      </w14:textFill>
                    </w:rPr>
                    <w:t>昌吉州中医医院中医特色重点医院建设项目</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34" w:type="pc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建设地点</w:t>
                  </w:r>
                </w:p>
              </w:tc>
              <w:tc>
                <w:tcPr>
                  <w:tcW w:w="456"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新疆</w:t>
                  </w:r>
                </w:p>
              </w:tc>
              <w:tc>
                <w:tcPr>
                  <w:tcW w:w="1029"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昌吉回族自治州</w:t>
                  </w:r>
                </w:p>
              </w:tc>
              <w:tc>
                <w:tcPr>
                  <w:tcW w:w="514"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昌吉市</w:t>
                  </w:r>
                </w:p>
              </w:tc>
              <w:tc>
                <w:tcPr>
                  <w:tcW w:w="2066"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建国西路110号昌吉州中医医院内</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34" w:type="pct"/>
                  <w:vAlign w:val="center"/>
                </w:tcPr>
                <w:p>
                  <w:pPr>
                    <w:pStyle w:val="28"/>
                    <w:spacing w:before="31" w:after="31"/>
                    <w:rPr>
                      <w:b/>
                      <w:bCs/>
                      <w:color w:val="000000" w:themeColor="text1"/>
                      <w14:textFill>
                        <w14:solidFill>
                          <w14:schemeClr w14:val="tx1"/>
                        </w14:solidFill>
                      </w14:textFill>
                    </w:rPr>
                  </w:pPr>
                  <w:r>
                    <w:rPr>
                      <w:b/>
                      <w:bCs/>
                      <w:color w:val="000000" w:themeColor="text1"/>
                      <w14:textFill>
                        <w14:solidFill>
                          <w14:schemeClr w14:val="tx1"/>
                        </w14:solidFill>
                      </w14:textFill>
                    </w:rPr>
                    <w:t>地理坐标</w:t>
                  </w:r>
                </w:p>
              </w:tc>
              <w:tc>
                <w:tcPr>
                  <w:tcW w:w="456" w:type="pct"/>
                  <w:vAlign w:val="center"/>
                </w:tcPr>
                <w:p>
                  <w:pPr>
                    <w:pStyle w:val="28"/>
                    <w:spacing w:before="31" w:after="31"/>
                    <w:rPr>
                      <w:color w:val="000000" w:themeColor="text1"/>
                      <w14:textFill>
                        <w14:solidFill>
                          <w14:schemeClr w14:val="tx1"/>
                        </w14:solidFill>
                      </w14:textFill>
                    </w:rPr>
                  </w:pPr>
                  <w:r>
                    <w:rPr>
                      <w:color w:val="000000" w:themeColor="text1"/>
                      <w14:textFill>
                        <w14:solidFill>
                          <w14:schemeClr w14:val="tx1"/>
                        </w14:solidFill>
                      </w14:textFill>
                    </w:rPr>
                    <w:t>经度</w:t>
                  </w:r>
                </w:p>
              </w:tc>
              <w:tc>
                <w:tcPr>
                  <w:tcW w:w="1029" w:type="pct"/>
                  <w:vAlign w:val="center"/>
                </w:tcPr>
                <w:p>
                  <w:pPr>
                    <w:pStyle w:val="28"/>
                    <w:spacing w:before="31" w:after="31"/>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 xml:space="preserve">87°17′47.147″ </w:t>
                  </w:r>
                </w:p>
              </w:tc>
              <w:tc>
                <w:tcPr>
                  <w:tcW w:w="514" w:type="pct"/>
                  <w:vAlign w:val="center"/>
                </w:tcPr>
                <w:p>
                  <w:pPr>
                    <w:pStyle w:val="28"/>
                    <w:spacing w:before="31" w:after="31"/>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纬度</w:t>
                  </w:r>
                </w:p>
              </w:tc>
              <w:tc>
                <w:tcPr>
                  <w:tcW w:w="2066" w:type="pct"/>
                  <w:vAlign w:val="center"/>
                </w:tcPr>
                <w:p>
                  <w:pPr>
                    <w:pStyle w:val="28"/>
                    <w:spacing w:before="31" w:after="31"/>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 xml:space="preserve">43°59′57.417″ </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34" w:type="pct"/>
                  <w:vAlign w:val="center"/>
                </w:tcPr>
                <w:p>
                  <w:pPr>
                    <w:jc w:val="center"/>
                    <w:rPr>
                      <w:b/>
                      <w:bCs/>
                      <w:color w:val="0000FF"/>
                    </w:rPr>
                  </w:pPr>
                  <w:r>
                    <w:rPr>
                      <w:b/>
                      <w:bCs/>
                      <w:color w:val="000000" w:themeColor="text1"/>
                      <w14:textFill>
                        <w14:solidFill>
                          <w14:schemeClr w14:val="tx1"/>
                        </w14:solidFill>
                      </w14:textFill>
                    </w:rPr>
                    <w:t>主要危险物质及分布</w:t>
                  </w:r>
                </w:p>
              </w:tc>
              <w:tc>
                <w:tcPr>
                  <w:tcW w:w="4066" w:type="pct"/>
                  <w:gridSpan w:val="4"/>
                  <w:vAlign w:val="center"/>
                </w:tcPr>
                <w:p>
                  <w:pPr>
                    <w:jc w:val="center"/>
                    <w:rPr>
                      <w:color w:val="0000FF"/>
                    </w:rPr>
                  </w:pPr>
                  <w:r>
                    <w:rPr>
                      <w:rFonts w:hint="eastAsia"/>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34" w:type="pct"/>
                  <w:vAlign w:val="center"/>
                </w:tcPr>
                <w:p>
                  <w:pPr>
                    <w:jc w:val="center"/>
                    <w:rPr>
                      <w:b/>
                      <w:bCs/>
                      <w:color w:val="0000FF"/>
                    </w:rPr>
                  </w:pPr>
                  <w:r>
                    <w:rPr>
                      <w:b/>
                      <w:bCs/>
                    </w:rPr>
                    <w:t>环境影响途径及危害后果</w:t>
                  </w:r>
                </w:p>
              </w:tc>
              <w:tc>
                <w:tcPr>
                  <w:tcW w:w="4066" w:type="pct"/>
                  <w:gridSpan w:val="4"/>
                  <w:vAlign w:val="center"/>
                </w:tcPr>
                <w:p>
                  <w:pPr>
                    <w:rPr>
                      <w:szCs w:val="21"/>
                    </w:rPr>
                  </w:pPr>
                  <w:r>
                    <w:rPr>
                      <w:rFonts w:hint="eastAsia"/>
                      <w:szCs w:val="21"/>
                    </w:rPr>
                    <w:t>（1）</w:t>
                  </w:r>
                  <w:r>
                    <w:rPr>
                      <w:szCs w:val="21"/>
                    </w:rPr>
                    <w:t xml:space="preserve">灭火废水经过市政污水管网进入附近污水处理厂； </w:t>
                  </w:r>
                </w:p>
                <w:p>
                  <w:pPr>
                    <w:rPr>
                      <w:szCs w:val="21"/>
                    </w:rPr>
                  </w:pPr>
                  <w:r>
                    <w:rPr>
                      <w:rFonts w:hint="eastAsia"/>
                      <w:szCs w:val="21"/>
                    </w:rPr>
                    <w:t>（2）</w:t>
                  </w:r>
                  <w:r>
                    <w:rPr>
                      <w:szCs w:val="21"/>
                    </w:rPr>
                    <w:t>火灾会释放大量的烃类、烟尘、一氧化碳和二氧化碳等大气污染物，对大气环境造成较大的污染；</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34" w:type="pct"/>
                  <w:vAlign w:val="center"/>
                </w:tcPr>
                <w:p>
                  <w:pPr>
                    <w:jc w:val="center"/>
                    <w:rPr>
                      <w:b/>
                      <w:bCs/>
                      <w:color w:val="0000FF"/>
                      <w:highlight w:val="yellow"/>
                    </w:rPr>
                  </w:pPr>
                  <w:r>
                    <w:rPr>
                      <w:b/>
                      <w:bCs/>
                    </w:rPr>
                    <w:t>风险防范措施要求</w:t>
                  </w:r>
                </w:p>
              </w:tc>
              <w:tc>
                <w:tcPr>
                  <w:tcW w:w="4066" w:type="pct"/>
                  <w:gridSpan w:val="4"/>
                  <w:vAlign w:val="center"/>
                </w:tcPr>
                <w:p>
                  <w:pPr>
                    <w:rPr>
                      <w:szCs w:val="21"/>
                    </w:rPr>
                  </w:pPr>
                  <w:r>
                    <w:rPr>
                      <w:szCs w:val="21"/>
                    </w:rPr>
                    <w:t>（1）建立完善的安全生产管理制度和消防安全规定，制定设备操作规程并严格遵照执行；</w:t>
                  </w:r>
                </w:p>
                <w:p>
                  <w:pPr>
                    <w:pStyle w:val="2"/>
                    <w:spacing w:before="0" w:after="0" w:line="240" w:lineRule="auto"/>
                    <w:rPr>
                      <w:kern w:val="2"/>
                      <w:sz w:val="21"/>
                      <w:szCs w:val="21"/>
                    </w:rPr>
                  </w:pPr>
                  <w:r>
                    <w:rPr>
                      <w:kern w:val="2"/>
                      <w:sz w:val="21"/>
                      <w:szCs w:val="21"/>
                    </w:rPr>
                    <w:t>（2）污水处理系统消毒设备出现故障，应立即启用备用的应急消毒剂，采用人工添加消毒剂的方式对污水进行消毒处理，做到达标排放；</w:t>
                  </w:r>
                </w:p>
                <w:p>
                  <w:pPr>
                    <w:rPr>
                      <w:szCs w:val="21"/>
                    </w:rPr>
                  </w:pPr>
                  <w:r>
                    <w:rPr>
                      <w:szCs w:val="21"/>
                    </w:rPr>
                    <w:t>（3）对泄漏物及受污染的区域、物品进行消毒或者其他无害化处置，必要时封锁污染区域，以防扩大污染；</w:t>
                  </w:r>
                </w:p>
                <w:p>
                  <w:pPr>
                    <w:rPr>
                      <w:szCs w:val="21"/>
                    </w:rPr>
                  </w:pPr>
                  <w:r>
                    <w:rPr>
                      <w:szCs w:val="21"/>
                    </w:rPr>
                    <w:t>（4）加强员工的思想、道德教育，提高员工的责任心和主观能动性：完善并严格遵守相关的操作规程，加强岗位培训，落实岗位责任制；</w:t>
                  </w:r>
                </w:p>
                <w:p>
                  <w:pPr>
                    <w:rPr>
                      <w:szCs w:val="21"/>
                    </w:rPr>
                  </w:pPr>
                  <w:r>
                    <w:rPr>
                      <w:szCs w:val="21"/>
                    </w:rPr>
                    <w:t>（5）加强事故管理，在</w:t>
                  </w:r>
                  <w:r>
                    <w:rPr>
                      <w:rFonts w:hint="eastAsia"/>
                      <w:szCs w:val="21"/>
                    </w:rPr>
                    <w:t>运营</w:t>
                  </w:r>
                  <w:r>
                    <w:rPr>
                      <w:szCs w:val="21"/>
                    </w:rPr>
                    <w:t>过程中注意对其它单位相关事故的研究，充分吸取经验和教训。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34" w:type="pct"/>
                  <w:vAlign w:val="center"/>
                </w:tcPr>
                <w:p>
                  <w:pPr>
                    <w:spacing w:line="360" w:lineRule="auto"/>
                    <w:jc w:val="center"/>
                    <w:rPr>
                      <w:b/>
                      <w:bCs/>
                    </w:rPr>
                  </w:pPr>
                  <w:r>
                    <w:rPr>
                      <w:b/>
                      <w:bCs/>
                    </w:rPr>
                    <w:t>填表说明</w:t>
                  </w:r>
                </w:p>
              </w:tc>
              <w:tc>
                <w:tcPr>
                  <w:tcW w:w="4066" w:type="pct"/>
                  <w:gridSpan w:val="4"/>
                  <w:vAlign w:val="center"/>
                </w:tcPr>
                <w:p>
                  <w:pPr>
                    <w:ind w:firstLine="420" w:firstLineChars="200"/>
                  </w:pPr>
                  <w:r>
                    <w:t>本项目风险潜势为Ⅰ，仅进行简单分析，在采取有效的防范措施、制定相应的应急预案的前提下，建设单位可将事故风险的影响减至最小。本项目在落实上述提出的风险防范及应急措施后，可做到环境风险可防控要求，本项目环境风险防范措施有效可行，环境风险可防控。</w:t>
                  </w:r>
                </w:p>
              </w:tc>
            </w:tr>
          </w:tbl>
          <w:p>
            <w:pPr>
              <w:spacing w:line="360" w:lineRule="auto"/>
              <w:rPr>
                <w:b/>
                <w:bCs/>
                <w:sz w:val="24"/>
              </w:rPr>
            </w:pPr>
            <w:r>
              <w:rPr>
                <w:rFonts w:hint="eastAsia"/>
                <w:b/>
                <w:bCs/>
                <w:sz w:val="24"/>
              </w:rPr>
              <w:t>7.环境管理及环境监理</w:t>
            </w:r>
          </w:p>
          <w:p>
            <w:pPr>
              <w:spacing w:line="360" w:lineRule="auto"/>
              <w:rPr>
                <w:b/>
                <w:bCs/>
                <w:sz w:val="24"/>
              </w:rPr>
            </w:pPr>
            <w:r>
              <w:rPr>
                <w:rFonts w:hint="eastAsia"/>
                <w:b/>
                <w:bCs/>
                <w:sz w:val="24"/>
              </w:rPr>
              <w:t>7.1环境管理</w:t>
            </w:r>
          </w:p>
          <w:p>
            <w:pPr>
              <w:spacing w:line="360" w:lineRule="auto"/>
              <w:ind w:firstLine="480"/>
              <w:rPr>
                <w:kern w:val="0"/>
                <w:sz w:val="24"/>
                <w:lang w:bidi="ar"/>
              </w:rPr>
            </w:pPr>
            <w:r>
              <w:rPr>
                <w:sz w:val="24"/>
              </w:rPr>
              <w:t>环境管理就是指工程在施工期、营运期时全面执行和遵守国家、省、市有关环境保护法律、法规、政策和标准，接受地方环境保护主管部门的环境监督，调整和制定环境保护规划和目标，力争把不利影响减小到最低，加强项目环境管理，协调解决实现目标过程中的具体问题，及时调整工程运行方式和环境保护措施，以取得更好的综合环境效益，最终达到保护环境的目的。建设项目环境管理是工程管理的重要组成部分，是工程环境保护工作能够有效实施的关键。</w:t>
            </w:r>
            <w:r>
              <w:rPr>
                <w:rFonts w:hint="eastAsia"/>
                <w:kern w:val="0"/>
                <w:sz w:val="24"/>
                <w:lang w:bidi="ar"/>
              </w:rPr>
              <w:t>本项目环境管理要求如下：</w:t>
            </w:r>
          </w:p>
          <w:p>
            <w:pPr>
              <w:numPr>
                <w:ilvl w:val="0"/>
                <w:numId w:val="2"/>
              </w:numPr>
              <w:spacing w:line="360" w:lineRule="auto"/>
              <w:ind w:firstLine="480"/>
              <w:rPr>
                <w:sz w:val="24"/>
              </w:rPr>
            </w:pPr>
            <w:r>
              <w:rPr>
                <w:rFonts w:hint="eastAsia"/>
                <w:sz w:val="24"/>
              </w:rPr>
              <w:t>加强污染治理设施的日常维护保养，</w:t>
            </w:r>
            <w:r>
              <w:rPr>
                <w:sz w:val="24"/>
              </w:rPr>
              <w:t xml:space="preserve">定期对设备、电气、自控仪表等进行检查维护，确保污染治理设施可靠运行。 </w:t>
            </w:r>
          </w:p>
          <w:p>
            <w:pPr>
              <w:numPr>
                <w:ilvl w:val="0"/>
                <w:numId w:val="2"/>
              </w:numPr>
              <w:spacing w:line="360" w:lineRule="auto"/>
              <w:ind w:firstLine="480"/>
              <w:rPr>
                <w:sz w:val="24"/>
              </w:rPr>
            </w:pPr>
            <w:r>
              <w:rPr>
                <w:rFonts w:hint="eastAsia"/>
                <w:sz w:val="24"/>
              </w:rPr>
              <w:t>危废</w:t>
            </w:r>
            <w:r>
              <w:rPr>
                <w:sz w:val="24"/>
              </w:rPr>
              <w:t>暂存间的建设与管理应符合GB 18597 的要求。</w:t>
            </w:r>
          </w:p>
          <w:p>
            <w:pPr>
              <w:numPr>
                <w:ilvl w:val="0"/>
                <w:numId w:val="2"/>
              </w:numPr>
              <w:spacing w:line="360" w:lineRule="auto"/>
              <w:ind w:firstLine="480"/>
              <w:rPr>
                <w:sz w:val="24"/>
              </w:rPr>
            </w:pPr>
            <w:r>
              <w:rPr>
                <w:sz w:val="24"/>
              </w:rPr>
              <w:t>按照分类记录医疗废物和污水处理站污泥的产生量、贮存量和转移量，并向全国固体废物管理信息系统报送相关数据。</w:t>
            </w:r>
          </w:p>
          <w:p>
            <w:pPr>
              <w:numPr>
                <w:ilvl w:val="0"/>
                <w:numId w:val="2"/>
              </w:numPr>
              <w:spacing w:line="360" w:lineRule="auto"/>
              <w:ind w:firstLine="480"/>
              <w:rPr>
                <w:color w:val="0000FF"/>
                <w:sz w:val="24"/>
              </w:rPr>
            </w:pPr>
            <w:r>
              <w:rPr>
                <w:sz w:val="24"/>
              </w:rPr>
              <w:t>各类危险废物应分类收集、分类存放，按类别置于防渗漏、防锐器穿透的包装物或密闭容器内，应当符合HJ 421 要求。</w:t>
            </w:r>
            <w:r>
              <w:rPr>
                <w:color w:val="0000FF"/>
                <w:sz w:val="24"/>
              </w:rPr>
              <w:t xml:space="preserve"> </w:t>
            </w:r>
          </w:p>
          <w:p>
            <w:pPr>
              <w:numPr>
                <w:ilvl w:val="0"/>
                <w:numId w:val="2"/>
              </w:numPr>
              <w:spacing w:line="360" w:lineRule="auto"/>
              <w:ind w:firstLine="480"/>
              <w:rPr>
                <w:sz w:val="24"/>
              </w:rPr>
            </w:pPr>
            <w:r>
              <w:rPr>
                <w:rFonts w:hint="eastAsia"/>
                <w:sz w:val="24"/>
              </w:rPr>
              <w:t>危废</w:t>
            </w:r>
            <w:r>
              <w:rPr>
                <w:sz w:val="24"/>
              </w:rPr>
              <w:t>暂存间应及时清运。</w:t>
            </w:r>
          </w:p>
          <w:p>
            <w:pPr>
              <w:numPr>
                <w:ilvl w:val="0"/>
                <w:numId w:val="2"/>
              </w:numPr>
              <w:spacing w:line="360" w:lineRule="auto"/>
              <w:ind w:firstLine="480"/>
              <w:rPr>
                <w:sz w:val="24"/>
              </w:rPr>
            </w:pPr>
            <w:r>
              <w:rPr>
                <w:sz w:val="24"/>
              </w:rPr>
              <w:t xml:space="preserve">污水处理站污泥应经过消毒处理，由有资质的单位进行收运处置；污泥清掏前需按照GB 18466 要求进行监测。 </w:t>
            </w:r>
          </w:p>
          <w:p>
            <w:pPr>
              <w:numPr>
                <w:ilvl w:val="0"/>
                <w:numId w:val="2"/>
              </w:numPr>
              <w:spacing w:line="360" w:lineRule="auto"/>
              <w:ind w:firstLine="480"/>
              <w:rPr>
                <w:sz w:val="24"/>
              </w:rPr>
            </w:pPr>
            <w:r>
              <w:rPr>
                <w:sz w:val="24"/>
              </w:rPr>
              <w:t>医疗废物转移过程中执行《医疗废物集中处置技术规范》（试行），污水处理站</w:t>
            </w:r>
            <w:r>
              <w:rPr>
                <w:rFonts w:hint="eastAsia"/>
                <w:sz w:val="24"/>
              </w:rPr>
              <w:t>的</w:t>
            </w:r>
            <w:r>
              <w:rPr>
                <w:sz w:val="24"/>
              </w:rPr>
              <w:t>污泥转移处置过程中执行《危险废物转移联单管理办法》。</w:t>
            </w:r>
          </w:p>
          <w:p>
            <w:pPr>
              <w:spacing w:line="360" w:lineRule="auto"/>
              <w:rPr>
                <w:b/>
                <w:bCs/>
                <w:sz w:val="24"/>
              </w:rPr>
            </w:pPr>
            <w:r>
              <w:rPr>
                <w:rFonts w:hint="eastAsia"/>
                <w:b/>
                <w:bCs/>
                <w:sz w:val="24"/>
              </w:rPr>
              <w:t>7.2</w:t>
            </w:r>
            <w:r>
              <w:rPr>
                <w:b/>
                <w:bCs/>
                <w:sz w:val="24"/>
              </w:rPr>
              <w:t>环境监理</w:t>
            </w:r>
          </w:p>
          <w:p>
            <w:pPr>
              <w:spacing w:line="360" w:lineRule="auto"/>
              <w:ind w:firstLine="480"/>
              <w:rPr>
                <w:sz w:val="24"/>
              </w:rPr>
            </w:pPr>
            <w:r>
              <w:rPr>
                <w:sz w:val="24"/>
              </w:rPr>
              <w:t>在项目施工期间，应根据当地环保主管部门的要求和环境保护设计要求，委托专业机构开展施工期环境监理，全面监督和检查施工单位环境保护措施的实施和效果，及时处理和解决临时出现的环境污染事件，减少各类污染物对周边环境的污染，以实现工程经济效益、社会效益和环境效益的统一。</w:t>
            </w:r>
          </w:p>
          <w:p>
            <w:pPr>
              <w:spacing w:line="360" w:lineRule="auto"/>
              <w:ind w:firstLine="480"/>
              <w:rPr>
                <w:sz w:val="24"/>
              </w:rPr>
            </w:pPr>
            <w:r>
              <w:rPr>
                <w:sz w:val="24"/>
              </w:rPr>
              <w:t>环境监理单位应遵循国家、当地政府有关环境保护的方针、政策、法令、法规及主管部门批准的项目建设文件中环境保护的内容，对工程全过程实施环境监理。本工程环境监理的主要工作内容包括：</w:t>
            </w:r>
          </w:p>
          <w:p>
            <w:pPr>
              <w:spacing w:line="360" w:lineRule="auto"/>
              <w:ind w:firstLine="480"/>
              <w:rPr>
                <w:sz w:val="24"/>
              </w:rPr>
            </w:pPr>
            <w:r>
              <w:rPr>
                <w:sz w:val="24"/>
              </w:rPr>
              <w:t>（1）制定施工期建设项目全过程环境监理计划，拟定环境监理项目和内容，经建设单位同意后，由建设单位报环保行政主管部门备案。</w:t>
            </w:r>
          </w:p>
          <w:p>
            <w:pPr>
              <w:spacing w:line="360" w:lineRule="auto"/>
              <w:ind w:firstLine="480"/>
              <w:rPr>
                <w:sz w:val="24"/>
              </w:rPr>
            </w:pPr>
            <w:r>
              <w:rPr>
                <w:sz w:val="24"/>
              </w:rPr>
              <w:t>（2）全面监督和检查施工单位对环评报告及环保部门相关批文中各项污染防治措施的实际执行情况，监督合同中的各项环保措施执行情况，及时处理和解决临时出现的环境污染事件。</w:t>
            </w:r>
          </w:p>
          <w:p>
            <w:pPr>
              <w:spacing w:line="360" w:lineRule="auto"/>
              <w:ind w:firstLine="480"/>
              <w:rPr>
                <w:color w:val="0000FF"/>
                <w:sz w:val="24"/>
              </w:rPr>
            </w:pPr>
            <w:r>
              <w:rPr>
                <w:sz w:val="24"/>
              </w:rPr>
              <w:t>（3）环境监理单位应对建设方的施工现场进行监督检查：监督施工期废水处理设施的完善，保证达标排放；监督施工车辆、机械的清洁及运况，保证尾气达标；监督施工材料运输车辆的行驶路线、行驶时段的合理安排，监督施工单位及时清扫撒落物料，保证路线的清洁；监督降噪措施保质保量实施，以防噪声扰民；确保建设方在施工过程中产生的</w:t>
            </w:r>
            <w:r>
              <w:rPr>
                <w:rFonts w:hint="eastAsia"/>
                <w:sz w:val="24"/>
              </w:rPr>
              <w:t>“</w:t>
            </w:r>
            <w:r>
              <w:rPr>
                <w:sz w:val="24"/>
              </w:rPr>
              <w:t>三废</w:t>
            </w:r>
            <w:r>
              <w:rPr>
                <w:rFonts w:hint="eastAsia"/>
                <w:sz w:val="24"/>
              </w:rPr>
              <w:t>”（</w:t>
            </w:r>
            <w:r>
              <w:rPr>
                <w:sz w:val="24"/>
              </w:rPr>
              <w:t>固废、废污水、废气）处理符合有关环保文件的要求，全面检查施工单位负责的渣场、施工迹地的处理、回复情况，包括边坡稳定、迹地恢复和绿化等。</w:t>
            </w:r>
          </w:p>
          <w:p>
            <w:pPr>
              <w:spacing w:line="360" w:lineRule="auto"/>
              <w:ind w:firstLine="480"/>
              <w:rPr>
                <w:sz w:val="24"/>
              </w:rPr>
            </w:pPr>
            <w:r>
              <w:rPr>
                <w:sz w:val="24"/>
              </w:rPr>
              <w:t>（4）对施工队伍进行监理，施工队伍施工水平直接影响到施工时污染物的产生，应促使施工单位规范施工，有效控制环境污染问题。</w:t>
            </w:r>
          </w:p>
          <w:p>
            <w:pPr>
              <w:spacing w:line="360" w:lineRule="auto"/>
              <w:ind w:firstLine="480"/>
              <w:rPr>
                <w:sz w:val="24"/>
              </w:rPr>
            </w:pPr>
            <w:r>
              <w:rPr>
                <w:sz w:val="24"/>
              </w:rPr>
              <w:t>（5）环境监理单位对施工区污染源进行调查，摸清污染源及其产生的不利影响，并对有较大环境影响的污染源提出污染防治措施和建议。在发现重大环境问题时应及时向环保行政主管部门报告。</w:t>
            </w:r>
          </w:p>
          <w:p>
            <w:pPr>
              <w:spacing w:line="360" w:lineRule="auto"/>
              <w:ind w:firstLine="480"/>
              <w:rPr>
                <w:sz w:val="24"/>
              </w:rPr>
            </w:pPr>
            <w:r>
              <w:rPr>
                <w:sz w:val="24"/>
              </w:rPr>
              <w:t>（6）日常工作中做好监理记录，定期向建设单位及各级环保行政主管部门提交环境监理报告，便于建设单位及时落实整改和各级环保行政主管部门及时监督管理；竣工验收前提交环境监理总结报告，积极参与竣工验收。</w:t>
            </w:r>
          </w:p>
          <w:p>
            <w:pPr>
              <w:spacing w:line="360" w:lineRule="auto"/>
              <w:rPr>
                <w:b/>
                <w:bCs/>
                <w:sz w:val="24"/>
              </w:rPr>
            </w:pPr>
            <w:r>
              <w:rPr>
                <w:rFonts w:hint="eastAsia"/>
                <w:b/>
                <w:bCs/>
                <w:sz w:val="24"/>
              </w:rPr>
              <w:t>8.环保投资</w:t>
            </w:r>
            <w:r>
              <w:rPr>
                <w:b/>
                <w:bCs/>
                <w:sz w:val="24"/>
              </w:rPr>
              <w:t>分析</w:t>
            </w:r>
          </w:p>
          <w:p>
            <w:pPr>
              <w:topLinePunct/>
              <w:adjustRightInd w:val="0"/>
              <w:snapToGrid w:val="0"/>
              <w:spacing w:line="360" w:lineRule="auto"/>
              <w:ind w:firstLine="480" w:firstLineChars="200"/>
              <w:jc w:val="left"/>
            </w:pPr>
            <w:r>
              <w:rPr>
                <w:kern w:val="0"/>
                <w:sz w:val="24"/>
              </w:rPr>
              <w:t>项目建成投产后，环保投资估算为</w:t>
            </w:r>
            <w:r>
              <w:rPr>
                <w:rFonts w:hint="eastAsia"/>
                <w:kern w:val="0"/>
                <w:sz w:val="24"/>
              </w:rPr>
              <w:t>150</w:t>
            </w:r>
            <w:r>
              <w:rPr>
                <w:kern w:val="0"/>
                <w:sz w:val="24"/>
              </w:rPr>
              <w:t>万元，约占项目总投资</w:t>
            </w:r>
            <w:r>
              <w:rPr>
                <w:rFonts w:hint="eastAsia"/>
                <w:kern w:val="0"/>
                <w:sz w:val="24"/>
              </w:rPr>
              <w:t>12500</w:t>
            </w:r>
            <w:r>
              <w:rPr>
                <w:kern w:val="0"/>
                <w:sz w:val="24"/>
              </w:rPr>
              <w:t>万元的</w:t>
            </w:r>
            <w:r>
              <w:rPr>
                <w:rFonts w:hint="eastAsia"/>
                <w:kern w:val="0"/>
                <w:sz w:val="24"/>
              </w:rPr>
              <w:t>1.2</w:t>
            </w:r>
            <w:r>
              <w:rPr>
                <w:kern w:val="0"/>
                <w:sz w:val="24"/>
              </w:rPr>
              <w:t>%。具体环保投资估算见</w:t>
            </w:r>
            <w:r>
              <w:rPr>
                <w:sz w:val="24"/>
              </w:rPr>
              <w:t>表</w:t>
            </w:r>
            <w:r>
              <w:rPr>
                <w:rFonts w:hint="eastAsia"/>
                <w:bCs/>
                <w:spacing w:val="-10"/>
                <w:sz w:val="24"/>
              </w:rPr>
              <w:t>4-9</w:t>
            </w:r>
            <w:r>
              <w:rPr>
                <w:kern w:val="0"/>
                <w:sz w:val="24"/>
              </w:rPr>
              <w:t>。</w:t>
            </w:r>
          </w:p>
          <w:p>
            <w:pPr>
              <w:pStyle w:val="8"/>
              <w:spacing w:line="240" w:lineRule="auto"/>
              <w:rPr>
                <w:sz w:val="21"/>
                <w:szCs w:val="21"/>
              </w:rPr>
            </w:pPr>
            <w:r>
              <w:rPr>
                <w:sz w:val="21"/>
                <w:szCs w:val="21"/>
              </w:rPr>
              <w:t>表</w:t>
            </w:r>
            <w:r>
              <w:rPr>
                <w:rFonts w:hint="eastAsia"/>
                <w:sz w:val="21"/>
                <w:szCs w:val="21"/>
              </w:rPr>
              <w:t>4-9  环境保护投资估算一览表</w:t>
            </w:r>
          </w:p>
          <w:tbl>
            <w:tblPr>
              <w:tblStyle w:val="17"/>
              <w:tblW w:w="828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15"/>
              <w:gridCol w:w="1606"/>
              <w:gridCol w:w="3933"/>
              <w:gridCol w:w="13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tcBorders>
                    <w:bottom w:val="single" w:color="000000" w:sz="12" w:space="0"/>
                    <w:tl2br w:val="nil"/>
                    <w:tr2bl w:val="nil"/>
                  </w:tcBorders>
                  <w:vAlign w:val="center"/>
                </w:tcPr>
                <w:p>
                  <w:pPr>
                    <w:jc w:val="center"/>
                    <w:rPr>
                      <w:b/>
                      <w:bCs/>
                      <w:kern w:val="0"/>
                    </w:rPr>
                  </w:pPr>
                  <w:r>
                    <w:rPr>
                      <w:rFonts w:hint="eastAsia"/>
                      <w:b/>
                      <w:bCs/>
                      <w:kern w:val="0"/>
                    </w:rPr>
                    <w:t>时段</w:t>
                  </w:r>
                </w:p>
              </w:tc>
              <w:tc>
                <w:tcPr>
                  <w:tcW w:w="431" w:type="pct"/>
                  <w:tcBorders>
                    <w:bottom w:val="single" w:color="000000" w:sz="12" w:space="0"/>
                    <w:tl2br w:val="nil"/>
                    <w:tr2bl w:val="nil"/>
                  </w:tcBorders>
                  <w:vAlign w:val="center"/>
                </w:tcPr>
                <w:p>
                  <w:pPr>
                    <w:jc w:val="center"/>
                    <w:rPr>
                      <w:b/>
                      <w:bCs/>
                      <w:kern w:val="0"/>
                    </w:rPr>
                  </w:pPr>
                  <w:r>
                    <w:rPr>
                      <w:b/>
                      <w:bCs/>
                      <w:kern w:val="0"/>
                    </w:rPr>
                    <w:t>项目</w:t>
                  </w:r>
                </w:p>
              </w:tc>
              <w:tc>
                <w:tcPr>
                  <w:tcW w:w="969" w:type="pct"/>
                  <w:tcBorders>
                    <w:bottom w:val="single" w:color="000000" w:sz="12" w:space="0"/>
                    <w:tl2br w:val="nil"/>
                    <w:tr2bl w:val="nil"/>
                  </w:tcBorders>
                  <w:vAlign w:val="center"/>
                </w:tcPr>
                <w:p>
                  <w:pPr>
                    <w:jc w:val="center"/>
                    <w:rPr>
                      <w:b/>
                      <w:bCs/>
                      <w:kern w:val="0"/>
                    </w:rPr>
                  </w:pPr>
                  <w:r>
                    <w:rPr>
                      <w:b/>
                      <w:bCs/>
                      <w:kern w:val="0"/>
                    </w:rPr>
                    <w:t>污染控制类型</w:t>
                  </w:r>
                </w:p>
              </w:tc>
              <w:tc>
                <w:tcPr>
                  <w:tcW w:w="2372" w:type="pct"/>
                  <w:tcBorders>
                    <w:bottom w:val="single" w:color="000000" w:sz="12" w:space="0"/>
                    <w:tl2br w:val="nil"/>
                    <w:tr2bl w:val="nil"/>
                  </w:tcBorders>
                  <w:vAlign w:val="center"/>
                </w:tcPr>
                <w:p>
                  <w:pPr>
                    <w:jc w:val="center"/>
                    <w:rPr>
                      <w:b/>
                      <w:bCs/>
                      <w:kern w:val="0"/>
                    </w:rPr>
                  </w:pPr>
                  <w:r>
                    <w:rPr>
                      <w:b/>
                      <w:bCs/>
                      <w:kern w:val="0"/>
                    </w:rPr>
                    <w:t>控制措施</w:t>
                  </w:r>
                </w:p>
              </w:tc>
              <w:tc>
                <w:tcPr>
                  <w:tcW w:w="834" w:type="pct"/>
                  <w:tcBorders>
                    <w:bottom w:val="single" w:color="000000" w:sz="12" w:space="0"/>
                    <w:tl2br w:val="nil"/>
                    <w:tr2bl w:val="nil"/>
                  </w:tcBorders>
                  <w:vAlign w:val="center"/>
                </w:tcPr>
                <w:p>
                  <w:pPr>
                    <w:jc w:val="center"/>
                    <w:rPr>
                      <w:b/>
                      <w:bCs/>
                      <w:kern w:val="0"/>
                    </w:rPr>
                  </w:pPr>
                  <w:r>
                    <w:rPr>
                      <w:b/>
                      <w:bCs/>
                      <w:kern w:val="0"/>
                    </w:rPr>
                    <w:t>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vMerge w:val="restart"/>
                  <w:tcBorders>
                    <w:top w:val="single" w:color="000000" w:sz="12" w:space="0"/>
                    <w:tl2br w:val="nil"/>
                    <w:tr2bl w:val="nil"/>
                  </w:tcBorders>
                  <w:vAlign w:val="center"/>
                </w:tcPr>
                <w:p>
                  <w:pPr>
                    <w:jc w:val="center"/>
                  </w:pPr>
                  <w:r>
                    <w:rPr>
                      <w:rFonts w:hint="eastAsia"/>
                    </w:rPr>
                    <w:t>施工期</w:t>
                  </w:r>
                </w:p>
              </w:tc>
              <w:tc>
                <w:tcPr>
                  <w:tcW w:w="431" w:type="pct"/>
                  <w:tcBorders>
                    <w:top w:val="single" w:color="000000" w:sz="12" w:space="0"/>
                    <w:tl2br w:val="nil"/>
                    <w:tr2bl w:val="nil"/>
                  </w:tcBorders>
                  <w:vAlign w:val="center"/>
                </w:tcPr>
                <w:p>
                  <w:pPr>
                    <w:jc w:val="center"/>
                    <w:rPr>
                      <w:b/>
                      <w:bCs/>
                      <w:kern w:val="0"/>
                    </w:rPr>
                  </w:pPr>
                  <w:r>
                    <w:rPr>
                      <w:rFonts w:hint="eastAsia"/>
                    </w:rPr>
                    <w:t>废气</w:t>
                  </w:r>
                </w:p>
              </w:tc>
              <w:tc>
                <w:tcPr>
                  <w:tcW w:w="969" w:type="pct"/>
                  <w:tcBorders>
                    <w:top w:val="single" w:color="000000" w:sz="12" w:space="0"/>
                    <w:tl2br w:val="nil"/>
                    <w:tr2bl w:val="nil"/>
                  </w:tcBorders>
                  <w:vAlign w:val="center"/>
                </w:tcPr>
                <w:p>
                  <w:pPr>
                    <w:pStyle w:val="32"/>
                    <w:ind w:firstLine="0" w:firstLineChars="0"/>
                  </w:pPr>
                  <w:r>
                    <w:rPr>
                      <w:rFonts w:hint="eastAsia"/>
                    </w:rPr>
                    <w:t>施工扬尘</w:t>
                  </w:r>
                </w:p>
              </w:tc>
              <w:tc>
                <w:tcPr>
                  <w:tcW w:w="2372" w:type="pct"/>
                  <w:tcBorders>
                    <w:top w:val="single" w:color="000000" w:sz="12" w:space="0"/>
                    <w:tl2br w:val="nil"/>
                    <w:tr2bl w:val="nil"/>
                  </w:tcBorders>
                  <w:vAlign w:val="center"/>
                </w:tcPr>
                <w:p>
                  <w:pPr>
                    <w:pStyle w:val="32"/>
                    <w:ind w:firstLine="0" w:firstLineChars="0"/>
                  </w:pPr>
                  <w:r>
                    <w:rPr>
                      <w:rFonts w:hint="eastAsia"/>
                    </w:rPr>
                    <w:t>围挡、洒水降尘、加盖篷布、车辆过水池</w:t>
                  </w:r>
                </w:p>
              </w:tc>
              <w:tc>
                <w:tcPr>
                  <w:tcW w:w="834" w:type="pct"/>
                  <w:tcBorders>
                    <w:top w:val="single" w:color="000000" w:sz="12" w:space="0"/>
                    <w:tl2br w:val="nil"/>
                    <w:tr2bl w:val="nil"/>
                  </w:tcBorders>
                  <w:vAlign w:val="center"/>
                </w:tcPr>
                <w:p>
                  <w:pPr>
                    <w:pStyle w:val="32"/>
                    <w:ind w:firstLine="0" w:firstLineChars="0"/>
                  </w:pPr>
                  <w: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vMerge w:val="continue"/>
                  <w:tcBorders>
                    <w:tl2br w:val="nil"/>
                    <w:tr2bl w:val="nil"/>
                  </w:tcBorders>
                  <w:vAlign w:val="center"/>
                </w:tcPr>
                <w:p>
                  <w:pPr>
                    <w:jc w:val="center"/>
                  </w:pPr>
                </w:p>
              </w:tc>
              <w:tc>
                <w:tcPr>
                  <w:tcW w:w="431" w:type="pct"/>
                  <w:tcBorders>
                    <w:tl2br w:val="nil"/>
                    <w:tr2bl w:val="nil"/>
                  </w:tcBorders>
                  <w:vAlign w:val="center"/>
                </w:tcPr>
                <w:p>
                  <w:pPr>
                    <w:jc w:val="center"/>
                    <w:rPr>
                      <w:b/>
                      <w:bCs/>
                      <w:kern w:val="0"/>
                    </w:rPr>
                  </w:pPr>
                  <w:r>
                    <w:rPr>
                      <w:rFonts w:hint="eastAsia"/>
                    </w:rPr>
                    <w:t>噪声</w:t>
                  </w:r>
                </w:p>
              </w:tc>
              <w:tc>
                <w:tcPr>
                  <w:tcW w:w="969" w:type="pct"/>
                  <w:tcBorders>
                    <w:tl2br w:val="nil"/>
                    <w:tr2bl w:val="nil"/>
                  </w:tcBorders>
                  <w:vAlign w:val="center"/>
                </w:tcPr>
                <w:p>
                  <w:pPr>
                    <w:pStyle w:val="32"/>
                    <w:ind w:firstLine="0" w:firstLineChars="0"/>
                  </w:pPr>
                  <w:r>
                    <w:t>施工设备</w:t>
                  </w:r>
                </w:p>
              </w:tc>
              <w:tc>
                <w:tcPr>
                  <w:tcW w:w="2372" w:type="pct"/>
                  <w:tcBorders>
                    <w:tl2br w:val="nil"/>
                    <w:tr2bl w:val="nil"/>
                  </w:tcBorders>
                  <w:vAlign w:val="center"/>
                </w:tcPr>
                <w:p>
                  <w:pPr>
                    <w:pStyle w:val="32"/>
                    <w:ind w:firstLine="0" w:firstLineChars="0"/>
                  </w:pPr>
                  <w:r>
                    <w:rPr>
                      <w:rFonts w:hint="eastAsia"/>
                    </w:rPr>
                    <w:t>采用低噪声设备、管网施工建立隔声障</w:t>
                  </w:r>
                </w:p>
              </w:tc>
              <w:tc>
                <w:tcPr>
                  <w:tcW w:w="834" w:type="pct"/>
                  <w:tcBorders>
                    <w:tl2br w:val="nil"/>
                    <w:tr2bl w:val="nil"/>
                  </w:tcBorders>
                  <w:vAlign w:val="center"/>
                </w:tcPr>
                <w:p>
                  <w:pPr>
                    <w:pStyle w:val="32"/>
                    <w:ind w:firstLine="0" w:firstLineChars="0"/>
                  </w:pPr>
                  <w: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jc w:val="center"/>
              </w:trPr>
              <w:tc>
                <w:tcPr>
                  <w:tcW w:w="393" w:type="pct"/>
                  <w:vMerge w:val="continue"/>
                  <w:tcBorders>
                    <w:tl2br w:val="nil"/>
                    <w:tr2bl w:val="nil"/>
                  </w:tcBorders>
                  <w:vAlign w:val="center"/>
                </w:tcPr>
                <w:p>
                  <w:pPr>
                    <w:jc w:val="center"/>
                  </w:pPr>
                </w:p>
              </w:tc>
              <w:tc>
                <w:tcPr>
                  <w:tcW w:w="431" w:type="pct"/>
                  <w:tcBorders>
                    <w:tl2br w:val="nil"/>
                    <w:tr2bl w:val="nil"/>
                  </w:tcBorders>
                  <w:vAlign w:val="center"/>
                </w:tcPr>
                <w:p>
                  <w:pPr>
                    <w:jc w:val="center"/>
                    <w:rPr>
                      <w:b/>
                      <w:bCs/>
                      <w:kern w:val="0"/>
                    </w:rPr>
                  </w:pPr>
                  <w:r>
                    <w:rPr>
                      <w:rFonts w:hint="eastAsia"/>
                    </w:rPr>
                    <w:t>固废</w:t>
                  </w:r>
                </w:p>
              </w:tc>
              <w:tc>
                <w:tcPr>
                  <w:tcW w:w="969" w:type="pct"/>
                  <w:tcBorders>
                    <w:tl2br w:val="nil"/>
                    <w:tr2bl w:val="nil"/>
                  </w:tcBorders>
                  <w:vAlign w:val="center"/>
                </w:tcPr>
                <w:p>
                  <w:pPr>
                    <w:pStyle w:val="32"/>
                    <w:ind w:firstLine="0" w:firstLineChars="0"/>
                  </w:pPr>
                  <w:r>
                    <w:t>生活垃圾、建筑垃圾</w:t>
                  </w:r>
                </w:p>
              </w:tc>
              <w:tc>
                <w:tcPr>
                  <w:tcW w:w="2372" w:type="pct"/>
                  <w:tcBorders>
                    <w:tl2br w:val="nil"/>
                    <w:tr2bl w:val="nil"/>
                  </w:tcBorders>
                  <w:vAlign w:val="center"/>
                </w:tcPr>
                <w:p>
                  <w:pPr>
                    <w:pStyle w:val="32"/>
                  </w:pPr>
                  <w:r>
                    <w:t>生活垃圾、建筑垃圾、收集，交当地环卫生部门妥善处理</w:t>
                  </w:r>
                </w:p>
              </w:tc>
              <w:tc>
                <w:tcPr>
                  <w:tcW w:w="834" w:type="pct"/>
                  <w:tcBorders>
                    <w:tl2br w:val="nil"/>
                    <w:tr2bl w:val="nil"/>
                  </w:tcBorders>
                  <w:vAlign w:val="center"/>
                </w:tcPr>
                <w:p>
                  <w:pPr>
                    <w:pStyle w:val="32"/>
                    <w:ind w:firstLine="0" w:firstLineChars="0"/>
                  </w:pPr>
                  <w:r>
                    <w:rPr>
                      <w:rFonts w:hint="eastAsia"/>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vMerge w:val="restart"/>
                  <w:tcBorders>
                    <w:tl2br w:val="nil"/>
                    <w:tr2bl w:val="nil"/>
                  </w:tcBorders>
                  <w:vAlign w:val="center"/>
                </w:tcPr>
                <w:p>
                  <w:pPr>
                    <w:jc w:val="center"/>
                    <w:rPr>
                      <w:kern w:val="0"/>
                    </w:rPr>
                  </w:pPr>
                  <w:r>
                    <w:rPr>
                      <w:rFonts w:hint="eastAsia"/>
                      <w:kern w:val="0"/>
                    </w:rPr>
                    <w:t>运营期</w:t>
                  </w:r>
                </w:p>
              </w:tc>
              <w:tc>
                <w:tcPr>
                  <w:tcW w:w="431" w:type="pct"/>
                  <w:vMerge w:val="restart"/>
                  <w:tcBorders>
                    <w:tl2br w:val="nil"/>
                    <w:tr2bl w:val="nil"/>
                  </w:tcBorders>
                  <w:vAlign w:val="center"/>
                </w:tcPr>
                <w:p>
                  <w:pPr>
                    <w:jc w:val="center"/>
                    <w:rPr>
                      <w:kern w:val="0"/>
                    </w:rPr>
                  </w:pPr>
                  <w:r>
                    <w:rPr>
                      <w:rFonts w:hint="eastAsia"/>
                      <w:kern w:val="0"/>
                    </w:rPr>
                    <w:t>废水</w:t>
                  </w:r>
                </w:p>
              </w:tc>
              <w:tc>
                <w:tcPr>
                  <w:tcW w:w="969" w:type="pct"/>
                  <w:tcBorders>
                    <w:tl2br w:val="nil"/>
                    <w:tr2bl w:val="nil"/>
                  </w:tcBorders>
                  <w:vAlign w:val="center"/>
                </w:tcPr>
                <w:p>
                  <w:pPr>
                    <w:jc w:val="center"/>
                    <w:rPr>
                      <w:kern w:val="0"/>
                    </w:rPr>
                  </w:pPr>
                  <w:r>
                    <w:rPr>
                      <w:rFonts w:hint="eastAsia"/>
                      <w:kern w:val="0"/>
                    </w:rPr>
                    <w:t>医院废水</w:t>
                  </w:r>
                </w:p>
              </w:tc>
              <w:tc>
                <w:tcPr>
                  <w:tcW w:w="2372" w:type="pct"/>
                  <w:tcBorders>
                    <w:tl2br w:val="nil"/>
                    <w:tr2bl w:val="nil"/>
                  </w:tcBorders>
                  <w:vAlign w:val="center"/>
                </w:tcPr>
                <w:p>
                  <w:pPr>
                    <w:jc w:val="center"/>
                    <w:rPr>
                      <w:kern w:val="0"/>
                    </w:rPr>
                  </w:pPr>
                  <w:r>
                    <w:rPr>
                      <w:rFonts w:hint="eastAsia"/>
                      <w:kern w:val="0"/>
                    </w:rPr>
                    <w:t>医院</w:t>
                  </w:r>
                  <w:r>
                    <w:rPr>
                      <w:kern w:val="0"/>
                    </w:rPr>
                    <w:t>废水经</w:t>
                  </w:r>
                  <w:r>
                    <w:rPr>
                      <w:rFonts w:hint="eastAsia"/>
                      <w:kern w:val="0"/>
                    </w:rPr>
                    <w:t>专用管道收集后，排入污水处理设施</w:t>
                  </w:r>
                  <w:r>
                    <w:rPr>
                      <w:kern w:val="0"/>
                    </w:rPr>
                    <w:t>采用二级生化处理（生物接触氧化）+消毒处理（次氯酸钠）工艺</w:t>
                  </w:r>
                  <w:r>
                    <w:rPr>
                      <w:rFonts w:hint="eastAsia"/>
                      <w:kern w:val="0"/>
                    </w:rPr>
                    <w:t>，达标后</w:t>
                  </w:r>
                  <w:r>
                    <w:rPr>
                      <w:kern w:val="0"/>
                    </w:rPr>
                    <w:t>排入市政</w:t>
                  </w:r>
                  <w:r>
                    <w:rPr>
                      <w:rFonts w:hint="eastAsia"/>
                      <w:kern w:val="0"/>
                    </w:rPr>
                    <w:t>污水</w:t>
                  </w:r>
                  <w:r>
                    <w:rPr>
                      <w:kern w:val="0"/>
                    </w:rPr>
                    <w:t>管网</w:t>
                  </w:r>
                </w:p>
              </w:tc>
              <w:tc>
                <w:tcPr>
                  <w:tcW w:w="834" w:type="pct"/>
                  <w:tcBorders>
                    <w:tl2br w:val="nil"/>
                    <w:tr2bl w:val="nil"/>
                  </w:tcBorders>
                  <w:vAlign w:val="center"/>
                </w:tcPr>
                <w:p>
                  <w:pPr>
                    <w:jc w:val="center"/>
                    <w:rPr>
                      <w:kern w:val="0"/>
                    </w:rPr>
                  </w:pPr>
                  <w:r>
                    <w:rPr>
                      <w:rFonts w:hint="eastAsia"/>
                      <w:kern w:val="0"/>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vMerge w:val="continue"/>
                  <w:tcBorders>
                    <w:tl2br w:val="nil"/>
                    <w:tr2bl w:val="nil"/>
                  </w:tcBorders>
                  <w:vAlign w:val="center"/>
                </w:tcPr>
                <w:p>
                  <w:pPr>
                    <w:jc w:val="center"/>
                    <w:rPr>
                      <w:color w:val="0000FF"/>
                      <w:kern w:val="0"/>
                    </w:rPr>
                  </w:pPr>
                </w:p>
              </w:tc>
              <w:tc>
                <w:tcPr>
                  <w:tcW w:w="431" w:type="pct"/>
                  <w:vMerge w:val="continue"/>
                  <w:tcBorders>
                    <w:tl2br w:val="nil"/>
                    <w:tr2bl w:val="nil"/>
                  </w:tcBorders>
                  <w:vAlign w:val="center"/>
                </w:tcPr>
                <w:p>
                  <w:pPr>
                    <w:jc w:val="center"/>
                    <w:rPr>
                      <w:color w:val="0000FF"/>
                      <w:kern w:val="0"/>
                    </w:rPr>
                  </w:pPr>
                </w:p>
              </w:tc>
              <w:tc>
                <w:tcPr>
                  <w:tcW w:w="969" w:type="pct"/>
                  <w:tcBorders>
                    <w:tl2br w:val="nil"/>
                    <w:tr2bl w:val="nil"/>
                  </w:tcBorders>
                  <w:vAlign w:val="center"/>
                </w:tcPr>
                <w:p>
                  <w:pPr>
                    <w:jc w:val="center"/>
                    <w:rPr>
                      <w:b/>
                      <w:bCs/>
                      <w:kern w:val="0"/>
                    </w:rPr>
                  </w:pPr>
                  <w:r>
                    <w:rPr>
                      <w:rFonts w:hint="eastAsia"/>
                    </w:rPr>
                    <w:t>地下水土壤防治</w:t>
                  </w:r>
                </w:p>
              </w:tc>
              <w:tc>
                <w:tcPr>
                  <w:tcW w:w="2372" w:type="pct"/>
                  <w:tcBorders>
                    <w:tl2br w:val="nil"/>
                    <w:tr2bl w:val="nil"/>
                  </w:tcBorders>
                  <w:vAlign w:val="center"/>
                </w:tcPr>
                <w:p>
                  <w:pPr>
                    <w:jc w:val="center"/>
                    <w:rPr>
                      <w:b/>
                      <w:bCs/>
                      <w:kern w:val="0"/>
                    </w:rPr>
                  </w:pPr>
                  <w:r>
                    <w:rPr>
                      <w:rFonts w:hint="eastAsia"/>
                    </w:rPr>
                    <w:t>项目区分区防渗</w:t>
                  </w:r>
                </w:p>
              </w:tc>
              <w:tc>
                <w:tcPr>
                  <w:tcW w:w="834" w:type="pct"/>
                  <w:tcBorders>
                    <w:tl2br w:val="nil"/>
                    <w:tr2bl w:val="nil"/>
                  </w:tcBorders>
                  <w:vAlign w:val="center"/>
                </w:tcPr>
                <w:p>
                  <w:pPr>
                    <w:pStyle w:val="32"/>
                    <w:ind w:firstLine="0" w:firstLineChars="0"/>
                    <w:rPr>
                      <w:color w:val="0000FF"/>
                    </w:rPr>
                  </w:pPr>
                  <w: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vMerge w:val="continue"/>
                  <w:tcBorders>
                    <w:tl2br w:val="nil"/>
                    <w:tr2bl w:val="nil"/>
                  </w:tcBorders>
                  <w:vAlign w:val="center"/>
                </w:tcPr>
                <w:p>
                  <w:pPr>
                    <w:jc w:val="center"/>
                    <w:rPr>
                      <w:color w:val="0000FF"/>
                      <w:kern w:val="0"/>
                    </w:rPr>
                  </w:pPr>
                </w:p>
              </w:tc>
              <w:tc>
                <w:tcPr>
                  <w:tcW w:w="431" w:type="pct"/>
                  <w:tcBorders>
                    <w:tl2br w:val="nil"/>
                    <w:tr2bl w:val="nil"/>
                  </w:tcBorders>
                  <w:vAlign w:val="center"/>
                </w:tcPr>
                <w:p>
                  <w:pPr>
                    <w:jc w:val="center"/>
                    <w:rPr>
                      <w:kern w:val="0"/>
                    </w:rPr>
                  </w:pPr>
                  <w:r>
                    <w:rPr>
                      <w:kern w:val="0"/>
                    </w:rPr>
                    <w:t>噪声</w:t>
                  </w:r>
                </w:p>
              </w:tc>
              <w:tc>
                <w:tcPr>
                  <w:tcW w:w="969" w:type="pct"/>
                  <w:tcBorders>
                    <w:tl2br w:val="nil"/>
                    <w:tr2bl w:val="nil"/>
                  </w:tcBorders>
                  <w:vAlign w:val="center"/>
                </w:tcPr>
                <w:p>
                  <w:pPr>
                    <w:jc w:val="center"/>
                    <w:rPr>
                      <w:kern w:val="0"/>
                    </w:rPr>
                  </w:pPr>
                  <w:r>
                    <w:rPr>
                      <w:kern w:val="0"/>
                    </w:rPr>
                    <w:t>设备噪声</w:t>
                  </w:r>
                </w:p>
              </w:tc>
              <w:tc>
                <w:tcPr>
                  <w:tcW w:w="2372" w:type="pct"/>
                  <w:tcBorders>
                    <w:tl2br w:val="nil"/>
                    <w:tr2bl w:val="nil"/>
                  </w:tcBorders>
                  <w:vAlign w:val="center"/>
                </w:tcPr>
                <w:p>
                  <w:pPr>
                    <w:jc w:val="center"/>
                  </w:pPr>
                  <w:r>
                    <w:t>选用低噪声设备、合理布局、基础</w:t>
                  </w:r>
                  <w:r>
                    <w:rPr>
                      <w:rFonts w:hint="eastAsia"/>
                    </w:rPr>
                    <w:t>减震、</w:t>
                  </w:r>
                  <w:r>
                    <w:t>距离衰减</w:t>
                  </w:r>
                </w:p>
              </w:tc>
              <w:tc>
                <w:tcPr>
                  <w:tcW w:w="834" w:type="pct"/>
                  <w:tcBorders>
                    <w:tl2br w:val="nil"/>
                    <w:tr2bl w:val="nil"/>
                  </w:tcBorders>
                  <w:vAlign w:val="center"/>
                </w:tcPr>
                <w:p>
                  <w:pPr>
                    <w:jc w:val="center"/>
                    <w:rPr>
                      <w:kern w:val="0"/>
                    </w:rPr>
                  </w:pPr>
                  <w:r>
                    <w:rPr>
                      <w:rFonts w:hint="eastAsia"/>
                      <w:kern w:val="0"/>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vMerge w:val="continue"/>
                  <w:tcBorders>
                    <w:tl2br w:val="nil"/>
                    <w:tr2bl w:val="nil"/>
                  </w:tcBorders>
                  <w:vAlign w:val="center"/>
                </w:tcPr>
                <w:p>
                  <w:pPr>
                    <w:jc w:val="center"/>
                    <w:rPr>
                      <w:color w:val="0000FF"/>
                      <w:kern w:val="0"/>
                    </w:rPr>
                  </w:pPr>
                </w:p>
              </w:tc>
              <w:tc>
                <w:tcPr>
                  <w:tcW w:w="431" w:type="pct"/>
                  <w:vMerge w:val="restart"/>
                  <w:tcBorders>
                    <w:tl2br w:val="nil"/>
                    <w:tr2bl w:val="nil"/>
                  </w:tcBorders>
                  <w:vAlign w:val="center"/>
                </w:tcPr>
                <w:p>
                  <w:pPr>
                    <w:jc w:val="center"/>
                    <w:rPr>
                      <w:kern w:val="0"/>
                      <w:highlight w:val="yellow"/>
                    </w:rPr>
                  </w:pPr>
                  <w:r>
                    <w:rPr>
                      <w:kern w:val="0"/>
                    </w:rPr>
                    <w:t>固体废物</w:t>
                  </w:r>
                </w:p>
              </w:tc>
              <w:tc>
                <w:tcPr>
                  <w:tcW w:w="969" w:type="pct"/>
                  <w:tcBorders>
                    <w:tl2br w:val="nil"/>
                    <w:tr2bl w:val="nil"/>
                  </w:tcBorders>
                  <w:vAlign w:val="center"/>
                </w:tcPr>
                <w:p>
                  <w:pPr>
                    <w:jc w:val="center"/>
                    <w:rPr>
                      <w:kern w:val="0"/>
                    </w:rPr>
                  </w:pPr>
                  <w:r>
                    <w:rPr>
                      <w:kern w:val="0"/>
                    </w:rPr>
                    <w:t>一般固废</w:t>
                  </w:r>
                </w:p>
              </w:tc>
              <w:tc>
                <w:tcPr>
                  <w:tcW w:w="2372" w:type="pct"/>
                  <w:vMerge w:val="restart"/>
                  <w:tcBorders>
                    <w:tl2br w:val="nil"/>
                    <w:tr2bl w:val="nil"/>
                  </w:tcBorders>
                  <w:vAlign w:val="center"/>
                </w:tcPr>
                <w:p>
                  <w:pPr>
                    <w:jc w:val="center"/>
                    <w:rPr>
                      <w:kern w:val="0"/>
                    </w:rPr>
                  </w:pPr>
                  <w:r>
                    <w:rPr>
                      <w:rFonts w:hint="eastAsia"/>
                      <w:kern w:val="0"/>
                    </w:rPr>
                    <w:t>设置垃圾收集箱，</w:t>
                  </w:r>
                  <w:r>
                    <w:rPr>
                      <w:kern w:val="0"/>
                    </w:rPr>
                    <w:t>统一由环卫部门处理</w:t>
                  </w:r>
                </w:p>
              </w:tc>
              <w:tc>
                <w:tcPr>
                  <w:tcW w:w="834" w:type="pct"/>
                  <w:tcBorders>
                    <w:tl2br w:val="nil"/>
                    <w:tr2bl w:val="nil"/>
                  </w:tcBorders>
                  <w:vAlign w:val="center"/>
                </w:tcPr>
                <w:p>
                  <w:pPr>
                    <w:jc w:val="center"/>
                    <w:rPr>
                      <w:kern w:val="0"/>
                    </w:rPr>
                  </w:pPr>
                  <w:r>
                    <w:rPr>
                      <w:rFonts w:hint="eastAsia"/>
                      <w:kern w:val="0"/>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vMerge w:val="continue"/>
                  <w:tcBorders>
                    <w:tl2br w:val="nil"/>
                    <w:tr2bl w:val="nil"/>
                  </w:tcBorders>
                  <w:vAlign w:val="center"/>
                </w:tcPr>
                <w:p>
                  <w:pPr>
                    <w:jc w:val="center"/>
                    <w:rPr>
                      <w:color w:val="0000FF"/>
                      <w:kern w:val="0"/>
                      <w:highlight w:val="yellow"/>
                    </w:rPr>
                  </w:pPr>
                </w:p>
              </w:tc>
              <w:tc>
                <w:tcPr>
                  <w:tcW w:w="431" w:type="pct"/>
                  <w:vMerge w:val="continue"/>
                  <w:tcBorders>
                    <w:tl2br w:val="nil"/>
                    <w:tr2bl w:val="nil"/>
                  </w:tcBorders>
                  <w:vAlign w:val="center"/>
                </w:tcPr>
                <w:p>
                  <w:pPr>
                    <w:jc w:val="center"/>
                    <w:rPr>
                      <w:kern w:val="0"/>
                      <w:highlight w:val="yellow"/>
                    </w:rPr>
                  </w:pPr>
                </w:p>
              </w:tc>
              <w:tc>
                <w:tcPr>
                  <w:tcW w:w="969" w:type="pct"/>
                  <w:tcBorders>
                    <w:tl2br w:val="nil"/>
                    <w:tr2bl w:val="nil"/>
                  </w:tcBorders>
                  <w:vAlign w:val="center"/>
                </w:tcPr>
                <w:p>
                  <w:pPr>
                    <w:jc w:val="center"/>
                    <w:rPr>
                      <w:kern w:val="0"/>
                    </w:rPr>
                  </w:pPr>
                  <w:r>
                    <w:rPr>
                      <w:kern w:val="0"/>
                    </w:rPr>
                    <w:t>生活垃圾</w:t>
                  </w:r>
                </w:p>
              </w:tc>
              <w:tc>
                <w:tcPr>
                  <w:tcW w:w="2372" w:type="pct"/>
                  <w:vMerge w:val="continue"/>
                  <w:tcBorders>
                    <w:tl2br w:val="nil"/>
                    <w:tr2bl w:val="nil"/>
                  </w:tcBorders>
                  <w:vAlign w:val="center"/>
                </w:tcPr>
                <w:p>
                  <w:pPr>
                    <w:jc w:val="center"/>
                    <w:rPr>
                      <w:kern w:val="0"/>
                    </w:rPr>
                  </w:pPr>
                </w:p>
              </w:tc>
              <w:tc>
                <w:tcPr>
                  <w:tcW w:w="834" w:type="pct"/>
                  <w:tcBorders>
                    <w:tl2br w:val="nil"/>
                    <w:tr2bl w:val="nil"/>
                  </w:tcBorders>
                  <w:vAlign w:val="center"/>
                </w:tcPr>
                <w:p>
                  <w:pPr>
                    <w:jc w:val="center"/>
                    <w:rPr>
                      <w:kern w:val="0"/>
                    </w:rPr>
                  </w:pPr>
                  <w:r>
                    <w:rPr>
                      <w:rFonts w:hint="eastAsia"/>
                      <w:kern w:val="0"/>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 w:type="pct"/>
                  <w:vMerge w:val="continue"/>
                  <w:tcBorders>
                    <w:tl2br w:val="nil"/>
                    <w:tr2bl w:val="nil"/>
                  </w:tcBorders>
                  <w:vAlign w:val="center"/>
                </w:tcPr>
                <w:p>
                  <w:pPr>
                    <w:jc w:val="center"/>
                    <w:rPr>
                      <w:color w:val="0000FF"/>
                      <w:kern w:val="0"/>
                      <w:highlight w:val="yellow"/>
                    </w:rPr>
                  </w:pPr>
                </w:p>
              </w:tc>
              <w:tc>
                <w:tcPr>
                  <w:tcW w:w="431" w:type="pct"/>
                  <w:vMerge w:val="continue"/>
                  <w:tcBorders>
                    <w:tl2br w:val="nil"/>
                    <w:tr2bl w:val="nil"/>
                  </w:tcBorders>
                  <w:vAlign w:val="center"/>
                </w:tcPr>
                <w:p>
                  <w:pPr>
                    <w:jc w:val="center"/>
                    <w:rPr>
                      <w:color w:val="0000FF"/>
                      <w:kern w:val="0"/>
                      <w:highlight w:val="yellow"/>
                    </w:rPr>
                  </w:pPr>
                </w:p>
              </w:tc>
              <w:tc>
                <w:tcPr>
                  <w:tcW w:w="969" w:type="pct"/>
                  <w:tcBorders>
                    <w:tl2br w:val="nil"/>
                    <w:tr2bl w:val="nil"/>
                  </w:tcBorders>
                  <w:vAlign w:val="center"/>
                </w:tcPr>
                <w:p>
                  <w:pPr>
                    <w:jc w:val="center"/>
                    <w:rPr>
                      <w:kern w:val="0"/>
                    </w:rPr>
                  </w:pPr>
                  <w:r>
                    <w:rPr>
                      <w:kern w:val="0"/>
                    </w:rPr>
                    <w:t>危险废物</w:t>
                  </w:r>
                </w:p>
              </w:tc>
              <w:tc>
                <w:tcPr>
                  <w:tcW w:w="2372" w:type="pct"/>
                  <w:tcBorders>
                    <w:tl2br w:val="nil"/>
                    <w:tr2bl w:val="nil"/>
                  </w:tcBorders>
                  <w:vAlign w:val="center"/>
                </w:tcPr>
                <w:p>
                  <w:pPr>
                    <w:jc w:val="center"/>
                    <w:rPr>
                      <w:kern w:val="0"/>
                    </w:rPr>
                  </w:pPr>
                  <w:r>
                    <w:rPr>
                      <w:kern w:val="0"/>
                    </w:rPr>
                    <w:t>运营期产生的</w:t>
                  </w:r>
                  <w:r>
                    <w:rPr>
                      <w:rFonts w:hint="eastAsia"/>
                      <w:kern w:val="0"/>
                    </w:rPr>
                    <w:t>医疗废物</w:t>
                  </w:r>
                  <w:r>
                    <w:rPr>
                      <w:kern w:val="0"/>
                    </w:rPr>
                    <w:t>依托</w:t>
                  </w:r>
                  <w:r>
                    <w:rPr>
                      <w:rFonts w:hint="eastAsia"/>
                      <w:kern w:val="0"/>
                    </w:rPr>
                    <w:t>医院</w:t>
                  </w:r>
                  <w:r>
                    <w:rPr>
                      <w:kern w:val="0"/>
                    </w:rPr>
                    <w:t>现有危废暂存间，定期委托资质单位回收处理</w:t>
                  </w:r>
                </w:p>
              </w:tc>
              <w:tc>
                <w:tcPr>
                  <w:tcW w:w="834" w:type="pct"/>
                  <w:tcBorders>
                    <w:tl2br w:val="nil"/>
                    <w:tr2bl w:val="nil"/>
                  </w:tcBorders>
                  <w:vAlign w:val="center"/>
                </w:tcPr>
                <w:p>
                  <w:pPr>
                    <w:jc w:val="center"/>
                    <w:rPr>
                      <w:kern w:val="0"/>
                    </w:rPr>
                  </w:pPr>
                  <w:r>
                    <w:rPr>
                      <w:rFonts w:hint="eastAsia"/>
                      <w:kern w:val="0"/>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66" w:type="pct"/>
                  <w:gridSpan w:val="4"/>
                  <w:tcBorders>
                    <w:tl2br w:val="nil"/>
                    <w:tr2bl w:val="nil"/>
                  </w:tcBorders>
                  <w:vAlign w:val="center"/>
                </w:tcPr>
                <w:p>
                  <w:pPr>
                    <w:jc w:val="center"/>
                    <w:rPr>
                      <w:kern w:val="0"/>
                    </w:rPr>
                  </w:pPr>
                  <w:r>
                    <w:rPr>
                      <w:kern w:val="0"/>
                    </w:rPr>
                    <w:t>合计</w:t>
                  </w:r>
                </w:p>
              </w:tc>
              <w:tc>
                <w:tcPr>
                  <w:tcW w:w="834" w:type="pct"/>
                  <w:tcBorders>
                    <w:tl2br w:val="nil"/>
                    <w:tr2bl w:val="nil"/>
                  </w:tcBorders>
                  <w:vAlign w:val="center"/>
                </w:tcPr>
                <w:p>
                  <w:pPr>
                    <w:jc w:val="center"/>
                    <w:rPr>
                      <w:kern w:val="0"/>
                    </w:rPr>
                  </w:pPr>
                  <w:r>
                    <w:rPr>
                      <w:rFonts w:hint="eastAsia"/>
                      <w:kern w:val="0"/>
                    </w:rPr>
                    <w:t>150</w:t>
                  </w:r>
                </w:p>
              </w:tc>
            </w:tr>
          </w:tbl>
          <w:p>
            <w:pPr>
              <w:spacing w:line="360" w:lineRule="auto"/>
              <w:rPr>
                <w:b/>
                <w:bCs/>
                <w:sz w:val="24"/>
              </w:rPr>
            </w:pPr>
            <w:r>
              <w:rPr>
                <w:rFonts w:hint="eastAsia"/>
                <w:b/>
                <w:bCs/>
                <w:sz w:val="24"/>
              </w:rPr>
              <w:t>9.“三同时”验收</w:t>
            </w:r>
          </w:p>
          <w:p>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本项目验收内容见</w:t>
            </w:r>
            <w:r>
              <w:rPr>
                <w:rFonts w:hint="eastAsia"/>
                <w:kern w:val="0"/>
                <w:sz w:val="24"/>
                <w:lang w:bidi="ar"/>
              </w:rPr>
              <w:t>4-10</w:t>
            </w:r>
            <w:r>
              <w:rPr>
                <w:rFonts w:hint="eastAsia" w:ascii="宋体" w:hAnsi="宋体" w:cs="宋体"/>
                <w:kern w:val="0"/>
                <w:sz w:val="24"/>
                <w:lang w:bidi="ar"/>
              </w:rPr>
              <w:t>。</w:t>
            </w:r>
          </w:p>
          <w:p>
            <w:pPr>
              <w:pStyle w:val="22"/>
              <w:tabs>
                <w:tab w:val="left" w:pos="1845"/>
              </w:tabs>
              <w:jc w:val="center"/>
              <w:rPr>
                <w:b/>
                <w:bCs/>
                <w:color w:val="auto"/>
                <w:sz w:val="21"/>
                <w:szCs w:val="21"/>
              </w:rPr>
            </w:pPr>
            <w:r>
              <w:rPr>
                <w:rFonts w:hint="eastAsia" w:hAnsi="宋体"/>
                <w:b/>
                <w:bCs/>
                <w:color w:val="auto"/>
                <w:sz w:val="21"/>
                <w:szCs w:val="21"/>
                <w:lang w:bidi="ar"/>
              </w:rPr>
              <w:t>表</w:t>
            </w:r>
            <w:r>
              <w:rPr>
                <w:rFonts w:ascii="Times New Roman" w:cs="Times New Roman"/>
                <w:b/>
                <w:bCs/>
                <w:color w:val="auto"/>
                <w:sz w:val="21"/>
                <w:szCs w:val="21"/>
                <w:lang w:bidi="ar"/>
              </w:rPr>
              <w:t>4-</w:t>
            </w:r>
            <w:r>
              <w:rPr>
                <w:rFonts w:hint="eastAsia" w:ascii="Times New Roman" w:cs="Times New Roman"/>
                <w:b/>
                <w:bCs/>
                <w:color w:val="auto"/>
                <w:sz w:val="21"/>
                <w:szCs w:val="21"/>
                <w:lang w:bidi="ar"/>
              </w:rPr>
              <w:t xml:space="preserve">10  </w:t>
            </w:r>
            <w:r>
              <w:rPr>
                <w:rFonts w:hint="eastAsia" w:hAnsi="宋体"/>
                <w:b/>
                <w:bCs/>
                <w:color w:val="auto"/>
                <w:sz w:val="21"/>
                <w:szCs w:val="21"/>
                <w:lang w:bidi="ar"/>
              </w:rPr>
              <w:t>“三同时”验收一览表</w:t>
            </w:r>
          </w:p>
          <w:tbl>
            <w:tblPr>
              <w:tblStyle w:val="18"/>
              <w:tblW w:w="8147"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71"/>
              <w:gridCol w:w="1699"/>
              <w:gridCol w:w="2266"/>
              <w:gridCol w:w="28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tcBorders>
                    <w:top w:val="single" w:color="auto" w:sz="12" w:space="0"/>
                    <w:bottom w:val="single" w:color="auto" w:sz="12" w:space="0"/>
                  </w:tcBorders>
                  <w:vAlign w:val="center"/>
                </w:tcPr>
                <w:p>
                  <w:pPr>
                    <w:pStyle w:val="22"/>
                    <w:tabs>
                      <w:tab w:val="left" w:pos="1845"/>
                    </w:tabs>
                    <w:wordWrap w:val="0"/>
                    <w:adjustRightInd/>
                    <w:jc w:val="center"/>
                    <w:rPr>
                      <w:rFonts w:ascii="Times New Roman" w:cs="Times New Roman"/>
                      <w:b/>
                      <w:bCs/>
                      <w:color w:val="auto"/>
                      <w:sz w:val="21"/>
                      <w:szCs w:val="21"/>
                    </w:rPr>
                  </w:pPr>
                  <w:r>
                    <w:rPr>
                      <w:rFonts w:ascii="Times New Roman" w:cs="Times New Roman"/>
                      <w:b/>
                      <w:bCs/>
                      <w:color w:val="auto"/>
                      <w:sz w:val="21"/>
                      <w:szCs w:val="21"/>
                    </w:rPr>
                    <w:t>类别</w:t>
                  </w:r>
                </w:p>
              </w:tc>
              <w:tc>
                <w:tcPr>
                  <w:tcW w:w="411" w:type="pct"/>
                  <w:tcBorders>
                    <w:top w:val="single" w:color="auto" w:sz="12" w:space="0"/>
                    <w:bottom w:val="single" w:color="auto" w:sz="12" w:space="0"/>
                  </w:tcBorders>
                  <w:vAlign w:val="center"/>
                </w:tcPr>
                <w:p>
                  <w:pPr>
                    <w:pStyle w:val="22"/>
                    <w:tabs>
                      <w:tab w:val="left" w:pos="1845"/>
                    </w:tabs>
                    <w:wordWrap w:val="0"/>
                    <w:adjustRightInd/>
                    <w:jc w:val="center"/>
                    <w:rPr>
                      <w:rFonts w:ascii="Times New Roman" w:cs="Times New Roman"/>
                      <w:b/>
                      <w:bCs/>
                      <w:color w:val="auto"/>
                      <w:sz w:val="21"/>
                      <w:szCs w:val="21"/>
                    </w:rPr>
                  </w:pPr>
                  <w:r>
                    <w:rPr>
                      <w:rFonts w:ascii="Times New Roman" w:cs="Times New Roman"/>
                      <w:b/>
                      <w:bCs/>
                      <w:color w:val="auto"/>
                      <w:sz w:val="21"/>
                      <w:szCs w:val="21"/>
                    </w:rPr>
                    <w:t>污染源</w:t>
                  </w:r>
                </w:p>
              </w:tc>
              <w:tc>
                <w:tcPr>
                  <w:tcW w:w="1043" w:type="pct"/>
                  <w:tcBorders>
                    <w:top w:val="single" w:color="auto" w:sz="12" w:space="0"/>
                    <w:bottom w:val="single" w:color="auto" w:sz="12" w:space="0"/>
                  </w:tcBorders>
                  <w:vAlign w:val="center"/>
                </w:tcPr>
                <w:p>
                  <w:pPr>
                    <w:pStyle w:val="22"/>
                    <w:tabs>
                      <w:tab w:val="left" w:pos="1845"/>
                    </w:tabs>
                    <w:wordWrap w:val="0"/>
                    <w:adjustRightInd/>
                    <w:jc w:val="center"/>
                    <w:rPr>
                      <w:rFonts w:ascii="Times New Roman" w:cs="Times New Roman"/>
                      <w:b/>
                      <w:bCs/>
                      <w:color w:val="auto"/>
                      <w:sz w:val="21"/>
                      <w:szCs w:val="21"/>
                    </w:rPr>
                  </w:pPr>
                  <w:r>
                    <w:rPr>
                      <w:rFonts w:ascii="Times New Roman" w:cs="Times New Roman"/>
                      <w:b/>
                      <w:bCs/>
                      <w:color w:val="auto"/>
                      <w:sz w:val="21"/>
                      <w:szCs w:val="21"/>
                    </w:rPr>
                    <w:t>污染物</w:t>
                  </w:r>
                </w:p>
              </w:tc>
              <w:tc>
                <w:tcPr>
                  <w:tcW w:w="1391" w:type="pct"/>
                  <w:tcBorders>
                    <w:top w:val="single" w:color="auto" w:sz="12" w:space="0"/>
                    <w:bottom w:val="single" w:color="auto" w:sz="12" w:space="0"/>
                  </w:tcBorders>
                  <w:vAlign w:val="center"/>
                </w:tcPr>
                <w:p>
                  <w:pPr>
                    <w:pStyle w:val="22"/>
                    <w:tabs>
                      <w:tab w:val="left" w:pos="1845"/>
                    </w:tabs>
                    <w:wordWrap w:val="0"/>
                    <w:adjustRightInd/>
                    <w:jc w:val="center"/>
                    <w:rPr>
                      <w:rFonts w:ascii="Times New Roman" w:cs="Times New Roman"/>
                      <w:b/>
                      <w:bCs/>
                      <w:color w:val="auto"/>
                      <w:sz w:val="21"/>
                      <w:szCs w:val="21"/>
                    </w:rPr>
                  </w:pPr>
                  <w:r>
                    <w:rPr>
                      <w:rFonts w:ascii="Times New Roman" w:cs="Times New Roman"/>
                      <w:b/>
                      <w:bCs/>
                      <w:color w:val="auto"/>
                      <w:sz w:val="21"/>
                      <w:szCs w:val="21"/>
                    </w:rPr>
                    <w:t>环保措施</w:t>
                  </w:r>
                </w:p>
              </w:tc>
              <w:tc>
                <w:tcPr>
                  <w:tcW w:w="1739" w:type="pct"/>
                  <w:tcBorders>
                    <w:top w:val="single" w:color="auto" w:sz="12" w:space="0"/>
                    <w:bottom w:val="single" w:color="auto" w:sz="12" w:space="0"/>
                  </w:tcBorders>
                  <w:vAlign w:val="center"/>
                </w:tcPr>
                <w:p>
                  <w:pPr>
                    <w:pStyle w:val="22"/>
                    <w:tabs>
                      <w:tab w:val="left" w:pos="1845"/>
                    </w:tabs>
                    <w:wordWrap w:val="0"/>
                    <w:adjustRightInd/>
                    <w:jc w:val="center"/>
                    <w:rPr>
                      <w:rFonts w:ascii="Times New Roman" w:cs="Times New Roman"/>
                      <w:b/>
                      <w:bCs/>
                      <w:color w:val="auto"/>
                      <w:sz w:val="21"/>
                      <w:szCs w:val="21"/>
                    </w:rPr>
                  </w:pPr>
                  <w:r>
                    <w:rPr>
                      <w:rFonts w:ascii="Times New Roman" w:cs="Times New Roman"/>
                      <w:b/>
                      <w:bCs/>
                      <w:color w:val="auto"/>
                      <w:sz w:val="21"/>
                      <w:szCs w:val="21"/>
                    </w:rPr>
                    <w:t>执行标准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rPr>
                    <w:t>废水治理措施</w:t>
                  </w:r>
                </w:p>
              </w:tc>
              <w:tc>
                <w:tcPr>
                  <w:tcW w:w="411"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hint="eastAsia" w:ascii="Times New Roman" w:cs="Times New Roman"/>
                      <w:color w:val="auto"/>
                      <w:sz w:val="21"/>
                      <w:szCs w:val="21"/>
                    </w:rPr>
                    <w:t>医院废水</w:t>
                  </w:r>
                </w:p>
              </w:tc>
              <w:tc>
                <w:tcPr>
                  <w:tcW w:w="1043"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lang w:bidi="ar"/>
                    </w:rPr>
                    <w:t>COD、BOD</w:t>
                  </w:r>
                  <w:r>
                    <w:rPr>
                      <w:rFonts w:ascii="Times New Roman" w:cs="Times New Roman"/>
                      <w:color w:val="auto"/>
                      <w:sz w:val="21"/>
                      <w:szCs w:val="21"/>
                      <w:vertAlign w:val="subscript"/>
                      <w:lang w:bidi="ar"/>
                    </w:rPr>
                    <w:t>5</w:t>
                  </w:r>
                  <w:r>
                    <w:rPr>
                      <w:rFonts w:ascii="Times New Roman" w:cs="Times New Roman"/>
                      <w:color w:val="auto"/>
                      <w:sz w:val="21"/>
                      <w:szCs w:val="21"/>
                      <w:lang w:bidi="ar"/>
                    </w:rPr>
                    <w:t>、SS、NH</w:t>
                  </w:r>
                  <w:r>
                    <w:rPr>
                      <w:rFonts w:ascii="Times New Roman" w:cs="Times New Roman"/>
                      <w:color w:val="auto"/>
                      <w:sz w:val="21"/>
                      <w:szCs w:val="21"/>
                      <w:vertAlign w:val="subscript"/>
                      <w:lang w:bidi="ar"/>
                    </w:rPr>
                    <w:t>3</w:t>
                  </w:r>
                  <w:r>
                    <w:rPr>
                      <w:rFonts w:ascii="Times New Roman" w:cs="Times New Roman"/>
                      <w:color w:val="auto"/>
                      <w:sz w:val="21"/>
                      <w:szCs w:val="21"/>
                      <w:lang w:bidi="ar"/>
                    </w:rPr>
                    <w:t>-N、粪大肠菌群</w:t>
                  </w:r>
                </w:p>
              </w:tc>
              <w:tc>
                <w:tcPr>
                  <w:tcW w:w="1391"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lang w:bidi="ar"/>
                    </w:rPr>
                    <w:t>采用二级生化处理（生物接触氧化）+消毒处理（次氯酸钠）工艺</w:t>
                  </w:r>
                  <w:r>
                    <w:rPr>
                      <w:rFonts w:hint="eastAsia" w:ascii="Times New Roman" w:cs="Times New Roman"/>
                      <w:color w:val="auto"/>
                      <w:sz w:val="21"/>
                      <w:szCs w:val="21"/>
                      <w:lang w:bidi="ar"/>
                    </w:rPr>
                    <w:t>，达标后排入现有的市政污水管网</w:t>
                  </w:r>
                </w:p>
              </w:tc>
              <w:tc>
                <w:tcPr>
                  <w:tcW w:w="1739"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bCs/>
                      <w:color w:val="auto"/>
                      <w:sz w:val="21"/>
                      <w:szCs w:val="21"/>
                    </w:rPr>
                    <w:t>《医疗机构水污染物排放标准》（GB18466-2005）表2综合医疗机构和其他医疗机构水污染物排放标准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rPr>
                    <w:t>噪声防治措施</w:t>
                  </w:r>
                </w:p>
              </w:tc>
              <w:tc>
                <w:tcPr>
                  <w:tcW w:w="411"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rPr>
                    <w:t>设备</w:t>
                  </w:r>
                </w:p>
              </w:tc>
              <w:tc>
                <w:tcPr>
                  <w:tcW w:w="1043"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rPr>
                    <w:t>噪声</w:t>
                  </w:r>
                </w:p>
              </w:tc>
              <w:tc>
                <w:tcPr>
                  <w:tcW w:w="1391" w:type="pct"/>
                  <w:tcBorders>
                    <w:tl2br w:val="nil"/>
                    <w:tr2bl w:val="nil"/>
                  </w:tcBorders>
                  <w:vAlign w:val="center"/>
                </w:tcPr>
                <w:p>
                  <w:pPr>
                    <w:widowControl/>
                    <w:wordWrap w:val="0"/>
                    <w:jc w:val="center"/>
                    <w:rPr>
                      <w:szCs w:val="21"/>
                    </w:rPr>
                  </w:pPr>
                  <w:r>
                    <w:rPr>
                      <w:kern w:val="0"/>
                      <w:szCs w:val="21"/>
                      <w:lang w:bidi="ar"/>
                    </w:rPr>
                    <w:t>选用低噪声设备、合理布局、基础</w:t>
                  </w:r>
                  <w:r>
                    <w:rPr>
                      <w:rFonts w:hint="eastAsia"/>
                    </w:rPr>
                    <w:t>减震</w:t>
                  </w:r>
                  <w:r>
                    <w:rPr>
                      <w:kern w:val="0"/>
                      <w:szCs w:val="21"/>
                      <w:lang w:bidi="ar"/>
                    </w:rPr>
                    <w:t>、距离衰减</w:t>
                  </w:r>
                </w:p>
              </w:tc>
              <w:tc>
                <w:tcPr>
                  <w:tcW w:w="1739" w:type="pct"/>
                  <w:tcBorders>
                    <w:tl2br w:val="nil"/>
                    <w:tr2bl w:val="nil"/>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rPr>
                    <w:t>《工业企业厂界环境噪声排放标准》</w:t>
                  </w:r>
                  <w:r>
                    <w:rPr>
                      <w:rFonts w:ascii="Times New Roman" w:cs="Times New Roman"/>
                      <w:color w:val="auto"/>
                      <w:sz w:val="21"/>
                      <w:szCs w:val="21"/>
                      <w:lang w:bidi="ar"/>
                    </w:rPr>
                    <w:t>（GB12348-2008）</w:t>
                  </w:r>
                  <w:r>
                    <w:rPr>
                      <w:rFonts w:ascii="Times New Roman" w:cs="Times New Roman"/>
                      <w:color w:val="auto"/>
                      <w:sz w:val="21"/>
                      <w:szCs w:val="21"/>
                    </w:rPr>
                    <w:t>中</w:t>
                  </w:r>
                  <w:r>
                    <w:rPr>
                      <w:rFonts w:hint="eastAsia" w:ascii="Times New Roman" w:cs="Times New Roman"/>
                      <w:color w:val="auto"/>
                      <w:sz w:val="21"/>
                      <w:szCs w:val="21"/>
                    </w:rPr>
                    <w:t>1</w:t>
                  </w:r>
                  <w:r>
                    <w:rPr>
                      <w:rFonts w:ascii="Times New Roman" w:cs="Times New Roman"/>
                      <w:color w:val="auto"/>
                      <w:sz w:val="21"/>
                      <w:szCs w:val="21"/>
                    </w:rPr>
                    <w:t>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restart"/>
                  <w:vAlign w:val="center"/>
                </w:tcPr>
                <w:p>
                  <w:pPr>
                    <w:pStyle w:val="22"/>
                    <w:tabs>
                      <w:tab w:val="left" w:pos="1845"/>
                    </w:tabs>
                    <w:wordWrap w:val="0"/>
                    <w:adjustRightInd/>
                    <w:jc w:val="center"/>
                    <w:rPr>
                      <w:rFonts w:ascii="Times New Roman" w:cs="Times New Roman"/>
                      <w:color w:val="0000FF"/>
                      <w:sz w:val="21"/>
                      <w:szCs w:val="21"/>
                    </w:rPr>
                  </w:pPr>
                  <w:r>
                    <w:rPr>
                      <w:rFonts w:ascii="Times New Roman" w:cs="Times New Roman"/>
                      <w:color w:val="auto"/>
                      <w:sz w:val="21"/>
                      <w:szCs w:val="21"/>
                    </w:rPr>
                    <w:t>固废治理措施</w:t>
                  </w:r>
                </w:p>
              </w:tc>
              <w:tc>
                <w:tcPr>
                  <w:tcW w:w="411" w:type="pct"/>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rPr>
                    <w:t>固体废物</w:t>
                  </w:r>
                </w:p>
              </w:tc>
              <w:tc>
                <w:tcPr>
                  <w:tcW w:w="1043" w:type="pct"/>
                  <w:vAlign w:val="center"/>
                </w:tcPr>
                <w:p>
                  <w:pPr>
                    <w:adjustRightInd w:val="0"/>
                    <w:snapToGrid w:val="0"/>
                    <w:jc w:val="center"/>
                    <w:rPr>
                      <w:szCs w:val="21"/>
                    </w:rPr>
                  </w:pPr>
                  <w:r>
                    <w:rPr>
                      <w:rFonts w:hint="eastAsia"/>
                      <w:szCs w:val="21"/>
                    </w:rPr>
                    <w:t>生活垃圾、</w:t>
                  </w:r>
                  <w:r>
                    <w:rPr>
                      <w:rFonts w:hint="eastAsia"/>
                      <w:kern w:val="0"/>
                      <w:szCs w:val="21"/>
                    </w:rPr>
                    <w:t>废弃包装物（如包装袋、包装盒）</w:t>
                  </w:r>
                </w:p>
              </w:tc>
              <w:tc>
                <w:tcPr>
                  <w:tcW w:w="1391" w:type="pct"/>
                  <w:vAlign w:val="center"/>
                </w:tcPr>
                <w:p>
                  <w:pPr>
                    <w:widowControl/>
                    <w:wordWrap w:val="0"/>
                    <w:jc w:val="center"/>
                    <w:rPr>
                      <w:szCs w:val="21"/>
                    </w:rPr>
                  </w:pPr>
                  <w:r>
                    <w:rPr>
                      <w:rFonts w:hint="eastAsia"/>
                      <w:szCs w:val="21"/>
                    </w:rPr>
                    <w:t>设置生活垃圾收集箱，由环卫部门统一清运</w:t>
                  </w:r>
                </w:p>
              </w:tc>
              <w:tc>
                <w:tcPr>
                  <w:tcW w:w="1739" w:type="pct"/>
                  <w:vMerge w:val="restart"/>
                  <w:vAlign w:val="center"/>
                </w:tcPr>
                <w:p>
                  <w:pPr>
                    <w:widowControl/>
                    <w:wordWrap w:val="0"/>
                    <w:jc w:val="center"/>
                    <w:rPr>
                      <w:szCs w:val="21"/>
                    </w:rPr>
                  </w:pPr>
                  <w:r>
                    <w:rPr>
                      <w:kern w:val="0"/>
                      <w:szCs w:val="21"/>
                      <w:lang w:bidi="ar"/>
                    </w:rPr>
                    <w:t>临时储存，安全处置、零排放；符合《危险废物贮存污染控制标准》（GB18597-2001）及《医疗废物集中处置技术规范（试行）》（环发〔2003〕206号）相关规定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bottom w:val="single" w:color="auto" w:sz="12" w:space="0"/>
                  </w:tcBorders>
                  <w:vAlign w:val="center"/>
                </w:tcPr>
                <w:p>
                  <w:pPr>
                    <w:pStyle w:val="22"/>
                    <w:tabs>
                      <w:tab w:val="left" w:pos="1845"/>
                    </w:tabs>
                    <w:wordWrap w:val="0"/>
                    <w:adjustRightInd/>
                    <w:jc w:val="center"/>
                    <w:rPr>
                      <w:rFonts w:ascii="Times New Roman" w:cs="Times New Roman"/>
                      <w:color w:val="0000FF"/>
                      <w:sz w:val="21"/>
                      <w:szCs w:val="21"/>
                    </w:rPr>
                  </w:pPr>
                </w:p>
              </w:tc>
              <w:tc>
                <w:tcPr>
                  <w:tcW w:w="411" w:type="pct"/>
                  <w:tcBorders>
                    <w:bottom w:val="single" w:color="auto" w:sz="12" w:space="0"/>
                  </w:tcBorders>
                  <w:vAlign w:val="center"/>
                </w:tcPr>
                <w:p>
                  <w:pPr>
                    <w:pStyle w:val="22"/>
                    <w:tabs>
                      <w:tab w:val="left" w:pos="1845"/>
                    </w:tabs>
                    <w:wordWrap w:val="0"/>
                    <w:adjustRightInd/>
                    <w:jc w:val="center"/>
                    <w:rPr>
                      <w:rFonts w:ascii="Times New Roman" w:cs="Times New Roman"/>
                      <w:color w:val="auto"/>
                      <w:sz w:val="21"/>
                      <w:szCs w:val="21"/>
                    </w:rPr>
                  </w:pPr>
                  <w:r>
                    <w:rPr>
                      <w:rFonts w:ascii="Times New Roman" w:cs="Times New Roman"/>
                      <w:color w:val="auto"/>
                      <w:sz w:val="21"/>
                      <w:szCs w:val="21"/>
                    </w:rPr>
                    <w:t>危险废物</w:t>
                  </w:r>
                </w:p>
              </w:tc>
              <w:tc>
                <w:tcPr>
                  <w:tcW w:w="1043" w:type="pct"/>
                  <w:tcBorders>
                    <w:bottom w:val="single" w:color="000000" w:sz="12" w:space="0"/>
                  </w:tcBorders>
                  <w:vAlign w:val="center"/>
                </w:tcPr>
                <w:p>
                  <w:pPr>
                    <w:adjustRightInd w:val="0"/>
                    <w:snapToGrid w:val="0"/>
                    <w:jc w:val="center"/>
                    <w:rPr>
                      <w:szCs w:val="21"/>
                    </w:rPr>
                  </w:pPr>
                  <w:r>
                    <w:rPr>
                      <w:rFonts w:hint="eastAsia"/>
                      <w:szCs w:val="21"/>
                    </w:rPr>
                    <w:t>医疗废物</w:t>
                  </w:r>
                </w:p>
              </w:tc>
              <w:tc>
                <w:tcPr>
                  <w:tcW w:w="1391" w:type="pct"/>
                  <w:tcBorders>
                    <w:bottom w:val="single" w:color="000000" w:sz="12" w:space="0"/>
                  </w:tcBorders>
                  <w:vAlign w:val="center"/>
                </w:tcPr>
                <w:p>
                  <w:pPr>
                    <w:widowControl/>
                    <w:wordWrap w:val="0"/>
                    <w:jc w:val="center"/>
                    <w:rPr>
                      <w:color w:val="0000FF"/>
                      <w:szCs w:val="21"/>
                    </w:rPr>
                  </w:pPr>
                  <w:r>
                    <w:rPr>
                      <w:kern w:val="0"/>
                      <w:szCs w:val="21"/>
                      <w:lang w:bidi="ar"/>
                    </w:rPr>
                    <w:t>医疗废物依托医院现有危废暂存间，定期委托资质单位回收处理</w:t>
                  </w:r>
                </w:p>
              </w:tc>
              <w:tc>
                <w:tcPr>
                  <w:tcW w:w="1739" w:type="pct"/>
                  <w:vMerge w:val="continue"/>
                  <w:tcBorders>
                    <w:bottom w:val="single" w:color="000000" w:sz="12" w:space="0"/>
                  </w:tcBorders>
                  <w:vAlign w:val="center"/>
                </w:tcPr>
                <w:p>
                  <w:pPr>
                    <w:widowControl/>
                    <w:wordWrap w:val="0"/>
                    <w:jc w:val="center"/>
                    <w:rPr>
                      <w:color w:val="0000FF"/>
                      <w:szCs w:val="21"/>
                    </w:rPr>
                  </w:pPr>
                </w:p>
              </w:tc>
            </w:tr>
          </w:tbl>
          <w:p>
            <w:pPr>
              <w:pStyle w:val="22"/>
              <w:spacing w:line="360" w:lineRule="auto"/>
              <w:jc w:val="both"/>
              <w:rPr>
                <w:rFonts w:ascii="Times New Roman" w:cs="Times New Roman"/>
                <w:color w:val="auto"/>
                <w:sz w:val="21"/>
                <w:szCs w:val="21"/>
              </w:rPr>
            </w:pPr>
          </w:p>
        </w:tc>
      </w:tr>
    </w:tbl>
    <w:p>
      <w:pPr>
        <w:pStyle w:val="16"/>
        <w:adjustRightInd w:val="0"/>
        <w:snapToGrid w:val="0"/>
        <w:spacing w:before="0" w:beforeAutospacing="0" w:after="0" w:afterAutospacing="0" w:line="360" w:lineRule="auto"/>
        <w:outlineLvl w:val="0"/>
        <w:rPr>
          <w:rFonts w:ascii="Times New Roman" w:hAnsi="Times New Roman" w:eastAsia="黑体"/>
          <w:snapToGrid w:val="0"/>
          <w:sz w:val="32"/>
          <w:szCs w:val="32"/>
        </w:rPr>
        <w:sectPr>
          <w:footerReference r:id="rId6" w:type="default"/>
          <w:pgSz w:w="11906" w:h="16838"/>
          <w:pgMar w:top="1440" w:right="1800" w:bottom="1440" w:left="1800" w:header="851" w:footer="992" w:gutter="0"/>
          <w:pgNumType w:start="1"/>
          <w:cols w:space="720" w:num="1"/>
          <w:docGrid w:type="lines" w:linePitch="312" w:charSpace="0"/>
        </w:sectPr>
      </w:pPr>
    </w:p>
    <w:p>
      <w:pPr>
        <w:pStyle w:val="1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五、</w:t>
      </w:r>
      <w:bookmarkStart w:id="21" w:name="_Hlk54167917"/>
      <w:r>
        <w:rPr>
          <w:rFonts w:hint="eastAsia" w:ascii="黑体" w:hAnsi="黑体" w:eastAsia="黑体"/>
          <w:snapToGrid w:val="0"/>
          <w:sz w:val="30"/>
          <w:szCs w:val="30"/>
        </w:rPr>
        <w:t>环境保护措施监督检查清单</w:t>
      </w:r>
      <w:bookmarkEnd w:id="21"/>
    </w:p>
    <w:tbl>
      <w:tblPr>
        <w:tblStyle w:val="17"/>
        <w:tblW w:w="87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441"/>
        <w:gridCol w:w="1365"/>
        <w:gridCol w:w="2130"/>
        <w:gridCol w:w="26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64" w:type="dxa"/>
            <w:tcBorders>
              <w:tl2br w:val="single" w:color="auto" w:sz="4" w:space="0"/>
            </w:tcBorders>
          </w:tcPr>
          <w:p>
            <w:pPr>
              <w:adjustRightInd w:val="0"/>
              <w:snapToGrid w:val="0"/>
              <w:ind w:firstLine="420" w:firstLineChars="200"/>
              <w:rPr>
                <w:szCs w:val="21"/>
              </w:rPr>
            </w:pPr>
          </w:p>
          <w:p>
            <w:pPr>
              <w:adjustRightInd w:val="0"/>
              <w:snapToGrid w:val="0"/>
              <w:ind w:firstLine="420" w:firstLineChars="200"/>
              <w:rPr>
                <w:szCs w:val="21"/>
              </w:rPr>
            </w:pPr>
            <w:r>
              <w:rPr>
                <w:szCs w:val="21"/>
              </w:rPr>
              <w:t>内容</w:t>
            </w:r>
          </w:p>
          <w:p>
            <w:pPr>
              <w:adjustRightInd w:val="0"/>
              <w:snapToGrid w:val="0"/>
              <w:rPr>
                <w:szCs w:val="21"/>
              </w:rPr>
            </w:pPr>
            <w:r>
              <w:rPr>
                <w:szCs w:val="21"/>
              </w:rPr>
              <w:t>要素</w:t>
            </w:r>
          </w:p>
        </w:tc>
        <w:tc>
          <w:tcPr>
            <w:tcW w:w="1441" w:type="dxa"/>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1365" w:type="dxa"/>
            <w:vAlign w:val="center"/>
          </w:tcPr>
          <w:p>
            <w:pPr>
              <w:adjustRightInd w:val="0"/>
              <w:snapToGrid w:val="0"/>
              <w:jc w:val="center"/>
              <w:rPr>
                <w:szCs w:val="21"/>
              </w:rPr>
            </w:pPr>
            <w:r>
              <w:rPr>
                <w:szCs w:val="21"/>
              </w:rPr>
              <w:t>污染物项目</w:t>
            </w:r>
          </w:p>
        </w:tc>
        <w:tc>
          <w:tcPr>
            <w:tcW w:w="2130" w:type="dxa"/>
            <w:vAlign w:val="center"/>
          </w:tcPr>
          <w:p>
            <w:pPr>
              <w:adjustRightInd w:val="0"/>
              <w:snapToGrid w:val="0"/>
              <w:jc w:val="center"/>
              <w:rPr>
                <w:szCs w:val="21"/>
              </w:rPr>
            </w:pPr>
            <w:r>
              <w:rPr>
                <w:szCs w:val="21"/>
              </w:rPr>
              <w:t>环境保护措施</w:t>
            </w:r>
          </w:p>
        </w:tc>
        <w:tc>
          <w:tcPr>
            <w:tcW w:w="2671" w:type="dxa"/>
            <w:vAlign w:val="center"/>
          </w:tcPr>
          <w:p>
            <w:pPr>
              <w:adjustRightInd w:val="0"/>
              <w:snapToGrid w:val="0"/>
              <w:jc w:val="center"/>
              <w:rPr>
                <w:szCs w:val="21"/>
              </w:rPr>
            </w:pPr>
            <w:r>
              <w:rPr>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Align w:val="center"/>
          </w:tcPr>
          <w:p>
            <w:pPr>
              <w:adjustRightInd w:val="0"/>
              <w:snapToGrid w:val="0"/>
              <w:jc w:val="center"/>
              <w:rPr>
                <w:szCs w:val="21"/>
              </w:rPr>
            </w:pPr>
            <w:r>
              <w:rPr>
                <w:szCs w:val="21"/>
              </w:rPr>
              <w:t>地表水环境</w:t>
            </w:r>
          </w:p>
        </w:tc>
        <w:tc>
          <w:tcPr>
            <w:tcW w:w="1441" w:type="dxa"/>
            <w:vAlign w:val="center"/>
          </w:tcPr>
          <w:p>
            <w:pPr>
              <w:pStyle w:val="16"/>
              <w:widowControl w:val="0"/>
              <w:wordWrap w:val="0"/>
              <w:autoSpaceDE w:val="0"/>
              <w:autoSpaceDN w:val="0"/>
              <w:adjustRightInd w:val="0"/>
              <w:spacing w:before="0" w:beforeAutospacing="0" w:after="0" w:afterAutospacing="0"/>
              <w:jc w:val="center"/>
              <w:rPr>
                <w:sz w:val="21"/>
                <w:szCs w:val="21"/>
              </w:rPr>
            </w:pPr>
            <w:r>
              <w:rPr>
                <w:rFonts w:hint="eastAsia" w:cs="宋体"/>
                <w:color w:val="000000"/>
                <w:sz w:val="21"/>
                <w:szCs w:val="21"/>
                <w:lang w:bidi="ar"/>
              </w:rPr>
              <w:t>医院废水</w:t>
            </w:r>
          </w:p>
        </w:tc>
        <w:tc>
          <w:tcPr>
            <w:tcW w:w="1365" w:type="dxa"/>
            <w:vAlign w:val="center"/>
          </w:tcPr>
          <w:p>
            <w:pPr>
              <w:pStyle w:val="16"/>
              <w:widowControl w:val="0"/>
              <w:wordWrap w:val="0"/>
              <w:autoSpaceDE w:val="0"/>
              <w:autoSpaceDN w:val="0"/>
              <w:adjustRightInd w:val="0"/>
              <w:spacing w:before="0" w:beforeAutospacing="0" w:after="0" w:afterAutospacing="0"/>
              <w:jc w:val="center"/>
              <w:rPr>
                <w:sz w:val="21"/>
                <w:szCs w:val="21"/>
                <w:highlight w:val="yellow"/>
              </w:rPr>
            </w:pPr>
            <w:r>
              <w:rPr>
                <w:rFonts w:ascii="Times New Roman" w:hAnsi="Times New Roman"/>
                <w:color w:val="000000"/>
                <w:sz w:val="21"/>
                <w:szCs w:val="21"/>
                <w:lang w:bidi="ar"/>
              </w:rPr>
              <w:t>COD</w:t>
            </w:r>
            <w:r>
              <w:rPr>
                <w:rFonts w:hint="eastAsia" w:cs="宋体"/>
                <w:color w:val="000000"/>
                <w:sz w:val="21"/>
                <w:szCs w:val="21"/>
                <w:lang w:bidi="ar"/>
              </w:rPr>
              <w:t>、</w:t>
            </w:r>
            <w:r>
              <w:rPr>
                <w:rFonts w:ascii="Times New Roman" w:hAnsi="Times New Roman"/>
                <w:color w:val="000000"/>
                <w:sz w:val="21"/>
                <w:szCs w:val="21"/>
                <w:lang w:bidi="ar"/>
              </w:rPr>
              <w:t>BOD</w:t>
            </w:r>
            <w:r>
              <w:rPr>
                <w:rFonts w:ascii="Times New Roman" w:hAnsi="Times New Roman"/>
                <w:color w:val="000000"/>
                <w:sz w:val="21"/>
                <w:szCs w:val="21"/>
                <w:vertAlign w:val="subscript"/>
                <w:lang w:bidi="ar"/>
              </w:rPr>
              <w:t>5</w:t>
            </w:r>
            <w:r>
              <w:rPr>
                <w:rFonts w:hint="eastAsia" w:cs="宋体"/>
                <w:color w:val="000000"/>
                <w:sz w:val="21"/>
                <w:szCs w:val="21"/>
                <w:lang w:bidi="ar"/>
              </w:rPr>
              <w:t>、</w:t>
            </w:r>
            <w:r>
              <w:rPr>
                <w:rFonts w:ascii="Times New Roman" w:hAnsi="Times New Roman"/>
                <w:color w:val="000000"/>
                <w:sz w:val="21"/>
                <w:szCs w:val="21"/>
                <w:lang w:bidi="ar"/>
              </w:rPr>
              <w:t>SS</w:t>
            </w:r>
            <w:r>
              <w:rPr>
                <w:rFonts w:hint="eastAsia" w:cs="宋体"/>
                <w:color w:val="000000"/>
                <w:sz w:val="21"/>
                <w:szCs w:val="21"/>
                <w:lang w:bidi="ar"/>
              </w:rPr>
              <w:t>、</w:t>
            </w:r>
            <w:r>
              <w:rPr>
                <w:rFonts w:ascii="Times New Roman" w:hAnsi="Times New Roman"/>
                <w:color w:val="000000"/>
                <w:sz w:val="21"/>
                <w:szCs w:val="21"/>
                <w:lang w:bidi="ar"/>
              </w:rPr>
              <w:t>NH</w:t>
            </w:r>
            <w:r>
              <w:rPr>
                <w:rFonts w:ascii="Times New Roman" w:hAnsi="Times New Roman"/>
                <w:color w:val="000000"/>
                <w:sz w:val="21"/>
                <w:szCs w:val="21"/>
                <w:vertAlign w:val="subscript"/>
                <w:lang w:bidi="ar"/>
              </w:rPr>
              <w:t>3</w:t>
            </w:r>
            <w:r>
              <w:rPr>
                <w:rFonts w:ascii="Times New Roman" w:hAnsi="Times New Roman"/>
                <w:color w:val="000000"/>
                <w:sz w:val="21"/>
                <w:szCs w:val="21"/>
                <w:lang w:bidi="ar"/>
              </w:rPr>
              <w:t>-N</w:t>
            </w:r>
            <w:r>
              <w:rPr>
                <w:rFonts w:hint="eastAsia" w:cs="宋体"/>
                <w:color w:val="000000"/>
                <w:sz w:val="21"/>
                <w:szCs w:val="21"/>
                <w:lang w:bidi="ar"/>
              </w:rPr>
              <w:t>、粪大肠菌群</w:t>
            </w:r>
          </w:p>
        </w:tc>
        <w:tc>
          <w:tcPr>
            <w:tcW w:w="2130" w:type="dxa"/>
            <w:vAlign w:val="center"/>
          </w:tcPr>
          <w:p>
            <w:pPr>
              <w:pStyle w:val="16"/>
              <w:widowControl w:val="0"/>
              <w:wordWrap w:val="0"/>
              <w:autoSpaceDE w:val="0"/>
              <w:autoSpaceDN w:val="0"/>
              <w:adjustRightInd w:val="0"/>
              <w:spacing w:before="0" w:beforeAutospacing="0" w:after="0" w:afterAutospacing="0"/>
              <w:jc w:val="center"/>
              <w:rPr>
                <w:sz w:val="21"/>
                <w:szCs w:val="21"/>
                <w:highlight w:val="yellow"/>
              </w:rPr>
            </w:pPr>
            <w:r>
              <w:rPr>
                <w:rFonts w:hint="eastAsia" w:cs="宋体"/>
                <w:color w:val="000000"/>
                <w:sz w:val="21"/>
                <w:szCs w:val="21"/>
                <w:lang w:bidi="ar"/>
              </w:rPr>
              <w:t>采用二级生化处理（生物接触氧化）</w:t>
            </w:r>
            <w:r>
              <w:rPr>
                <w:rFonts w:ascii="Times New Roman" w:hAnsi="Times New Roman"/>
                <w:color w:val="000000"/>
                <w:sz w:val="21"/>
                <w:szCs w:val="21"/>
                <w:lang w:bidi="ar"/>
              </w:rPr>
              <w:t>+</w:t>
            </w:r>
            <w:r>
              <w:rPr>
                <w:rFonts w:hint="eastAsia" w:cs="宋体"/>
                <w:color w:val="000000"/>
                <w:sz w:val="21"/>
                <w:szCs w:val="21"/>
                <w:lang w:bidi="ar"/>
              </w:rPr>
              <w:t>消毒处理（次氯酸钠）工艺，达标后排入市政污水管网</w:t>
            </w:r>
          </w:p>
        </w:tc>
        <w:tc>
          <w:tcPr>
            <w:tcW w:w="2671" w:type="dxa"/>
            <w:vAlign w:val="center"/>
          </w:tcPr>
          <w:p>
            <w:pPr>
              <w:pStyle w:val="16"/>
              <w:widowControl w:val="0"/>
              <w:wordWrap w:val="0"/>
              <w:autoSpaceDE w:val="0"/>
              <w:autoSpaceDN w:val="0"/>
              <w:adjustRightInd w:val="0"/>
              <w:spacing w:before="0" w:beforeAutospacing="0" w:after="0" w:afterAutospacing="0"/>
              <w:jc w:val="center"/>
              <w:rPr>
                <w:rFonts w:ascii="Times New Roman" w:hAnsi="Times New Roman"/>
                <w:sz w:val="21"/>
              </w:rPr>
            </w:pPr>
            <w:r>
              <w:rPr>
                <w:rFonts w:hint="eastAsia" w:cs="宋体"/>
                <w:bCs/>
                <w:color w:val="000000"/>
                <w:sz w:val="21"/>
                <w:szCs w:val="21"/>
                <w:lang w:bidi="ar"/>
              </w:rPr>
              <w:t>《医疗机构水污染物排放标准》（</w:t>
            </w:r>
            <w:r>
              <w:rPr>
                <w:rFonts w:ascii="Times New Roman" w:hAnsi="Times New Roman"/>
                <w:bCs/>
                <w:color w:val="000000"/>
                <w:sz w:val="21"/>
                <w:szCs w:val="21"/>
                <w:lang w:bidi="ar"/>
              </w:rPr>
              <w:t>GB18466-2005</w:t>
            </w:r>
            <w:r>
              <w:rPr>
                <w:rFonts w:hint="eastAsia" w:cs="宋体"/>
                <w:bCs/>
                <w:color w:val="000000"/>
                <w:sz w:val="21"/>
                <w:szCs w:val="21"/>
                <w:lang w:bidi="ar"/>
              </w:rPr>
              <w:t>）表</w:t>
            </w:r>
            <w:r>
              <w:rPr>
                <w:rFonts w:ascii="Times New Roman" w:hAnsi="Times New Roman"/>
                <w:bCs/>
                <w:color w:val="000000"/>
                <w:sz w:val="21"/>
                <w:szCs w:val="21"/>
                <w:lang w:bidi="ar"/>
              </w:rPr>
              <w:t>2</w:t>
            </w:r>
            <w:r>
              <w:rPr>
                <w:rFonts w:hint="eastAsia" w:cs="宋体"/>
                <w:bCs/>
                <w:color w:val="000000"/>
                <w:sz w:val="21"/>
                <w:szCs w:val="21"/>
                <w:lang w:bidi="ar"/>
              </w:rPr>
              <w:t>综合医疗机构和其他医疗机构水污染物排放标准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Align w:val="center"/>
          </w:tcPr>
          <w:p>
            <w:pPr>
              <w:adjustRightInd w:val="0"/>
              <w:snapToGrid w:val="0"/>
              <w:jc w:val="center"/>
              <w:rPr>
                <w:szCs w:val="21"/>
              </w:rPr>
            </w:pPr>
            <w:r>
              <w:rPr>
                <w:szCs w:val="21"/>
              </w:rPr>
              <w:t>声环境</w:t>
            </w:r>
          </w:p>
        </w:tc>
        <w:tc>
          <w:tcPr>
            <w:tcW w:w="1441" w:type="dxa"/>
            <w:vAlign w:val="center"/>
          </w:tcPr>
          <w:p>
            <w:pPr>
              <w:adjustRightInd w:val="0"/>
              <w:snapToGrid w:val="0"/>
              <w:jc w:val="center"/>
              <w:rPr>
                <w:szCs w:val="21"/>
              </w:rPr>
            </w:pPr>
            <w:r>
              <w:rPr>
                <w:szCs w:val="21"/>
              </w:rPr>
              <w:t>设备</w:t>
            </w:r>
          </w:p>
        </w:tc>
        <w:tc>
          <w:tcPr>
            <w:tcW w:w="1365" w:type="dxa"/>
            <w:vAlign w:val="center"/>
          </w:tcPr>
          <w:p>
            <w:pPr>
              <w:adjustRightInd w:val="0"/>
              <w:snapToGrid w:val="0"/>
              <w:jc w:val="center"/>
              <w:rPr>
                <w:szCs w:val="21"/>
              </w:rPr>
            </w:pPr>
            <w:r>
              <w:rPr>
                <w:szCs w:val="21"/>
              </w:rPr>
              <w:t>噪声</w:t>
            </w:r>
          </w:p>
        </w:tc>
        <w:tc>
          <w:tcPr>
            <w:tcW w:w="2130" w:type="dxa"/>
            <w:vAlign w:val="center"/>
          </w:tcPr>
          <w:p>
            <w:pPr>
              <w:widowControl/>
              <w:wordWrap w:val="0"/>
              <w:jc w:val="center"/>
              <w:rPr>
                <w:szCs w:val="21"/>
              </w:rPr>
            </w:pPr>
            <w:r>
              <w:rPr>
                <w:rFonts w:hint="eastAsia" w:ascii="宋体" w:hAnsi="宋体" w:cs="宋体"/>
                <w:kern w:val="0"/>
                <w:szCs w:val="21"/>
                <w:lang w:bidi="ar"/>
              </w:rPr>
              <w:t>选用低噪声设备、合理布局、基础</w:t>
            </w:r>
            <w:r>
              <w:rPr>
                <w:rFonts w:hint="eastAsia"/>
              </w:rPr>
              <w:t>减震</w:t>
            </w:r>
            <w:r>
              <w:rPr>
                <w:rFonts w:hint="eastAsia" w:ascii="宋体" w:hAnsi="宋体" w:cs="宋体"/>
                <w:kern w:val="0"/>
                <w:szCs w:val="21"/>
                <w:lang w:bidi="ar"/>
              </w:rPr>
              <w:t>、距离衰减</w:t>
            </w:r>
          </w:p>
        </w:tc>
        <w:tc>
          <w:tcPr>
            <w:tcW w:w="2671" w:type="dxa"/>
            <w:vAlign w:val="center"/>
          </w:tcPr>
          <w:p>
            <w:pPr>
              <w:pStyle w:val="16"/>
              <w:widowControl w:val="0"/>
              <w:wordWrap w:val="0"/>
              <w:autoSpaceDE w:val="0"/>
              <w:autoSpaceDN w:val="0"/>
              <w:adjustRightInd w:val="0"/>
              <w:spacing w:before="0" w:beforeAutospacing="0" w:after="0" w:afterAutospacing="0"/>
              <w:jc w:val="center"/>
              <w:rPr>
                <w:sz w:val="21"/>
                <w:szCs w:val="21"/>
              </w:rPr>
            </w:pPr>
            <w:r>
              <w:rPr>
                <w:rFonts w:hint="eastAsia" w:cs="宋体"/>
                <w:color w:val="000000"/>
                <w:sz w:val="21"/>
                <w:szCs w:val="21"/>
                <w:lang w:bidi="ar"/>
              </w:rPr>
              <w:t>《工业企业厂界环境噪声排放标准》（</w:t>
            </w:r>
            <w:r>
              <w:rPr>
                <w:rFonts w:ascii="Times New Roman" w:hAnsi="Times New Roman"/>
                <w:color w:val="000000"/>
                <w:sz w:val="21"/>
                <w:szCs w:val="21"/>
                <w:lang w:bidi="ar"/>
              </w:rPr>
              <w:t>GB12348-2008</w:t>
            </w:r>
            <w:r>
              <w:rPr>
                <w:rFonts w:hint="eastAsia" w:cs="宋体"/>
                <w:color w:val="000000"/>
                <w:sz w:val="21"/>
                <w:szCs w:val="21"/>
                <w:lang w:bidi="ar"/>
              </w:rPr>
              <w:t>）中</w:t>
            </w:r>
            <w:r>
              <w:rPr>
                <w:rFonts w:ascii="Times New Roman" w:hAnsi="Times New Roman"/>
                <w:color w:val="000000"/>
                <w:sz w:val="21"/>
                <w:szCs w:val="21"/>
                <w:lang w:bidi="ar"/>
              </w:rPr>
              <w:t>1</w:t>
            </w:r>
            <w:r>
              <w:rPr>
                <w:rFonts w:hint="eastAsia" w:cs="宋体"/>
                <w:color w:val="000000"/>
                <w:sz w:val="21"/>
                <w:szCs w:val="21"/>
                <w:lang w:bidi="ar"/>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Merge w:val="restart"/>
            <w:vAlign w:val="center"/>
          </w:tcPr>
          <w:p>
            <w:pPr>
              <w:adjustRightInd w:val="0"/>
              <w:snapToGrid w:val="0"/>
              <w:jc w:val="center"/>
              <w:rPr>
                <w:szCs w:val="21"/>
              </w:rPr>
            </w:pPr>
            <w:r>
              <w:rPr>
                <w:rFonts w:hint="eastAsia"/>
                <w:szCs w:val="21"/>
              </w:rPr>
              <w:t>固体废物</w:t>
            </w:r>
          </w:p>
        </w:tc>
        <w:tc>
          <w:tcPr>
            <w:tcW w:w="1441" w:type="dxa"/>
            <w:vAlign w:val="center"/>
          </w:tcPr>
          <w:p>
            <w:pPr>
              <w:pStyle w:val="16"/>
              <w:widowControl w:val="0"/>
              <w:wordWrap w:val="0"/>
              <w:autoSpaceDE w:val="0"/>
              <w:autoSpaceDN w:val="0"/>
              <w:adjustRightInd w:val="0"/>
              <w:spacing w:before="0" w:beforeAutospacing="0" w:after="0" w:afterAutospacing="0"/>
              <w:jc w:val="center"/>
              <w:rPr>
                <w:sz w:val="21"/>
                <w:szCs w:val="21"/>
              </w:rPr>
            </w:pPr>
            <w:r>
              <w:rPr>
                <w:rFonts w:hint="eastAsia" w:cs="宋体"/>
                <w:color w:val="000000"/>
                <w:sz w:val="21"/>
                <w:szCs w:val="21"/>
                <w:lang w:bidi="ar"/>
              </w:rPr>
              <w:t>固体废物</w:t>
            </w:r>
          </w:p>
        </w:tc>
        <w:tc>
          <w:tcPr>
            <w:tcW w:w="1365" w:type="dxa"/>
            <w:vAlign w:val="center"/>
          </w:tcPr>
          <w:p>
            <w:pPr>
              <w:adjustRightInd w:val="0"/>
              <w:snapToGrid w:val="0"/>
              <w:jc w:val="center"/>
              <w:rPr>
                <w:szCs w:val="21"/>
              </w:rPr>
            </w:pPr>
            <w:r>
              <w:rPr>
                <w:rFonts w:hint="eastAsia" w:ascii="宋体" w:hAnsi="宋体" w:cs="宋体"/>
                <w:szCs w:val="21"/>
                <w:lang w:bidi="ar"/>
              </w:rPr>
              <w:t>生活垃圾、</w:t>
            </w:r>
            <w:r>
              <w:rPr>
                <w:rFonts w:hint="eastAsia" w:ascii="宋体" w:hAnsi="宋体" w:cs="宋体"/>
                <w:kern w:val="0"/>
                <w:szCs w:val="21"/>
                <w:lang w:bidi="ar"/>
              </w:rPr>
              <w:t>废弃包装物（如包装袋、包装盒）</w:t>
            </w:r>
          </w:p>
        </w:tc>
        <w:tc>
          <w:tcPr>
            <w:tcW w:w="2130" w:type="dxa"/>
            <w:vAlign w:val="center"/>
          </w:tcPr>
          <w:p>
            <w:pPr>
              <w:widowControl/>
              <w:wordWrap w:val="0"/>
              <w:jc w:val="center"/>
              <w:rPr>
                <w:szCs w:val="21"/>
              </w:rPr>
            </w:pPr>
            <w:r>
              <w:rPr>
                <w:rFonts w:hint="eastAsia" w:ascii="宋体" w:hAnsi="宋体" w:cs="宋体"/>
                <w:szCs w:val="21"/>
                <w:lang w:bidi="ar"/>
              </w:rPr>
              <w:t>设置生活垃圾收集箱，由环卫部门统一清运</w:t>
            </w:r>
          </w:p>
        </w:tc>
        <w:tc>
          <w:tcPr>
            <w:tcW w:w="2671" w:type="dxa"/>
            <w:vAlign w:val="center"/>
          </w:tcPr>
          <w:p>
            <w:pPr>
              <w:adjustRightInd w:val="0"/>
              <w:snapToGrid w:val="0"/>
              <w:jc w:val="center"/>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Merge w:val="continue"/>
            <w:vAlign w:val="center"/>
          </w:tcPr>
          <w:p>
            <w:pPr>
              <w:adjustRightInd w:val="0"/>
              <w:snapToGrid w:val="0"/>
              <w:jc w:val="center"/>
              <w:rPr>
                <w:szCs w:val="21"/>
              </w:rPr>
            </w:pPr>
          </w:p>
        </w:tc>
        <w:tc>
          <w:tcPr>
            <w:tcW w:w="1441" w:type="dxa"/>
            <w:vAlign w:val="center"/>
          </w:tcPr>
          <w:p>
            <w:pPr>
              <w:pStyle w:val="16"/>
              <w:widowControl w:val="0"/>
              <w:wordWrap w:val="0"/>
              <w:autoSpaceDE w:val="0"/>
              <w:autoSpaceDN w:val="0"/>
              <w:adjustRightInd w:val="0"/>
              <w:spacing w:before="0" w:beforeAutospacing="0" w:after="0" w:afterAutospacing="0"/>
              <w:jc w:val="center"/>
              <w:rPr>
                <w:sz w:val="21"/>
                <w:szCs w:val="21"/>
              </w:rPr>
            </w:pPr>
            <w:r>
              <w:rPr>
                <w:rFonts w:hint="eastAsia" w:cs="宋体"/>
                <w:color w:val="000000"/>
                <w:sz w:val="21"/>
                <w:szCs w:val="21"/>
                <w:lang w:bidi="ar"/>
              </w:rPr>
              <w:t>危险废物</w:t>
            </w:r>
          </w:p>
        </w:tc>
        <w:tc>
          <w:tcPr>
            <w:tcW w:w="1365" w:type="dxa"/>
            <w:vAlign w:val="center"/>
          </w:tcPr>
          <w:p>
            <w:pPr>
              <w:adjustRightInd w:val="0"/>
              <w:snapToGrid w:val="0"/>
              <w:jc w:val="center"/>
              <w:rPr>
                <w:szCs w:val="21"/>
              </w:rPr>
            </w:pPr>
            <w:r>
              <w:rPr>
                <w:rFonts w:hint="eastAsia" w:ascii="宋体" w:hAnsi="宋体" w:cs="宋体"/>
                <w:szCs w:val="21"/>
                <w:lang w:bidi="ar"/>
              </w:rPr>
              <w:t>医疗废物</w:t>
            </w:r>
          </w:p>
        </w:tc>
        <w:tc>
          <w:tcPr>
            <w:tcW w:w="2130" w:type="dxa"/>
            <w:vAlign w:val="center"/>
          </w:tcPr>
          <w:p>
            <w:pPr>
              <w:widowControl/>
              <w:wordWrap w:val="0"/>
              <w:jc w:val="center"/>
              <w:rPr>
                <w:szCs w:val="21"/>
              </w:rPr>
            </w:pPr>
            <w:r>
              <w:rPr>
                <w:rFonts w:hint="eastAsia" w:ascii="宋体" w:hAnsi="宋体" w:cs="宋体"/>
                <w:kern w:val="0"/>
                <w:szCs w:val="21"/>
                <w:lang w:bidi="ar"/>
              </w:rPr>
              <w:t>本项目运营期产生的医疗废物依托医院现有危废暂存间，定期委托资质单位回收处理</w:t>
            </w:r>
          </w:p>
        </w:tc>
        <w:tc>
          <w:tcPr>
            <w:tcW w:w="2671" w:type="dxa"/>
            <w:vAlign w:val="center"/>
          </w:tcPr>
          <w:p>
            <w:pPr>
              <w:rPr>
                <w:szCs w:val="21"/>
              </w:rPr>
            </w:pPr>
            <w:r>
              <w:rPr>
                <w:rFonts w:hint="eastAsia" w:ascii="宋体" w:hAnsi="宋体" w:cs="宋体"/>
                <w:kern w:val="0"/>
                <w:szCs w:val="21"/>
                <w:lang w:bidi="ar"/>
              </w:rPr>
              <w:t>临时储存，安全处置、零排放，符合《危险废物贮存污染控制标准》（</w:t>
            </w:r>
            <w:r>
              <w:rPr>
                <w:kern w:val="0"/>
                <w:szCs w:val="21"/>
                <w:lang w:bidi="ar"/>
              </w:rPr>
              <w:t>GB18597-2001</w:t>
            </w:r>
            <w:r>
              <w:rPr>
                <w:rFonts w:hint="eastAsia" w:ascii="宋体" w:hAnsi="宋体" w:cs="宋体"/>
                <w:kern w:val="0"/>
                <w:szCs w:val="21"/>
                <w:lang w:bidi="ar"/>
              </w:rPr>
              <w:t>）中相关要求及《医疗废物集中处置技术规范（试行）》（环发〔</w:t>
            </w:r>
            <w:r>
              <w:rPr>
                <w:kern w:val="0"/>
                <w:szCs w:val="21"/>
                <w:lang w:bidi="ar"/>
              </w:rPr>
              <w:t>2003</w:t>
            </w:r>
            <w:r>
              <w:rPr>
                <w:rFonts w:hint="eastAsia" w:ascii="宋体" w:hAnsi="宋体" w:cs="宋体"/>
                <w:kern w:val="0"/>
                <w:szCs w:val="21"/>
                <w:lang w:bidi="ar"/>
              </w:rPr>
              <w:t>〕</w:t>
            </w:r>
            <w:r>
              <w:rPr>
                <w:kern w:val="0"/>
                <w:szCs w:val="21"/>
                <w:lang w:bidi="ar"/>
              </w:rPr>
              <w:t>206</w:t>
            </w:r>
            <w:r>
              <w:rPr>
                <w:rFonts w:hint="eastAsia" w:ascii="宋体" w:hAnsi="宋体" w:cs="宋体"/>
                <w:kern w:val="0"/>
                <w:szCs w:val="21"/>
                <w:lang w:bidi="ar"/>
              </w:rPr>
              <w:t>号）相关规定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Align w:val="center"/>
          </w:tcPr>
          <w:p>
            <w:pPr>
              <w:adjustRightInd w:val="0"/>
              <w:snapToGrid w:val="0"/>
              <w:jc w:val="center"/>
              <w:rPr>
                <w:szCs w:val="21"/>
              </w:rPr>
            </w:pPr>
            <w:r>
              <w:rPr>
                <w:szCs w:val="21"/>
              </w:rPr>
              <w:t>电磁辐射</w:t>
            </w:r>
          </w:p>
        </w:tc>
        <w:tc>
          <w:tcPr>
            <w:tcW w:w="7603" w:type="dxa"/>
            <w:gridSpan w:val="4"/>
            <w:vAlign w:val="center"/>
          </w:tcPr>
          <w:p>
            <w:pPr>
              <w:adjustRightInd w:val="0"/>
              <w:snapToGrid w:val="0"/>
              <w:jc w:val="center"/>
              <w:rPr>
                <w:szCs w:val="21"/>
              </w:rPr>
            </w:pPr>
            <w:r>
              <w:rPr>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Align w:val="center"/>
          </w:tcPr>
          <w:p>
            <w:pPr>
              <w:adjustRightInd w:val="0"/>
              <w:snapToGrid w:val="0"/>
              <w:jc w:val="center"/>
              <w:rPr>
                <w:szCs w:val="21"/>
              </w:rPr>
            </w:pPr>
            <w:r>
              <w:rPr>
                <w:szCs w:val="21"/>
              </w:rPr>
              <w:t>土壤及地下水污染防治措施</w:t>
            </w:r>
          </w:p>
        </w:tc>
        <w:tc>
          <w:tcPr>
            <w:tcW w:w="7603" w:type="dxa"/>
            <w:gridSpan w:val="4"/>
            <w:vAlign w:val="center"/>
          </w:tcPr>
          <w:p>
            <w:pPr>
              <w:adjustRightInd w:val="0"/>
              <w:snapToGrid w:val="0"/>
              <w:jc w:val="center"/>
              <w:rPr>
                <w:szCs w:val="21"/>
              </w:rPr>
            </w:pPr>
            <w:r>
              <w:rPr>
                <w:szCs w:val="21"/>
              </w:rPr>
              <w:t>根据分区防治的原则对</w:t>
            </w:r>
            <w:r>
              <w:rPr>
                <w:rFonts w:hint="eastAsia"/>
                <w:szCs w:val="21"/>
              </w:rPr>
              <w:t>项目</w:t>
            </w:r>
            <w:r>
              <w:rPr>
                <w:szCs w:val="21"/>
              </w:rPr>
              <w:t>区</w:t>
            </w:r>
            <w:r>
              <w:rPr>
                <w:rFonts w:hint="eastAsia"/>
                <w:szCs w:val="21"/>
              </w:rPr>
              <w:t>医疗废物暂存间和污水处理站为重点防渗区。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Align w:val="center"/>
          </w:tcPr>
          <w:p>
            <w:pPr>
              <w:adjustRightInd w:val="0"/>
              <w:snapToGrid w:val="0"/>
              <w:jc w:val="center"/>
              <w:rPr>
                <w:szCs w:val="21"/>
              </w:rPr>
            </w:pPr>
            <w:r>
              <w:rPr>
                <w:szCs w:val="21"/>
              </w:rPr>
              <w:t>生态保护措施</w:t>
            </w:r>
          </w:p>
        </w:tc>
        <w:tc>
          <w:tcPr>
            <w:tcW w:w="7603" w:type="dxa"/>
            <w:gridSpan w:val="4"/>
            <w:vAlign w:val="center"/>
          </w:tcPr>
          <w:p>
            <w:pPr>
              <w:adjustRightInd w:val="0"/>
              <w:snapToGrid w:val="0"/>
              <w:jc w:val="center"/>
              <w:rPr>
                <w:szCs w:val="21"/>
              </w:rPr>
            </w:pPr>
            <w:r>
              <w:rPr>
                <w:rFonts w:hint="eastAsia"/>
                <w:szCs w:val="21"/>
              </w:rPr>
              <w:t>加强项目区绿化措施。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highlight w:val="yellow"/>
              </w:rPr>
            </w:pPr>
            <w:r>
              <w:rPr>
                <w:spacing w:val="-8"/>
                <w:szCs w:val="21"/>
              </w:rPr>
              <w:t>防范措施</w:t>
            </w:r>
          </w:p>
        </w:tc>
        <w:tc>
          <w:tcPr>
            <w:tcW w:w="7603" w:type="dxa"/>
            <w:gridSpan w:val="4"/>
            <w:vAlign w:val="center"/>
          </w:tcPr>
          <w:p>
            <w:pPr>
              <w:adjustRightInd w:val="0"/>
              <w:snapToGrid w:val="0"/>
              <w:spacing w:line="360" w:lineRule="auto"/>
              <w:jc w:val="left"/>
              <w:rPr>
                <w:szCs w:val="21"/>
              </w:rPr>
            </w:pPr>
            <w:r>
              <w:rPr>
                <w:rFonts w:hint="eastAsia"/>
                <w:szCs w:val="21"/>
              </w:rPr>
              <w:t>（1）建立完善的安全生产管理制度和消防安全规定，制定设备操作规程并严格遵照执行；</w:t>
            </w:r>
          </w:p>
          <w:p>
            <w:pPr>
              <w:adjustRightInd w:val="0"/>
              <w:snapToGrid w:val="0"/>
              <w:spacing w:line="360" w:lineRule="auto"/>
              <w:jc w:val="left"/>
              <w:rPr>
                <w:szCs w:val="21"/>
              </w:rPr>
            </w:pPr>
            <w:r>
              <w:rPr>
                <w:rFonts w:hint="eastAsia"/>
                <w:szCs w:val="21"/>
              </w:rPr>
              <w:t>（2）污水处理系统消毒设备出现故障，应立即启用备用的应急消毒剂，采用人工添加消毒剂的方式对污水进行消毒处理，做到达标排放；</w:t>
            </w:r>
          </w:p>
          <w:p>
            <w:pPr>
              <w:adjustRightInd w:val="0"/>
              <w:snapToGrid w:val="0"/>
              <w:spacing w:line="360" w:lineRule="auto"/>
              <w:jc w:val="left"/>
              <w:rPr>
                <w:szCs w:val="21"/>
              </w:rPr>
            </w:pPr>
            <w:r>
              <w:rPr>
                <w:rFonts w:hint="eastAsia"/>
                <w:szCs w:val="21"/>
              </w:rPr>
              <w:t>（3）对泄漏物及受污染的区域、物品进行消毒或者其他无害化处置，必要时封锁污染区域，以防扩大污染；</w:t>
            </w:r>
          </w:p>
          <w:p>
            <w:pPr>
              <w:adjustRightInd w:val="0"/>
              <w:snapToGrid w:val="0"/>
              <w:spacing w:line="360" w:lineRule="auto"/>
              <w:jc w:val="left"/>
              <w:rPr>
                <w:szCs w:val="21"/>
              </w:rPr>
            </w:pPr>
            <w:r>
              <w:rPr>
                <w:rFonts w:hint="eastAsia"/>
                <w:szCs w:val="21"/>
              </w:rPr>
              <w:t>（4）加强员工的思想、道德教育，提高员工的责任心和主观能动性：完善并严格遵守相关的操作规程，加强岗位培训，落实岗位责任制，加强设备管理；</w:t>
            </w:r>
          </w:p>
          <w:p>
            <w:pPr>
              <w:adjustRightInd w:val="0"/>
              <w:snapToGrid w:val="0"/>
              <w:spacing w:line="360" w:lineRule="auto"/>
              <w:jc w:val="left"/>
              <w:rPr>
                <w:szCs w:val="21"/>
                <w:highlight w:val="yellow"/>
              </w:rPr>
            </w:pPr>
            <w:r>
              <w:rPr>
                <w:rFonts w:hint="eastAsia"/>
                <w:szCs w:val="21"/>
              </w:rPr>
              <w:t>（5）加强事故管理，在生产过程中注意对其它单位相关事故的研究，充分吸取经验和教训。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dxa"/>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highlight w:val="yellow"/>
              </w:rPr>
            </w:pPr>
            <w:r>
              <w:rPr>
                <w:spacing w:val="-8"/>
                <w:szCs w:val="21"/>
              </w:rPr>
              <w:t>管理要求</w:t>
            </w:r>
          </w:p>
        </w:tc>
        <w:tc>
          <w:tcPr>
            <w:tcW w:w="7603" w:type="dxa"/>
            <w:gridSpan w:val="4"/>
            <w:vAlign w:val="center"/>
          </w:tcPr>
          <w:p>
            <w:pPr>
              <w:adjustRightInd w:val="0"/>
              <w:snapToGrid w:val="0"/>
              <w:spacing w:line="360" w:lineRule="auto"/>
              <w:jc w:val="center"/>
              <w:rPr>
                <w:szCs w:val="21"/>
                <w:highlight w:val="yellow"/>
              </w:rPr>
            </w:pPr>
            <w:r>
              <w:rPr>
                <w:rFonts w:hint="eastAsia"/>
                <w:szCs w:val="21"/>
              </w:rPr>
              <w:t>落实环保投资，定期检测。</w:t>
            </w:r>
          </w:p>
        </w:tc>
      </w:tr>
    </w:tbl>
    <w:p>
      <w:pPr>
        <w:pStyle w:val="1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jc w:val="center"/>
        <w:textAlignment w:val="auto"/>
        <w:outlineLvl w:val="0"/>
        <w:rPr>
          <w:rFonts w:ascii="Times New Roman" w:hAnsi="Times New Roman" w:eastAsia="黑体"/>
          <w:snapToGrid w:val="0"/>
          <w:szCs w:val="24"/>
        </w:rPr>
      </w:pPr>
      <w:r>
        <w:rPr>
          <w:rFonts w:ascii="Times New Roman" w:hAnsi="Times New Roman"/>
          <w:snapToGrid w:val="0"/>
          <w:szCs w:val="24"/>
          <w:highlight w:val="yellow"/>
        </w:rPr>
        <w:br w:type="page"/>
      </w:r>
      <w:r>
        <w:rPr>
          <w:rFonts w:hint="eastAsia" w:ascii="黑体" w:hAnsi="黑体" w:eastAsia="黑体"/>
          <w:snapToGrid w:val="0"/>
          <w:sz w:val="30"/>
          <w:szCs w:val="30"/>
        </w:rPr>
        <w:t>六、结论</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60" w:hRule="atLeast"/>
          <w:jc w:val="center"/>
        </w:trPr>
        <w:tc>
          <w:tcPr>
            <w:tcW w:w="8865" w:type="dxa"/>
            <w:vAlign w:val="center"/>
          </w:tcPr>
          <w:p>
            <w:pPr>
              <w:spacing w:line="360" w:lineRule="auto"/>
              <w:ind w:firstLine="480" w:firstLineChars="200"/>
              <w:rPr>
                <w:sz w:val="24"/>
                <w:szCs w:val="32"/>
              </w:rPr>
            </w:pPr>
            <w:r>
              <w:rPr>
                <w:rFonts w:hint="eastAsia"/>
                <w:sz w:val="24"/>
                <w:szCs w:val="32"/>
              </w:rPr>
              <w:t>本项目符合当前国家产业政策的要求，康复楼选址合理，其建设过程和运营期产生的各类医疗废物在采取污染防治措施后可得到有效的控制，外排污染物对环境影响小。因此，本评价从环保角度认为，本项目的建设是可行的。</w:t>
            </w: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rPr>
                <w:sz w:val="24"/>
                <w:szCs w:val="32"/>
                <w:highlight w:val="yellow"/>
              </w:rPr>
            </w:pPr>
          </w:p>
          <w:p>
            <w:pPr>
              <w:pStyle w:val="6"/>
              <w:rPr>
                <w:highlight w:val="yellow"/>
              </w:rPr>
            </w:pPr>
          </w:p>
          <w:p>
            <w:pPr>
              <w:spacing w:line="360" w:lineRule="auto"/>
              <w:rPr>
                <w:sz w:val="24"/>
                <w:highlight w:val="yellow"/>
              </w:rPr>
            </w:pPr>
          </w:p>
        </w:tc>
      </w:tr>
    </w:tbl>
    <w:p>
      <w:pPr>
        <w:pStyle w:val="16"/>
        <w:adjustRightInd w:val="0"/>
        <w:snapToGrid w:val="0"/>
        <w:spacing w:before="0" w:beforeAutospacing="0" w:after="0" w:afterAutospacing="0" w:line="360" w:lineRule="auto"/>
        <w:outlineLvl w:val="0"/>
        <w:rPr>
          <w:rFonts w:ascii="Times New Roman" w:hAnsi="Times New Roman" w:eastAsia="黑体"/>
          <w:snapToGrid w:val="0"/>
          <w:sz w:val="32"/>
          <w:szCs w:val="32"/>
        </w:rPr>
        <w:sectPr>
          <w:footerReference r:id="rId7" w:type="default"/>
          <w:pgSz w:w="11906" w:h="16838"/>
          <w:pgMar w:top="1440" w:right="1800" w:bottom="1440" w:left="1800" w:header="851" w:footer="992" w:gutter="0"/>
          <w:pgNumType w:start="40"/>
          <w:cols w:space="720" w:num="1"/>
          <w:docGrid w:type="lines" w:linePitch="312" w:charSpace="0"/>
        </w:sectPr>
      </w:pPr>
    </w:p>
    <w:p>
      <w:pPr>
        <w:pStyle w:val="16"/>
        <w:adjustRightInd w:val="0"/>
        <w:snapToGrid w:val="0"/>
        <w:spacing w:before="0" w:beforeAutospacing="0" w:after="0" w:afterAutospacing="0"/>
        <w:outlineLvl w:val="0"/>
        <w:rPr>
          <w:rFonts w:ascii="Times New Roman" w:hAnsi="Times New Roman" w:eastAsia="黑体"/>
          <w:snapToGrid w:val="0"/>
          <w:sz w:val="28"/>
          <w:szCs w:val="28"/>
        </w:rPr>
      </w:pPr>
      <w:r>
        <w:rPr>
          <w:rFonts w:ascii="Times New Roman" w:hAnsi="Times New Roman" w:eastAsia="黑体"/>
          <w:snapToGrid w:val="0"/>
          <w:sz w:val="28"/>
          <w:szCs w:val="28"/>
        </w:rPr>
        <w:t>附表</w:t>
      </w:r>
    </w:p>
    <w:p>
      <w:pPr>
        <w:pStyle w:val="16"/>
        <w:adjustRightInd w:val="0"/>
        <w:snapToGrid w:val="0"/>
        <w:spacing w:before="0" w:beforeAutospacing="0" w:after="0" w:afterAutospacing="0"/>
        <w:jc w:val="center"/>
        <w:outlineLvl w:val="0"/>
        <w:rPr>
          <w:rFonts w:ascii="Times New Roman" w:hAnsi="Times New Roman" w:eastAsia="方正小标宋_GBK"/>
          <w:snapToGrid w:val="0"/>
          <w:sz w:val="32"/>
          <w:szCs w:val="32"/>
        </w:rPr>
      </w:pPr>
      <w:r>
        <w:rPr>
          <w:rFonts w:ascii="Times New Roman" w:hAnsi="Times New Roman" w:eastAsia="方正小标宋_GBK"/>
          <w:snapToGrid w:val="0"/>
          <w:sz w:val="32"/>
          <w:szCs w:val="32"/>
        </w:rPr>
        <w:t>建设项目污染物排放量汇总表</w:t>
      </w:r>
    </w:p>
    <w:tbl>
      <w:tblPr>
        <w:tblStyle w:val="17"/>
        <w:tblW w:w="133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774"/>
        <w:gridCol w:w="1646"/>
        <w:gridCol w:w="1232"/>
        <w:gridCol w:w="1646"/>
        <w:gridCol w:w="1510"/>
        <w:gridCol w:w="1523"/>
        <w:gridCol w:w="1701"/>
        <w:gridCol w:w="11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132" w:type="dxa"/>
            <w:tcBorders>
              <w:top w:val="single" w:color="auto" w:sz="8" w:space="0"/>
              <w:left w:val="single" w:color="auto" w:sz="8" w:space="0"/>
              <w:bottom w:val="single" w:color="auto" w:sz="4" w:space="0"/>
              <w:right w:val="single" w:color="auto" w:sz="4" w:space="0"/>
              <w:tl2br w:val="single" w:color="auto" w:sz="4" w:space="0"/>
            </w:tcBorders>
            <w:tcMar>
              <w:top w:w="0" w:type="dxa"/>
              <w:left w:w="28" w:type="dxa"/>
              <w:bottom w:w="0" w:type="dxa"/>
              <w:right w:w="28" w:type="dxa"/>
            </w:tcMar>
            <w:vAlign w:val="center"/>
          </w:tcPr>
          <w:p>
            <w:pPr>
              <w:pStyle w:val="28"/>
              <w:spacing w:before="31" w:after="31" w:line="240" w:lineRule="auto"/>
              <w:jc w:val="right"/>
              <w:rPr>
                <w:rFonts w:eastAsia="黑体"/>
                <w:snapToGrid w:val="0"/>
                <w:spacing w:val="-6"/>
                <w:kern w:val="21"/>
                <w:szCs w:val="21"/>
              </w:rPr>
            </w:pPr>
            <w:r>
              <w:rPr>
                <w:rFonts w:eastAsia="黑体"/>
                <w:snapToGrid w:val="0"/>
                <w:spacing w:val="-6"/>
                <w:kern w:val="21"/>
                <w:szCs w:val="21"/>
              </w:rPr>
              <w:t>项目</w:t>
            </w:r>
          </w:p>
          <w:p>
            <w:pPr>
              <w:pStyle w:val="28"/>
              <w:spacing w:before="31" w:after="31" w:line="240" w:lineRule="auto"/>
              <w:jc w:val="left"/>
              <w:rPr>
                <w:rFonts w:eastAsia="黑体"/>
                <w:snapToGrid w:val="0"/>
                <w:spacing w:val="-6"/>
                <w:kern w:val="21"/>
                <w:szCs w:val="21"/>
              </w:rPr>
            </w:pPr>
            <w:r>
              <w:rPr>
                <w:rFonts w:eastAsia="黑体"/>
                <w:snapToGrid w:val="0"/>
                <w:spacing w:val="-6"/>
                <w:kern w:val="21"/>
                <w:szCs w:val="21"/>
              </w:rPr>
              <w:t>分类</w:t>
            </w:r>
          </w:p>
        </w:tc>
        <w:tc>
          <w:tcPr>
            <w:tcW w:w="1774"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28"/>
              <w:spacing w:before="31" w:after="31" w:line="240" w:lineRule="auto"/>
              <w:rPr>
                <w:rFonts w:eastAsia="黑体"/>
                <w:snapToGrid w:val="0"/>
                <w:spacing w:val="-6"/>
                <w:kern w:val="21"/>
                <w:szCs w:val="21"/>
              </w:rPr>
            </w:pPr>
            <w:r>
              <w:rPr>
                <w:rFonts w:eastAsia="黑体"/>
                <w:snapToGrid w:val="0"/>
                <w:spacing w:val="-6"/>
                <w:kern w:val="21"/>
                <w:szCs w:val="21"/>
              </w:rPr>
              <w:t>污染物名称</w:t>
            </w:r>
          </w:p>
        </w:tc>
        <w:tc>
          <w:tcPr>
            <w:tcW w:w="1646" w:type="dxa"/>
            <w:tcBorders>
              <w:top w:val="single" w:color="auto" w:sz="8" w:space="0"/>
              <w:left w:val="single" w:color="auto" w:sz="4" w:space="0"/>
              <w:bottom w:val="single" w:color="auto" w:sz="8" w:space="0"/>
              <w:right w:val="single" w:color="auto" w:sz="4" w:space="0"/>
            </w:tcBorders>
            <w:tcMar>
              <w:top w:w="0" w:type="dxa"/>
              <w:left w:w="28" w:type="dxa"/>
              <w:bottom w:w="0" w:type="dxa"/>
              <w:right w:w="28" w:type="dxa"/>
            </w:tcMar>
            <w:vAlign w:val="center"/>
          </w:tcPr>
          <w:p>
            <w:pPr>
              <w:pStyle w:val="28"/>
              <w:spacing w:before="31" w:after="31" w:line="240" w:lineRule="auto"/>
              <w:rPr>
                <w:rFonts w:eastAsia="黑体"/>
                <w:snapToGrid w:val="0"/>
                <w:spacing w:val="-6"/>
                <w:kern w:val="21"/>
                <w:szCs w:val="21"/>
              </w:rPr>
            </w:pPr>
            <w:r>
              <w:rPr>
                <w:rFonts w:eastAsia="黑体"/>
                <w:snapToGrid w:val="0"/>
                <w:spacing w:val="-6"/>
                <w:kern w:val="21"/>
                <w:szCs w:val="21"/>
              </w:rPr>
              <w:t>现有工程</w:t>
            </w:r>
          </w:p>
          <w:p>
            <w:pPr>
              <w:pStyle w:val="28"/>
              <w:spacing w:before="31" w:after="31" w:line="240" w:lineRule="auto"/>
              <w:rPr>
                <w:rFonts w:eastAsia="黑体"/>
                <w:snapToGrid w:val="0"/>
                <w:spacing w:val="-6"/>
                <w:kern w:val="21"/>
                <w:szCs w:val="21"/>
              </w:rPr>
            </w:pPr>
            <w:r>
              <w:rPr>
                <w:rFonts w:eastAsia="黑体"/>
                <w:snapToGrid w:val="0"/>
                <w:spacing w:val="-6"/>
                <w:kern w:val="21"/>
                <w:szCs w:val="21"/>
              </w:rPr>
              <w:t>排放量（固体废物产生量）</w:t>
            </w:r>
            <w:r>
              <w:rPr>
                <w:rFonts w:eastAsia="黑体"/>
                <w:snapToGrid w:val="0"/>
                <w:spacing w:val="-6"/>
                <w:kern w:val="21"/>
                <w:szCs w:val="21"/>
              </w:rPr>
              <w:fldChar w:fldCharType="begin"/>
            </w:r>
            <w:r>
              <w:rPr>
                <w:rFonts w:eastAsia="黑体"/>
                <w:snapToGrid w:val="0"/>
                <w:spacing w:val="-6"/>
                <w:kern w:val="21"/>
                <w:szCs w:val="21"/>
              </w:rPr>
              <w:instrText xml:space="preserve"> = 1 \* GB3 \* MERGEFORMAT </w:instrText>
            </w:r>
            <w:r>
              <w:rPr>
                <w:rFonts w:eastAsia="黑体"/>
                <w:snapToGrid w:val="0"/>
                <w:spacing w:val="-6"/>
                <w:kern w:val="21"/>
                <w:szCs w:val="21"/>
              </w:rPr>
              <w:fldChar w:fldCharType="separate"/>
            </w:r>
            <w:r>
              <w:rPr>
                <w:rFonts w:hint="eastAsia" w:hAnsi="宋体" w:cs="宋体"/>
                <w:kern w:val="2"/>
                <w:szCs w:val="21"/>
              </w:rPr>
              <w:t>①</w:t>
            </w:r>
            <w:r>
              <w:rPr>
                <w:rFonts w:eastAsia="黑体"/>
                <w:snapToGrid w:val="0"/>
                <w:spacing w:val="-6"/>
                <w:kern w:val="21"/>
                <w:szCs w:val="21"/>
              </w:rPr>
              <w:fldChar w:fldCharType="end"/>
            </w:r>
          </w:p>
        </w:tc>
        <w:tc>
          <w:tcPr>
            <w:tcW w:w="1232"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28"/>
              <w:spacing w:before="31" w:after="31" w:line="240" w:lineRule="auto"/>
              <w:rPr>
                <w:rFonts w:eastAsia="黑体"/>
                <w:snapToGrid w:val="0"/>
                <w:spacing w:val="-6"/>
                <w:kern w:val="21"/>
                <w:szCs w:val="21"/>
              </w:rPr>
            </w:pPr>
            <w:r>
              <w:rPr>
                <w:rFonts w:eastAsia="黑体"/>
                <w:snapToGrid w:val="0"/>
                <w:spacing w:val="-6"/>
                <w:kern w:val="21"/>
                <w:szCs w:val="21"/>
              </w:rPr>
              <w:t>现有工程</w:t>
            </w:r>
          </w:p>
          <w:p>
            <w:pPr>
              <w:pStyle w:val="28"/>
              <w:spacing w:before="31" w:after="31" w:line="240" w:lineRule="auto"/>
              <w:rPr>
                <w:rFonts w:eastAsia="黑体"/>
                <w:snapToGrid w:val="0"/>
                <w:spacing w:val="-6"/>
                <w:kern w:val="21"/>
                <w:szCs w:val="21"/>
              </w:rPr>
            </w:pPr>
            <w:r>
              <w:rPr>
                <w:rFonts w:eastAsia="黑体"/>
                <w:snapToGrid w:val="0"/>
                <w:spacing w:val="-6"/>
                <w:kern w:val="21"/>
                <w:szCs w:val="21"/>
              </w:rPr>
              <w:t>许可排放量</w:t>
            </w:r>
          </w:p>
          <w:p>
            <w:pPr>
              <w:pStyle w:val="28"/>
              <w:spacing w:before="31" w:after="31"/>
              <w:rPr>
                <w:rFonts w:eastAsia="黑体"/>
                <w:snapToGrid w:val="0"/>
                <w:spacing w:val="-6"/>
                <w:kern w:val="21"/>
                <w:szCs w:val="21"/>
              </w:rPr>
            </w:pPr>
            <w:r>
              <w:rPr>
                <w:rFonts w:eastAsia="黑体"/>
                <w:snapToGrid w:val="0"/>
                <w:spacing w:val="-6"/>
                <w:kern w:val="21"/>
                <w:szCs w:val="21"/>
              </w:rPr>
              <w:fldChar w:fldCharType="begin"/>
            </w:r>
            <w:r>
              <w:rPr>
                <w:rFonts w:eastAsia="黑体"/>
                <w:snapToGrid w:val="0"/>
                <w:spacing w:val="-6"/>
                <w:kern w:val="21"/>
                <w:szCs w:val="21"/>
              </w:rPr>
              <w:instrText xml:space="preserve"> = 2 \* GB3 \* MERGEFORMAT </w:instrText>
            </w:r>
            <w:r>
              <w:rPr>
                <w:rFonts w:eastAsia="黑体"/>
                <w:snapToGrid w:val="0"/>
                <w:spacing w:val="-6"/>
                <w:kern w:val="21"/>
                <w:szCs w:val="21"/>
              </w:rPr>
              <w:fldChar w:fldCharType="separate"/>
            </w:r>
            <w:r>
              <w:rPr>
                <w:rFonts w:hint="eastAsia" w:hAnsi="宋体" w:cs="宋体"/>
                <w:snapToGrid w:val="0"/>
                <w:spacing w:val="-6"/>
                <w:kern w:val="21"/>
                <w:szCs w:val="21"/>
              </w:rPr>
              <w:t>②</w:t>
            </w:r>
            <w:r>
              <w:rPr>
                <w:rFonts w:eastAsia="黑体"/>
                <w:snapToGrid w:val="0"/>
                <w:spacing w:val="-6"/>
                <w:kern w:val="21"/>
                <w:szCs w:val="21"/>
              </w:rPr>
              <w:fldChar w:fldCharType="end"/>
            </w:r>
          </w:p>
        </w:tc>
        <w:tc>
          <w:tcPr>
            <w:tcW w:w="1646"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28"/>
              <w:spacing w:before="31" w:after="31" w:line="240" w:lineRule="auto"/>
              <w:rPr>
                <w:rFonts w:eastAsia="黑体"/>
                <w:snapToGrid w:val="0"/>
                <w:spacing w:val="-6"/>
                <w:kern w:val="21"/>
                <w:szCs w:val="21"/>
              </w:rPr>
            </w:pPr>
            <w:r>
              <w:rPr>
                <w:rFonts w:eastAsia="黑体"/>
                <w:snapToGrid w:val="0"/>
                <w:spacing w:val="-6"/>
                <w:kern w:val="21"/>
                <w:szCs w:val="21"/>
              </w:rPr>
              <w:t>在建工程</w:t>
            </w:r>
          </w:p>
          <w:p>
            <w:pPr>
              <w:pStyle w:val="28"/>
              <w:spacing w:before="31" w:after="31" w:line="240" w:lineRule="auto"/>
              <w:rPr>
                <w:rFonts w:eastAsia="黑体"/>
                <w:snapToGrid w:val="0"/>
                <w:spacing w:val="-6"/>
                <w:kern w:val="21"/>
                <w:szCs w:val="21"/>
              </w:rPr>
            </w:pPr>
            <w:r>
              <w:rPr>
                <w:rFonts w:eastAsia="黑体"/>
                <w:snapToGrid w:val="0"/>
                <w:spacing w:val="-6"/>
                <w:kern w:val="21"/>
                <w:szCs w:val="21"/>
              </w:rPr>
              <w:t>排放量（固体废物产生量）</w:t>
            </w:r>
            <w:r>
              <w:rPr>
                <w:rFonts w:eastAsia="黑体"/>
                <w:snapToGrid w:val="0"/>
                <w:spacing w:val="-6"/>
                <w:kern w:val="21"/>
                <w:szCs w:val="21"/>
              </w:rPr>
              <w:fldChar w:fldCharType="begin"/>
            </w:r>
            <w:r>
              <w:rPr>
                <w:rFonts w:eastAsia="黑体"/>
                <w:snapToGrid w:val="0"/>
                <w:spacing w:val="-6"/>
                <w:kern w:val="21"/>
                <w:szCs w:val="21"/>
              </w:rPr>
              <w:instrText xml:space="preserve"> = 3 \* GB3 \* MERGEFORMAT </w:instrText>
            </w:r>
            <w:r>
              <w:rPr>
                <w:rFonts w:eastAsia="黑体"/>
                <w:snapToGrid w:val="0"/>
                <w:spacing w:val="-6"/>
                <w:kern w:val="21"/>
                <w:szCs w:val="21"/>
              </w:rPr>
              <w:fldChar w:fldCharType="separate"/>
            </w:r>
            <w:r>
              <w:rPr>
                <w:rFonts w:hint="eastAsia" w:hAnsi="宋体" w:cs="宋体"/>
                <w:kern w:val="2"/>
                <w:szCs w:val="21"/>
              </w:rPr>
              <w:t>③</w:t>
            </w:r>
            <w:r>
              <w:rPr>
                <w:rFonts w:eastAsia="黑体"/>
                <w:snapToGrid w:val="0"/>
                <w:spacing w:val="-6"/>
                <w:kern w:val="21"/>
                <w:szCs w:val="21"/>
              </w:rPr>
              <w:fldChar w:fldCharType="end"/>
            </w:r>
          </w:p>
        </w:tc>
        <w:tc>
          <w:tcPr>
            <w:tcW w:w="1510"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28"/>
              <w:spacing w:before="31" w:after="31" w:line="240" w:lineRule="auto"/>
              <w:rPr>
                <w:rFonts w:eastAsia="黑体"/>
                <w:snapToGrid w:val="0"/>
                <w:spacing w:val="-6"/>
                <w:kern w:val="21"/>
                <w:szCs w:val="21"/>
              </w:rPr>
            </w:pPr>
            <w:r>
              <w:rPr>
                <w:rFonts w:eastAsia="黑体"/>
                <w:snapToGrid w:val="0"/>
                <w:spacing w:val="-6"/>
                <w:kern w:val="21"/>
                <w:szCs w:val="21"/>
              </w:rPr>
              <w:t>本项目</w:t>
            </w:r>
          </w:p>
          <w:p>
            <w:pPr>
              <w:pStyle w:val="28"/>
              <w:spacing w:before="31" w:after="31" w:line="240" w:lineRule="auto"/>
              <w:rPr>
                <w:rFonts w:eastAsia="黑体"/>
                <w:snapToGrid w:val="0"/>
                <w:spacing w:val="-6"/>
                <w:kern w:val="21"/>
                <w:szCs w:val="21"/>
              </w:rPr>
            </w:pPr>
            <w:r>
              <w:rPr>
                <w:rFonts w:eastAsia="黑体"/>
                <w:snapToGrid w:val="0"/>
                <w:spacing w:val="-6"/>
                <w:kern w:val="21"/>
                <w:szCs w:val="21"/>
              </w:rPr>
              <w:t>排放量（固体废物产生量）</w:t>
            </w:r>
            <w:r>
              <w:rPr>
                <w:rFonts w:eastAsia="黑体"/>
                <w:snapToGrid w:val="0"/>
                <w:spacing w:val="-6"/>
                <w:kern w:val="21"/>
                <w:szCs w:val="21"/>
              </w:rPr>
              <w:fldChar w:fldCharType="begin"/>
            </w:r>
            <w:r>
              <w:rPr>
                <w:rFonts w:eastAsia="黑体"/>
                <w:snapToGrid w:val="0"/>
                <w:spacing w:val="-6"/>
                <w:kern w:val="21"/>
                <w:szCs w:val="21"/>
              </w:rPr>
              <w:instrText xml:space="preserve"> = 4 \* GB3 \* MERGEFORMAT </w:instrText>
            </w:r>
            <w:r>
              <w:rPr>
                <w:rFonts w:eastAsia="黑体"/>
                <w:snapToGrid w:val="0"/>
                <w:spacing w:val="-6"/>
                <w:kern w:val="21"/>
                <w:szCs w:val="21"/>
              </w:rPr>
              <w:fldChar w:fldCharType="separate"/>
            </w:r>
            <w:r>
              <w:rPr>
                <w:rFonts w:hint="eastAsia" w:hAnsi="宋体" w:cs="宋体"/>
                <w:kern w:val="2"/>
                <w:szCs w:val="21"/>
              </w:rPr>
              <w:t>④</w:t>
            </w:r>
            <w:r>
              <w:rPr>
                <w:rFonts w:eastAsia="黑体"/>
                <w:snapToGrid w:val="0"/>
                <w:spacing w:val="-6"/>
                <w:kern w:val="21"/>
                <w:szCs w:val="21"/>
              </w:rPr>
              <w:fldChar w:fldCharType="end"/>
            </w:r>
          </w:p>
        </w:tc>
        <w:tc>
          <w:tcPr>
            <w:tcW w:w="1523"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28"/>
              <w:spacing w:before="31" w:after="31" w:line="240" w:lineRule="auto"/>
              <w:rPr>
                <w:rFonts w:eastAsia="黑体"/>
                <w:snapToGrid w:val="0"/>
                <w:spacing w:val="-16"/>
                <w:kern w:val="21"/>
                <w:szCs w:val="21"/>
              </w:rPr>
            </w:pPr>
            <w:r>
              <w:rPr>
                <w:rFonts w:eastAsia="黑体"/>
                <w:snapToGrid w:val="0"/>
                <w:spacing w:val="-16"/>
                <w:kern w:val="21"/>
                <w:szCs w:val="21"/>
              </w:rPr>
              <w:t>以新带老削减量</w:t>
            </w:r>
          </w:p>
          <w:p>
            <w:pPr>
              <w:pStyle w:val="28"/>
              <w:spacing w:before="31" w:after="31" w:line="240" w:lineRule="auto"/>
              <w:rPr>
                <w:rFonts w:eastAsia="黑体"/>
                <w:snapToGrid w:val="0"/>
                <w:spacing w:val="-16"/>
                <w:kern w:val="21"/>
                <w:szCs w:val="21"/>
              </w:rPr>
            </w:pPr>
            <w:r>
              <w:rPr>
                <w:rFonts w:eastAsia="黑体"/>
                <w:snapToGrid w:val="0"/>
                <w:spacing w:val="-16"/>
                <w:kern w:val="21"/>
                <w:szCs w:val="21"/>
              </w:rPr>
              <w:t>（新建项目不填）</w:t>
            </w:r>
            <w:r>
              <w:rPr>
                <w:rFonts w:eastAsia="黑体"/>
                <w:snapToGrid w:val="0"/>
                <w:spacing w:val="-16"/>
                <w:kern w:val="21"/>
                <w:szCs w:val="21"/>
              </w:rPr>
              <w:fldChar w:fldCharType="begin"/>
            </w:r>
            <w:r>
              <w:rPr>
                <w:rFonts w:eastAsia="黑体"/>
                <w:snapToGrid w:val="0"/>
                <w:spacing w:val="-16"/>
                <w:kern w:val="21"/>
                <w:szCs w:val="21"/>
              </w:rPr>
              <w:instrText xml:space="preserve"> = 5 \* GB3 \* MERGEFORMAT </w:instrText>
            </w:r>
            <w:r>
              <w:rPr>
                <w:rFonts w:eastAsia="黑体"/>
                <w:snapToGrid w:val="0"/>
                <w:spacing w:val="-16"/>
                <w:kern w:val="21"/>
                <w:szCs w:val="21"/>
              </w:rPr>
              <w:fldChar w:fldCharType="separate"/>
            </w:r>
            <w:r>
              <w:rPr>
                <w:rFonts w:hint="eastAsia" w:hAnsi="宋体" w:cs="宋体"/>
                <w:kern w:val="2"/>
                <w:szCs w:val="21"/>
              </w:rPr>
              <w:t>⑤</w:t>
            </w:r>
            <w:r>
              <w:rPr>
                <w:rFonts w:eastAsia="黑体"/>
                <w:snapToGrid w:val="0"/>
                <w:spacing w:val="-16"/>
                <w:kern w:val="21"/>
                <w:szCs w:val="21"/>
              </w:rPr>
              <w:fldChar w:fldCharType="end"/>
            </w:r>
          </w:p>
        </w:tc>
        <w:tc>
          <w:tcPr>
            <w:tcW w:w="170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28"/>
              <w:spacing w:before="31" w:after="31" w:line="240" w:lineRule="auto"/>
              <w:rPr>
                <w:rFonts w:eastAsia="黑体"/>
                <w:snapToGrid w:val="0"/>
                <w:spacing w:val="-16"/>
                <w:kern w:val="21"/>
                <w:szCs w:val="21"/>
              </w:rPr>
            </w:pPr>
            <w:r>
              <w:rPr>
                <w:rFonts w:eastAsia="黑体"/>
                <w:snapToGrid w:val="0"/>
                <w:spacing w:val="-16"/>
                <w:kern w:val="21"/>
                <w:szCs w:val="21"/>
              </w:rPr>
              <w:t>本项目建成后</w:t>
            </w:r>
          </w:p>
          <w:p>
            <w:pPr>
              <w:pStyle w:val="28"/>
              <w:spacing w:before="31" w:after="31" w:line="240" w:lineRule="auto"/>
              <w:rPr>
                <w:rFonts w:eastAsia="黑体"/>
                <w:snapToGrid w:val="0"/>
                <w:spacing w:val="-16"/>
                <w:kern w:val="21"/>
                <w:szCs w:val="21"/>
              </w:rPr>
            </w:pPr>
            <w:r>
              <w:rPr>
                <w:rFonts w:eastAsia="黑体"/>
                <w:snapToGrid w:val="0"/>
                <w:spacing w:val="-16"/>
                <w:kern w:val="21"/>
                <w:szCs w:val="21"/>
              </w:rPr>
              <w:t>全厂排放量（固体废物产生量）</w:t>
            </w:r>
            <w:r>
              <w:rPr>
                <w:rFonts w:eastAsia="黑体"/>
                <w:snapToGrid w:val="0"/>
                <w:spacing w:val="-16"/>
                <w:kern w:val="21"/>
                <w:szCs w:val="21"/>
              </w:rPr>
              <w:fldChar w:fldCharType="begin"/>
            </w:r>
            <w:r>
              <w:rPr>
                <w:rFonts w:eastAsia="黑体"/>
                <w:snapToGrid w:val="0"/>
                <w:spacing w:val="-16"/>
                <w:kern w:val="21"/>
                <w:szCs w:val="21"/>
              </w:rPr>
              <w:instrText xml:space="preserve"> = 6 \* GB3 \* MERGEFORMAT </w:instrText>
            </w:r>
            <w:r>
              <w:rPr>
                <w:rFonts w:eastAsia="黑体"/>
                <w:snapToGrid w:val="0"/>
                <w:spacing w:val="-16"/>
                <w:kern w:val="21"/>
                <w:szCs w:val="21"/>
              </w:rPr>
              <w:fldChar w:fldCharType="separate"/>
            </w:r>
            <w:r>
              <w:rPr>
                <w:rFonts w:hint="eastAsia" w:hAnsi="宋体" w:cs="宋体"/>
                <w:kern w:val="2"/>
                <w:szCs w:val="21"/>
              </w:rPr>
              <w:t>⑥</w:t>
            </w:r>
            <w:r>
              <w:rPr>
                <w:rFonts w:eastAsia="黑体"/>
                <w:snapToGrid w:val="0"/>
                <w:spacing w:val="-16"/>
                <w:kern w:val="21"/>
                <w:szCs w:val="21"/>
              </w:rPr>
              <w:fldChar w:fldCharType="end"/>
            </w:r>
          </w:p>
        </w:tc>
        <w:tc>
          <w:tcPr>
            <w:tcW w:w="1174" w:type="dxa"/>
            <w:tcBorders>
              <w:top w:val="single" w:color="auto" w:sz="8" w:space="0"/>
              <w:left w:val="single" w:color="auto" w:sz="4" w:space="0"/>
              <w:bottom w:val="single" w:color="auto" w:sz="4" w:space="0"/>
              <w:right w:val="single" w:color="auto" w:sz="8" w:space="0"/>
            </w:tcBorders>
            <w:tcMar>
              <w:top w:w="0" w:type="dxa"/>
              <w:left w:w="28" w:type="dxa"/>
              <w:bottom w:w="0" w:type="dxa"/>
              <w:right w:w="28" w:type="dxa"/>
            </w:tcMar>
            <w:vAlign w:val="center"/>
          </w:tcPr>
          <w:p>
            <w:pPr>
              <w:pStyle w:val="28"/>
              <w:spacing w:before="31" w:after="31" w:line="240" w:lineRule="auto"/>
              <w:rPr>
                <w:rFonts w:eastAsia="黑体"/>
                <w:snapToGrid w:val="0"/>
                <w:spacing w:val="-6"/>
                <w:kern w:val="21"/>
                <w:szCs w:val="21"/>
              </w:rPr>
            </w:pPr>
            <w:r>
              <w:rPr>
                <w:rFonts w:eastAsia="黑体"/>
                <w:snapToGrid w:val="0"/>
                <w:spacing w:val="-6"/>
                <w:kern w:val="21"/>
                <w:szCs w:val="21"/>
              </w:rPr>
              <w:t>变化量</w:t>
            </w:r>
          </w:p>
          <w:p>
            <w:pPr>
              <w:pStyle w:val="28"/>
              <w:spacing w:before="31" w:after="31" w:line="240" w:lineRule="auto"/>
              <w:rPr>
                <w:rFonts w:eastAsia="黑体"/>
                <w:snapToGrid w:val="0"/>
                <w:spacing w:val="-6"/>
                <w:kern w:val="21"/>
                <w:szCs w:val="21"/>
              </w:rPr>
            </w:pPr>
            <w:r>
              <w:rPr>
                <w:rFonts w:eastAsia="黑体"/>
                <w:snapToGrid w:val="0"/>
                <w:spacing w:val="-6"/>
                <w:kern w:val="21"/>
                <w:szCs w:val="21"/>
              </w:rPr>
              <w:fldChar w:fldCharType="begin"/>
            </w:r>
            <w:r>
              <w:rPr>
                <w:rFonts w:eastAsia="黑体"/>
                <w:snapToGrid w:val="0"/>
                <w:spacing w:val="-6"/>
                <w:kern w:val="21"/>
                <w:szCs w:val="21"/>
              </w:rPr>
              <w:instrText xml:space="preserve"> = 7 \* GB3 \* MERGEFORMAT </w:instrText>
            </w:r>
            <w:r>
              <w:rPr>
                <w:rFonts w:eastAsia="黑体"/>
                <w:snapToGrid w:val="0"/>
                <w:spacing w:val="-6"/>
                <w:kern w:val="21"/>
                <w:szCs w:val="21"/>
              </w:rPr>
              <w:fldChar w:fldCharType="separate"/>
            </w:r>
            <w:r>
              <w:rPr>
                <w:rFonts w:hint="eastAsia" w:hAnsi="宋体" w:cs="宋体"/>
                <w:kern w:val="2"/>
                <w:szCs w:val="21"/>
              </w:rPr>
              <w:t>⑦</w:t>
            </w:r>
            <w:r>
              <w:rPr>
                <w:rFonts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restart"/>
            <w:tcBorders>
              <w:left w:val="single" w:color="auto" w:sz="8" w:space="0"/>
              <w:right w:val="single" w:color="auto" w:sz="4" w:space="0"/>
            </w:tcBorders>
            <w:vAlign w:val="center"/>
          </w:tcPr>
          <w:p>
            <w:pPr>
              <w:widowControl/>
              <w:jc w:val="center"/>
              <w:rPr>
                <w:snapToGrid w:val="0"/>
                <w:kern w:val="21"/>
                <w:szCs w:val="21"/>
              </w:rPr>
            </w:pPr>
            <w:r>
              <w:rPr>
                <w:rFonts w:hint="eastAsia"/>
                <w:snapToGrid w:val="0"/>
                <w:kern w:val="21"/>
                <w:szCs w:val="21"/>
              </w:rPr>
              <w:t>废气</w:t>
            </w: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szCs w:val="21"/>
              </w:rPr>
            </w:pPr>
            <w:r>
              <w:rPr>
                <w:szCs w:val="21"/>
              </w:rPr>
              <w:t>SO</w:t>
            </w:r>
            <w:r>
              <w:rPr>
                <w:szCs w:val="21"/>
                <w:vertAlign w:val="subscript"/>
              </w:rPr>
              <w:t>2</w:t>
            </w:r>
          </w:p>
        </w:tc>
        <w:tc>
          <w:tcPr>
            <w:tcW w:w="1646" w:type="dxa"/>
            <w:tcBorders>
              <w:top w:val="single" w:color="auto" w:sz="8" w:space="0"/>
              <w:bottom w:val="single" w:color="auto" w:sz="4" w:space="0"/>
              <w:tl2br w:val="nil"/>
              <w:tr2bl w:val="nil"/>
            </w:tcBorders>
            <w:vAlign w:val="center"/>
          </w:tcPr>
          <w:p>
            <w:pPr>
              <w:pStyle w:val="28"/>
              <w:spacing w:before="0" w:beforeLines="0" w:after="0" w:afterLines="0" w:line="240" w:lineRule="auto"/>
              <w:rPr>
                <w:kern w:val="2"/>
                <w:szCs w:val="21"/>
              </w:rPr>
            </w:pPr>
            <w:r>
              <w:rPr>
                <w:rFonts w:hint="eastAsia"/>
                <w:bCs/>
                <w:szCs w:val="21"/>
              </w:rPr>
              <w:t>0.0446</w:t>
            </w:r>
            <w:r>
              <w:rPr>
                <w:rFonts w:hint="eastAsia"/>
                <w:bCs/>
                <w:spacing w:val="-10"/>
                <w:szCs w:val="21"/>
              </w:rPr>
              <w:t xml:space="preserve"> t/a</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kern w:val="2"/>
                <w:szCs w:val="21"/>
              </w:rPr>
              <w:t>0</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zCs w:val="21"/>
              </w:rPr>
              <w:t>0.0446</w:t>
            </w:r>
            <w:r>
              <w:rPr>
                <w:rFonts w:hint="eastAsia"/>
                <w:bCs/>
                <w:spacing w:val="-10"/>
                <w:szCs w:val="21"/>
              </w:rPr>
              <w:t xml:space="preserve"> 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szCs w:val="21"/>
              </w:rPr>
            </w:pPr>
            <w:r>
              <w:rPr>
                <w:rFonts w:hint="eastAsia"/>
                <w:kern w:val="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center"/>
              <w:rPr>
                <w:snapToGrid w:val="0"/>
                <w:kern w:val="21"/>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szCs w:val="21"/>
              </w:rPr>
            </w:pPr>
            <w:r>
              <w:rPr>
                <w:szCs w:val="21"/>
              </w:rPr>
              <w:t>NO</w:t>
            </w:r>
            <w:r>
              <w:rPr>
                <w:szCs w:val="21"/>
                <w:vertAlign w:val="subscript"/>
              </w:rPr>
              <w:t>x</w:t>
            </w:r>
          </w:p>
        </w:tc>
        <w:tc>
          <w:tcPr>
            <w:tcW w:w="1646" w:type="dxa"/>
            <w:tcBorders>
              <w:top w:val="single" w:color="auto" w:sz="4" w:space="0"/>
              <w:bottom w:val="single" w:color="auto" w:sz="4" w:space="0"/>
              <w:tl2br w:val="nil"/>
              <w:tr2bl w:val="nil"/>
            </w:tcBorders>
            <w:vAlign w:val="center"/>
          </w:tcPr>
          <w:p>
            <w:pPr>
              <w:pStyle w:val="28"/>
              <w:spacing w:before="0" w:beforeLines="0" w:after="0" w:afterLines="0" w:line="240" w:lineRule="auto"/>
              <w:rPr>
                <w:kern w:val="2"/>
                <w:szCs w:val="21"/>
              </w:rPr>
            </w:pPr>
            <w:r>
              <w:rPr>
                <w:rFonts w:hint="eastAsia"/>
                <w:bCs/>
                <w:szCs w:val="21"/>
              </w:rPr>
              <w:t>0.1129</w:t>
            </w:r>
            <w:r>
              <w:rPr>
                <w:rFonts w:hint="eastAsia"/>
                <w:bCs/>
                <w:spacing w:val="-10"/>
                <w:szCs w:val="21"/>
              </w:rPr>
              <w:t xml:space="preserve"> t/a</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rPr>
              <w:t>0</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zCs w:val="21"/>
              </w:rPr>
              <w:t>0.1129</w:t>
            </w:r>
            <w:r>
              <w:rPr>
                <w:rFonts w:hint="eastAsia"/>
                <w:bCs/>
                <w:spacing w:val="-10"/>
                <w:szCs w:val="21"/>
              </w:rPr>
              <w:t xml:space="preserve"> 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szCs w:val="21"/>
              </w:rPr>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center"/>
              <w:rPr>
                <w:snapToGrid w:val="0"/>
                <w:kern w:val="21"/>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szCs w:val="21"/>
              </w:rPr>
            </w:pPr>
            <w:r>
              <w:rPr>
                <w:rFonts w:hint="eastAsia"/>
                <w:szCs w:val="21"/>
              </w:rPr>
              <w:t>烟尘</w:t>
            </w:r>
          </w:p>
        </w:tc>
        <w:tc>
          <w:tcPr>
            <w:tcW w:w="1646" w:type="dxa"/>
            <w:tcBorders>
              <w:top w:val="single" w:color="auto" w:sz="4" w:space="0"/>
              <w:bottom w:val="single" w:color="auto" w:sz="4" w:space="0"/>
              <w:tl2br w:val="nil"/>
              <w:tr2bl w:val="nil"/>
            </w:tcBorders>
            <w:vAlign w:val="center"/>
          </w:tcPr>
          <w:p>
            <w:pPr>
              <w:pStyle w:val="28"/>
              <w:spacing w:before="0" w:beforeLines="0" w:after="0" w:afterLines="0" w:line="240" w:lineRule="auto"/>
            </w:pPr>
            <w:r>
              <w:rPr>
                <w:rFonts w:hint="eastAsia"/>
              </w:rPr>
              <w:t>0.036 t/a</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rPr>
              <w:t>0</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rPr>
              <w:t>0.036 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szCs w:val="21"/>
              </w:rPr>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center"/>
              <w:rPr>
                <w:snapToGrid w:val="0"/>
                <w:kern w:val="21"/>
                <w:szCs w:val="21"/>
              </w:rPr>
            </w:pPr>
          </w:p>
        </w:tc>
        <w:tc>
          <w:tcPr>
            <w:tcW w:w="1774" w:type="dxa"/>
            <w:tcBorders>
              <w:top w:val="single" w:color="auto" w:sz="4" w:space="0"/>
              <w:bottom w:val="single" w:color="auto" w:sz="4" w:space="0"/>
              <w:tl2br w:val="nil"/>
              <w:tr2bl w:val="nil"/>
            </w:tcBorders>
            <w:vAlign w:val="center"/>
          </w:tcPr>
          <w:p>
            <w:pPr>
              <w:pStyle w:val="28"/>
              <w:spacing w:before="31" w:after="31"/>
              <w:rPr>
                <w:szCs w:val="21"/>
              </w:rPr>
            </w:pPr>
            <w:r>
              <w:rPr>
                <w:rFonts w:hint="eastAsia"/>
                <w:bCs/>
                <w:szCs w:val="21"/>
              </w:rPr>
              <w:t>H</w:t>
            </w:r>
            <w:r>
              <w:rPr>
                <w:bCs/>
                <w:szCs w:val="21"/>
                <w:vertAlign w:val="subscript"/>
              </w:rPr>
              <w:t>2</w:t>
            </w:r>
            <w:r>
              <w:rPr>
                <w:rFonts w:hint="eastAsia"/>
                <w:bCs/>
                <w:szCs w:val="21"/>
              </w:rPr>
              <w:t>S</w:t>
            </w:r>
          </w:p>
        </w:tc>
        <w:tc>
          <w:tcPr>
            <w:tcW w:w="1646" w:type="dxa"/>
            <w:tcBorders>
              <w:top w:val="single" w:color="auto" w:sz="4" w:space="0"/>
              <w:bottom w:val="single" w:color="auto" w:sz="4" w:space="0"/>
              <w:tl2br w:val="nil"/>
              <w:tr2bl w:val="nil"/>
            </w:tcBorders>
            <w:vAlign w:val="center"/>
          </w:tcPr>
          <w:p>
            <w:pPr>
              <w:pStyle w:val="28"/>
              <w:spacing w:before="0" w:beforeLines="0" w:after="0" w:afterLines="0" w:line="240" w:lineRule="auto"/>
            </w:pPr>
            <w:r>
              <w:rPr>
                <w:rFonts w:hint="eastAsia"/>
              </w:rPr>
              <w:t>0.0</w:t>
            </w:r>
            <w:r>
              <w:t>0289</w:t>
            </w:r>
            <w:r>
              <w:rPr>
                <w:rFonts w:hint="eastAsia"/>
              </w:rPr>
              <w:t xml:space="preserve"> t/a</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kern w:val="2"/>
                <w:szCs w:val="21"/>
              </w:rPr>
              <w:t>0</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rPr>
              <w:t>0.0</w:t>
            </w:r>
            <w:r>
              <w:t>0289</w:t>
            </w:r>
            <w:r>
              <w:rPr>
                <w:rFonts w:hint="eastAsia"/>
              </w:rPr>
              <w:t xml:space="preserve"> 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szCs w:val="21"/>
              </w:rPr>
            </w:pPr>
            <w:r>
              <w:rPr>
                <w:rFonts w:hint="eastAsia"/>
                <w:kern w:val="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center"/>
              <w:rPr>
                <w:snapToGrid w:val="0"/>
                <w:kern w:val="21"/>
                <w:szCs w:val="21"/>
              </w:rPr>
            </w:pPr>
          </w:p>
        </w:tc>
        <w:tc>
          <w:tcPr>
            <w:tcW w:w="1774" w:type="dxa"/>
            <w:tcBorders>
              <w:top w:val="single" w:color="auto" w:sz="4" w:space="0"/>
              <w:bottom w:val="single" w:color="auto" w:sz="4" w:space="0"/>
              <w:tl2br w:val="nil"/>
              <w:tr2bl w:val="nil"/>
            </w:tcBorders>
            <w:vAlign w:val="center"/>
          </w:tcPr>
          <w:p>
            <w:pPr>
              <w:pStyle w:val="28"/>
              <w:spacing w:before="31" w:after="31"/>
              <w:rPr>
                <w:szCs w:val="21"/>
              </w:rPr>
            </w:pPr>
            <w:r>
              <w:rPr>
                <w:bCs/>
                <w:szCs w:val="21"/>
              </w:rPr>
              <w:t>NO</w:t>
            </w:r>
            <w:r>
              <w:rPr>
                <w:rFonts w:hint="eastAsia"/>
                <w:bCs/>
                <w:szCs w:val="21"/>
                <w:vertAlign w:val="subscript"/>
              </w:rPr>
              <w:t>x</w:t>
            </w:r>
          </w:p>
        </w:tc>
        <w:tc>
          <w:tcPr>
            <w:tcW w:w="1646" w:type="dxa"/>
            <w:tcBorders>
              <w:top w:val="single" w:color="auto" w:sz="4" w:space="0"/>
              <w:bottom w:val="single" w:color="auto" w:sz="4" w:space="0"/>
              <w:tl2br w:val="nil"/>
              <w:tr2bl w:val="nil"/>
            </w:tcBorders>
            <w:vAlign w:val="center"/>
          </w:tcPr>
          <w:p>
            <w:pPr>
              <w:pStyle w:val="28"/>
              <w:spacing w:before="0" w:beforeLines="0" w:after="0" w:afterLines="0" w:line="240" w:lineRule="auto"/>
            </w:pPr>
            <w:r>
              <w:t>0.11292</w:t>
            </w:r>
            <w:r>
              <w:rPr>
                <w:rFonts w:hint="eastAsia"/>
              </w:rPr>
              <w:t xml:space="preserve"> t/a</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646"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rFonts w:hint="eastAsia"/>
                <w:kern w:val="2"/>
                <w:szCs w:val="21"/>
              </w:rPr>
              <w:t>0</w:t>
            </w:r>
          </w:p>
        </w:tc>
        <w:tc>
          <w:tcPr>
            <w:tcW w:w="1510" w:type="dxa"/>
            <w:tcBorders>
              <w:top w:val="single" w:color="auto" w:sz="4" w:space="0"/>
              <w:left w:val="single" w:color="auto" w:sz="4" w:space="0"/>
              <w:bottom w:val="single" w:color="auto" w:sz="4" w:space="0"/>
              <w:right w:val="single" w:color="auto" w:sz="4" w:space="0"/>
            </w:tcBorders>
          </w:tcPr>
          <w:p>
            <w:pPr>
              <w:pStyle w:val="28"/>
              <w:spacing w:before="31" w:after="31"/>
              <w:rPr>
                <w:kern w:val="2"/>
                <w:szCs w:val="21"/>
              </w:rPr>
            </w:pPr>
            <w:r>
              <w:rPr>
                <w:rFonts w:hint="eastAsia"/>
                <w:kern w:val="2"/>
                <w:szCs w:val="21"/>
              </w:rPr>
              <w:t>0</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t>0.11292</w:t>
            </w:r>
            <w:r>
              <w:rPr>
                <w:rFonts w:hint="eastAsia"/>
              </w:rPr>
              <w:t xml:space="preserve"> t/a</w:t>
            </w:r>
          </w:p>
        </w:tc>
        <w:tc>
          <w:tcPr>
            <w:tcW w:w="1174" w:type="dxa"/>
            <w:tcBorders>
              <w:top w:val="single" w:color="auto" w:sz="4" w:space="0"/>
              <w:left w:val="single" w:color="auto" w:sz="4" w:space="0"/>
              <w:bottom w:val="single" w:color="auto" w:sz="4" w:space="0"/>
              <w:right w:val="single" w:color="auto" w:sz="8" w:space="0"/>
            </w:tcBorders>
          </w:tcPr>
          <w:p>
            <w:pPr>
              <w:pStyle w:val="28"/>
              <w:spacing w:before="31" w:after="31"/>
              <w:rPr>
                <w:kern w:val="2"/>
                <w:szCs w:val="21"/>
              </w:rPr>
            </w:pPr>
            <w:r>
              <w:rPr>
                <w:rFonts w:hint="eastAsia"/>
                <w:kern w:val="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center"/>
              <w:rPr>
                <w:snapToGrid w:val="0"/>
                <w:kern w:val="21"/>
                <w:szCs w:val="21"/>
              </w:rPr>
            </w:pPr>
          </w:p>
        </w:tc>
        <w:tc>
          <w:tcPr>
            <w:tcW w:w="1774" w:type="dxa"/>
            <w:tcBorders>
              <w:top w:val="single" w:color="auto" w:sz="4" w:space="0"/>
              <w:bottom w:val="single" w:color="auto" w:sz="4" w:space="0"/>
              <w:tl2br w:val="nil"/>
              <w:tr2bl w:val="nil"/>
            </w:tcBorders>
            <w:vAlign w:val="center"/>
          </w:tcPr>
          <w:p>
            <w:pPr>
              <w:pStyle w:val="28"/>
              <w:spacing w:before="31" w:after="31"/>
              <w:rPr>
                <w:bCs/>
                <w:szCs w:val="21"/>
              </w:rPr>
            </w:pPr>
            <w:r>
              <w:rPr>
                <w:rFonts w:hint="eastAsia"/>
                <w:bCs/>
                <w:szCs w:val="21"/>
              </w:rPr>
              <w:t>CO</w:t>
            </w:r>
          </w:p>
        </w:tc>
        <w:tc>
          <w:tcPr>
            <w:tcW w:w="1646" w:type="dxa"/>
            <w:tcBorders>
              <w:top w:val="single" w:color="auto" w:sz="4" w:space="0"/>
              <w:bottom w:val="single" w:color="auto" w:sz="4" w:space="0"/>
              <w:tl2br w:val="nil"/>
              <w:tr2bl w:val="nil"/>
            </w:tcBorders>
            <w:vAlign w:val="center"/>
          </w:tcPr>
          <w:p>
            <w:pPr>
              <w:pStyle w:val="28"/>
              <w:spacing w:before="0" w:beforeLines="0" w:after="0" w:afterLines="0" w:line="240" w:lineRule="auto"/>
            </w:pPr>
            <w:r>
              <w:rPr>
                <w:rFonts w:hint="eastAsia"/>
                <w:bCs/>
                <w:szCs w:val="21"/>
              </w:rPr>
              <w:t>3.02t/a</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kern w:val="2"/>
                <w:szCs w:val="21"/>
              </w:rPr>
            </w:pPr>
            <w:r>
              <w:rPr>
                <w:rFonts w:hint="eastAsia"/>
                <w:kern w:val="2"/>
                <w:szCs w:val="21"/>
              </w:rPr>
              <w:t>0</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zCs w:val="21"/>
              </w:rPr>
              <w:t>3.02t/a</w:t>
            </w:r>
          </w:p>
        </w:tc>
        <w:tc>
          <w:tcPr>
            <w:tcW w:w="1174" w:type="dxa"/>
            <w:tcBorders>
              <w:top w:val="single" w:color="auto" w:sz="4" w:space="0"/>
              <w:left w:val="single" w:color="auto" w:sz="4" w:space="0"/>
              <w:bottom w:val="single" w:color="auto" w:sz="4" w:space="0"/>
              <w:right w:val="single" w:color="auto" w:sz="8" w:space="0"/>
            </w:tcBorders>
          </w:tcPr>
          <w:p>
            <w:pPr>
              <w:pStyle w:val="28"/>
              <w:spacing w:before="31" w:after="31"/>
              <w:rPr>
                <w:kern w:val="2"/>
                <w:szCs w:val="21"/>
              </w:rPr>
            </w:pPr>
            <w:r>
              <w:rPr>
                <w:rFonts w:hint="eastAsia"/>
                <w:kern w:val="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center"/>
              <w:rPr>
                <w:snapToGrid w:val="0"/>
                <w:kern w:val="21"/>
                <w:szCs w:val="21"/>
              </w:rPr>
            </w:pPr>
          </w:p>
        </w:tc>
        <w:tc>
          <w:tcPr>
            <w:tcW w:w="1774" w:type="dxa"/>
            <w:tcBorders>
              <w:top w:val="single" w:color="auto" w:sz="4" w:space="0"/>
              <w:bottom w:val="single" w:color="auto" w:sz="4" w:space="0"/>
              <w:tl2br w:val="nil"/>
              <w:tr2bl w:val="nil"/>
            </w:tcBorders>
            <w:vAlign w:val="center"/>
          </w:tcPr>
          <w:p>
            <w:pPr>
              <w:pStyle w:val="28"/>
              <w:spacing w:before="31" w:after="31"/>
              <w:rPr>
                <w:bCs/>
                <w:szCs w:val="21"/>
              </w:rPr>
            </w:pPr>
            <w:r>
              <w:rPr>
                <w:rFonts w:hint="eastAsia"/>
                <w:bCs/>
                <w:szCs w:val="21"/>
              </w:rPr>
              <w:t>碳氢化合物</w:t>
            </w:r>
          </w:p>
        </w:tc>
        <w:tc>
          <w:tcPr>
            <w:tcW w:w="1646" w:type="dxa"/>
            <w:tcBorders>
              <w:top w:val="single" w:color="auto" w:sz="4" w:space="0"/>
              <w:bottom w:val="single" w:color="auto" w:sz="4" w:space="0"/>
              <w:tl2br w:val="nil"/>
              <w:tr2bl w:val="nil"/>
            </w:tcBorders>
            <w:vAlign w:val="center"/>
          </w:tcPr>
          <w:p>
            <w:pPr>
              <w:pStyle w:val="28"/>
              <w:spacing w:before="0" w:beforeLines="0" w:after="0" w:afterLines="0" w:line="240" w:lineRule="auto"/>
            </w:pPr>
            <w:r>
              <w:rPr>
                <w:rFonts w:hint="eastAsia"/>
                <w:bCs/>
                <w:szCs w:val="21"/>
              </w:rPr>
              <w:t>0.04t/a</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kern w:val="2"/>
                <w:szCs w:val="21"/>
              </w:rPr>
            </w:pPr>
            <w:r>
              <w:rPr>
                <w:rFonts w:hint="eastAsia"/>
                <w:kern w:val="2"/>
                <w:szCs w:val="21"/>
              </w:rPr>
              <w:t>0</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zCs w:val="21"/>
              </w:rPr>
              <w:t>0.04t/a</w:t>
            </w:r>
          </w:p>
        </w:tc>
        <w:tc>
          <w:tcPr>
            <w:tcW w:w="1174" w:type="dxa"/>
            <w:tcBorders>
              <w:top w:val="single" w:color="auto" w:sz="4" w:space="0"/>
              <w:left w:val="single" w:color="auto" w:sz="4" w:space="0"/>
              <w:bottom w:val="single" w:color="auto" w:sz="4" w:space="0"/>
              <w:right w:val="single" w:color="auto" w:sz="8" w:space="0"/>
            </w:tcBorders>
          </w:tcPr>
          <w:p>
            <w:pPr>
              <w:pStyle w:val="28"/>
              <w:spacing w:before="31" w:after="31"/>
              <w:rPr>
                <w:kern w:val="2"/>
                <w:szCs w:val="21"/>
              </w:rPr>
            </w:pPr>
            <w:r>
              <w:rPr>
                <w:rFonts w:hint="eastAsia"/>
                <w:kern w:val="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restart"/>
            <w:tcBorders>
              <w:left w:val="single" w:color="auto" w:sz="8" w:space="0"/>
              <w:right w:val="single" w:color="auto" w:sz="4" w:space="0"/>
            </w:tcBorders>
            <w:vAlign w:val="center"/>
          </w:tcPr>
          <w:p>
            <w:pPr>
              <w:widowControl/>
              <w:jc w:val="center"/>
              <w:rPr>
                <w:snapToGrid w:val="0"/>
                <w:kern w:val="21"/>
                <w:szCs w:val="21"/>
              </w:rPr>
            </w:pPr>
            <w:r>
              <w:rPr>
                <w:snapToGrid w:val="0"/>
                <w:kern w:val="21"/>
                <w:szCs w:val="21"/>
              </w:rPr>
              <w:t>废水</w:t>
            </w: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color w:val="0000FF"/>
                <w:szCs w:val="21"/>
              </w:rPr>
            </w:pPr>
            <w:r>
              <w:rPr>
                <w:szCs w:val="21"/>
              </w:rPr>
              <w:t>COD</w:t>
            </w:r>
            <w:r>
              <w:rPr>
                <w:bCs/>
                <w:spacing w:val="-10"/>
                <w:szCs w:val="21"/>
                <w:vertAlign w:val="subscript"/>
              </w:rPr>
              <w:t>Cr</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pPr>
            <w:r>
              <w:t xml:space="preserve"> </w:t>
            </w:r>
            <w:r>
              <w:rPr>
                <w:rFonts w:hint="eastAsia"/>
              </w:rPr>
              <w:t>4</w:t>
            </w:r>
            <w:r>
              <w:t>.89</w:t>
            </w:r>
            <w:r>
              <w:rPr>
                <w:rFonts w:hint="eastAsia"/>
              </w:rPr>
              <w:t xml:space="preserve"> t/a</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color w:val="0000FF"/>
                <w:spacing w:val="-10"/>
                <w:szCs w:val="21"/>
              </w:rPr>
            </w:pPr>
            <w:r>
              <w:rPr>
                <w:rFonts w:hint="eastAsia"/>
                <w:bCs/>
                <w:spacing w:val="-10"/>
                <w:szCs w:val="21"/>
              </w:rPr>
              <w:t>1.11 t/a</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color w:val="0000FF"/>
                <w:spacing w:val="-10"/>
                <w:szCs w:val="21"/>
              </w:rPr>
            </w:pPr>
            <w:r>
              <w:rPr>
                <w:bCs/>
                <w:spacing w:val="-10"/>
                <w:szCs w:val="21"/>
              </w:rPr>
              <w:t>6.0</w:t>
            </w:r>
            <w:r>
              <w:rPr>
                <w:rFonts w:hint="eastAsia"/>
                <w:bCs/>
                <w:spacing w:val="-10"/>
                <w:szCs w:val="21"/>
              </w:rPr>
              <w:t xml:space="preserve"> 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bCs/>
                <w:color w:val="0000FF"/>
                <w:spacing w:val="-10"/>
                <w:szCs w:val="21"/>
              </w:rPr>
            </w:pPr>
            <w:r>
              <w:rPr>
                <w:rFonts w:hint="eastAsia"/>
                <w:szCs w:val="21"/>
              </w:rPr>
              <w:t>+</w:t>
            </w:r>
            <w:r>
              <w:rPr>
                <w:rFonts w:hint="eastAsia"/>
                <w:bCs/>
                <w:spacing w:val="-10"/>
                <w:szCs w:val="21"/>
              </w:rPr>
              <w:t>1.11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left"/>
              <w:rPr>
                <w:snapToGrid w:val="0"/>
                <w:kern w:val="21"/>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color w:val="0000FF"/>
                <w:szCs w:val="21"/>
              </w:rPr>
            </w:pPr>
            <w:r>
              <w:rPr>
                <w:szCs w:val="21"/>
              </w:rPr>
              <w:t>BOD</w:t>
            </w:r>
            <w:r>
              <w:rPr>
                <w:szCs w:val="21"/>
                <w:vertAlign w:val="subscript"/>
              </w:rPr>
              <w:t>5</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rFonts w:hint="eastAsia"/>
                <w:szCs w:val="21"/>
              </w:rPr>
              <w:t>1</w:t>
            </w:r>
            <w:r>
              <w:rPr>
                <w:szCs w:val="21"/>
              </w:rPr>
              <w:t>.83</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pacing w:val="-10"/>
                <w:szCs w:val="21"/>
              </w:rPr>
              <w:t>0.30 t/a</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bCs/>
                <w:spacing w:val="-10"/>
                <w:szCs w:val="21"/>
              </w:rPr>
              <w:t>2.13</w:t>
            </w:r>
            <w:r>
              <w:rPr>
                <w:rFonts w:hint="eastAsia"/>
                <w:bCs/>
                <w:spacing w:val="-10"/>
                <w:szCs w:val="21"/>
              </w:rPr>
              <w:t xml:space="preserve"> 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bCs/>
                <w:spacing w:val="-10"/>
                <w:szCs w:val="21"/>
              </w:rPr>
            </w:pPr>
            <w:r>
              <w:rPr>
                <w:rFonts w:hint="eastAsia"/>
                <w:szCs w:val="21"/>
              </w:rPr>
              <w:t>+</w:t>
            </w:r>
            <w:r>
              <w:rPr>
                <w:rFonts w:hint="eastAsia"/>
                <w:bCs/>
                <w:spacing w:val="-10"/>
                <w:szCs w:val="21"/>
              </w:rPr>
              <w:t>0.30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left"/>
              <w:rPr>
                <w:snapToGrid w:val="0"/>
                <w:kern w:val="21"/>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color w:val="0000FF"/>
                <w:szCs w:val="21"/>
              </w:rPr>
            </w:pPr>
            <w:r>
              <w:rPr>
                <w:szCs w:val="21"/>
              </w:rPr>
              <w:t>SS</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rFonts w:hint="eastAsia"/>
                <w:szCs w:val="21"/>
              </w:rPr>
              <w:t>2</w:t>
            </w:r>
            <w:r>
              <w:rPr>
                <w:szCs w:val="21"/>
              </w:rPr>
              <w:t>.2</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pacing w:val="-10"/>
                <w:szCs w:val="21"/>
              </w:rPr>
              <w:t>0.37 t/a</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bCs/>
                <w:spacing w:val="-10"/>
                <w:szCs w:val="21"/>
              </w:rPr>
              <w:t>2.57</w:t>
            </w:r>
            <w:r>
              <w:rPr>
                <w:rFonts w:hint="eastAsia"/>
                <w:bCs/>
                <w:spacing w:val="-10"/>
                <w:szCs w:val="21"/>
              </w:rPr>
              <w:t xml:space="preserve"> 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bCs/>
                <w:spacing w:val="-10"/>
                <w:szCs w:val="21"/>
              </w:rPr>
            </w:pPr>
            <w:r>
              <w:rPr>
                <w:rFonts w:hint="eastAsia"/>
                <w:szCs w:val="21"/>
              </w:rPr>
              <w:t>+</w:t>
            </w:r>
            <w:r>
              <w:rPr>
                <w:rFonts w:hint="eastAsia"/>
                <w:bCs/>
                <w:spacing w:val="-10"/>
                <w:szCs w:val="21"/>
              </w:rPr>
              <w:t>0.37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center"/>
              <w:rPr>
                <w:snapToGrid w:val="0"/>
                <w:kern w:val="21"/>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color w:val="0000FF"/>
                <w:szCs w:val="21"/>
              </w:rPr>
            </w:pPr>
            <w:r>
              <w:rPr>
                <w:szCs w:val="21"/>
              </w:rPr>
              <w:t>NH</w:t>
            </w:r>
            <w:r>
              <w:rPr>
                <w:szCs w:val="21"/>
                <w:vertAlign w:val="subscript"/>
              </w:rPr>
              <w:t>3</w:t>
            </w:r>
            <w:r>
              <w:rPr>
                <w:szCs w:val="21"/>
              </w:rPr>
              <w:t>-N</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rFonts w:hint="eastAsia"/>
                <w:kern w:val="2"/>
                <w:szCs w:val="21"/>
              </w:rPr>
              <w:t>0</w:t>
            </w:r>
            <w:r>
              <w:rPr>
                <w:kern w:val="2"/>
                <w:szCs w:val="21"/>
              </w:rPr>
              <w:t>.59</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kern w:val="2"/>
                <w:szCs w:val="21"/>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pacing w:val="-10"/>
                <w:szCs w:val="21"/>
              </w:rPr>
              <w:t>0.22 t/a</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bCs/>
                <w:spacing w:val="-10"/>
                <w:szCs w:val="21"/>
              </w:rPr>
              <w:t>0.81</w:t>
            </w:r>
            <w:r>
              <w:rPr>
                <w:rFonts w:hint="eastAsia"/>
                <w:bCs/>
                <w:spacing w:val="-10"/>
                <w:szCs w:val="21"/>
              </w:rPr>
              <w:t xml:space="preserve"> 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bCs/>
                <w:spacing w:val="-10"/>
                <w:szCs w:val="21"/>
              </w:rPr>
            </w:pPr>
            <w:r>
              <w:rPr>
                <w:rFonts w:hint="eastAsia"/>
                <w:szCs w:val="21"/>
              </w:rPr>
              <w:t>+</w:t>
            </w:r>
            <w:r>
              <w:rPr>
                <w:rFonts w:hint="eastAsia"/>
                <w:bCs/>
                <w:spacing w:val="-10"/>
                <w:szCs w:val="21"/>
              </w:rPr>
              <w:t>0.22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widowControl/>
              <w:jc w:val="center"/>
              <w:rPr>
                <w:snapToGrid w:val="0"/>
                <w:kern w:val="21"/>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color w:val="0000FF"/>
                <w:szCs w:val="21"/>
              </w:rPr>
            </w:pPr>
            <w:r>
              <w:rPr>
                <w:rFonts w:hint="eastAsia"/>
                <w:szCs w:val="21"/>
              </w:rPr>
              <w:t>粪大肠菌群数</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bCs/>
                <w:spacing w:val="-10"/>
                <w:szCs w:val="21"/>
              </w:rPr>
            </w:pPr>
            <w:r>
              <w:rPr>
                <w:bCs/>
                <w:spacing w:val="-10"/>
                <w:szCs w:val="21"/>
              </w:rPr>
              <w:t xml:space="preserve">45 </w:t>
            </w:r>
            <w:r>
              <w:rPr>
                <w:rFonts w:hint="eastAsia"/>
                <w:bCs/>
                <w:spacing w:val="-10"/>
                <w:szCs w:val="21"/>
              </w:rPr>
              <w:t>MPN/L</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pacing w:val="-10"/>
                <w:szCs w:val="21"/>
              </w:rPr>
              <w:t>85</w:t>
            </w:r>
            <w:r>
              <w:rPr>
                <w:bCs/>
                <w:spacing w:val="-10"/>
                <w:szCs w:val="21"/>
              </w:rPr>
              <w:t xml:space="preserve"> </w:t>
            </w:r>
            <w:r>
              <w:rPr>
                <w:rFonts w:hint="eastAsia"/>
                <w:bCs/>
                <w:spacing w:val="-10"/>
                <w:szCs w:val="21"/>
              </w:rPr>
              <w:t>MPN/L</w:t>
            </w:r>
          </w:p>
        </w:tc>
        <w:tc>
          <w:tcPr>
            <w:tcW w:w="1523" w:type="dxa"/>
            <w:tcBorders>
              <w:top w:val="single" w:color="auto" w:sz="4" w:space="0"/>
              <w:left w:val="single" w:color="auto" w:sz="4" w:space="0"/>
              <w:bottom w:val="single" w:color="auto" w:sz="4" w:space="0"/>
              <w:right w:val="single" w:color="auto" w:sz="4" w:space="0"/>
            </w:tcBorders>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bCs/>
                <w:spacing w:val="-10"/>
                <w:szCs w:val="21"/>
              </w:rPr>
              <w:t xml:space="preserve">130 </w:t>
            </w:r>
            <w:r>
              <w:rPr>
                <w:rFonts w:hint="eastAsia"/>
                <w:bCs/>
                <w:spacing w:val="-10"/>
                <w:szCs w:val="21"/>
              </w:rPr>
              <w:t>MPN/L</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31" w:after="31"/>
              <w:rPr>
                <w:bCs/>
                <w:spacing w:val="-10"/>
                <w:szCs w:val="21"/>
              </w:rPr>
            </w:pPr>
            <w:r>
              <w:rPr>
                <w:rFonts w:hint="eastAsia"/>
                <w:szCs w:val="21"/>
              </w:rPr>
              <w:t>+</w:t>
            </w:r>
            <w:r>
              <w:rPr>
                <w:rFonts w:hint="eastAsia"/>
                <w:bCs/>
                <w:spacing w:val="-10"/>
                <w:szCs w:val="21"/>
              </w:rPr>
              <w:t>85</w:t>
            </w:r>
            <w:r>
              <w:rPr>
                <w:bCs/>
                <w:spacing w:val="-10"/>
                <w:szCs w:val="21"/>
              </w:rPr>
              <w:t xml:space="preserve"> </w:t>
            </w:r>
            <w:r>
              <w:rPr>
                <w:rFonts w:hint="eastAsia"/>
                <w:bCs/>
                <w:spacing w:val="-10"/>
                <w:szCs w:val="21"/>
              </w:rPr>
              <w:t>MPN/L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bottom w:val="single" w:color="auto" w:sz="4" w:space="0"/>
              <w:right w:val="single" w:color="auto" w:sz="4" w:space="0"/>
            </w:tcBorders>
            <w:vAlign w:val="center"/>
          </w:tcPr>
          <w:p>
            <w:pPr>
              <w:widowControl/>
              <w:jc w:val="center"/>
              <w:rPr>
                <w:snapToGrid w:val="0"/>
                <w:kern w:val="21"/>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szCs w:val="21"/>
              </w:rPr>
            </w:pPr>
            <w:r>
              <w:rPr>
                <w:bCs/>
                <w:spacing w:val="-10"/>
                <w:szCs w:val="21"/>
              </w:rPr>
              <w:t>结核杆菌</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bCs/>
                <w:spacing w:val="-10"/>
                <w:szCs w:val="21"/>
              </w:rPr>
              <w:t>未检出</w:t>
            </w:r>
          </w:p>
        </w:tc>
        <w:tc>
          <w:tcPr>
            <w:tcW w:w="1232"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31" w:after="31"/>
              <w:rPr>
                <w:bCs/>
                <w:spacing w:val="-10"/>
                <w:szCs w:val="21"/>
              </w:rPr>
            </w:pPr>
            <w:r>
              <w:rPr>
                <w:rFonts w:hint="eastAsia"/>
                <w:bCs/>
                <w:spacing w:val="-10"/>
                <w:szCs w:val="21"/>
              </w:rPr>
              <w:t>未检出</w:t>
            </w:r>
          </w:p>
        </w:tc>
        <w:tc>
          <w:tcPr>
            <w:tcW w:w="1523"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kern w:val="2"/>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bCs/>
                <w:spacing w:val="-10"/>
                <w:szCs w:val="21"/>
              </w:rPr>
              <w:t>未检出</w:t>
            </w:r>
          </w:p>
        </w:tc>
        <w:tc>
          <w:tcPr>
            <w:tcW w:w="1174" w:type="dxa"/>
            <w:tcBorders>
              <w:top w:val="single" w:color="auto" w:sz="4" w:space="0"/>
              <w:left w:val="single" w:color="auto" w:sz="4" w:space="0"/>
              <w:bottom w:val="single" w:color="auto" w:sz="4" w:space="0"/>
              <w:right w:val="single" w:color="auto" w:sz="8" w:space="0"/>
            </w:tcBorders>
            <w:vAlign w:val="center"/>
          </w:tcPr>
          <w:p>
            <w:pPr>
              <w:jc w:val="center"/>
            </w:pPr>
            <w:r>
              <w:rPr>
                <w:rFonts w:hint="eastAsia"/>
                <w:bCs/>
                <w:spacing w:val="-1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restart"/>
            <w:tcBorders>
              <w:top w:val="single" w:color="auto" w:sz="4" w:space="0"/>
              <w:left w:val="single" w:color="auto" w:sz="8" w:space="0"/>
              <w:right w:val="single" w:color="auto" w:sz="4" w:space="0"/>
            </w:tcBorders>
            <w:vAlign w:val="center"/>
          </w:tcPr>
          <w:p>
            <w:pPr>
              <w:pStyle w:val="28"/>
              <w:spacing w:before="31" w:after="31" w:line="240" w:lineRule="auto"/>
              <w:rPr>
                <w:snapToGrid w:val="0"/>
                <w:kern w:val="21"/>
                <w:szCs w:val="21"/>
              </w:rPr>
            </w:pPr>
            <w:r>
              <w:rPr>
                <w:snapToGrid w:val="0"/>
                <w:kern w:val="21"/>
                <w:szCs w:val="21"/>
              </w:rPr>
              <w:t>固体废物</w:t>
            </w: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szCs w:val="21"/>
              </w:rPr>
              <w:t>生活垃圾</w:t>
            </w:r>
          </w:p>
        </w:tc>
        <w:tc>
          <w:tcPr>
            <w:tcW w:w="16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cs="宋体"/>
                <w:kern w:val="0"/>
                <w:szCs w:val="21"/>
                <w:lang w:bidi="ar"/>
              </w:rPr>
              <w:t xml:space="preserve">335.5 </w:t>
            </w:r>
            <w:r>
              <w:rPr>
                <w:rFonts w:hint="eastAsia" w:cs="宋体"/>
                <w:kern w:val="0"/>
                <w:szCs w:val="21"/>
                <w:lang w:bidi="ar"/>
              </w:rPr>
              <w:t>t/a</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0</w:t>
            </w: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rFonts w:hint="eastAsia"/>
                <w:szCs w:val="21"/>
              </w:rPr>
              <w:t>66.07</w:t>
            </w:r>
            <w:r>
              <w:rPr>
                <w:szCs w:val="21"/>
              </w:rPr>
              <w:t>t/a</w:t>
            </w: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szCs w:val="21"/>
              </w:rPr>
              <w:t>401.57t/a</w:t>
            </w:r>
          </w:p>
        </w:tc>
        <w:tc>
          <w:tcPr>
            <w:tcW w:w="1174" w:type="dxa"/>
            <w:tcBorders>
              <w:top w:val="single" w:color="auto" w:sz="4" w:space="0"/>
              <w:left w:val="single" w:color="auto" w:sz="4" w:space="0"/>
              <w:bottom w:val="single" w:color="auto" w:sz="4" w:space="0"/>
              <w:right w:val="single" w:color="auto" w:sz="8" w:space="0"/>
            </w:tcBorders>
            <w:vAlign w:val="center"/>
          </w:tcPr>
          <w:p>
            <w:pPr>
              <w:jc w:val="center"/>
              <w:rPr>
                <w:kern w:val="0"/>
                <w:szCs w:val="21"/>
              </w:rPr>
            </w:pPr>
            <w:r>
              <w:rPr>
                <w:rFonts w:hint="eastAsia"/>
                <w:szCs w:val="21"/>
              </w:rPr>
              <w:t>+66.07</w:t>
            </w:r>
            <w:r>
              <w:rPr>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right w:val="single" w:color="auto" w:sz="4" w:space="0"/>
            </w:tcBorders>
            <w:vAlign w:val="center"/>
          </w:tcPr>
          <w:p>
            <w:pPr>
              <w:pStyle w:val="28"/>
              <w:spacing w:before="31" w:after="31" w:line="240" w:lineRule="auto"/>
              <w:rPr>
                <w:snapToGrid w:val="0"/>
                <w:kern w:val="21"/>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szCs w:val="21"/>
              </w:rPr>
              <w:t>废弃包装物</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kern w:val="2"/>
                <w:szCs w:val="21"/>
              </w:rPr>
            </w:pPr>
            <w:r>
              <w:rPr>
                <w:szCs w:val="21"/>
              </w:rPr>
              <w:t>2t/a</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0</w:t>
            </w:r>
          </w:p>
        </w:tc>
        <w:tc>
          <w:tcPr>
            <w:tcW w:w="164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rFonts w:hint="eastAsia"/>
                <w:szCs w:val="21"/>
              </w:rPr>
              <w:t>1</w:t>
            </w:r>
            <w:r>
              <w:rPr>
                <w:szCs w:val="21"/>
              </w:rPr>
              <w:t>t/a</w:t>
            </w:r>
          </w:p>
        </w:tc>
        <w:tc>
          <w:tcPr>
            <w:tcW w:w="1523" w:type="dxa"/>
            <w:tcBorders>
              <w:top w:val="single" w:color="auto" w:sz="4" w:space="0"/>
              <w:left w:val="single" w:color="auto" w:sz="4" w:space="0"/>
              <w:bottom w:val="single" w:color="auto" w:sz="4" w:space="0"/>
              <w:right w:val="single" w:color="auto" w:sz="4" w:space="0"/>
            </w:tcBorders>
          </w:tcPr>
          <w:p>
            <w:pPr>
              <w:jc w:val="center"/>
              <w:rPr>
                <w:kern w:val="0"/>
                <w:szCs w:val="21"/>
              </w:rPr>
            </w:pPr>
            <w:r>
              <w:rPr>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t>3</w:t>
            </w:r>
            <w:r>
              <w:rPr>
                <w:rFonts w:hint="eastAsia"/>
              </w:rPr>
              <w:t>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0" w:beforeLines="0" w:after="0" w:afterLines="0" w:line="240" w:lineRule="auto"/>
              <w:rPr>
                <w:snapToGrid w:val="0"/>
                <w:color w:val="000000"/>
                <w:kern w:val="21"/>
                <w:szCs w:val="21"/>
              </w:rPr>
            </w:pPr>
            <w:r>
              <w:rPr>
                <w:rFonts w:hint="eastAsia"/>
              </w:rPr>
              <w:t>+1t/a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restart"/>
            <w:tcBorders>
              <w:left w:val="single" w:color="auto" w:sz="8" w:space="0"/>
              <w:right w:val="single" w:color="auto" w:sz="4" w:space="0"/>
            </w:tcBorders>
            <w:vAlign w:val="center"/>
          </w:tcPr>
          <w:p>
            <w:pPr>
              <w:pStyle w:val="28"/>
              <w:spacing w:before="31" w:after="31" w:line="240" w:lineRule="auto"/>
              <w:rPr>
                <w:snapToGrid w:val="0"/>
                <w:kern w:val="21"/>
                <w:szCs w:val="21"/>
              </w:rPr>
            </w:pPr>
            <w:r>
              <w:rPr>
                <w:rFonts w:hint="eastAsia"/>
                <w:snapToGrid w:val="0"/>
                <w:kern w:val="21"/>
                <w:szCs w:val="21"/>
              </w:rPr>
              <w:t>危险废物</w:t>
            </w:r>
          </w:p>
        </w:tc>
        <w:tc>
          <w:tcPr>
            <w:tcW w:w="1774"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rFonts w:hint="eastAsia"/>
                <w:szCs w:val="21"/>
              </w:rPr>
              <w:t>医疗废物</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spacing w:beforeLines="0" w:afterLines="0" w:line="240" w:lineRule="auto"/>
              <w:rPr>
                <w:rFonts w:ascii="宋体" w:hAnsi="宋体" w:cs="宋体"/>
                <w:szCs w:val="21"/>
              </w:rPr>
            </w:pPr>
            <w:r>
              <w:rPr>
                <w:rFonts w:cs="宋体"/>
                <w:szCs w:val="21"/>
                <w:lang w:bidi="ar"/>
              </w:rPr>
              <w:t xml:space="preserve">74.5 </w:t>
            </w:r>
            <w:r>
              <w:rPr>
                <w:rFonts w:hint="eastAsia" w:cs="宋体"/>
                <w:szCs w:val="21"/>
                <w:lang w:bidi="ar"/>
              </w:rPr>
              <w:t>t/a</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0</w:t>
            </w: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rFonts w:hint="eastAsia"/>
              </w:rPr>
              <w:t>0</w:t>
            </w:r>
          </w:p>
        </w:tc>
        <w:tc>
          <w:tcPr>
            <w:tcW w:w="1510"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rFonts w:hint="eastAsia"/>
                <w:szCs w:val="21"/>
              </w:rPr>
              <w:t>39.46t/a</w:t>
            </w:r>
          </w:p>
        </w:tc>
        <w:tc>
          <w:tcPr>
            <w:tcW w:w="1523" w:type="dxa"/>
            <w:tcBorders>
              <w:top w:val="single" w:color="auto" w:sz="4" w:space="0"/>
              <w:left w:val="single" w:color="auto" w:sz="4" w:space="0"/>
              <w:bottom w:val="single" w:color="auto" w:sz="4" w:space="0"/>
              <w:right w:val="single" w:color="auto" w:sz="4" w:space="0"/>
            </w:tcBorders>
          </w:tcPr>
          <w:p>
            <w:pPr>
              <w:jc w:val="center"/>
              <w:rPr>
                <w:kern w:val="0"/>
                <w:szCs w:val="21"/>
              </w:rPr>
            </w:pPr>
            <w:r>
              <w:rPr>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28"/>
              <w:spacing w:before="0" w:beforeLines="0" w:after="0" w:afterLines="0" w:line="240" w:lineRule="auto"/>
              <w:rPr>
                <w:szCs w:val="21"/>
              </w:rPr>
            </w:pPr>
            <w:r>
              <w:rPr>
                <w:szCs w:val="21"/>
              </w:rPr>
              <w:t>113.96t/a</w:t>
            </w:r>
          </w:p>
        </w:tc>
        <w:tc>
          <w:tcPr>
            <w:tcW w:w="1174" w:type="dxa"/>
            <w:tcBorders>
              <w:top w:val="single" w:color="auto" w:sz="4" w:space="0"/>
              <w:left w:val="single" w:color="auto" w:sz="4" w:space="0"/>
              <w:bottom w:val="single" w:color="auto" w:sz="4" w:space="0"/>
              <w:right w:val="single" w:color="auto" w:sz="8" w:space="0"/>
            </w:tcBorders>
            <w:vAlign w:val="center"/>
          </w:tcPr>
          <w:p>
            <w:pPr>
              <w:pStyle w:val="28"/>
              <w:spacing w:before="0" w:beforeLines="0" w:after="0" w:afterLines="0" w:line="240" w:lineRule="auto"/>
              <w:rPr>
                <w:szCs w:val="21"/>
              </w:rPr>
            </w:pPr>
            <w:r>
              <w:rPr>
                <w:rFonts w:hint="eastAsia"/>
                <w:szCs w:val="21"/>
              </w:rPr>
              <w:t>+39.46t/a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32" w:type="dxa"/>
            <w:vMerge w:val="continue"/>
            <w:tcBorders>
              <w:left w:val="single" w:color="auto" w:sz="8" w:space="0"/>
              <w:bottom w:val="single" w:color="auto" w:sz="8" w:space="0"/>
              <w:right w:val="single" w:color="auto" w:sz="4" w:space="0"/>
            </w:tcBorders>
            <w:vAlign w:val="center"/>
          </w:tcPr>
          <w:p>
            <w:pPr>
              <w:pStyle w:val="28"/>
              <w:spacing w:before="31" w:after="31" w:line="240" w:lineRule="auto"/>
              <w:rPr>
                <w:snapToGrid w:val="0"/>
                <w:kern w:val="21"/>
                <w:szCs w:val="21"/>
              </w:rPr>
            </w:pPr>
          </w:p>
        </w:tc>
        <w:tc>
          <w:tcPr>
            <w:tcW w:w="1774" w:type="dxa"/>
            <w:tcBorders>
              <w:top w:val="single" w:color="auto" w:sz="4" w:space="0"/>
              <w:left w:val="single" w:color="auto" w:sz="4" w:space="0"/>
              <w:bottom w:val="single" w:color="auto" w:sz="8" w:space="0"/>
              <w:right w:val="single" w:color="auto" w:sz="4" w:space="0"/>
            </w:tcBorders>
            <w:vAlign w:val="center"/>
          </w:tcPr>
          <w:p>
            <w:pPr>
              <w:pStyle w:val="28"/>
              <w:spacing w:beforeLines="0" w:afterLines="0" w:line="240" w:lineRule="auto"/>
              <w:rPr>
                <w:rFonts w:hAnsi="宋体" w:cs="宋体"/>
                <w:szCs w:val="21"/>
              </w:rPr>
            </w:pPr>
            <w:r>
              <w:rPr>
                <w:rFonts w:hint="eastAsia" w:hAnsi="宋体" w:cs="宋体"/>
                <w:szCs w:val="21"/>
              </w:rPr>
              <w:t>污水处理站污泥</w:t>
            </w:r>
          </w:p>
        </w:tc>
        <w:tc>
          <w:tcPr>
            <w:tcW w:w="1646" w:type="dxa"/>
            <w:tcBorders>
              <w:top w:val="single" w:color="auto" w:sz="4" w:space="0"/>
              <w:left w:val="single" w:color="auto" w:sz="4" w:space="0"/>
              <w:bottom w:val="single" w:color="auto" w:sz="8" w:space="0"/>
              <w:right w:val="single" w:color="auto" w:sz="4" w:space="0"/>
            </w:tcBorders>
            <w:vAlign w:val="center"/>
          </w:tcPr>
          <w:p>
            <w:pPr>
              <w:pStyle w:val="28"/>
              <w:spacing w:beforeLines="0" w:afterLines="0" w:line="240" w:lineRule="auto"/>
              <w:rPr>
                <w:rFonts w:cs="宋体"/>
                <w:szCs w:val="21"/>
                <w:lang w:bidi="ar"/>
              </w:rPr>
            </w:pPr>
            <w:r>
              <w:rPr>
                <w:rFonts w:hint="eastAsia" w:cs="宋体"/>
                <w:szCs w:val="21"/>
                <w:lang w:bidi="ar"/>
              </w:rPr>
              <w:t>4</w:t>
            </w:r>
            <w:r>
              <w:rPr>
                <w:rFonts w:cs="宋体"/>
                <w:szCs w:val="21"/>
                <w:lang w:bidi="ar"/>
              </w:rPr>
              <w:t>0.2</w:t>
            </w:r>
            <w:r>
              <w:rPr>
                <w:rFonts w:hint="eastAsia" w:cs="宋体"/>
                <w:szCs w:val="21"/>
                <w:lang w:bidi="ar"/>
              </w:rPr>
              <w:t xml:space="preserve"> t/a</w:t>
            </w:r>
          </w:p>
        </w:tc>
        <w:tc>
          <w:tcPr>
            <w:tcW w:w="1232" w:type="dxa"/>
            <w:tcBorders>
              <w:top w:val="single" w:color="auto" w:sz="4" w:space="0"/>
              <w:left w:val="single" w:color="auto" w:sz="4" w:space="0"/>
              <w:bottom w:val="single" w:color="auto" w:sz="8" w:space="0"/>
              <w:right w:val="single" w:color="auto" w:sz="4" w:space="0"/>
            </w:tcBorders>
            <w:vAlign w:val="center"/>
          </w:tcPr>
          <w:p>
            <w:pPr>
              <w:jc w:val="center"/>
            </w:pPr>
            <w:r>
              <w:rPr>
                <w:rFonts w:hint="eastAsia"/>
              </w:rPr>
              <w:t>0</w:t>
            </w:r>
          </w:p>
        </w:tc>
        <w:tc>
          <w:tcPr>
            <w:tcW w:w="1646" w:type="dxa"/>
            <w:tcBorders>
              <w:top w:val="single" w:color="auto" w:sz="4" w:space="0"/>
              <w:left w:val="single" w:color="auto" w:sz="4" w:space="0"/>
              <w:bottom w:val="single" w:color="auto" w:sz="8" w:space="0"/>
              <w:right w:val="single" w:color="auto" w:sz="4" w:space="0"/>
            </w:tcBorders>
            <w:vAlign w:val="center"/>
          </w:tcPr>
          <w:p>
            <w:pPr>
              <w:jc w:val="center"/>
            </w:pPr>
            <w:r>
              <w:rPr>
                <w:rFonts w:hint="eastAsia"/>
              </w:rPr>
              <w:t>0</w:t>
            </w:r>
          </w:p>
        </w:tc>
        <w:tc>
          <w:tcPr>
            <w:tcW w:w="1510" w:type="dxa"/>
            <w:tcBorders>
              <w:top w:val="single" w:color="auto" w:sz="4" w:space="0"/>
              <w:left w:val="single" w:color="auto" w:sz="4" w:space="0"/>
              <w:bottom w:val="single" w:color="auto" w:sz="8" w:space="0"/>
              <w:right w:val="single" w:color="auto" w:sz="4" w:space="0"/>
            </w:tcBorders>
            <w:vAlign w:val="center"/>
          </w:tcPr>
          <w:p>
            <w:pPr>
              <w:pStyle w:val="28"/>
              <w:spacing w:before="0" w:beforeLines="0" w:after="0" w:afterLines="0" w:line="240" w:lineRule="auto"/>
              <w:rPr>
                <w:szCs w:val="21"/>
              </w:rPr>
            </w:pPr>
            <w:r>
              <w:rPr>
                <w:rFonts w:hint="eastAsia"/>
              </w:rPr>
              <w:t>0</w:t>
            </w:r>
          </w:p>
        </w:tc>
        <w:tc>
          <w:tcPr>
            <w:tcW w:w="1523" w:type="dxa"/>
            <w:tcBorders>
              <w:top w:val="single" w:color="auto" w:sz="4" w:space="0"/>
              <w:left w:val="single" w:color="auto" w:sz="4" w:space="0"/>
              <w:bottom w:val="single" w:color="auto" w:sz="8" w:space="0"/>
              <w:right w:val="single" w:color="auto" w:sz="4" w:space="0"/>
            </w:tcBorders>
            <w:vAlign w:val="center"/>
          </w:tcPr>
          <w:p>
            <w:pPr>
              <w:jc w:val="center"/>
              <w:rPr>
                <w:szCs w:val="21"/>
              </w:rPr>
            </w:pPr>
            <w:r>
              <w:rPr>
                <w:szCs w:val="21"/>
              </w:rPr>
              <w:t>/</w:t>
            </w:r>
          </w:p>
        </w:tc>
        <w:tc>
          <w:tcPr>
            <w:tcW w:w="1701" w:type="dxa"/>
            <w:tcBorders>
              <w:top w:val="single" w:color="auto" w:sz="4" w:space="0"/>
              <w:left w:val="single" w:color="auto" w:sz="4" w:space="0"/>
              <w:bottom w:val="single" w:color="auto" w:sz="8" w:space="0"/>
              <w:right w:val="single" w:color="auto" w:sz="4" w:space="0"/>
            </w:tcBorders>
            <w:vAlign w:val="center"/>
          </w:tcPr>
          <w:p>
            <w:pPr>
              <w:pStyle w:val="28"/>
              <w:spacing w:before="0" w:beforeLines="0" w:after="0" w:afterLines="0" w:line="240" w:lineRule="auto"/>
              <w:rPr>
                <w:szCs w:val="21"/>
              </w:rPr>
            </w:pPr>
            <w:r>
              <w:rPr>
                <w:rFonts w:hint="eastAsia" w:cs="宋体"/>
                <w:szCs w:val="21"/>
                <w:lang w:bidi="ar"/>
              </w:rPr>
              <w:t>4</w:t>
            </w:r>
            <w:r>
              <w:rPr>
                <w:rFonts w:cs="宋体"/>
                <w:szCs w:val="21"/>
                <w:lang w:bidi="ar"/>
              </w:rPr>
              <w:t>0.2</w:t>
            </w:r>
            <w:r>
              <w:rPr>
                <w:rFonts w:hint="eastAsia" w:cs="宋体"/>
                <w:szCs w:val="21"/>
                <w:lang w:bidi="ar"/>
              </w:rPr>
              <w:t xml:space="preserve"> t/a</w:t>
            </w:r>
          </w:p>
        </w:tc>
        <w:tc>
          <w:tcPr>
            <w:tcW w:w="1174" w:type="dxa"/>
            <w:tcBorders>
              <w:top w:val="single" w:color="auto" w:sz="4" w:space="0"/>
              <w:left w:val="single" w:color="auto" w:sz="4" w:space="0"/>
              <w:bottom w:val="single" w:color="auto" w:sz="8" w:space="0"/>
              <w:right w:val="single" w:color="auto" w:sz="8" w:space="0"/>
            </w:tcBorders>
            <w:vAlign w:val="center"/>
          </w:tcPr>
          <w:p>
            <w:pPr>
              <w:pStyle w:val="28"/>
              <w:spacing w:before="0" w:beforeLines="0" w:after="0" w:afterLines="0" w:line="240" w:lineRule="auto"/>
              <w:rPr>
                <w:szCs w:val="21"/>
              </w:rPr>
            </w:pPr>
            <w:r>
              <w:rPr>
                <w:rFonts w:hint="eastAsia"/>
              </w:rPr>
              <w:t>0</w:t>
            </w:r>
          </w:p>
        </w:tc>
      </w:tr>
    </w:tbl>
    <w:p>
      <w:pPr>
        <w:pStyle w:val="28"/>
        <w:spacing w:before="255" w:beforeLines="80" w:after="31"/>
        <w:jc w:val="left"/>
        <w:rPr>
          <w:rFonts w:eastAsia="黑体"/>
          <w:snapToGrid w:val="0"/>
          <w:sz w:val="32"/>
          <w:szCs w:val="32"/>
        </w:rPr>
        <w:sectPr>
          <w:footerReference r:id="rId8" w:type="default"/>
          <w:pgSz w:w="16838" w:h="11906" w:orient="landscape"/>
          <w:pgMar w:top="1803" w:right="1440" w:bottom="1803" w:left="1440" w:header="851" w:footer="992" w:gutter="0"/>
          <w:cols w:space="0" w:num="1"/>
          <w:docGrid w:type="lines" w:linePitch="319" w:charSpace="0"/>
        </w:sectPr>
      </w:pPr>
      <w:r>
        <w:rPr>
          <w:snapToGrid w:val="0"/>
          <w:kern w:val="21"/>
          <w:szCs w:val="21"/>
        </w:rPr>
        <w:t>注：</w:t>
      </w:r>
      <w:r>
        <w:rPr>
          <w:snapToGrid w:val="0"/>
          <w:spacing w:val="-16"/>
          <w:kern w:val="21"/>
          <w:szCs w:val="21"/>
        </w:rPr>
        <w:fldChar w:fldCharType="begin"/>
      </w:r>
      <w:r>
        <w:rPr>
          <w:snapToGrid w:val="0"/>
          <w:spacing w:val="-16"/>
          <w:kern w:val="21"/>
          <w:szCs w:val="21"/>
        </w:rPr>
        <w:instrText xml:space="preserve"> = 6 \* GB3 \* MERGEFORMAT </w:instrText>
      </w:r>
      <w:r>
        <w:rPr>
          <w:snapToGrid w:val="0"/>
          <w:spacing w:val="-16"/>
          <w:kern w:val="21"/>
          <w:szCs w:val="21"/>
        </w:rPr>
        <w:fldChar w:fldCharType="separate"/>
      </w:r>
      <w:r>
        <w:rPr>
          <w:rFonts w:hint="eastAsia" w:hAnsi="宋体" w:cs="宋体"/>
          <w:szCs w:val="21"/>
        </w:rPr>
        <w:t>⑥</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1 \* GB3 \* MERGEFORMAT </w:instrText>
      </w:r>
      <w:r>
        <w:rPr>
          <w:snapToGrid w:val="0"/>
          <w:spacing w:val="-6"/>
          <w:kern w:val="21"/>
          <w:szCs w:val="21"/>
        </w:rPr>
        <w:fldChar w:fldCharType="separate"/>
      </w:r>
      <w:r>
        <w:rPr>
          <w:rFonts w:hint="eastAsia" w:hAnsi="宋体" w:cs="宋体"/>
          <w:szCs w:val="21"/>
        </w:rPr>
        <w:t>①</w:t>
      </w:r>
      <w:r>
        <w:rPr>
          <w:snapToGrid w:val="0"/>
          <w:spacing w:val="-6"/>
          <w:kern w:val="21"/>
          <w:szCs w:val="21"/>
        </w:rPr>
        <w:fldChar w:fldCharType="end"/>
      </w:r>
      <w:r>
        <w:rPr>
          <w:snapToGrid w:val="0"/>
          <w:spacing w:val="-6"/>
          <w:kern w:val="21"/>
          <w:szCs w:val="21"/>
        </w:rPr>
        <w:t>+</w:t>
      </w:r>
      <w:r>
        <w:rPr>
          <w:snapToGrid w:val="0"/>
          <w:spacing w:val="-6"/>
          <w:kern w:val="21"/>
          <w:szCs w:val="21"/>
        </w:rPr>
        <w:fldChar w:fldCharType="begin"/>
      </w:r>
      <w:r>
        <w:rPr>
          <w:snapToGrid w:val="0"/>
          <w:spacing w:val="-6"/>
          <w:kern w:val="21"/>
          <w:szCs w:val="21"/>
        </w:rPr>
        <w:instrText xml:space="preserve"> = 3 \* GB3 \* MERGEFORMAT </w:instrText>
      </w:r>
      <w:r>
        <w:rPr>
          <w:snapToGrid w:val="0"/>
          <w:spacing w:val="-6"/>
          <w:kern w:val="21"/>
          <w:szCs w:val="21"/>
        </w:rPr>
        <w:fldChar w:fldCharType="separate"/>
      </w:r>
      <w:r>
        <w:rPr>
          <w:rFonts w:hint="eastAsia" w:hAnsi="宋体" w:cs="宋体"/>
          <w:szCs w:val="21"/>
        </w:rPr>
        <w:t>③</w:t>
      </w:r>
      <w:r>
        <w:rPr>
          <w:snapToGrid w:val="0"/>
          <w:spacing w:val="-6"/>
          <w:kern w:val="21"/>
          <w:szCs w:val="21"/>
        </w:rPr>
        <w:fldChar w:fldCharType="end"/>
      </w:r>
      <w:r>
        <w:rPr>
          <w:snapToGrid w:val="0"/>
          <w:spacing w:val="-6"/>
          <w:kern w:val="21"/>
          <w:szCs w:val="21"/>
        </w:rPr>
        <w:t>+</w:t>
      </w:r>
      <w:r>
        <w:rPr>
          <w:snapToGrid w:val="0"/>
          <w:spacing w:val="-6"/>
          <w:kern w:val="21"/>
          <w:szCs w:val="21"/>
        </w:rPr>
        <w:fldChar w:fldCharType="begin"/>
      </w:r>
      <w:r>
        <w:rPr>
          <w:snapToGrid w:val="0"/>
          <w:spacing w:val="-6"/>
          <w:kern w:val="21"/>
          <w:szCs w:val="21"/>
        </w:rPr>
        <w:instrText xml:space="preserve"> = 4 \* GB3 \* MERGEFORMAT </w:instrText>
      </w:r>
      <w:r>
        <w:rPr>
          <w:snapToGrid w:val="0"/>
          <w:spacing w:val="-6"/>
          <w:kern w:val="21"/>
          <w:szCs w:val="21"/>
        </w:rPr>
        <w:fldChar w:fldCharType="separate"/>
      </w:r>
      <w:r>
        <w:rPr>
          <w:rFonts w:hint="eastAsia" w:hAnsi="宋体" w:cs="宋体"/>
          <w:szCs w:val="21"/>
        </w:rPr>
        <w:t>④</w:t>
      </w:r>
      <w:r>
        <w:rPr>
          <w:snapToGrid w:val="0"/>
          <w:spacing w:val="-6"/>
          <w:kern w:val="21"/>
          <w:szCs w:val="21"/>
        </w:rPr>
        <w:fldChar w:fldCharType="end"/>
      </w:r>
      <w:r>
        <w:rPr>
          <w:snapToGrid w:val="0"/>
          <w:spacing w:val="-6"/>
          <w:kern w:val="21"/>
          <w:szCs w:val="21"/>
        </w:rPr>
        <w:t>-</w:t>
      </w:r>
      <w:r>
        <w:rPr>
          <w:snapToGrid w:val="0"/>
          <w:spacing w:val="-16"/>
          <w:kern w:val="21"/>
          <w:szCs w:val="21"/>
        </w:rPr>
        <w:fldChar w:fldCharType="begin"/>
      </w:r>
      <w:r>
        <w:rPr>
          <w:snapToGrid w:val="0"/>
          <w:spacing w:val="-16"/>
          <w:kern w:val="21"/>
          <w:szCs w:val="21"/>
        </w:rPr>
        <w:instrText xml:space="preserve"> = 5 \* GB3 \* MERGEFORMAT </w:instrText>
      </w:r>
      <w:r>
        <w:rPr>
          <w:snapToGrid w:val="0"/>
          <w:spacing w:val="-16"/>
          <w:kern w:val="21"/>
          <w:szCs w:val="21"/>
        </w:rPr>
        <w:fldChar w:fldCharType="separate"/>
      </w:r>
      <w:r>
        <w:rPr>
          <w:rFonts w:hint="eastAsia" w:hAnsi="宋体" w:cs="宋体"/>
          <w:szCs w:val="21"/>
        </w:rPr>
        <w:t>⑤</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7 \* GB3 \* MERGEFORMAT </w:instrText>
      </w:r>
      <w:r>
        <w:rPr>
          <w:snapToGrid w:val="0"/>
          <w:spacing w:val="-6"/>
          <w:kern w:val="21"/>
          <w:szCs w:val="21"/>
        </w:rPr>
        <w:fldChar w:fldCharType="separate"/>
      </w:r>
      <w:r>
        <w:rPr>
          <w:rFonts w:hint="eastAsia" w:hAnsi="宋体" w:cs="宋体"/>
          <w:szCs w:val="21"/>
        </w:rPr>
        <w:t>⑦</w:t>
      </w:r>
      <w:r>
        <w:rPr>
          <w:snapToGrid w:val="0"/>
          <w:spacing w:val="-6"/>
          <w:kern w:val="21"/>
          <w:szCs w:val="21"/>
        </w:rPr>
        <w:fldChar w:fldCharType="end"/>
      </w:r>
      <w:r>
        <w:rPr>
          <w:snapToGrid w:val="0"/>
          <w:spacing w:val="-6"/>
          <w:kern w:val="21"/>
          <w:szCs w:val="21"/>
        </w:rPr>
        <w:t>=</w:t>
      </w:r>
      <w:r>
        <w:rPr>
          <w:snapToGrid w:val="0"/>
          <w:spacing w:val="-16"/>
          <w:kern w:val="21"/>
          <w:szCs w:val="21"/>
        </w:rPr>
        <w:fldChar w:fldCharType="begin"/>
      </w:r>
      <w:r>
        <w:rPr>
          <w:snapToGrid w:val="0"/>
          <w:spacing w:val="-16"/>
          <w:kern w:val="21"/>
          <w:szCs w:val="21"/>
        </w:rPr>
        <w:instrText xml:space="preserve"> = 6 \* GB3 \* MERGEFORMAT </w:instrText>
      </w:r>
      <w:r>
        <w:rPr>
          <w:snapToGrid w:val="0"/>
          <w:spacing w:val="-16"/>
          <w:kern w:val="21"/>
          <w:szCs w:val="21"/>
        </w:rPr>
        <w:fldChar w:fldCharType="separate"/>
      </w:r>
      <w:r>
        <w:rPr>
          <w:rFonts w:hint="eastAsia" w:hAnsi="宋体" w:cs="宋体"/>
          <w:szCs w:val="21"/>
        </w:rPr>
        <w:t>⑥</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1 \* GB3 \* MERGEFORMAT </w:instrText>
      </w:r>
      <w:r>
        <w:rPr>
          <w:snapToGrid w:val="0"/>
          <w:spacing w:val="-6"/>
          <w:kern w:val="21"/>
          <w:szCs w:val="21"/>
        </w:rPr>
        <w:fldChar w:fldCharType="separate"/>
      </w:r>
      <w:r>
        <w:rPr>
          <w:rFonts w:hint="eastAsia" w:hAnsi="宋体" w:cs="宋体"/>
          <w:szCs w:val="21"/>
        </w:rPr>
        <w:t>①</w:t>
      </w:r>
      <w:r>
        <w:rPr>
          <w:snapToGrid w:val="0"/>
          <w:spacing w:val="-6"/>
          <w:kern w:val="21"/>
          <w:szCs w:val="21"/>
        </w:rPr>
        <w:fldChar w:fldCharType="end"/>
      </w:r>
    </w:p>
    <w:p>
      <w:pPr>
        <w:pStyle w:val="16"/>
        <w:adjustRightInd w:val="0"/>
        <w:snapToGrid w:val="0"/>
        <w:spacing w:before="0" w:beforeAutospacing="0" w:after="0" w:afterAutospacing="0" w:line="360" w:lineRule="auto"/>
        <w:outlineLvl w:val="0"/>
        <w:rPr>
          <w:rFonts w:ascii="Times New Roman" w:hAnsi="Times New Roman" w:eastAsia="黑体"/>
          <w:snapToGrid w:val="0"/>
          <w:sz w:val="32"/>
          <w:szCs w:val="32"/>
        </w:rPr>
      </w:pPr>
      <w:r>
        <w:rPr>
          <w:rFonts w:ascii="Times New Roman" w:hAnsi="Times New Roman" w:eastAsia="黑体"/>
          <w:snapToGrid w:val="0"/>
          <w:sz w:val="32"/>
          <w:szCs w:val="32"/>
        </w:rPr>
        <w:t>附图：</w:t>
      </w:r>
    </w:p>
    <w:p>
      <w:pPr>
        <w:spacing w:line="360" w:lineRule="auto"/>
        <w:ind w:firstLine="480" w:firstLineChars="200"/>
        <w:rPr>
          <w:sz w:val="24"/>
          <w:szCs w:val="32"/>
        </w:rPr>
      </w:pPr>
      <w:r>
        <w:rPr>
          <w:rFonts w:hint="eastAsia"/>
          <w:sz w:val="24"/>
          <w:szCs w:val="32"/>
        </w:rPr>
        <w:t>附图1：项目地理位置图</w:t>
      </w:r>
    </w:p>
    <w:p>
      <w:pPr>
        <w:spacing w:line="360" w:lineRule="auto"/>
        <w:ind w:firstLine="480" w:firstLineChars="200"/>
        <w:rPr>
          <w:sz w:val="24"/>
          <w:szCs w:val="32"/>
        </w:rPr>
      </w:pPr>
      <w:r>
        <w:rPr>
          <w:rFonts w:hint="eastAsia"/>
          <w:sz w:val="24"/>
          <w:szCs w:val="32"/>
        </w:rPr>
        <w:t>附图2：项目平面布置图</w:t>
      </w:r>
    </w:p>
    <w:p>
      <w:pPr>
        <w:spacing w:line="360" w:lineRule="auto"/>
        <w:ind w:firstLine="480" w:firstLineChars="200"/>
        <w:rPr>
          <w:sz w:val="24"/>
          <w:szCs w:val="32"/>
        </w:rPr>
      </w:pPr>
      <w:r>
        <w:rPr>
          <w:rFonts w:hint="eastAsia"/>
          <w:sz w:val="24"/>
          <w:szCs w:val="32"/>
        </w:rPr>
        <w:t>附图3：康复楼平面布置图</w:t>
      </w:r>
    </w:p>
    <w:p>
      <w:pPr>
        <w:pStyle w:val="6"/>
        <w:ind w:firstLine="480" w:firstLineChars="200"/>
        <w:rPr>
          <w:b w:val="0"/>
          <w:bCs w:val="0"/>
        </w:rPr>
      </w:pPr>
      <w:r>
        <w:rPr>
          <w:rFonts w:hint="eastAsia"/>
          <w:b w:val="0"/>
          <w:bCs w:val="0"/>
        </w:rPr>
        <w:t>附图4：分区防渗图</w:t>
      </w:r>
    </w:p>
    <w:p>
      <w:pPr>
        <w:spacing w:line="360" w:lineRule="auto"/>
        <w:ind w:firstLine="480" w:firstLineChars="200"/>
        <w:rPr>
          <w:sz w:val="24"/>
          <w:szCs w:val="32"/>
        </w:rPr>
      </w:pPr>
      <w:r>
        <w:rPr>
          <w:rFonts w:hint="eastAsia"/>
          <w:sz w:val="24"/>
          <w:szCs w:val="32"/>
        </w:rPr>
        <w:t>附图5：周边关系图</w:t>
      </w:r>
    </w:p>
    <w:p>
      <w:pPr>
        <w:spacing w:line="360" w:lineRule="auto"/>
        <w:ind w:firstLine="480" w:firstLineChars="200"/>
        <w:rPr>
          <w:rFonts w:hint="eastAsia"/>
          <w:sz w:val="24"/>
          <w:szCs w:val="32"/>
        </w:rPr>
      </w:pPr>
      <w:r>
        <w:rPr>
          <w:rFonts w:hint="eastAsia"/>
          <w:sz w:val="24"/>
          <w:szCs w:val="32"/>
        </w:rPr>
        <w:t>附图6：敏感目标分布图</w:t>
      </w:r>
    </w:p>
    <w:p>
      <w:pPr>
        <w:spacing w:line="360" w:lineRule="auto"/>
        <w:ind w:firstLine="480" w:firstLineChars="200"/>
        <w:rPr>
          <w:sz w:val="24"/>
          <w:szCs w:val="32"/>
        </w:rPr>
      </w:pPr>
      <w:r>
        <w:rPr>
          <w:rFonts w:hint="eastAsia"/>
          <w:sz w:val="24"/>
          <w:szCs w:val="32"/>
        </w:rPr>
        <w:t>附图</w:t>
      </w:r>
      <w:r>
        <w:rPr>
          <w:sz w:val="24"/>
          <w:szCs w:val="32"/>
        </w:rPr>
        <w:t>7</w:t>
      </w:r>
      <w:r>
        <w:rPr>
          <w:rFonts w:hint="eastAsia"/>
          <w:sz w:val="24"/>
          <w:szCs w:val="32"/>
        </w:rPr>
        <w:t>：噪声监测布点图</w:t>
      </w:r>
    </w:p>
    <w:p>
      <w:pPr>
        <w:pStyle w:val="2"/>
        <w:ind w:firstLine="480" w:firstLineChars="200"/>
        <w:rPr>
          <w:sz w:val="24"/>
          <w:szCs w:val="32"/>
        </w:rPr>
      </w:pPr>
      <w:r>
        <w:rPr>
          <w:rFonts w:hint="eastAsia"/>
          <w:sz w:val="24"/>
          <w:szCs w:val="32"/>
        </w:rPr>
        <w:t>附图</w:t>
      </w:r>
      <w:r>
        <w:rPr>
          <w:sz w:val="24"/>
          <w:szCs w:val="32"/>
        </w:rPr>
        <w:t>8</w:t>
      </w:r>
      <w:r>
        <w:rPr>
          <w:rFonts w:hint="eastAsia"/>
          <w:sz w:val="24"/>
          <w:szCs w:val="32"/>
        </w:rPr>
        <w:t>：环境管控单元分类图</w:t>
      </w:r>
    </w:p>
    <w:p>
      <w:pPr>
        <w:pStyle w:val="2"/>
        <w:ind w:firstLine="480" w:firstLineChars="200"/>
      </w:pPr>
      <w:r>
        <w:rPr>
          <w:rFonts w:hint="eastAsia"/>
          <w:sz w:val="24"/>
          <w:szCs w:val="32"/>
        </w:rPr>
        <w:t>附图</w:t>
      </w:r>
      <w:r>
        <w:rPr>
          <w:sz w:val="24"/>
          <w:szCs w:val="32"/>
        </w:rPr>
        <w:t>9</w:t>
      </w:r>
      <w:r>
        <w:rPr>
          <w:rFonts w:hint="eastAsia"/>
          <w:sz w:val="24"/>
          <w:szCs w:val="32"/>
        </w:rPr>
        <w:t>：昌吉市土地利用规划图</w:t>
      </w:r>
    </w:p>
    <w:p>
      <w:pPr>
        <w:pStyle w:val="16"/>
        <w:adjustRightInd w:val="0"/>
        <w:snapToGrid w:val="0"/>
        <w:spacing w:before="0" w:beforeAutospacing="0" w:after="0" w:afterAutospacing="0" w:line="360" w:lineRule="auto"/>
        <w:outlineLvl w:val="0"/>
        <w:rPr>
          <w:rFonts w:ascii="Times New Roman" w:hAnsi="Times New Roman" w:eastAsia="黑体"/>
          <w:snapToGrid w:val="0"/>
          <w:sz w:val="32"/>
          <w:szCs w:val="32"/>
        </w:rPr>
      </w:pPr>
      <w:r>
        <w:rPr>
          <w:rFonts w:ascii="Times New Roman" w:hAnsi="Times New Roman" w:eastAsia="黑体"/>
          <w:snapToGrid w:val="0"/>
          <w:sz w:val="32"/>
          <w:szCs w:val="32"/>
        </w:rPr>
        <w:t>附件：</w:t>
      </w:r>
    </w:p>
    <w:p>
      <w:pPr>
        <w:spacing w:line="360" w:lineRule="auto"/>
        <w:ind w:firstLine="480" w:firstLineChars="200"/>
        <w:rPr>
          <w:sz w:val="24"/>
          <w:szCs w:val="32"/>
        </w:rPr>
      </w:pPr>
      <w:r>
        <w:rPr>
          <w:sz w:val="24"/>
          <w:szCs w:val="32"/>
        </w:rPr>
        <w:t>附件1：委托书</w:t>
      </w:r>
    </w:p>
    <w:p>
      <w:pPr>
        <w:spacing w:line="360" w:lineRule="auto"/>
        <w:ind w:firstLine="480" w:firstLineChars="200"/>
        <w:rPr>
          <w:sz w:val="24"/>
          <w:szCs w:val="32"/>
        </w:rPr>
      </w:pPr>
      <w:r>
        <w:rPr>
          <w:sz w:val="24"/>
          <w:szCs w:val="32"/>
        </w:rPr>
        <w:t>附件2：立项文件</w:t>
      </w:r>
    </w:p>
    <w:p>
      <w:pPr>
        <w:spacing w:line="360" w:lineRule="auto"/>
        <w:ind w:firstLine="480" w:firstLineChars="200"/>
        <w:rPr>
          <w:sz w:val="24"/>
          <w:szCs w:val="32"/>
        </w:rPr>
      </w:pPr>
      <w:r>
        <w:rPr>
          <w:sz w:val="24"/>
          <w:szCs w:val="32"/>
        </w:rPr>
        <w:t>附件3：土地手续</w:t>
      </w:r>
    </w:p>
    <w:p>
      <w:pPr>
        <w:spacing w:line="360" w:lineRule="auto"/>
        <w:ind w:firstLine="480" w:firstLineChars="200"/>
        <w:rPr>
          <w:sz w:val="24"/>
          <w:szCs w:val="32"/>
        </w:rPr>
      </w:pPr>
      <w:r>
        <w:rPr>
          <w:sz w:val="24"/>
          <w:szCs w:val="32"/>
        </w:rPr>
        <w:t>附件</w:t>
      </w:r>
      <w:r>
        <w:rPr>
          <w:rFonts w:hint="eastAsia"/>
          <w:sz w:val="24"/>
          <w:szCs w:val="32"/>
        </w:rPr>
        <w:t>4</w:t>
      </w:r>
      <w:r>
        <w:rPr>
          <w:sz w:val="24"/>
          <w:szCs w:val="32"/>
        </w:rPr>
        <w:t>：</w:t>
      </w:r>
      <w:r>
        <w:rPr>
          <w:rFonts w:hint="eastAsia"/>
          <w:sz w:val="24"/>
          <w:szCs w:val="32"/>
        </w:rPr>
        <w:t>监测</w:t>
      </w:r>
      <w:r>
        <w:rPr>
          <w:sz w:val="24"/>
          <w:szCs w:val="32"/>
        </w:rPr>
        <w:t>报告</w:t>
      </w:r>
    </w:p>
    <w:p>
      <w:pPr>
        <w:spacing w:line="360" w:lineRule="auto"/>
        <w:ind w:firstLine="480" w:firstLineChars="200"/>
      </w:pPr>
      <w:r>
        <w:rPr>
          <w:sz w:val="24"/>
          <w:szCs w:val="32"/>
        </w:rPr>
        <w:t>附件</w:t>
      </w:r>
      <w:r>
        <w:rPr>
          <w:rFonts w:hint="eastAsia"/>
          <w:sz w:val="24"/>
          <w:szCs w:val="32"/>
        </w:rPr>
        <w:t>5</w:t>
      </w:r>
      <w:r>
        <w:rPr>
          <w:sz w:val="24"/>
          <w:szCs w:val="32"/>
        </w:rPr>
        <w:t>：</w:t>
      </w:r>
      <w:r>
        <w:rPr>
          <w:rFonts w:hint="eastAsia"/>
          <w:sz w:val="24"/>
          <w:szCs w:val="32"/>
        </w:rPr>
        <w:t>医疗废物清运处置协议</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5</w:t>
                          </w:r>
                          <w:r>
                            <w:fldChar w:fldCharType="end"/>
                          </w:r>
                        </w:p>
                      </w:txbxContent>
                    </wps:txbx>
                    <wps:bodyPr vert="horz" wrap="none" lIns="0" tIns="0" rIns="0" bIns="0" anchor="t" anchorCtr="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m435M2wEAALYDAAAOAAAAAAAAAAEA&#10;IAAAAB4BAABkcnMvZTJvRG9jLnhtbFBLBQYAAAAABgAGAFkBAABr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center"/>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sz w:val="26"/>
                              <w:szCs w:val="26"/>
                            </w:rPr>
                            <w:fldChar w:fldCharType="begin"/>
                          </w:r>
                          <w:r>
                            <w:rPr>
                              <w:rStyle w:val="20"/>
                              <w:sz w:val="26"/>
                              <w:szCs w:val="26"/>
                            </w:rPr>
                            <w:instrText xml:space="preserve">PAGE  </w:instrText>
                          </w:r>
                          <w:r>
                            <w:rPr>
                              <w:sz w:val="26"/>
                              <w:szCs w:val="26"/>
                            </w:rPr>
                            <w:fldChar w:fldCharType="separate"/>
                          </w:r>
                          <w:r>
                            <w:rPr>
                              <w:rStyle w:val="20"/>
                              <w:sz w:val="26"/>
                              <w:szCs w:val="26"/>
                            </w:rPr>
                            <w:t>34</w:t>
                          </w:r>
                          <w:r>
                            <w:rPr>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pPr>
                      <w:pStyle w:val="13"/>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sz w:val="26"/>
                        <w:szCs w:val="26"/>
                      </w:rPr>
                      <w:fldChar w:fldCharType="begin"/>
                    </w:r>
                    <w:r>
                      <w:rPr>
                        <w:rStyle w:val="20"/>
                        <w:sz w:val="26"/>
                        <w:szCs w:val="26"/>
                      </w:rPr>
                      <w:instrText xml:space="preserve">PAGE  </w:instrText>
                    </w:r>
                    <w:r>
                      <w:rPr>
                        <w:sz w:val="26"/>
                        <w:szCs w:val="26"/>
                      </w:rPr>
                      <w:fldChar w:fldCharType="separate"/>
                    </w:r>
                    <w:r>
                      <w:rPr>
                        <w:rStyle w:val="20"/>
                        <w:sz w:val="26"/>
                        <w:szCs w:val="26"/>
                      </w:rPr>
                      <w:t>34</w:t>
                    </w:r>
                    <w:r>
                      <w:rPr>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E58DA"/>
    <w:multiLevelType w:val="singleLevel"/>
    <w:tmpl w:val="D88E58DA"/>
    <w:lvl w:ilvl="0" w:tentative="0">
      <w:start w:val="2"/>
      <w:numFmt w:val="decimal"/>
      <w:suff w:val="nothing"/>
      <w:lvlText w:val="（%1）"/>
      <w:lvlJc w:val="left"/>
    </w:lvl>
  </w:abstractNum>
  <w:abstractNum w:abstractNumId="1">
    <w:nsid w:val="678394A2"/>
    <w:multiLevelType w:val="singleLevel"/>
    <w:tmpl w:val="678394A2"/>
    <w:lvl w:ilvl="0" w:tentative="0">
      <w:start w:val="1"/>
      <w:numFmt w:val="decimal"/>
      <w:suff w:val="nothing"/>
      <w:lvlText w:val="（%1）"/>
      <w:lvlJc w:val="left"/>
      <w:pPr>
        <w:ind w:left="-6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F5"/>
    <w:rsid w:val="000729DE"/>
    <w:rsid w:val="000B2AA8"/>
    <w:rsid w:val="001114D3"/>
    <w:rsid w:val="00161A21"/>
    <w:rsid w:val="00171631"/>
    <w:rsid w:val="002409A5"/>
    <w:rsid w:val="00242454"/>
    <w:rsid w:val="003031B5"/>
    <w:rsid w:val="00320EF1"/>
    <w:rsid w:val="003232DC"/>
    <w:rsid w:val="003438EE"/>
    <w:rsid w:val="003A4AE3"/>
    <w:rsid w:val="004702B3"/>
    <w:rsid w:val="00502B1B"/>
    <w:rsid w:val="00526C30"/>
    <w:rsid w:val="00527956"/>
    <w:rsid w:val="00527AA8"/>
    <w:rsid w:val="005B05F8"/>
    <w:rsid w:val="005B33CD"/>
    <w:rsid w:val="00667861"/>
    <w:rsid w:val="006914F0"/>
    <w:rsid w:val="006E02E1"/>
    <w:rsid w:val="006E2ED8"/>
    <w:rsid w:val="00755FAB"/>
    <w:rsid w:val="0078297F"/>
    <w:rsid w:val="007B5622"/>
    <w:rsid w:val="00845A15"/>
    <w:rsid w:val="0089476E"/>
    <w:rsid w:val="00981740"/>
    <w:rsid w:val="00990CA0"/>
    <w:rsid w:val="00A971F5"/>
    <w:rsid w:val="00B41158"/>
    <w:rsid w:val="00CC4597"/>
    <w:rsid w:val="00CF04FF"/>
    <w:rsid w:val="00D3210B"/>
    <w:rsid w:val="00D34670"/>
    <w:rsid w:val="00DE2442"/>
    <w:rsid w:val="00E428F0"/>
    <w:rsid w:val="00E75F73"/>
    <w:rsid w:val="00F37DE7"/>
    <w:rsid w:val="00F74D0D"/>
    <w:rsid w:val="00FA3E13"/>
    <w:rsid w:val="01B11286"/>
    <w:rsid w:val="02765299"/>
    <w:rsid w:val="02C74763"/>
    <w:rsid w:val="02F64DA2"/>
    <w:rsid w:val="036E4CAA"/>
    <w:rsid w:val="046B7B9A"/>
    <w:rsid w:val="055A69BD"/>
    <w:rsid w:val="061D59E2"/>
    <w:rsid w:val="069C338D"/>
    <w:rsid w:val="077F15CF"/>
    <w:rsid w:val="07BD730A"/>
    <w:rsid w:val="08FE0DC6"/>
    <w:rsid w:val="0AFF253F"/>
    <w:rsid w:val="0C204CB9"/>
    <w:rsid w:val="0CD07FDA"/>
    <w:rsid w:val="0DE160DD"/>
    <w:rsid w:val="0EA17C73"/>
    <w:rsid w:val="0EAF50FB"/>
    <w:rsid w:val="0F5F50A5"/>
    <w:rsid w:val="100A16B7"/>
    <w:rsid w:val="111A1CB2"/>
    <w:rsid w:val="12303E44"/>
    <w:rsid w:val="12CF06A3"/>
    <w:rsid w:val="13555C66"/>
    <w:rsid w:val="135B1A75"/>
    <w:rsid w:val="154D3162"/>
    <w:rsid w:val="1622164D"/>
    <w:rsid w:val="16537843"/>
    <w:rsid w:val="165438F6"/>
    <w:rsid w:val="16DE0648"/>
    <w:rsid w:val="17806650"/>
    <w:rsid w:val="18607803"/>
    <w:rsid w:val="18677669"/>
    <w:rsid w:val="18AF5083"/>
    <w:rsid w:val="1A315947"/>
    <w:rsid w:val="1B976C68"/>
    <w:rsid w:val="1BCD50CD"/>
    <w:rsid w:val="1BF55CB6"/>
    <w:rsid w:val="1C170C2D"/>
    <w:rsid w:val="1C704810"/>
    <w:rsid w:val="1CFB47D6"/>
    <w:rsid w:val="1D592DEC"/>
    <w:rsid w:val="1D9B4387"/>
    <w:rsid w:val="1E1C290F"/>
    <w:rsid w:val="1F043402"/>
    <w:rsid w:val="1FC32E71"/>
    <w:rsid w:val="2002242A"/>
    <w:rsid w:val="20995E14"/>
    <w:rsid w:val="20FF21F8"/>
    <w:rsid w:val="21D56FD9"/>
    <w:rsid w:val="21F21B9E"/>
    <w:rsid w:val="220A051D"/>
    <w:rsid w:val="223B2B62"/>
    <w:rsid w:val="229768FA"/>
    <w:rsid w:val="22C514F9"/>
    <w:rsid w:val="23305903"/>
    <w:rsid w:val="234C07DB"/>
    <w:rsid w:val="234C753D"/>
    <w:rsid w:val="23A12293"/>
    <w:rsid w:val="23A536B3"/>
    <w:rsid w:val="246716B0"/>
    <w:rsid w:val="24962064"/>
    <w:rsid w:val="24B831B1"/>
    <w:rsid w:val="24CE58C8"/>
    <w:rsid w:val="25295982"/>
    <w:rsid w:val="25583502"/>
    <w:rsid w:val="262565F5"/>
    <w:rsid w:val="267058C2"/>
    <w:rsid w:val="26732E8A"/>
    <w:rsid w:val="27601EBC"/>
    <w:rsid w:val="299A404E"/>
    <w:rsid w:val="29F2154F"/>
    <w:rsid w:val="2A650918"/>
    <w:rsid w:val="2A8F3C79"/>
    <w:rsid w:val="2AB001A2"/>
    <w:rsid w:val="2AEC704C"/>
    <w:rsid w:val="2B2F4439"/>
    <w:rsid w:val="2B571BCC"/>
    <w:rsid w:val="2CE961B3"/>
    <w:rsid w:val="2E666304"/>
    <w:rsid w:val="2EE9304E"/>
    <w:rsid w:val="2F2229CA"/>
    <w:rsid w:val="2F852C34"/>
    <w:rsid w:val="30360797"/>
    <w:rsid w:val="30686CE5"/>
    <w:rsid w:val="3180705D"/>
    <w:rsid w:val="31B32217"/>
    <w:rsid w:val="32762F16"/>
    <w:rsid w:val="334D0FA5"/>
    <w:rsid w:val="33C14C9C"/>
    <w:rsid w:val="34A83C6D"/>
    <w:rsid w:val="355B04D3"/>
    <w:rsid w:val="358123F1"/>
    <w:rsid w:val="37985107"/>
    <w:rsid w:val="37DF3255"/>
    <w:rsid w:val="386B5B4C"/>
    <w:rsid w:val="3A4D5AB9"/>
    <w:rsid w:val="3B093ABE"/>
    <w:rsid w:val="3B34717B"/>
    <w:rsid w:val="3B4E5E9E"/>
    <w:rsid w:val="3BAE5149"/>
    <w:rsid w:val="3BAE74B0"/>
    <w:rsid w:val="3BAF6391"/>
    <w:rsid w:val="3C840A5D"/>
    <w:rsid w:val="3CA47744"/>
    <w:rsid w:val="3D8C4A20"/>
    <w:rsid w:val="3E186082"/>
    <w:rsid w:val="3E9A2D1E"/>
    <w:rsid w:val="3EB22F72"/>
    <w:rsid w:val="3F1C3C88"/>
    <w:rsid w:val="3F2D20F3"/>
    <w:rsid w:val="3F8815C8"/>
    <w:rsid w:val="41146C48"/>
    <w:rsid w:val="416F51DA"/>
    <w:rsid w:val="41FD03BE"/>
    <w:rsid w:val="426771C5"/>
    <w:rsid w:val="43087E99"/>
    <w:rsid w:val="432A1BB7"/>
    <w:rsid w:val="44110CDB"/>
    <w:rsid w:val="445E4F23"/>
    <w:rsid w:val="446356C4"/>
    <w:rsid w:val="451C455F"/>
    <w:rsid w:val="464E372B"/>
    <w:rsid w:val="47B2157D"/>
    <w:rsid w:val="47E269B3"/>
    <w:rsid w:val="48EF786E"/>
    <w:rsid w:val="49072F4D"/>
    <w:rsid w:val="49636743"/>
    <w:rsid w:val="499815AC"/>
    <w:rsid w:val="49CE3667"/>
    <w:rsid w:val="4A374F43"/>
    <w:rsid w:val="4A63343C"/>
    <w:rsid w:val="4A733ABB"/>
    <w:rsid w:val="4A7C1958"/>
    <w:rsid w:val="4B015EC9"/>
    <w:rsid w:val="4B26133A"/>
    <w:rsid w:val="4BD36964"/>
    <w:rsid w:val="4D143C1E"/>
    <w:rsid w:val="4D51612A"/>
    <w:rsid w:val="4D6754BB"/>
    <w:rsid w:val="4EB82C91"/>
    <w:rsid w:val="50617FB6"/>
    <w:rsid w:val="506908B0"/>
    <w:rsid w:val="50B31104"/>
    <w:rsid w:val="50D813FE"/>
    <w:rsid w:val="51472A63"/>
    <w:rsid w:val="5161333F"/>
    <w:rsid w:val="52006945"/>
    <w:rsid w:val="5255308E"/>
    <w:rsid w:val="52B77981"/>
    <w:rsid w:val="53C21D40"/>
    <w:rsid w:val="53C220BD"/>
    <w:rsid w:val="558829DA"/>
    <w:rsid w:val="56613026"/>
    <w:rsid w:val="56E74100"/>
    <w:rsid w:val="591F274B"/>
    <w:rsid w:val="5AE3744F"/>
    <w:rsid w:val="5B135243"/>
    <w:rsid w:val="5B6534E4"/>
    <w:rsid w:val="5BFE40E3"/>
    <w:rsid w:val="5C556AF1"/>
    <w:rsid w:val="5C7976BC"/>
    <w:rsid w:val="5CB41ED6"/>
    <w:rsid w:val="5D3D3CCD"/>
    <w:rsid w:val="5DD136A4"/>
    <w:rsid w:val="5DDF34E3"/>
    <w:rsid w:val="5E88482E"/>
    <w:rsid w:val="5E977CDA"/>
    <w:rsid w:val="5EE57ECC"/>
    <w:rsid w:val="5F3603D2"/>
    <w:rsid w:val="5FA27192"/>
    <w:rsid w:val="5FCC1D3F"/>
    <w:rsid w:val="5FE4197C"/>
    <w:rsid w:val="6082692A"/>
    <w:rsid w:val="61D8298A"/>
    <w:rsid w:val="624A060B"/>
    <w:rsid w:val="62634B41"/>
    <w:rsid w:val="62C25E5C"/>
    <w:rsid w:val="63927136"/>
    <w:rsid w:val="64300E53"/>
    <w:rsid w:val="64660EA9"/>
    <w:rsid w:val="65254E11"/>
    <w:rsid w:val="662024EB"/>
    <w:rsid w:val="662D3FF2"/>
    <w:rsid w:val="6651474F"/>
    <w:rsid w:val="665845A9"/>
    <w:rsid w:val="66650182"/>
    <w:rsid w:val="67984465"/>
    <w:rsid w:val="67DE7994"/>
    <w:rsid w:val="6A6555A3"/>
    <w:rsid w:val="6BC456A2"/>
    <w:rsid w:val="6D311FE4"/>
    <w:rsid w:val="6DC6617A"/>
    <w:rsid w:val="6E5D0151"/>
    <w:rsid w:val="6ECF7438"/>
    <w:rsid w:val="70211AB5"/>
    <w:rsid w:val="709C219B"/>
    <w:rsid w:val="70D96804"/>
    <w:rsid w:val="718A53F4"/>
    <w:rsid w:val="720D7D3F"/>
    <w:rsid w:val="72535578"/>
    <w:rsid w:val="72F37161"/>
    <w:rsid w:val="73186A1F"/>
    <w:rsid w:val="75215891"/>
    <w:rsid w:val="7529521B"/>
    <w:rsid w:val="75320CDF"/>
    <w:rsid w:val="75332D67"/>
    <w:rsid w:val="786A33E5"/>
    <w:rsid w:val="78CB5813"/>
    <w:rsid w:val="78CB6627"/>
    <w:rsid w:val="792C7847"/>
    <w:rsid w:val="7A5F326E"/>
    <w:rsid w:val="7B146EC2"/>
    <w:rsid w:val="7BF83A9F"/>
    <w:rsid w:val="7CAC21C7"/>
    <w:rsid w:val="7CFA6DF7"/>
    <w:rsid w:val="7DBB33CE"/>
    <w:rsid w:val="7FBE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link w:val="25"/>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26"/>
    <w:qFormat/>
    <w:uiPriority w:val="0"/>
    <w:pPr>
      <w:keepNext/>
      <w:keepLines/>
      <w:spacing w:line="360" w:lineRule="auto"/>
      <w:outlineLvl w:val="2"/>
    </w:pPr>
    <w:rPr>
      <w:b/>
      <w:bCs/>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napToGrid w:val="0"/>
      <w:spacing w:before="60" w:after="160" w:line="259" w:lineRule="auto"/>
      <w:ind w:right="113"/>
    </w:pPr>
    <w:rPr>
      <w:kern w:val="0"/>
      <w:sz w:val="18"/>
      <w:szCs w:val="20"/>
    </w:rPr>
  </w:style>
  <w:style w:type="paragraph" w:styleId="3">
    <w:name w:val="Body Text 2"/>
    <w:basedOn w:val="1"/>
    <w:unhideWhenUsed/>
    <w:qFormat/>
    <w:uiPriority w:val="99"/>
    <w:pPr>
      <w:spacing w:after="120" w:line="480" w:lineRule="auto"/>
    </w:pPr>
  </w:style>
  <w:style w:type="paragraph" w:styleId="7">
    <w:name w:val="Normal Indent"/>
    <w:basedOn w:val="1"/>
    <w:next w:val="1"/>
    <w:qFormat/>
    <w:uiPriority w:val="0"/>
    <w:pPr>
      <w:ind w:firstLine="420" w:firstLineChars="200"/>
    </w:pPr>
  </w:style>
  <w:style w:type="paragraph" w:styleId="8">
    <w:name w:val="caption"/>
    <w:basedOn w:val="1"/>
    <w:next w:val="1"/>
    <w:qFormat/>
    <w:uiPriority w:val="35"/>
    <w:pPr>
      <w:spacing w:line="360" w:lineRule="auto"/>
      <w:jc w:val="center"/>
    </w:pPr>
    <w:rPr>
      <w:b/>
      <w:sz w:val="24"/>
      <w:szCs w:val="20"/>
    </w:rPr>
  </w:style>
  <w:style w:type="paragraph" w:styleId="9">
    <w:name w:val="Body Text Indent"/>
    <w:basedOn w:val="1"/>
    <w:next w:val="10"/>
    <w:qFormat/>
    <w:uiPriority w:val="0"/>
    <w:pPr>
      <w:spacing w:after="120"/>
      <w:ind w:left="420" w:leftChars="200"/>
    </w:pPr>
    <w:rPr>
      <w:kern w:val="0"/>
      <w:sz w:val="24"/>
      <w:szCs w:val="20"/>
    </w:rPr>
  </w:style>
  <w:style w:type="paragraph" w:styleId="10">
    <w:name w:val="Body Text First Indent 2"/>
    <w:basedOn w:val="1"/>
    <w:next w:val="2"/>
    <w:qFormat/>
    <w:uiPriority w:val="0"/>
    <w:pPr>
      <w:adjustRightInd w:val="0"/>
      <w:snapToGrid w:val="0"/>
      <w:ind w:firstLine="420"/>
    </w:pPr>
    <w:rPr>
      <w:sz w:val="32"/>
    </w:rPr>
  </w:style>
  <w:style w:type="paragraph" w:styleId="11">
    <w:name w:val="Body Text Indent 2"/>
    <w:basedOn w:val="1"/>
    <w:unhideWhenUsed/>
    <w:qFormat/>
    <w:uiPriority w:val="99"/>
    <w:pPr>
      <w:spacing w:line="560" w:lineRule="exact"/>
      <w:ind w:firstLine="480" w:firstLineChars="200"/>
    </w:pPr>
    <w:rPr>
      <w:rFonts w:hAnsi="宋体"/>
      <w:sz w:val="24"/>
    </w:rPr>
  </w:style>
  <w:style w:type="paragraph" w:styleId="12">
    <w:name w:val="Balloon Text"/>
    <w:basedOn w:val="1"/>
    <w:semiHidden/>
    <w:qFormat/>
    <w:uiPriority w:val="0"/>
    <w:rPr>
      <w:kern w:val="0"/>
      <w:sz w:val="18"/>
      <w:szCs w:val="20"/>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List"/>
    <w:basedOn w:val="1"/>
    <w:qFormat/>
    <w:uiPriority w:val="0"/>
    <w:pPr>
      <w:ind w:left="200" w:hanging="200" w:hanging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表头"/>
    <w:basedOn w:val="7"/>
    <w:next w:val="1"/>
    <w:link w:val="27"/>
    <w:qFormat/>
    <w:uiPriority w:val="0"/>
    <w:pPr>
      <w:jc w:val="center"/>
    </w:pPr>
    <w:rPr>
      <w:rFonts w:hint="eastAsia"/>
      <w:b/>
      <w:bCs/>
      <w:szCs w:val="21"/>
    </w:rPr>
  </w:style>
  <w:style w:type="paragraph" w:customStyle="1" w:styleId="2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Body Text 21"/>
    <w:basedOn w:val="1"/>
    <w:qFormat/>
    <w:uiPriority w:val="0"/>
    <w:pPr>
      <w:spacing w:after="120" w:line="480" w:lineRule="auto"/>
    </w:pPr>
  </w:style>
  <w:style w:type="character" w:customStyle="1" w:styleId="24">
    <w:name w:val="标题 1 字符"/>
    <w:link w:val="4"/>
    <w:qFormat/>
    <w:uiPriority w:val="99"/>
    <w:rPr>
      <w:rFonts w:eastAsia="黑体"/>
      <w:b/>
      <w:bCs/>
      <w:color w:val="000000"/>
      <w:kern w:val="44"/>
      <w:sz w:val="30"/>
      <w:szCs w:val="30"/>
    </w:rPr>
  </w:style>
  <w:style w:type="character" w:customStyle="1" w:styleId="25">
    <w:name w:val="标题 2 字符"/>
    <w:link w:val="5"/>
    <w:qFormat/>
    <w:uiPriority w:val="0"/>
    <w:rPr>
      <w:rFonts w:ascii="Arial" w:hAnsi="Arial" w:eastAsia="黑体"/>
      <w:b/>
      <w:sz w:val="32"/>
    </w:rPr>
  </w:style>
  <w:style w:type="character" w:customStyle="1" w:styleId="26">
    <w:name w:val="标题 3 字符"/>
    <w:link w:val="6"/>
    <w:qFormat/>
    <w:uiPriority w:val="0"/>
    <w:rPr>
      <w:b/>
      <w:bCs/>
      <w:sz w:val="24"/>
      <w:szCs w:val="32"/>
    </w:rPr>
  </w:style>
  <w:style w:type="character" w:customStyle="1" w:styleId="27">
    <w:name w:val="表头 Char"/>
    <w:link w:val="21"/>
    <w:qFormat/>
    <w:uiPriority w:val="0"/>
    <w:rPr>
      <w:rFonts w:hint="eastAsia" w:ascii="Times New Roman" w:hAnsi="Times New Roman" w:eastAsia="宋体"/>
      <w:b/>
      <w:bCs/>
      <w:szCs w:val="21"/>
    </w:rPr>
  </w:style>
  <w:style w:type="paragraph" w:customStyle="1" w:styleId="28">
    <w:name w:val="表格"/>
    <w:basedOn w:val="1"/>
    <w:next w:val="1"/>
    <w:qFormat/>
    <w:uiPriority w:val="0"/>
    <w:pPr>
      <w:adjustRightInd w:val="0"/>
      <w:snapToGrid w:val="0"/>
      <w:spacing w:before="10" w:beforeLines="10" w:after="10" w:afterLines="10" w:line="259" w:lineRule="auto"/>
      <w:jc w:val="center"/>
    </w:pPr>
    <w:rPr>
      <w:kern w:val="0"/>
      <w:szCs w:val="20"/>
    </w:rPr>
  </w:style>
  <w:style w:type="paragraph" w:customStyle="1" w:styleId="29">
    <w:name w:val="德源报告表表格"/>
    <w:qFormat/>
    <w:uiPriority w:val="0"/>
    <w:pPr>
      <w:adjustRightInd w:val="0"/>
      <w:snapToGrid w:val="0"/>
      <w:spacing w:line="360" w:lineRule="exact"/>
      <w:jc w:val="center"/>
    </w:pPr>
    <w:rPr>
      <w:rFonts w:ascii="Times New Roman" w:hAnsi="Times New Roman" w:eastAsia="宋体" w:cs="Times New Roman"/>
      <w:snapToGrid w:val="0"/>
      <w:sz w:val="21"/>
      <w:szCs w:val="21"/>
      <w:lang w:val="en-US" w:eastAsia="zh-CN" w:bidi="ar-SA"/>
    </w:rPr>
  </w:style>
  <w:style w:type="paragraph" w:customStyle="1" w:styleId="30">
    <w:name w:val="正文新"/>
    <w:basedOn w:val="1"/>
    <w:qFormat/>
    <w:uiPriority w:val="0"/>
    <w:pPr>
      <w:spacing w:line="460" w:lineRule="exact"/>
      <w:ind w:firstLine="480" w:firstLineChars="200"/>
    </w:pPr>
    <w:rPr>
      <w:sz w:val="24"/>
    </w:rPr>
  </w:style>
  <w:style w:type="paragraph" w:customStyle="1" w:styleId="31">
    <w:name w:val="环评正文"/>
    <w:basedOn w:val="1"/>
    <w:qFormat/>
    <w:uiPriority w:val="0"/>
    <w:pPr>
      <w:autoSpaceDE w:val="0"/>
      <w:autoSpaceDN w:val="0"/>
      <w:adjustRightInd w:val="0"/>
      <w:snapToGrid w:val="0"/>
      <w:spacing w:line="360" w:lineRule="auto"/>
      <w:ind w:firstLine="200" w:firstLineChars="200"/>
    </w:pPr>
    <w:rPr>
      <w:rFonts w:cs="宋体"/>
      <w:kern w:val="0"/>
      <w:sz w:val="24"/>
      <w:szCs w:val="21"/>
    </w:rPr>
  </w:style>
  <w:style w:type="paragraph" w:customStyle="1" w:styleId="32">
    <w:name w:val="表格正文"/>
    <w:basedOn w:val="33"/>
    <w:qFormat/>
    <w:uiPriority w:val="0"/>
    <w:pPr>
      <w:wordWrap w:val="0"/>
    </w:pPr>
    <w:rPr>
      <w:b w:val="0"/>
    </w:rPr>
  </w:style>
  <w:style w:type="paragraph" w:customStyle="1" w:styleId="33">
    <w:name w:val="表格标题"/>
    <w:basedOn w:val="21"/>
    <w:qFormat/>
    <w:uiPriority w:val="0"/>
    <w:rPr>
      <w:rFonts w:hint="default"/>
    </w:rPr>
  </w:style>
  <w:style w:type="paragraph" w:customStyle="1" w:styleId="34">
    <w:name w:val="表格1"/>
    <w:basedOn w:val="1"/>
    <w:link w:val="49"/>
    <w:qFormat/>
    <w:uiPriority w:val="0"/>
    <w:pPr>
      <w:adjustRightInd w:val="0"/>
      <w:snapToGrid w:val="0"/>
      <w:jc w:val="center"/>
    </w:pPr>
    <w:rPr>
      <w:rFonts w:eastAsia="方正仿宋_GBK"/>
      <w:color w:val="000000"/>
      <w:kern w:val="0"/>
    </w:rPr>
  </w:style>
  <w:style w:type="paragraph" w:customStyle="1" w:styleId="35">
    <w:name w:val="表格字体"/>
    <w:basedOn w:val="1"/>
    <w:qFormat/>
    <w:uiPriority w:val="0"/>
    <w:pPr>
      <w:adjustRightInd w:val="0"/>
      <w:snapToGrid w:val="0"/>
      <w:jc w:val="center"/>
    </w:pPr>
    <w:rPr>
      <w:rFonts w:hint="eastAsia"/>
    </w:rPr>
  </w:style>
  <w:style w:type="paragraph" w:styleId="36">
    <w:name w:val="List Paragraph"/>
    <w:basedOn w:val="1"/>
    <w:qFormat/>
    <w:uiPriority w:val="34"/>
    <w:pPr>
      <w:ind w:firstLine="420" w:firstLineChars="200"/>
    </w:pPr>
  </w:style>
  <w:style w:type="paragraph" w:customStyle="1" w:styleId="37">
    <w:name w:val="Table Paragraph"/>
    <w:qFormat/>
    <w:uiPriority w:val="1"/>
    <w:pPr>
      <w:widowControl w:val="0"/>
      <w:jc w:val="center"/>
    </w:pPr>
    <w:rPr>
      <w:rFonts w:ascii="宋体" w:hAnsi="宋体" w:eastAsia="宋体" w:cs="宋体"/>
      <w:kern w:val="2"/>
      <w:sz w:val="21"/>
      <w:szCs w:val="24"/>
      <w:lang w:val="zh-CN" w:eastAsia="zh-CN" w:bidi="zh-CN"/>
    </w:rPr>
  </w:style>
  <w:style w:type="paragraph" w:customStyle="1" w:styleId="38">
    <w:name w:val="表格式"/>
    <w:basedOn w:val="15"/>
    <w:qFormat/>
    <w:uiPriority w:val="0"/>
    <w:pPr>
      <w:spacing w:line="400" w:lineRule="exact"/>
      <w:ind w:left="0" w:firstLine="0" w:firstLineChars="0"/>
      <w:jc w:val="center"/>
    </w:pPr>
    <w:rPr>
      <w:rFonts w:ascii="宋体" w:hAnsi="宋体"/>
    </w:rPr>
  </w:style>
  <w:style w:type="character" w:customStyle="1" w:styleId="39">
    <w:name w:val="font31"/>
    <w:basedOn w:val="19"/>
    <w:qFormat/>
    <w:uiPriority w:val="0"/>
    <w:rPr>
      <w:rFonts w:hint="default" w:ascii="Times New Roman" w:hAnsi="Times New Roman" w:cs="Times New Roman"/>
      <w:color w:val="000000"/>
      <w:sz w:val="21"/>
      <w:szCs w:val="21"/>
      <w:u w:val="none"/>
    </w:rPr>
  </w:style>
  <w:style w:type="character" w:customStyle="1" w:styleId="40">
    <w:name w:val="font11"/>
    <w:basedOn w:val="19"/>
    <w:qFormat/>
    <w:uiPriority w:val="0"/>
    <w:rPr>
      <w:rFonts w:hint="default" w:ascii="Times New Roman" w:hAnsi="Times New Roman" w:cs="Times New Roman"/>
      <w:color w:val="000000"/>
      <w:sz w:val="21"/>
      <w:szCs w:val="21"/>
      <w:u w:val="none"/>
      <w:vertAlign w:val="subscript"/>
    </w:rPr>
  </w:style>
  <w:style w:type="character" w:customStyle="1" w:styleId="41">
    <w:name w:val="font21"/>
    <w:basedOn w:val="19"/>
    <w:qFormat/>
    <w:uiPriority w:val="0"/>
    <w:rPr>
      <w:rFonts w:hint="eastAsia" w:ascii="宋体" w:hAnsi="宋体" w:eastAsia="宋体" w:cs="宋体"/>
      <w:color w:val="000000"/>
      <w:sz w:val="21"/>
      <w:szCs w:val="21"/>
      <w:u w:val="none"/>
    </w:rPr>
  </w:style>
  <w:style w:type="character" w:customStyle="1" w:styleId="42">
    <w:name w:val="font41"/>
    <w:basedOn w:val="19"/>
    <w:qFormat/>
    <w:uiPriority w:val="0"/>
    <w:rPr>
      <w:rFonts w:hint="default" w:ascii="Times New Roman" w:hAnsi="Times New Roman" w:cs="Times New Roman"/>
      <w:color w:val="000000"/>
      <w:sz w:val="21"/>
      <w:szCs w:val="21"/>
      <w:u w:val="none"/>
      <w:vertAlign w:val="superscript"/>
    </w:rPr>
  </w:style>
  <w:style w:type="paragraph" w:customStyle="1" w:styleId="43">
    <w:name w:val="样式 样式 首行缩进:  0.85 厘米 + 段前: 0.5 行"/>
    <w:basedOn w:val="1"/>
    <w:qFormat/>
    <w:uiPriority w:val="0"/>
    <w:pPr>
      <w:spacing w:before="50" w:line="360" w:lineRule="auto"/>
      <w:ind w:firstLine="482"/>
    </w:pPr>
    <w:rPr>
      <w:bCs/>
      <w:sz w:val="24"/>
    </w:rPr>
  </w:style>
  <w:style w:type="paragraph" w:customStyle="1" w:styleId="44">
    <w:name w:val="Char Char Char Char Char Char Char Char Char1 Char Char Char Char"/>
    <w:basedOn w:val="1"/>
    <w:semiHidden/>
    <w:qFormat/>
    <w:uiPriority w:val="0"/>
    <w:pPr>
      <w:spacing w:line="360" w:lineRule="auto"/>
      <w:ind w:firstLine="200" w:firstLineChars="200"/>
    </w:pPr>
    <w:rPr>
      <w:rFonts w:ascii="宋体" w:hAnsi="宋体" w:cs="宋体"/>
      <w:sz w:val="24"/>
      <w:szCs w:val="26"/>
    </w:rPr>
  </w:style>
  <w:style w:type="paragraph" w:customStyle="1" w:styleId="45">
    <w:name w:val="表+五号"/>
    <w:basedOn w:val="1"/>
    <w:qFormat/>
    <w:uiPriority w:val="0"/>
    <w:rPr>
      <w:szCs w:val="28"/>
    </w:rPr>
  </w:style>
  <w:style w:type="paragraph" w:customStyle="1" w:styleId="46">
    <w:name w:val="样式 首行缩进:  2 字符1"/>
    <w:basedOn w:val="1"/>
    <w:qFormat/>
    <w:uiPriority w:val="0"/>
    <w:pPr>
      <w:spacing w:line="400" w:lineRule="exact"/>
    </w:pPr>
    <w:rPr>
      <w:rFonts w:ascii="宋体"/>
      <w:szCs w:val="20"/>
    </w:rPr>
  </w:style>
  <w:style w:type="paragraph" w:customStyle="1" w:styleId="47">
    <w:name w:val="文本"/>
    <w:basedOn w:val="1"/>
    <w:qFormat/>
    <w:uiPriority w:val="0"/>
    <w:pPr>
      <w:adjustRightInd w:val="0"/>
      <w:snapToGrid w:val="0"/>
      <w:spacing w:line="360" w:lineRule="auto"/>
      <w:ind w:firstLine="480" w:firstLineChars="200"/>
      <w:jc w:val="left"/>
    </w:pPr>
    <w:rPr>
      <w:rFonts w:ascii="Calibri" w:hAnsi="Calibri"/>
      <w:sz w:val="24"/>
    </w:rPr>
  </w:style>
  <w:style w:type="paragraph" w:customStyle="1" w:styleId="48">
    <w:name w:val="列出段落8"/>
    <w:basedOn w:val="1"/>
    <w:unhideWhenUsed/>
    <w:qFormat/>
    <w:uiPriority w:val="34"/>
    <w:pPr>
      <w:widowControl/>
      <w:adjustRightInd w:val="0"/>
      <w:snapToGrid w:val="0"/>
      <w:spacing w:line="360" w:lineRule="auto"/>
      <w:ind w:firstLine="420" w:firstLineChars="200"/>
    </w:pPr>
    <w:rPr>
      <w:rFonts w:ascii="Calibri" w:hAnsi="Calibri" w:eastAsia="仿宋"/>
      <w:sz w:val="28"/>
      <w:szCs w:val="20"/>
      <w:lang w:bidi="en-US"/>
    </w:rPr>
  </w:style>
  <w:style w:type="character" w:customStyle="1" w:styleId="49">
    <w:name w:val="表格1 Char"/>
    <w:link w:val="34"/>
    <w:qFormat/>
    <w:uiPriority w:val="0"/>
    <w:rPr>
      <w:rFonts w:eastAsia="方正仿宋_GBK"/>
      <w:color w:val="000000"/>
      <w:sz w:val="21"/>
      <w:szCs w:val="24"/>
    </w:rPr>
  </w:style>
  <w:style w:type="character" w:customStyle="1" w:styleId="50">
    <w:name w:val="fontstyle01"/>
    <w:basedOn w:val="19"/>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4697</Words>
  <Characters>26774</Characters>
  <Lines>223</Lines>
  <Paragraphs>62</Paragraphs>
  <TotalTime>6</TotalTime>
  <ScaleCrop>false</ScaleCrop>
  <LinksUpToDate>false</LinksUpToDate>
  <CharactersWithSpaces>31409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2021-08-11T11:04:00Z</dcterms:created>
  <dc:creator>admin</dc:creator>
  <cp:lastModifiedBy>〒_〒</cp:lastModifiedBy>
  <cp:lastPrinted>2022-03-16T03:53:32Z</cp:lastPrinted>
  <dcterms:modified xsi:type="dcterms:W3CDTF">2022-03-16T04:09:57Z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EB9FE1C653BB4200B497099F7FD6D201</vt:lpwstr>
  </property>
</Properties>
</file>