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shd w:val="clear"/>
        <w:adjustRightInd w:val="0"/>
        <w:snapToGrid w:val="0"/>
        <w:jc w:val="center"/>
        <w:outlineLvl w:val="0"/>
        <w:rPr>
          <w:rFonts w:ascii="方正小标宋_GBK" w:eastAsia="方正小标宋_GBK"/>
          <w:bCs/>
          <w:sz w:val="44"/>
          <w:szCs w:val="44"/>
        </w:rPr>
      </w:pPr>
      <w:r>
        <w:rPr>
          <w:rFonts w:hint="eastAsia" w:ascii="方正小标宋_GBK" w:eastAsia="方正小标宋_GBK"/>
          <w:bCs/>
          <w:sz w:val="44"/>
          <w:szCs w:val="44"/>
        </w:rPr>
        <w:t>建设项目环境影响报告表</w:t>
      </w:r>
    </w:p>
    <w:p>
      <w:pPr>
        <w:shd w:val="clear"/>
        <w:adjustRightInd w:val="0"/>
        <w:snapToGrid w:val="0"/>
        <w:spacing w:before="192" w:beforeLines="80"/>
        <w:jc w:val="center"/>
        <w:rPr>
          <w:rFonts w:ascii="楷体_GB2312" w:eastAsia="楷体_GB2312"/>
          <w:bCs/>
          <w:sz w:val="44"/>
          <w:szCs w:val="44"/>
        </w:rPr>
      </w:pPr>
      <w:r>
        <w:rPr>
          <w:rFonts w:hint="eastAsia" w:ascii="楷体_GB2312" w:eastAsia="楷体_GB2312"/>
          <w:bCs/>
          <w:sz w:val="44"/>
          <w:szCs w:val="44"/>
        </w:rPr>
        <w:t>（污染影响类）</w:t>
      </w:r>
    </w:p>
    <w:p>
      <w:pPr>
        <w:shd w:val="clear"/>
        <w:adjustRightInd w:val="0"/>
        <w:snapToGrid w:val="0"/>
        <w:spacing w:line="288" w:lineRule="auto"/>
        <w:jc w:val="center"/>
        <w:outlineLvl w:val="0"/>
        <w:rPr>
          <w:rFonts w:ascii="华文仿宋" w:hAnsi="华文仿宋" w:eastAsia="华文仿宋" w:cs="华文仿宋"/>
          <w:kern w:val="44"/>
          <w:sz w:val="44"/>
          <w:szCs w:val="44"/>
        </w:rPr>
      </w:pPr>
    </w:p>
    <w:p>
      <w:pPr>
        <w:shd w:val="clear"/>
        <w:jc w:val="center"/>
        <w:rPr>
          <w:rFonts w:eastAsia="仿宋"/>
          <w:sz w:val="52"/>
          <w:szCs w:val="52"/>
        </w:rPr>
      </w:pPr>
    </w:p>
    <w:p>
      <w:pPr>
        <w:shd w:val="clear"/>
        <w:ind w:firstLine="1040"/>
        <w:rPr>
          <w:rFonts w:eastAsia="仿宋"/>
          <w:sz w:val="44"/>
          <w:szCs w:val="44"/>
        </w:rPr>
      </w:pPr>
    </w:p>
    <w:p>
      <w:pPr>
        <w:shd w:val="clear"/>
        <w:ind w:firstLine="1040"/>
        <w:rPr>
          <w:rFonts w:eastAsia="仿宋"/>
          <w:sz w:val="44"/>
          <w:szCs w:val="44"/>
        </w:rPr>
      </w:pPr>
    </w:p>
    <w:p>
      <w:pPr>
        <w:shd w:val="clear"/>
        <w:ind w:firstLine="1040"/>
        <w:rPr>
          <w:rFonts w:eastAsia="仿宋"/>
          <w:sz w:val="44"/>
          <w:szCs w:val="44"/>
        </w:rPr>
      </w:pPr>
    </w:p>
    <w:p>
      <w:pPr>
        <w:shd w:val="clear"/>
        <w:adjustRightInd w:val="0"/>
        <w:snapToGrid w:val="0"/>
        <w:spacing w:line="288" w:lineRule="auto"/>
        <w:ind w:firstLine="1040"/>
        <w:jc w:val="both"/>
        <w:rPr>
          <w:rFonts w:hint="eastAsia" w:ascii="仿宋_GB2312" w:eastAsia="仿宋_GB2312"/>
          <w:sz w:val="32"/>
          <w:szCs w:val="32"/>
          <w:u w:val="single"/>
          <w:lang w:val="en-US" w:eastAsia="zh-CN"/>
        </w:rPr>
      </w:pPr>
      <w:r>
        <w:rPr>
          <w:rFonts w:hint="eastAsia" w:ascii="仿宋_GB2312" w:eastAsia="仿宋_GB2312"/>
          <w:sz w:val="32"/>
          <w:szCs w:val="32"/>
        </w:rPr>
        <w:t>项目名称：</w:t>
      </w:r>
      <w:r>
        <w:rPr>
          <w:rFonts w:hint="eastAsia" w:ascii="仿宋_GB2312" w:eastAsia="仿宋_GB2312"/>
          <w:sz w:val="32"/>
          <w:szCs w:val="32"/>
          <w:u w:val="single"/>
          <w:lang w:val="en-US" w:eastAsia="zh-CN"/>
        </w:rPr>
        <w:t>玛纳斯县中医医院中医康复治疗建设项目</w:t>
      </w:r>
    </w:p>
    <w:p>
      <w:pPr>
        <w:shd w:val="clear"/>
        <w:adjustRightInd w:val="0"/>
        <w:snapToGrid w:val="0"/>
        <w:spacing w:line="288" w:lineRule="auto"/>
        <w:ind w:firstLine="1040"/>
        <w:jc w:val="both"/>
        <w:rPr>
          <w:rFonts w:hint="eastAsia" w:ascii="仿宋_GB2312" w:eastAsia="仿宋_GB2312"/>
          <w:sz w:val="32"/>
          <w:szCs w:val="32"/>
        </w:rPr>
      </w:pPr>
      <w:r>
        <w:rPr>
          <w:rFonts w:hint="eastAsia" w:ascii="仿宋_GB2312" w:eastAsia="仿宋_GB2312"/>
          <w:sz w:val="32"/>
          <w:szCs w:val="32"/>
        </w:rPr>
        <w:t>建设单位（盖章）：</w:t>
      </w:r>
      <w:r>
        <w:rPr>
          <w:rFonts w:hint="eastAsia" w:ascii="仿宋_GB2312" w:eastAsia="仿宋_GB2312"/>
          <w:sz w:val="32"/>
          <w:szCs w:val="32"/>
          <w:u w:val="single"/>
          <w:lang w:val="en-US" w:eastAsia="zh-CN"/>
        </w:rPr>
        <w:t>玛纳斯县卫生健康委员会</w:t>
      </w:r>
    </w:p>
    <w:p>
      <w:pPr>
        <w:shd w:val="clear"/>
        <w:adjustRightInd w:val="0"/>
        <w:snapToGrid w:val="0"/>
        <w:spacing w:line="288" w:lineRule="auto"/>
        <w:ind w:firstLine="1040"/>
        <w:rPr>
          <w:rFonts w:hint="eastAsia" w:ascii="仿宋_GB2312" w:eastAsia="仿宋_GB2312"/>
          <w:sz w:val="32"/>
          <w:szCs w:val="32"/>
          <w:u w:val="single"/>
          <w:lang w:val="en-US" w:eastAsia="zh-CN"/>
        </w:rPr>
      </w:pPr>
      <w:r>
        <w:rPr>
          <w:rFonts w:hint="eastAsia" w:ascii="仿宋_GB2312" w:eastAsia="仿宋_GB2312"/>
          <w:sz w:val="32"/>
          <w:szCs w:val="32"/>
        </w:rPr>
        <w:t>编制日期：</w:t>
      </w:r>
      <w:r>
        <w:rPr>
          <w:rFonts w:hint="eastAsia" w:ascii="仿宋_GB2312" w:eastAsia="仿宋_GB2312"/>
          <w:sz w:val="32"/>
          <w:szCs w:val="32"/>
          <w:u w:val="single"/>
          <w:lang w:val="en-US" w:eastAsia="zh-CN"/>
        </w:rPr>
        <w:t>2022年</w:t>
      </w:r>
      <w:r>
        <w:rPr>
          <w:rFonts w:hint="eastAsia" w:ascii="仿宋_GB2312" w:eastAsia="仿宋_GB2312"/>
          <w:color w:val="000000" w:themeColor="text1"/>
          <w:sz w:val="32"/>
          <w:szCs w:val="32"/>
          <w:u w:val="single"/>
          <w:lang w:val="en-US" w:eastAsia="zh-CN"/>
          <w14:textFill>
            <w14:solidFill>
              <w14:schemeClr w14:val="tx1"/>
            </w14:solidFill>
          </w14:textFill>
        </w:rPr>
        <w:t>2</w:t>
      </w:r>
      <w:r>
        <w:rPr>
          <w:rFonts w:hint="eastAsia" w:ascii="仿宋_GB2312" w:eastAsia="仿宋_GB2312"/>
          <w:sz w:val="32"/>
          <w:szCs w:val="32"/>
          <w:u w:val="single"/>
          <w:lang w:val="en-US" w:eastAsia="zh-CN"/>
        </w:rPr>
        <w:t xml:space="preserve">月                      </w:t>
      </w:r>
    </w:p>
    <w:p>
      <w:pPr>
        <w:shd w:val="clear"/>
        <w:adjustRightInd w:val="0"/>
        <w:snapToGrid w:val="0"/>
        <w:spacing w:line="288" w:lineRule="auto"/>
        <w:ind w:firstLine="1040"/>
        <w:rPr>
          <w:rFonts w:ascii="仿宋_GB2312" w:eastAsia="仿宋_GB2312"/>
          <w:sz w:val="36"/>
          <w:szCs w:val="36"/>
          <w:u w:val="single"/>
        </w:rPr>
      </w:pPr>
      <w:bookmarkStart w:id="0" w:name="_Hlk57884087"/>
    </w:p>
    <w:p>
      <w:pPr>
        <w:shd w:val="clear"/>
        <w:adjustRightInd w:val="0"/>
        <w:snapToGrid w:val="0"/>
        <w:spacing w:line="288" w:lineRule="auto"/>
        <w:rPr>
          <w:rFonts w:ascii="仿宋_GB2312" w:eastAsia="仿宋_GB2312"/>
          <w:sz w:val="36"/>
          <w:szCs w:val="36"/>
        </w:rPr>
      </w:pPr>
    </w:p>
    <w:p>
      <w:pPr>
        <w:pStyle w:val="2"/>
        <w:shd w:val="clear"/>
        <w:rPr>
          <w:rFonts w:ascii="仿宋_GB2312" w:eastAsia="仿宋_GB2312"/>
          <w:sz w:val="36"/>
          <w:szCs w:val="36"/>
        </w:rPr>
      </w:pPr>
    </w:p>
    <w:p>
      <w:pPr>
        <w:shd w:val="clear"/>
        <w:rPr>
          <w:rFonts w:ascii="仿宋_GB2312" w:eastAsia="仿宋_GB2312"/>
          <w:sz w:val="36"/>
          <w:szCs w:val="36"/>
        </w:rPr>
      </w:pPr>
    </w:p>
    <w:p>
      <w:pPr>
        <w:pStyle w:val="2"/>
        <w:shd w:val="clear"/>
      </w:pPr>
    </w:p>
    <w:p/>
    <w:p>
      <w:pPr>
        <w:pStyle w:val="7"/>
      </w:pPr>
    </w:p>
    <w:bookmarkEnd w:id="0"/>
    <w:p>
      <w:pPr>
        <w:shd w:val="clea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tbl>
      <w:tblPr>
        <w:tblStyle w:val="28"/>
        <w:tblW w:w="9070" w:type="dxa"/>
        <w:jc w:val="center"/>
        <w:tblLayout w:type="fixed"/>
        <w:tblCellMar>
          <w:top w:w="0" w:type="dxa"/>
          <w:left w:w="108" w:type="dxa"/>
          <w:bottom w:w="0" w:type="dxa"/>
          <w:right w:w="108" w:type="dxa"/>
        </w:tblCellMar>
      </w:tblPr>
      <w:tblGrid>
        <w:gridCol w:w="4535"/>
        <w:gridCol w:w="4535"/>
      </w:tblGrid>
      <w:tr>
        <w:tblPrEx>
          <w:tblCellMar>
            <w:top w:w="0" w:type="dxa"/>
            <w:left w:w="108" w:type="dxa"/>
            <w:bottom w:w="0" w:type="dxa"/>
            <w:right w:w="108" w:type="dxa"/>
          </w:tblCellMar>
        </w:tblPrEx>
        <w:trPr>
          <w:jc w:val="center"/>
        </w:trPr>
        <w:tc>
          <w:tcPr>
            <w:tcW w:w="4535" w:type="dxa"/>
          </w:tcPr>
          <w:p>
            <w:pPr>
              <w:rPr>
                <w:rFonts w:hint="eastAsia" w:eastAsia="宋体"/>
                <w:lang w:eastAsia="zh-CN"/>
              </w:rPr>
            </w:pPr>
            <w:r>
              <w:rPr>
                <w:rFonts w:hint="eastAsia" w:eastAsia="宋体"/>
                <w:lang w:eastAsia="zh-CN"/>
              </w:rPr>
              <w:drawing>
                <wp:anchor distT="0" distB="0" distL="114300" distR="114300" simplePos="0" relativeHeight="251664384" behindDoc="0" locked="0" layoutInCell="1" allowOverlap="1">
                  <wp:simplePos x="0" y="0"/>
                  <wp:positionH relativeFrom="column">
                    <wp:posOffset>-47625</wp:posOffset>
                  </wp:positionH>
                  <wp:positionV relativeFrom="paragraph">
                    <wp:posOffset>17780</wp:posOffset>
                  </wp:positionV>
                  <wp:extent cx="2835275" cy="2113280"/>
                  <wp:effectExtent l="0" t="0" r="3175" b="1270"/>
                  <wp:wrapNone/>
                  <wp:docPr id="2" name="图片 2" descr="IMG_20220120_12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20120_123154"/>
                          <pic:cNvPicPr>
                            <a:picLocks noChangeAspect="1"/>
                          </pic:cNvPicPr>
                        </pic:nvPicPr>
                        <pic:blipFill>
                          <a:blip r:embed="rId9"/>
                          <a:stretch>
                            <a:fillRect/>
                          </a:stretch>
                        </pic:blipFill>
                        <pic:spPr>
                          <a:xfrm>
                            <a:off x="0" y="0"/>
                            <a:ext cx="2835275" cy="2113280"/>
                          </a:xfrm>
                          <a:prstGeom prst="rect">
                            <a:avLst/>
                          </a:prstGeom>
                        </pic:spPr>
                      </pic:pic>
                    </a:graphicData>
                  </a:graphic>
                </wp:anchor>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tc>
        <w:tc>
          <w:tcPr>
            <w:tcW w:w="4535" w:type="dxa"/>
          </w:tcPr>
          <w:p>
            <w:pPr>
              <w:rPr>
                <w:rFonts w:hint="eastAsia" w:eastAsia="宋体"/>
                <w:lang w:eastAsia="zh-CN"/>
              </w:rPr>
            </w:pPr>
            <w:r>
              <w:rPr>
                <w:rFonts w:hint="eastAsia" w:eastAsia="宋体"/>
                <w:lang w:eastAsia="zh-CN"/>
              </w:rPr>
              <w:drawing>
                <wp:anchor distT="0" distB="0" distL="114300" distR="114300" simplePos="0" relativeHeight="251665408" behindDoc="0" locked="0" layoutInCell="1" allowOverlap="1">
                  <wp:simplePos x="0" y="0"/>
                  <wp:positionH relativeFrom="column">
                    <wp:posOffset>-31750</wp:posOffset>
                  </wp:positionH>
                  <wp:positionV relativeFrom="paragraph">
                    <wp:posOffset>31750</wp:posOffset>
                  </wp:positionV>
                  <wp:extent cx="2820035" cy="2097405"/>
                  <wp:effectExtent l="0" t="0" r="18415" b="17145"/>
                  <wp:wrapNone/>
                  <wp:docPr id="13" name="图片 13" descr="IMG_20220120_12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20120_123152"/>
                          <pic:cNvPicPr>
                            <a:picLocks noChangeAspect="1"/>
                          </pic:cNvPicPr>
                        </pic:nvPicPr>
                        <pic:blipFill>
                          <a:blip r:embed="rId10"/>
                          <a:stretch>
                            <a:fillRect/>
                          </a:stretch>
                        </pic:blipFill>
                        <pic:spPr>
                          <a:xfrm>
                            <a:off x="0" y="0"/>
                            <a:ext cx="2820035" cy="2097405"/>
                          </a:xfrm>
                          <a:prstGeom prst="rect">
                            <a:avLst/>
                          </a:prstGeom>
                        </pic:spPr>
                      </pic:pic>
                    </a:graphicData>
                  </a:graphic>
                </wp:anchor>
              </w:drawing>
            </w:r>
          </w:p>
        </w:tc>
      </w:tr>
      <w:tr>
        <w:tblPrEx>
          <w:tblCellMar>
            <w:top w:w="0" w:type="dxa"/>
            <w:left w:w="108" w:type="dxa"/>
            <w:bottom w:w="0" w:type="dxa"/>
            <w:right w:w="108" w:type="dxa"/>
          </w:tblCellMar>
        </w:tblPrEx>
        <w:trPr>
          <w:trHeight w:val="459" w:hRule="atLeast"/>
          <w:jc w:val="center"/>
        </w:trPr>
        <w:tc>
          <w:tcPr>
            <w:tcW w:w="4535" w:type="dxa"/>
          </w:tcPr>
          <w:p>
            <w:pPr>
              <w:jc w:val="center"/>
              <w:rPr>
                <w:rFonts w:hint="default" w:eastAsia="宋体"/>
                <w:color w:val="auto"/>
                <w:sz w:val="24"/>
                <w:lang w:val="en-US" w:eastAsia="zh-CN"/>
              </w:rPr>
            </w:pPr>
            <w:r>
              <w:rPr>
                <w:rFonts w:hint="eastAsia"/>
                <w:color w:val="auto"/>
                <w:sz w:val="24"/>
                <w:lang w:val="en-US" w:eastAsia="zh-CN"/>
              </w:rPr>
              <w:t>医疗废水处理站</w:t>
            </w:r>
          </w:p>
        </w:tc>
        <w:tc>
          <w:tcPr>
            <w:tcW w:w="4535" w:type="dxa"/>
          </w:tcPr>
          <w:p>
            <w:pPr>
              <w:jc w:val="center"/>
              <w:rPr>
                <w:rFonts w:hint="default" w:eastAsia="宋体"/>
                <w:color w:val="auto"/>
                <w:sz w:val="24"/>
                <w:lang w:val="en-US" w:eastAsia="zh-CN"/>
              </w:rPr>
            </w:pPr>
            <w:r>
              <w:rPr>
                <w:rFonts w:hint="eastAsia"/>
                <w:color w:val="auto"/>
                <w:sz w:val="24"/>
                <w:lang w:val="en-US" w:eastAsia="zh-CN"/>
              </w:rPr>
              <w:t>医疗废物暂存间</w:t>
            </w:r>
          </w:p>
        </w:tc>
      </w:tr>
      <w:tr>
        <w:tblPrEx>
          <w:tblCellMar>
            <w:top w:w="0" w:type="dxa"/>
            <w:left w:w="108" w:type="dxa"/>
            <w:bottom w:w="0" w:type="dxa"/>
            <w:right w:w="108" w:type="dxa"/>
          </w:tblCellMar>
        </w:tblPrEx>
        <w:trPr>
          <w:jc w:val="center"/>
        </w:trPr>
        <w:tc>
          <w:tcPr>
            <w:tcW w:w="4535" w:type="dxa"/>
          </w:tcPr>
          <w:p>
            <w:pPr>
              <w:rPr>
                <w:rFonts w:hint="eastAsia" w:eastAsia="宋体"/>
                <w:lang w:eastAsia="zh-CN"/>
              </w:rPr>
            </w:pPr>
            <w:r>
              <w:rPr>
                <w:rFonts w:hint="eastAsia" w:eastAsia="宋体"/>
                <w:lang w:eastAsia="zh-CN"/>
              </w:rPr>
              <w:drawing>
                <wp:anchor distT="0" distB="0" distL="114300" distR="114300" simplePos="0" relativeHeight="251666432" behindDoc="0" locked="0" layoutInCell="1" allowOverlap="1">
                  <wp:simplePos x="0" y="0"/>
                  <wp:positionH relativeFrom="column">
                    <wp:posOffset>-24130</wp:posOffset>
                  </wp:positionH>
                  <wp:positionV relativeFrom="paragraph">
                    <wp:posOffset>23495</wp:posOffset>
                  </wp:positionV>
                  <wp:extent cx="2812415" cy="2049780"/>
                  <wp:effectExtent l="0" t="0" r="6985" b="7620"/>
                  <wp:wrapNone/>
                  <wp:docPr id="16" name="图片 16" descr="IMG_20220120_16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20120_162713"/>
                          <pic:cNvPicPr>
                            <a:picLocks noChangeAspect="1"/>
                          </pic:cNvPicPr>
                        </pic:nvPicPr>
                        <pic:blipFill>
                          <a:blip r:embed="rId11"/>
                          <a:stretch>
                            <a:fillRect/>
                          </a:stretch>
                        </pic:blipFill>
                        <pic:spPr>
                          <a:xfrm>
                            <a:off x="0" y="0"/>
                            <a:ext cx="2812415" cy="2049780"/>
                          </a:xfrm>
                          <a:prstGeom prst="rect">
                            <a:avLst/>
                          </a:prstGeom>
                        </pic:spPr>
                      </pic:pic>
                    </a:graphicData>
                  </a:graphic>
                </wp:anchor>
              </w:drawing>
            </w:r>
          </w:p>
        </w:tc>
        <w:tc>
          <w:tcPr>
            <w:tcW w:w="4535" w:type="dxa"/>
          </w:tcPr>
          <w:p>
            <w:r>
              <w:rPr>
                <w:rFonts w:hint="eastAsia" w:eastAsia="宋体"/>
                <w:lang w:eastAsia="zh-CN"/>
              </w:rPr>
              <w:drawing>
                <wp:anchor distT="0" distB="0" distL="114300" distR="114300" simplePos="0" relativeHeight="251671552" behindDoc="0" locked="0" layoutInCell="1" allowOverlap="1">
                  <wp:simplePos x="0" y="0"/>
                  <wp:positionH relativeFrom="column">
                    <wp:posOffset>-34290</wp:posOffset>
                  </wp:positionH>
                  <wp:positionV relativeFrom="paragraph">
                    <wp:posOffset>18415</wp:posOffset>
                  </wp:positionV>
                  <wp:extent cx="2807970" cy="2049780"/>
                  <wp:effectExtent l="0" t="0" r="11430" b="7620"/>
                  <wp:wrapNone/>
                  <wp:docPr id="26" name="图片 26" descr="IMG_20220120_163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20120_163310"/>
                          <pic:cNvPicPr>
                            <a:picLocks noChangeAspect="1"/>
                          </pic:cNvPicPr>
                        </pic:nvPicPr>
                        <pic:blipFill>
                          <a:blip r:embed="rId12"/>
                          <a:stretch>
                            <a:fillRect/>
                          </a:stretch>
                        </pic:blipFill>
                        <pic:spPr>
                          <a:xfrm>
                            <a:off x="0" y="0"/>
                            <a:ext cx="2807970" cy="2049780"/>
                          </a:xfrm>
                          <a:prstGeom prst="rect">
                            <a:avLst/>
                          </a:prstGeom>
                        </pic:spPr>
                      </pic:pic>
                    </a:graphicData>
                  </a:graphic>
                </wp:anchor>
              </w:drawing>
            </w:r>
          </w:p>
          <w:p>
            <w:pPr>
              <w:pStyle w:val="2"/>
            </w:pPr>
          </w:p>
          <w:p/>
          <w:p>
            <w:pPr>
              <w:pStyle w:val="2"/>
              <w:rPr>
                <w:rFonts w:hint="eastAsia" w:eastAsia="宋体"/>
                <w:lang w:eastAsia="zh-CN"/>
              </w:rPr>
            </w:pPr>
          </w:p>
          <w:p>
            <w:pPr>
              <w:rPr>
                <w:rFonts w:hint="eastAsia" w:eastAsia="宋体"/>
                <w:lang w:eastAsia="zh-CN"/>
              </w:rPr>
            </w:pPr>
          </w:p>
          <w:p>
            <w:pPr>
              <w:pStyle w:val="2"/>
              <w:rPr>
                <w:rFonts w:hint="eastAsia" w:eastAsia="宋体"/>
                <w:lang w:eastAsia="zh-CN"/>
              </w:rPr>
            </w:pPr>
          </w:p>
          <w:p>
            <w:pPr>
              <w:rPr>
                <w:rFonts w:hint="eastAsia" w:eastAsia="宋体"/>
                <w:lang w:eastAsia="zh-CN"/>
              </w:rPr>
            </w:pPr>
          </w:p>
          <w:p>
            <w:pPr>
              <w:pStyle w:val="2"/>
            </w:pPr>
          </w:p>
          <w:p/>
          <w:p>
            <w:pPr>
              <w:pStyle w:val="2"/>
            </w:pPr>
          </w:p>
          <w:p/>
          <w:p>
            <w:pPr>
              <w:pStyle w:val="2"/>
            </w:pPr>
          </w:p>
        </w:tc>
      </w:tr>
      <w:tr>
        <w:tblPrEx>
          <w:tblCellMar>
            <w:top w:w="0" w:type="dxa"/>
            <w:left w:w="108" w:type="dxa"/>
            <w:bottom w:w="0" w:type="dxa"/>
            <w:right w:w="108" w:type="dxa"/>
          </w:tblCellMar>
        </w:tblPrEx>
        <w:trPr>
          <w:trHeight w:val="542" w:hRule="atLeast"/>
          <w:jc w:val="center"/>
        </w:trPr>
        <w:tc>
          <w:tcPr>
            <w:tcW w:w="4535" w:type="dxa"/>
          </w:tcPr>
          <w:p>
            <w:pPr>
              <w:jc w:val="center"/>
              <w:rPr>
                <w:rFonts w:hint="default" w:eastAsia="宋体"/>
                <w:b/>
                <w:color w:val="auto"/>
                <w:sz w:val="24"/>
                <w:lang w:val="en-US" w:eastAsia="zh-CN"/>
              </w:rPr>
            </w:pPr>
            <w:r>
              <w:rPr>
                <w:rFonts w:hint="eastAsia"/>
                <w:b/>
                <w:color w:val="auto"/>
                <w:sz w:val="24"/>
                <w:lang w:val="en-US" w:eastAsia="zh-CN"/>
              </w:rPr>
              <w:t>东侧居民区</w:t>
            </w:r>
          </w:p>
        </w:tc>
        <w:tc>
          <w:tcPr>
            <w:tcW w:w="4535" w:type="dxa"/>
          </w:tcPr>
          <w:p>
            <w:pPr>
              <w:jc w:val="center"/>
              <w:rPr>
                <w:rFonts w:hint="default" w:eastAsia="宋体"/>
                <w:color w:val="auto"/>
                <w:sz w:val="24"/>
                <w:lang w:val="en-US" w:eastAsia="zh-CN"/>
              </w:rPr>
            </w:pPr>
            <w:r>
              <w:rPr>
                <w:rFonts w:hint="eastAsia"/>
                <w:color w:val="auto"/>
                <w:sz w:val="24"/>
                <w:lang w:val="en-US" w:eastAsia="zh-CN"/>
              </w:rPr>
              <w:t>中医院南侧道路</w:t>
            </w:r>
          </w:p>
        </w:tc>
      </w:tr>
      <w:tr>
        <w:tblPrEx>
          <w:tblCellMar>
            <w:top w:w="0" w:type="dxa"/>
            <w:left w:w="108" w:type="dxa"/>
            <w:bottom w:w="0" w:type="dxa"/>
            <w:right w:w="108" w:type="dxa"/>
          </w:tblCellMar>
        </w:tblPrEx>
        <w:trPr>
          <w:trHeight w:val="3416" w:hRule="atLeast"/>
          <w:jc w:val="center"/>
        </w:trPr>
        <w:tc>
          <w:tcPr>
            <w:tcW w:w="4535" w:type="dxa"/>
          </w:tcPr>
          <w:p>
            <w:pPr>
              <w:pStyle w:val="2"/>
              <w:rPr>
                <w:rFonts w:hint="eastAsia" w:eastAsia="宋体"/>
                <w:lang w:eastAsia="zh-CN"/>
              </w:rPr>
            </w:pPr>
            <w:r>
              <w:rPr>
                <w:rFonts w:hint="eastAsia" w:eastAsia="宋体"/>
                <w:lang w:eastAsia="zh-CN"/>
              </w:rPr>
              <w:drawing>
                <wp:anchor distT="0" distB="0" distL="114300" distR="114300" simplePos="0" relativeHeight="251670528" behindDoc="0" locked="0" layoutInCell="1" allowOverlap="1">
                  <wp:simplePos x="0" y="0"/>
                  <wp:positionH relativeFrom="column">
                    <wp:posOffset>-33655</wp:posOffset>
                  </wp:positionH>
                  <wp:positionV relativeFrom="paragraph">
                    <wp:posOffset>27940</wp:posOffset>
                  </wp:positionV>
                  <wp:extent cx="2814320" cy="2118360"/>
                  <wp:effectExtent l="0" t="0" r="5080" b="15240"/>
                  <wp:wrapNone/>
                  <wp:docPr id="23" name="图片 23" descr="IMG_20220120_16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20120_163013"/>
                          <pic:cNvPicPr>
                            <a:picLocks noChangeAspect="1"/>
                          </pic:cNvPicPr>
                        </pic:nvPicPr>
                        <pic:blipFill>
                          <a:blip r:embed="rId13"/>
                          <a:stretch>
                            <a:fillRect/>
                          </a:stretch>
                        </pic:blipFill>
                        <pic:spPr>
                          <a:xfrm>
                            <a:off x="0" y="0"/>
                            <a:ext cx="2814320" cy="2118360"/>
                          </a:xfrm>
                          <a:prstGeom prst="rect">
                            <a:avLst/>
                          </a:prstGeom>
                        </pic:spPr>
                      </pic:pic>
                    </a:graphicData>
                  </a:graphic>
                </wp:anchor>
              </w:drawing>
            </w:r>
          </w:p>
        </w:tc>
        <w:tc>
          <w:tcPr>
            <w:tcW w:w="4535" w:type="dxa"/>
          </w:tcPr>
          <w:p>
            <w:pPr>
              <w:rPr>
                <w:rFonts w:hint="eastAsia" w:eastAsia="宋体"/>
                <w:lang w:eastAsia="zh-CN"/>
              </w:rPr>
            </w:pPr>
            <w:r>
              <w:rPr>
                <w:rFonts w:hint="eastAsia" w:eastAsia="宋体"/>
                <w:lang w:eastAsia="zh-CN"/>
              </w:rPr>
              <w:drawing>
                <wp:anchor distT="0" distB="0" distL="114300" distR="114300" simplePos="0" relativeHeight="251669504" behindDoc="0" locked="0" layoutInCell="1" allowOverlap="1">
                  <wp:simplePos x="0" y="0"/>
                  <wp:positionH relativeFrom="column">
                    <wp:posOffset>-48260</wp:posOffset>
                  </wp:positionH>
                  <wp:positionV relativeFrom="paragraph">
                    <wp:posOffset>20955</wp:posOffset>
                  </wp:positionV>
                  <wp:extent cx="2832735" cy="2123440"/>
                  <wp:effectExtent l="0" t="0" r="5715" b="10160"/>
                  <wp:wrapNone/>
                  <wp:docPr id="24" name="图片 24" descr="IMG_20220120_16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20120_162848"/>
                          <pic:cNvPicPr>
                            <a:picLocks noChangeAspect="1"/>
                          </pic:cNvPicPr>
                        </pic:nvPicPr>
                        <pic:blipFill>
                          <a:blip r:embed="rId14"/>
                          <a:stretch>
                            <a:fillRect/>
                          </a:stretch>
                        </pic:blipFill>
                        <pic:spPr>
                          <a:xfrm>
                            <a:off x="0" y="0"/>
                            <a:ext cx="2832735" cy="2123440"/>
                          </a:xfrm>
                          <a:prstGeom prst="rect">
                            <a:avLst/>
                          </a:prstGeom>
                        </pic:spPr>
                      </pic:pic>
                    </a:graphicData>
                  </a:graphic>
                </wp:anchor>
              </w:drawing>
            </w:r>
          </w:p>
        </w:tc>
      </w:tr>
      <w:tr>
        <w:tblPrEx>
          <w:tblCellMar>
            <w:top w:w="0" w:type="dxa"/>
            <w:left w:w="108" w:type="dxa"/>
            <w:bottom w:w="0" w:type="dxa"/>
            <w:right w:w="108" w:type="dxa"/>
          </w:tblCellMar>
        </w:tblPrEx>
        <w:trPr>
          <w:trHeight w:val="534" w:hRule="atLeast"/>
          <w:jc w:val="center"/>
        </w:trPr>
        <w:tc>
          <w:tcPr>
            <w:tcW w:w="4535" w:type="dxa"/>
          </w:tcPr>
          <w:p>
            <w:pPr>
              <w:jc w:val="center"/>
              <w:rPr>
                <w:rFonts w:hint="default" w:eastAsia="宋体"/>
                <w:color w:val="auto"/>
                <w:sz w:val="24"/>
                <w:lang w:val="en-US" w:eastAsia="zh-CN"/>
              </w:rPr>
            </w:pPr>
            <w:r>
              <w:rPr>
                <w:rFonts w:hint="eastAsia"/>
                <w:b/>
                <w:color w:val="auto"/>
                <w:sz w:val="24"/>
                <w:lang w:val="en-US" w:eastAsia="zh-CN"/>
              </w:rPr>
              <w:t>北侧职工食堂及机房</w:t>
            </w:r>
          </w:p>
        </w:tc>
        <w:tc>
          <w:tcPr>
            <w:tcW w:w="4535" w:type="dxa"/>
          </w:tcPr>
          <w:p>
            <w:pPr>
              <w:ind w:firstLine="1446" w:firstLineChars="600"/>
              <w:rPr>
                <w:rFonts w:hint="default" w:eastAsia="宋体"/>
                <w:b/>
                <w:color w:val="auto"/>
                <w:sz w:val="28"/>
                <w:szCs w:val="28"/>
                <w:lang w:val="en-US" w:eastAsia="zh-CN"/>
              </w:rPr>
            </w:pPr>
            <w:r>
              <w:rPr>
                <w:rFonts w:hint="eastAsia"/>
                <w:b/>
                <w:color w:val="auto"/>
                <w:sz w:val="24"/>
                <w:lang w:val="en-US" w:eastAsia="zh-CN"/>
              </w:rPr>
              <w:t>项目区现状</w:t>
            </w:r>
          </w:p>
        </w:tc>
      </w:tr>
    </w:tbl>
    <w:p>
      <w:pPr>
        <w:pStyle w:val="78"/>
        <w:ind w:firstLine="562"/>
        <w:jc w:val="center"/>
        <w:rPr>
          <w:rFonts w:eastAsia="宋体"/>
          <w:b/>
          <w:bCs/>
          <w:color w:val="000000" w:themeColor="text1"/>
          <w14:textFill>
            <w14:solidFill>
              <w14:schemeClr w14:val="tx1"/>
            </w14:solidFill>
          </w14:textFill>
        </w:rPr>
      </w:pPr>
      <w:r>
        <w:rPr>
          <w:rFonts w:hint="eastAsia" w:eastAsia="宋体"/>
          <w:b/>
          <w:bCs/>
          <w:color w:val="000000" w:themeColor="text1"/>
          <w14:textFill>
            <w14:solidFill>
              <w14:schemeClr w14:val="tx1"/>
            </w14:solidFill>
          </w14:textFill>
        </w:rPr>
        <w:t>现场勘查照片</w:t>
      </w:r>
    </w:p>
    <w:p/>
    <w:p>
      <w:pPr>
        <w:pStyle w:val="2"/>
      </w:pPr>
    </w:p>
    <w:p/>
    <w:p>
      <w:pPr>
        <w:pStyle w:val="2"/>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24"/>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8"/>
        <w:tblW w:w="8999" w:type="dxa"/>
        <w:jc w:val="right"/>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755"/>
        <w:gridCol w:w="2276"/>
        <w:gridCol w:w="1950"/>
        <w:gridCol w:w="30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建设项目名称</w:t>
            </w:r>
          </w:p>
        </w:tc>
        <w:tc>
          <w:tcPr>
            <w:tcW w:w="7244" w:type="dxa"/>
            <w:gridSpan w:val="3"/>
            <w:vAlign w:val="center"/>
          </w:tcPr>
          <w:p>
            <w:pPr>
              <w:adjustRightInd w:val="0"/>
              <w:snapToGrid w:val="0"/>
              <w:jc w:val="center"/>
              <w:rPr>
                <w:sz w:val="24"/>
              </w:rPr>
            </w:pPr>
            <w:r>
              <w:rPr>
                <w:rFonts w:hint="eastAsia"/>
                <w:sz w:val="24"/>
                <w:lang w:val="en-US" w:eastAsia="zh-CN"/>
              </w:rPr>
              <w:t>玛纳斯县中医医院中医康复治疗建设项目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项目代码</w:t>
            </w:r>
          </w:p>
        </w:tc>
        <w:tc>
          <w:tcPr>
            <w:tcW w:w="7244" w:type="dxa"/>
            <w:gridSpan w:val="3"/>
            <w:vAlign w:val="center"/>
          </w:tcPr>
          <w:p>
            <w:pPr>
              <w:adjustRightInd w:val="0"/>
              <w:snapToGrid w:val="0"/>
              <w:jc w:val="center"/>
              <w:rPr>
                <w:rFonts w:hint="default" w:eastAsia="宋体"/>
                <w:sz w:val="24"/>
                <w:lang w:val="en-US" w:eastAsia="zh-CN"/>
              </w:rPr>
            </w:pPr>
            <w:r>
              <w:rPr>
                <w:rFonts w:hint="eastAsia"/>
                <w:sz w:val="24"/>
                <w:lang w:val="en-US" w:eastAsia="zh-CN"/>
              </w:rPr>
              <w:t>2020-652324-84-01-047006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1"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建设单位联系人</w:t>
            </w:r>
          </w:p>
        </w:tc>
        <w:tc>
          <w:tcPr>
            <w:tcW w:w="2276" w:type="dxa"/>
            <w:vAlign w:val="center"/>
          </w:tcPr>
          <w:p>
            <w:pPr>
              <w:adjustRightInd w:val="0"/>
              <w:snapToGrid w:val="0"/>
              <w:jc w:val="center"/>
              <w:rPr>
                <w:rFonts w:hint="default" w:eastAsia="宋体"/>
                <w:color w:val="auto"/>
                <w:sz w:val="24"/>
                <w:lang w:val="en-US" w:eastAsia="zh-CN"/>
              </w:rPr>
            </w:pPr>
            <w:r>
              <w:rPr>
                <w:rFonts w:hint="eastAsia"/>
                <w:color w:val="auto"/>
                <w:sz w:val="24"/>
                <w:lang w:val="en-US" w:eastAsia="zh-CN"/>
              </w:rPr>
              <w:t>赵胜生</w:t>
            </w:r>
          </w:p>
        </w:tc>
        <w:tc>
          <w:tcPr>
            <w:tcW w:w="1950" w:type="dxa"/>
            <w:vAlign w:val="center"/>
          </w:tcPr>
          <w:p>
            <w:pPr>
              <w:adjustRightInd w:val="0"/>
              <w:snapToGrid w:val="0"/>
              <w:jc w:val="center"/>
              <w:rPr>
                <w:color w:val="auto"/>
                <w:sz w:val="24"/>
              </w:rPr>
            </w:pPr>
            <w:r>
              <w:rPr>
                <w:color w:val="auto"/>
                <w:sz w:val="24"/>
              </w:rPr>
              <w:t>联系方式</w:t>
            </w:r>
          </w:p>
        </w:tc>
        <w:tc>
          <w:tcPr>
            <w:tcW w:w="3018" w:type="dxa"/>
            <w:vAlign w:val="center"/>
          </w:tcPr>
          <w:p>
            <w:pPr>
              <w:jc w:val="center"/>
              <w:rPr>
                <w:rFonts w:hint="default" w:eastAsia="宋体"/>
                <w:color w:val="auto"/>
                <w:sz w:val="24"/>
                <w:lang w:val="en-US" w:eastAsia="zh-CN"/>
              </w:rPr>
            </w:pPr>
            <w:r>
              <w:rPr>
                <w:rFonts w:hint="default"/>
                <w:color w:val="000000" w:themeColor="text1"/>
                <w:sz w:val="24"/>
                <w:szCs w:val="24"/>
                <w:lang w:val="en-US" w:eastAsia="zh-CN"/>
                <w14:textFill>
                  <w14:solidFill>
                    <w14:schemeClr w14:val="tx1"/>
                  </w14:solidFill>
                </w14:textFill>
              </w:rPr>
              <w:t>13899600380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91"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建设地点</w:t>
            </w:r>
          </w:p>
        </w:tc>
        <w:tc>
          <w:tcPr>
            <w:tcW w:w="7244" w:type="dxa"/>
            <w:gridSpan w:val="3"/>
            <w:vAlign w:val="center"/>
          </w:tcPr>
          <w:p>
            <w:pPr>
              <w:adjustRightInd w:val="0"/>
              <w:snapToGrid w:val="0"/>
              <w:jc w:val="both"/>
              <w:rPr>
                <w:rFonts w:hint="default"/>
                <w:sz w:val="24"/>
                <w:lang w:val="en-US"/>
              </w:rPr>
            </w:pPr>
            <w:r>
              <w:rPr>
                <w:rFonts w:hint="eastAsia"/>
                <w:sz w:val="24"/>
                <w:lang w:val="en-US" w:eastAsia="zh-CN"/>
              </w:rPr>
              <w:t>新疆维吾尔自治区昌吉回族自治州玛纳斯县中华碧玉园东侧500m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地理坐标</w:t>
            </w:r>
          </w:p>
        </w:tc>
        <w:tc>
          <w:tcPr>
            <w:tcW w:w="7244" w:type="dxa"/>
            <w:gridSpan w:val="3"/>
            <w:vAlign w:val="center"/>
          </w:tcPr>
          <w:p>
            <w:pPr>
              <w:jc w:val="center"/>
              <w:rPr>
                <w:rFonts w:hint="eastAsia" w:eastAsia="宋体"/>
                <w:lang w:eastAsia="zh-CN"/>
              </w:rPr>
            </w:pPr>
            <w:r>
              <w:rPr>
                <w:rFonts w:hint="eastAsia"/>
                <w:color w:val="000000" w:themeColor="text1"/>
                <w:sz w:val="24"/>
                <w:szCs w:val="24"/>
                <w14:textFill>
                  <w14:solidFill>
                    <w14:schemeClr w14:val="tx1"/>
                  </w14:solidFill>
                </w14:textFill>
              </w:rPr>
              <w:t>东</w:t>
            </w:r>
            <w:r>
              <w:rPr>
                <w:rFonts w:hint="eastAsia"/>
                <w:color w:val="000000" w:themeColor="text1"/>
                <w:sz w:val="24"/>
                <w:szCs w:val="24"/>
                <w:lang w:val="en-US" w:eastAsia="zh-CN"/>
                <w14:textFill>
                  <w14:solidFill>
                    <w14:schemeClr w14:val="tx1"/>
                  </w14:solidFill>
                </w14:textFill>
              </w:rPr>
              <w:t>经86度13分41.469秒，北纬44度16分42.960秒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2276" w:type="dxa"/>
            <w:vAlign w:val="center"/>
          </w:tcPr>
          <w:p>
            <w:pPr>
              <w:adjustRightInd w:val="0"/>
              <w:snapToGrid w:val="0"/>
              <w:jc w:val="center"/>
              <w:rPr>
                <w:sz w:val="24"/>
              </w:rPr>
            </w:pPr>
            <w:r>
              <w:rPr>
                <w:rFonts w:hint="eastAsia"/>
                <w:sz w:val="24"/>
              </w:rPr>
              <w:t>Q84</w:t>
            </w:r>
            <w:r>
              <w:rPr>
                <w:rFonts w:hint="eastAsia"/>
                <w:sz w:val="24"/>
                <w:lang w:val="en-US" w:eastAsia="zh-CN"/>
              </w:rPr>
              <w:t>16疗养院</w:t>
            </w:r>
          </w:p>
        </w:tc>
        <w:tc>
          <w:tcPr>
            <w:tcW w:w="1950" w:type="dxa"/>
            <w:vAlign w:val="center"/>
          </w:tcPr>
          <w:p>
            <w:pPr>
              <w:adjustRightInd w:val="0"/>
              <w:snapToGrid w:val="0"/>
              <w:jc w:val="center"/>
              <w:rPr>
                <w:sz w:val="24"/>
              </w:rPr>
            </w:pPr>
            <w:bookmarkStart w:id="1" w:name="_Hlk49843745"/>
            <w:r>
              <w:rPr>
                <w:sz w:val="24"/>
              </w:rPr>
              <w:t>建设项目</w:t>
            </w:r>
          </w:p>
          <w:p>
            <w:pPr>
              <w:adjustRightInd w:val="0"/>
              <w:snapToGrid w:val="0"/>
              <w:jc w:val="center"/>
              <w:rPr>
                <w:sz w:val="24"/>
              </w:rPr>
            </w:pPr>
            <w:r>
              <w:rPr>
                <w:sz w:val="24"/>
              </w:rPr>
              <w:t>行业类别</w:t>
            </w:r>
            <w:bookmarkEnd w:id="1"/>
          </w:p>
        </w:tc>
        <w:tc>
          <w:tcPr>
            <w:tcW w:w="3018" w:type="dxa"/>
            <w:vAlign w:val="center"/>
          </w:tcPr>
          <w:p>
            <w:pPr>
              <w:adjustRightInd w:val="0"/>
              <w:snapToGrid w:val="0"/>
              <w:jc w:val="left"/>
              <w:rPr>
                <w:rFonts w:hint="default" w:eastAsia="宋体"/>
                <w:color w:val="000000" w:themeColor="text1"/>
                <w:sz w:val="24"/>
                <w:lang w:val="en-US" w:eastAsia="zh-CN"/>
                <w14:textFill>
                  <w14:solidFill>
                    <w14:schemeClr w14:val="tx1"/>
                  </w14:solidFill>
                </w14:textFill>
              </w:rPr>
            </w:pPr>
            <w:r>
              <w:rPr>
                <w:rFonts w:hint="eastAsia"/>
                <w:color w:val="000000" w:themeColor="text1"/>
                <w:sz w:val="24"/>
                <w14:textFill>
                  <w14:solidFill>
                    <w14:schemeClr w14:val="tx1"/>
                  </w14:solidFill>
                </w14:textFill>
              </w:rPr>
              <w:t>四十</w:t>
            </w:r>
            <w:r>
              <w:rPr>
                <w:rFonts w:hint="eastAsia"/>
                <w:color w:val="000000" w:themeColor="text1"/>
                <w:sz w:val="24"/>
                <w:lang w:val="en-US" w:eastAsia="zh-CN"/>
                <w14:textFill>
                  <w14:solidFill>
                    <w14:schemeClr w14:val="tx1"/>
                  </w14:solidFill>
                </w14:textFill>
              </w:rPr>
              <w:t>九</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卫生84</w:t>
            </w:r>
            <w:r>
              <w:rPr>
                <w:rFonts w:hint="eastAsia"/>
                <w:color w:val="000000" w:themeColor="text1"/>
                <w:sz w:val="24"/>
                <w14:textFill>
                  <w14:solidFill>
                    <w14:schemeClr w14:val="tx1"/>
                  </w14:solidFill>
                </w14:textFill>
              </w:rPr>
              <w:t xml:space="preserve"> </w:t>
            </w:r>
            <w:r>
              <w:rPr>
                <w:rFonts w:hint="eastAsia"/>
                <w:color w:val="000000" w:themeColor="text1"/>
                <w:sz w:val="24"/>
                <w:lang w:val="en-US" w:eastAsia="zh-CN"/>
                <w14:textFill>
                  <w14:solidFill>
                    <w14:schemeClr w14:val="tx1"/>
                  </w14:solidFill>
                </w14:textFill>
              </w:rPr>
              <w:t>108医院841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建设性质</w:t>
            </w:r>
          </w:p>
        </w:tc>
        <w:tc>
          <w:tcPr>
            <w:tcW w:w="2276" w:type="dxa"/>
            <w:vAlign w:val="center"/>
          </w:tcPr>
          <w:p>
            <w:pPr>
              <w:jc w:val="left"/>
              <w:rPr>
                <w:sz w:val="24"/>
              </w:rPr>
            </w:pPr>
            <w:r>
              <w:rPr>
                <w:sz w:val="24"/>
              </w:rPr>
              <w:sym w:font="Wingdings 2" w:char="0052"/>
            </w:r>
            <w:r>
              <w:rPr>
                <w:sz w:val="24"/>
              </w:rPr>
              <w:t>新建（迁建）</w:t>
            </w:r>
          </w:p>
          <w:p>
            <w:pPr>
              <w:jc w:val="left"/>
              <w:rPr>
                <w:sz w:val="24"/>
              </w:rPr>
            </w:pPr>
            <w:r>
              <w:rPr>
                <w:sz w:val="24"/>
              </w:rPr>
              <w:sym w:font="Wingdings 2" w:char="00A3"/>
            </w:r>
            <w:r>
              <w:rPr>
                <w:sz w:val="24"/>
              </w:rPr>
              <w:t>改建</w:t>
            </w:r>
          </w:p>
          <w:p>
            <w:pPr>
              <w:jc w:val="left"/>
              <w:rPr>
                <w:sz w:val="24"/>
              </w:rPr>
            </w:pPr>
            <w:r>
              <w:rPr>
                <w:sz w:val="24"/>
              </w:rPr>
              <w:sym w:font="Wingdings 2" w:char="00A3"/>
            </w:r>
            <w:r>
              <w:rPr>
                <w:sz w:val="24"/>
              </w:rPr>
              <w:t>扩建</w:t>
            </w:r>
          </w:p>
          <w:p>
            <w:pPr>
              <w:jc w:val="left"/>
              <w:rPr>
                <w:sz w:val="24"/>
              </w:rPr>
            </w:pPr>
            <w:r>
              <w:rPr>
                <w:sz w:val="24"/>
              </w:rPr>
              <w:sym w:font="Wingdings 2" w:char="00A3"/>
            </w:r>
            <w:r>
              <w:rPr>
                <w:sz w:val="24"/>
              </w:rPr>
              <w:t>技术改造</w:t>
            </w:r>
          </w:p>
        </w:tc>
        <w:tc>
          <w:tcPr>
            <w:tcW w:w="1950"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3018" w:type="dxa"/>
            <w:vAlign w:val="center"/>
          </w:tcPr>
          <w:p>
            <w:pPr>
              <w:jc w:val="left"/>
              <w:rPr>
                <w:sz w:val="24"/>
              </w:rPr>
            </w:pPr>
            <w:r>
              <w:rPr>
                <w:sz w:val="24"/>
              </w:rPr>
              <w:sym w:font="Wingdings 2" w:char="0052"/>
            </w:r>
            <w:r>
              <w:rPr>
                <w:sz w:val="24"/>
              </w:rPr>
              <w:t xml:space="preserve">首次申报项目             </w:t>
            </w:r>
          </w:p>
          <w:p>
            <w:pPr>
              <w:jc w:val="left"/>
              <w:rPr>
                <w:sz w:val="24"/>
              </w:rPr>
            </w:pPr>
            <w:r>
              <w:rPr>
                <w:sz w:val="24"/>
              </w:rPr>
              <w:sym w:font="Wingdings 2" w:char="00A3"/>
            </w:r>
            <w:r>
              <w:rPr>
                <w:sz w:val="24"/>
              </w:rPr>
              <w:t>不予批准后再次申报项目</w:t>
            </w:r>
          </w:p>
          <w:p>
            <w:pPr>
              <w:jc w:val="left"/>
              <w:rPr>
                <w:sz w:val="24"/>
              </w:rPr>
            </w:pPr>
            <w:r>
              <w:rPr>
                <w:sz w:val="24"/>
              </w:rPr>
              <w:sym w:font="Wingdings 2" w:char="00A3"/>
            </w:r>
            <w:r>
              <w:rPr>
                <w:sz w:val="24"/>
              </w:rPr>
              <w:t xml:space="preserve">超五年重新审核项目     </w:t>
            </w:r>
          </w:p>
          <w:p>
            <w:pPr>
              <w:jc w:val="left"/>
              <w:rPr>
                <w:sz w:val="24"/>
              </w:rPr>
            </w:pPr>
            <w:r>
              <w:rPr>
                <w:sz w:val="24"/>
              </w:rPr>
              <w:sym w:font="Wingdings 2" w:char="00A3"/>
            </w: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2"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项目审批（核准/备案）部门</w:t>
            </w:r>
          </w:p>
          <w:p>
            <w:pPr>
              <w:adjustRightInd w:val="0"/>
              <w:snapToGrid w:val="0"/>
              <w:jc w:val="center"/>
              <w:rPr>
                <w:sz w:val="24"/>
              </w:rPr>
            </w:pPr>
            <w:r>
              <w:rPr>
                <w:sz w:val="24"/>
              </w:rPr>
              <w:t>（选填）</w:t>
            </w:r>
          </w:p>
        </w:tc>
        <w:tc>
          <w:tcPr>
            <w:tcW w:w="2276" w:type="dxa"/>
            <w:vAlign w:val="center"/>
          </w:tcPr>
          <w:p>
            <w:pPr>
              <w:adjustRightInd w:val="0"/>
              <w:snapToGrid w:val="0"/>
              <w:jc w:val="center"/>
              <w:rPr>
                <w:rFonts w:hint="default" w:eastAsia="宋体"/>
                <w:sz w:val="24"/>
                <w:lang w:val="en-US" w:eastAsia="zh-CN"/>
              </w:rPr>
            </w:pPr>
            <w:r>
              <w:rPr>
                <w:rFonts w:hint="eastAsia"/>
                <w:sz w:val="24"/>
                <w:lang w:val="en-US" w:eastAsia="zh-CN"/>
              </w:rPr>
              <w:t>/</w:t>
            </w:r>
          </w:p>
        </w:tc>
        <w:tc>
          <w:tcPr>
            <w:tcW w:w="1950" w:type="dxa"/>
            <w:vAlign w:val="center"/>
          </w:tcPr>
          <w:p>
            <w:pPr>
              <w:adjustRightInd w:val="0"/>
              <w:snapToGrid w:val="0"/>
              <w:jc w:val="center"/>
              <w:rPr>
                <w:sz w:val="24"/>
              </w:rPr>
            </w:pPr>
            <w:r>
              <w:rPr>
                <w:sz w:val="24"/>
              </w:rPr>
              <w:t>项目审批（核准/</w:t>
            </w:r>
          </w:p>
          <w:p>
            <w:pPr>
              <w:adjustRightInd w:val="0"/>
              <w:snapToGrid w:val="0"/>
              <w:jc w:val="center"/>
              <w:rPr>
                <w:sz w:val="24"/>
              </w:rPr>
            </w:pPr>
            <w:r>
              <w:rPr>
                <w:sz w:val="24"/>
              </w:rPr>
              <w:t>备案）文号（选填）</w:t>
            </w:r>
          </w:p>
        </w:tc>
        <w:tc>
          <w:tcPr>
            <w:tcW w:w="3018" w:type="dxa"/>
            <w:vAlign w:val="center"/>
          </w:tcPr>
          <w:p>
            <w:pPr>
              <w:adjustRightInd w:val="0"/>
              <w:snapToGrid w:val="0"/>
              <w:jc w:val="center"/>
              <w:rPr>
                <w:rFonts w:hint="default" w:eastAsia="微软雅黑"/>
                <w:sz w:val="24"/>
                <w:lang w:val="en-US" w:eastAsia="zh-CN"/>
              </w:rPr>
            </w:pPr>
            <w:r>
              <w:rPr>
                <w:rFonts w:hint="eastAsia" w:eastAsia="微软雅黑"/>
                <w:sz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16"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总投资（万元）</w:t>
            </w:r>
          </w:p>
        </w:tc>
        <w:tc>
          <w:tcPr>
            <w:tcW w:w="2276" w:type="dxa"/>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7000</w:t>
            </w:r>
          </w:p>
        </w:tc>
        <w:tc>
          <w:tcPr>
            <w:tcW w:w="1950" w:type="dxa"/>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环保投资（万元）</w:t>
            </w:r>
          </w:p>
        </w:tc>
        <w:tc>
          <w:tcPr>
            <w:tcW w:w="3018" w:type="dxa"/>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3"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环保投资占比（%）</w:t>
            </w:r>
          </w:p>
        </w:tc>
        <w:tc>
          <w:tcPr>
            <w:tcW w:w="2276" w:type="dxa"/>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0.6</w:t>
            </w:r>
          </w:p>
        </w:tc>
        <w:tc>
          <w:tcPr>
            <w:tcW w:w="1950" w:type="dxa"/>
            <w:tcMar>
              <w:top w:w="16" w:type="dxa"/>
              <w:left w:w="16" w:type="dxa"/>
              <w:right w:w="16" w:type="dxa"/>
            </w:tcMar>
            <w:vAlign w:val="center"/>
          </w:tcPr>
          <w:p>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施工工期</w:t>
            </w:r>
          </w:p>
        </w:tc>
        <w:tc>
          <w:tcPr>
            <w:tcW w:w="3018" w:type="dxa"/>
            <w:vAlign w:val="center"/>
          </w:tcPr>
          <w:p>
            <w:pPr>
              <w:adjustRightInd w:val="0"/>
              <w:snapToGrid w:val="0"/>
              <w:jc w:val="center"/>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2022年3月</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2023年12月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right"/>
        </w:trPr>
        <w:tc>
          <w:tcPr>
            <w:tcW w:w="1755" w:type="dxa"/>
            <w:tcMar>
              <w:top w:w="16" w:type="dxa"/>
              <w:left w:w="16" w:type="dxa"/>
              <w:right w:w="16" w:type="dxa"/>
            </w:tcMar>
            <w:vAlign w:val="center"/>
          </w:tcPr>
          <w:p>
            <w:pPr>
              <w:adjustRightInd w:val="0"/>
              <w:snapToGrid w:val="0"/>
              <w:jc w:val="center"/>
              <w:rPr>
                <w:sz w:val="24"/>
              </w:rPr>
            </w:pPr>
            <w:r>
              <w:rPr>
                <w:sz w:val="24"/>
              </w:rPr>
              <w:t>是否开工建设</w:t>
            </w:r>
          </w:p>
        </w:tc>
        <w:tc>
          <w:tcPr>
            <w:tcW w:w="2276" w:type="dxa"/>
            <w:vAlign w:val="center"/>
          </w:tcPr>
          <w:p>
            <w:pPr>
              <w:adjustRightInd w:val="0"/>
              <w:snapToGrid w:val="0"/>
            </w:pPr>
            <w:r>
              <w:rPr>
                <w:sz w:val="24"/>
              </w:rPr>
              <w:sym w:font="Wingdings 2" w:char="0052"/>
            </w:r>
            <w:r>
              <w:rPr>
                <w:sz w:val="24"/>
              </w:rPr>
              <w:t>否</w:t>
            </w:r>
          </w:p>
          <w:p>
            <w:pPr>
              <w:adjustRightInd w:val="0"/>
              <w:snapToGrid w:val="0"/>
              <w:rPr>
                <w:sz w:val="24"/>
              </w:rPr>
            </w:pPr>
            <w:r>
              <w:rPr>
                <w:sz w:val="24"/>
              </w:rPr>
              <w:sym w:font="Wingdings 2" w:char="00A3"/>
            </w:r>
            <w:r>
              <w:rPr>
                <w:sz w:val="24"/>
              </w:rPr>
              <w:t>是：</w:t>
            </w:r>
          </w:p>
        </w:tc>
        <w:tc>
          <w:tcPr>
            <w:tcW w:w="1950"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3018" w:type="dxa"/>
            <w:vAlign w:val="center"/>
          </w:tcPr>
          <w:p>
            <w:pPr>
              <w:adjustRightInd w:val="0"/>
              <w:snapToGrid w:val="0"/>
              <w:ind w:firstLine="240" w:firstLineChars="100"/>
              <w:jc w:val="center"/>
              <w:rPr>
                <w:rFonts w:hint="default" w:eastAsia="宋体"/>
                <w:sz w:val="24"/>
                <w:lang w:val="en-US" w:eastAsia="zh-CN"/>
              </w:rPr>
            </w:pPr>
            <w:r>
              <w:rPr>
                <w:rFonts w:hint="eastAsia"/>
                <w:sz w:val="24"/>
                <w:lang w:val="en-US" w:eastAsia="zh-CN"/>
              </w:rPr>
              <w:t>7000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right"/>
        </w:trPr>
        <w:tc>
          <w:tcPr>
            <w:tcW w:w="1755" w:type="dxa"/>
            <w:vAlign w:val="center"/>
          </w:tcPr>
          <w:p>
            <w:pPr>
              <w:autoSpaceDE w:val="0"/>
              <w:autoSpaceDN w:val="0"/>
              <w:adjustRightInd w:val="0"/>
              <w:snapToGrid w:val="0"/>
              <w:jc w:val="center"/>
              <w:rPr>
                <w:sz w:val="24"/>
              </w:rPr>
            </w:pPr>
            <w:r>
              <w:rPr>
                <w:sz w:val="24"/>
              </w:rPr>
              <w:t>专项评价设置情况</w:t>
            </w:r>
          </w:p>
        </w:tc>
        <w:tc>
          <w:tcPr>
            <w:tcW w:w="7244" w:type="dxa"/>
            <w:gridSpan w:val="3"/>
            <w:vAlign w:val="center"/>
          </w:tcPr>
          <w:p>
            <w:pPr>
              <w:autoSpaceDE w:val="0"/>
              <w:autoSpaceDN w:val="0"/>
              <w:adjustRightInd w:val="0"/>
              <w:snapToGrid w:val="0"/>
              <w:jc w:val="center"/>
              <w:rPr>
                <w:color w:val="FF0000"/>
              </w:rPr>
            </w:pPr>
            <w:r>
              <w:rPr>
                <w:rFonts w:hint="eastAsia"/>
                <w:color w:val="000000" w:themeColor="text1"/>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right"/>
        </w:trPr>
        <w:tc>
          <w:tcPr>
            <w:tcW w:w="1755" w:type="dxa"/>
            <w:vAlign w:val="center"/>
          </w:tcPr>
          <w:p>
            <w:pPr>
              <w:autoSpaceDE w:val="0"/>
              <w:autoSpaceDN w:val="0"/>
              <w:adjustRightInd w:val="0"/>
              <w:snapToGrid w:val="0"/>
              <w:jc w:val="center"/>
              <w:rPr>
                <w:kern w:val="0"/>
                <w:sz w:val="24"/>
              </w:rPr>
            </w:pPr>
            <w:r>
              <w:rPr>
                <w:sz w:val="24"/>
              </w:rPr>
              <w:t>规划情况</w:t>
            </w:r>
          </w:p>
        </w:tc>
        <w:tc>
          <w:tcPr>
            <w:tcW w:w="7244" w:type="dxa"/>
            <w:gridSpan w:val="3"/>
            <w:vAlign w:val="center"/>
          </w:tcPr>
          <w:p>
            <w:pPr>
              <w:autoSpaceDE w:val="0"/>
              <w:autoSpaceDN w:val="0"/>
              <w:adjustRightInd w:val="0"/>
              <w:snapToGrid w:val="0"/>
              <w:jc w:val="center"/>
              <w:rPr>
                <w:rFonts w:hint="default" w:eastAsia="宋体"/>
                <w:color w:val="FF0000"/>
                <w:kern w:val="0"/>
                <w:sz w:val="24"/>
                <w:lang w:val="en-US" w:eastAsia="zh-CN"/>
              </w:rPr>
            </w:pPr>
            <w:r>
              <w:rPr>
                <w:rFonts w:hint="eastAsia"/>
                <w:color w:val="000000" w:themeColor="text1"/>
                <w:kern w:val="0"/>
                <w:sz w:val="24"/>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right"/>
        </w:trPr>
        <w:tc>
          <w:tcPr>
            <w:tcW w:w="1755" w:type="dxa"/>
            <w:vAlign w:val="center"/>
          </w:tcPr>
          <w:p>
            <w:pPr>
              <w:adjustRightInd w:val="0"/>
              <w:snapToGrid w:val="0"/>
              <w:jc w:val="center"/>
              <w:rPr>
                <w:sz w:val="24"/>
              </w:rPr>
            </w:pPr>
            <w:r>
              <w:rPr>
                <w:sz w:val="24"/>
              </w:rPr>
              <w:t>规划环境影响</w:t>
            </w:r>
          </w:p>
          <w:p>
            <w:pPr>
              <w:adjustRightInd w:val="0"/>
              <w:snapToGrid w:val="0"/>
              <w:jc w:val="center"/>
              <w:rPr>
                <w:kern w:val="0"/>
                <w:sz w:val="24"/>
              </w:rPr>
            </w:pPr>
            <w:r>
              <w:rPr>
                <w:sz w:val="24"/>
              </w:rPr>
              <w:t>评价情况</w:t>
            </w:r>
          </w:p>
        </w:tc>
        <w:tc>
          <w:tcPr>
            <w:tcW w:w="7244" w:type="dxa"/>
            <w:gridSpan w:val="3"/>
            <w:vAlign w:val="center"/>
          </w:tcPr>
          <w:p>
            <w:pPr>
              <w:autoSpaceDE w:val="0"/>
              <w:autoSpaceDN w:val="0"/>
              <w:adjustRightInd w:val="0"/>
              <w:snapToGrid w:val="0"/>
              <w:jc w:val="center"/>
              <w:rPr>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right"/>
        </w:trPr>
        <w:tc>
          <w:tcPr>
            <w:tcW w:w="1755" w:type="dxa"/>
            <w:vAlign w:val="center"/>
          </w:tcPr>
          <w:p>
            <w:pPr>
              <w:autoSpaceDE w:val="0"/>
              <w:autoSpaceDN w:val="0"/>
              <w:adjustRightInd w:val="0"/>
              <w:snapToGrid w:val="0"/>
              <w:jc w:val="center"/>
              <w:rPr>
                <w:kern w:val="0"/>
                <w:sz w:val="24"/>
              </w:rPr>
            </w:pPr>
            <w:r>
              <w:rPr>
                <w:kern w:val="0"/>
                <w:sz w:val="24"/>
              </w:rPr>
              <w:t>规划及规划环境影响评价符合性分析</w:t>
            </w:r>
          </w:p>
        </w:tc>
        <w:tc>
          <w:tcPr>
            <w:tcW w:w="7244" w:type="dxa"/>
            <w:gridSpan w:val="3"/>
            <w:vAlign w:val="center"/>
          </w:tcPr>
          <w:p>
            <w:pPr>
              <w:pStyle w:val="59"/>
              <w:snapToGrid w:val="0"/>
              <w:spacing w:line="24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right"/>
        </w:trPr>
        <w:tc>
          <w:tcPr>
            <w:tcW w:w="1755" w:type="dxa"/>
            <w:vAlign w:val="center"/>
          </w:tcPr>
          <w:p>
            <w:pPr>
              <w:autoSpaceDE w:val="0"/>
              <w:autoSpaceDN w:val="0"/>
              <w:adjustRightInd w:val="0"/>
              <w:snapToGrid w:val="0"/>
              <w:jc w:val="center"/>
              <w:rPr>
                <w:kern w:val="0"/>
                <w:sz w:val="24"/>
              </w:rPr>
            </w:pPr>
            <w:r>
              <w:rPr>
                <w:kern w:val="0"/>
                <w:sz w:val="24"/>
              </w:rPr>
              <w:t>其他符合性</w:t>
            </w:r>
          </w:p>
          <w:p>
            <w:pPr>
              <w:autoSpaceDE w:val="0"/>
              <w:autoSpaceDN w:val="0"/>
              <w:adjustRightInd w:val="0"/>
              <w:snapToGrid w:val="0"/>
              <w:jc w:val="center"/>
              <w:rPr>
                <w:kern w:val="0"/>
                <w:sz w:val="24"/>
              </w:rPr>
            </w:pPr>
            <w:r>
              <w:rPr>
                <w:kern w:val="0"/>
                <w:sz w:val="24"/>
              </w:rPr>
              <w:t>分析</w:t>
            </w:r>
          </w:p>
        </w:tc>
        <w:tc>
          <w:tcPr>
            <w:tcW w:w="7244" w:type="dxa"/>
            <w:gridSpan w:val="3"/>
            <w:vAlign w:val="center"/>
          </w:tcPr>
          <w:p>
            <w:pPr>
              <w:numPr>
                <w:ilvl w:val="0"/>
                <w:numId w:val="0"/>
              </w:numPr>
              <w:autoSpaceDE w:val="0"/>
              <w:autoSpaceDN w:val="0"/>
              <w:adjustRightInd w:val="0"/>
              <w:snapToGrid w:val="0"/>
              <w:spacing w:line="520" w:lineRule="exact"/>
              <w:ind w:firstLine="482" w:firstLineChars="200"/>
              <w:rPr>
                <w:b/>
                <w:bCs/>
                <w:sz w:val="24"/>
              </w:rPr>
            </w:pPr>
            <w:r>
              <w:rPr>
                <w:rFonts w:hint="eastAsia"/>
                <w:b/>
                <w:bCs/>
                <w:sz w:val="24"/>
                <w:lang w:val="en-US" w:eastAsia="zh-CN"/>
              </w:rPr>
              <w:t>1.</w:t>
            </w:r>
            <w:r>
              <w:rPr>
                <w:b/>
                <w:bCs/>
                <w:sz w:val="24"/>
              </w:rPr>
              <w:t>项目“三线一单”符合性分析</w:t>
            </w:r>
          </w:p>
          <w:p>
            <w:pPr>
              <w:autoSpaceDE w:val="0"/>
              <w:autoSpaceDN w:val="0"/>
              <w:adjustRightInd w:val="0"/>
              <w:snapToGrid w:val="0"/>
              <w:spacing w:line="520" w:lineRule="exact"/>
              <w:ind w:firstLine="480" w:firstLineChars="200"/>
              <w:rPr>
                <w:b w:val="0"/>
                <w:bCs w:val="0"/>
                <w:color w:val="auto"/>
                <w:sz w:val="24"/>
              </w:rPr>
            </w:pPr>
            <w:r>
              <w:rPr>
                <w:rFonts w:hint="eastAsia"/>
                <w:b w:val="0"/>
                <w:bCs w:val="0"/>
                <w:color w:val="auto"/>
                <w:sz w:val="24"/>
                <w:lang w:val="en-US" w:eastAsia="zh-CN"/>
              </w:rPr>
              <w:t>本项目与《昌吉回族自治州“三线一单”生态环境分区管控方案》（以下简称“三线一单”）的</w:t>
            </w:r>
            <w:r>
              <w:rPr>
                <w:b w:val="0"/>
                <w:bCs w:val="0"/>
                <w:color w:val="auto"/>
                <w:sz w:val="24"/>
              </w:rPr>
              <w:t>符合性分析如下：</w:t>
            </w:r>
          </w:p>
          <w:p>
            <w:pPr>
              <w:autoSpaceDE w:val="0"/>
              <w:autoSpaceDN w:val="0"/>
              <w:adjustRightInd w:val="0"/>
              <w:snapToGrid w:val="0"/>
              <w:spacing w:line="520" w:lineRule="exact"/>
              <w:ind w:firstLine="482" w:firstLineChars="200"/>
              <w:rPr>
                <w:rFonts w:hint="eastAsia" w:ascii="Times New Roman" w:hAnsi="Times New Roman" w:eastAsia="宋体" w:cs="Times New Roman"/>
                <w:sz w:val="24"/>
                <w:szCs w:val="24"/>
                <w:lang w:eastAsia="zh-CN"/>
              </w:rPr>
            </w:pPr>
            <w:r>
              <w:rPr>
                <w:rFonts w:ascii="Times New Roman" w:hAnsi="Times New Roman" w:eastAsia="宋体" w:cs="宋体"/>
                <w:b/>
                <w:bCs/>
                <w:snapToGrid w:val="0"/>
                <w:kern w:val="2"/>
                <w:sz w:val="24"/>
                <w:szCs w:val="24"/>
                <w:lang w:val="en-US" w:eastAsia="zh-CN" w:bidi="ar-SA"/>
              </w:rPr>
              <w:t>生态保护红线：</w:t>
            </w:r>
            <w:r>
              <w:rPr>
                <w:rFonts w:ascii="Times New Roman" w:hAnsi="Times New Roman" w:eastAsia="宋体" w:cs="Times New Roman"/>
                <w:sz w:val="24"/>
                <w:szCs w:val="24"/>
              </w:rPr>
              <w:t>本项目位于</w:t>
            </w:r>
            <w:r>
              <w:rPr>
                <w:rFonts w:hint="eastAsia" w:cs="Times New Roman"/>
                <w:sz w:val="24"/>
                <w:szCs w:val="24"/>
                <w:lang w:val="en-US" w:eastAsia="zh-CN"/>
              </w:rPr>
              <w:t>玛纳斯县中医医院院内，</w:t>
            </w:r>
            <w:r>
              <w:rPr>
                <w:rFonts w:ascii="Times New Roman" w:hAnsi="Times New Roman" w:eastAsia="宋体" w:cs="Times New Roman"/>
                <w:color w:val="000000" w:themeColor="text1"/>
                <w:sz w:val="24"/>
                <w:szCs w:val="24"/>
                <w14:textFill>
                  <w14:solidFill>
                    <w14:schemeClr w14:val="tx1"/>
                  </w14:solidFill>
                </w14:textFill>
              </w:rPr>
              <w:t>用地性质属于医疗卫生用地，不属于生态红线区域</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p>
          <w:p>
            <w:pPr>
              <w:pStyle w:val="64"/>
              <w:ind w:firstLine="482"/>
              <w:rPr>
                <w:rFonts w:hint="default" w:eastAsia="宋体"/>
                <w:color w:val="000000" w:themeColor="text1"/>
                <w:lang w:val="en-US" w:eastAsia="zh-CN"/>
                <w14:textFill>
                  <w14:solidFill>
                    <w14:schemeClr w14:val="tx1"/>
                  </w14:solidFill>
                </w14:textFill>
              </w:rPr>
            </w:pPr>
            <w:r>
              <w:rPr>
                <w:b/>
                <w:bCs/>
              </w:rPr>
              <w:t>环境质量底线：</w:t>
            </w:r>
            <w:r>
              <w:rPr>
                <w:color w:val="000000" w:themeColor="text1"/>
                <w14:textFill>
                  <w14:solidFill>
                    <w14:schemeClr w14:val="tx1"/>
                  </w14:solidFill>
                </w14:textFill>
              </w:rPr>
              <w:t>本项目产生的废气主要为</w:t>
            </w:r>
            <w:r>
              <w:rPr>
                <w:rFonts w:hint="eastAsia"/>
                <w:color w:val="000000" w:themeColor="text1"/>
                <w:lang w:val="en-US" w:eastAsia="zh-CN"/>
                <w14:textFill>
                  <w14:solidFill>
                    <w14:schemeClr w14:val="tx1"/>
                  </w14:solidFill>
                </w14:textFill>
              </w:rPr>
              <w:t>污水处理设施产生的恶臭</w:t>
            </w:r>
            <w:r>
              <w:rPr>
                <w:color w:val="000000" w:themeColor="text1"/>
                <w14:textFill>
                  <w14:solidFill>
                    <w14:schemeClr w14:val="tx1"/>
                  </w14:solidFill>
                </w14:textFill>
              </w:rPr>
              <w:t>废气，</w:t>
            </w:r>
            <w:r>
              <w:rPr>
                <w:rFonts w:hint="eastAsia"/>
                <w:color w:val="000000" w:themeColor="text1"/>
                <w:lang w:val="en-US" w:eastAsia="zh-CN"/>
                <w14:textFill>
                  <w14:solidFill>
                    <w14:schemeClr w14:val="tx1"/>
                  </w14:solidFill>
                </w14:textFill>
              </w:rPr>
              <w:t>经除臭设施处理后</w:t>
            </w:r>
            <w:r>
              <w:rPr>
                <w:color w:val="000000" w:themeColor="text1"/>
                <w14:textFill>
                  <w14:solidFill>
                    <w14:schemeClr w14:val="tx1"/>
                  </w14:solidFill>
                </w14:textFill>
              </w:rPr>
              <w:t>，对区域环境质量造成影响</w:t>
            </w:r>
            <w:r>
              <w:rPr>
                <w:rFonts w:hint="eastAsia"/>
                <w:color w:val="000000" w:themeColor="text1"/>
                <w:lang w:val="en-US" w:eastAsia="zh-CN"/>
                <w14:textFill>
                  <w14:solidFill>
                    <w14:schemeClr w14:val="tx1"/>
                  </w14:solidFill>
                </w14:textFill>
              </w:rPr>
              <w:t>较小</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项目区生活污水及医疗废水</w:t>
            </w:r>
            <w:r>
              <w:rPr>
                <w:color w:val="000000" w:themeColor="text1"/>
                <w14:textFill>
                  <w14:solidFill>
                    <w14:schemeClr w14:val="tx1"/>
                  </w14:solidFill>
                </w14:textFill>
              </w:rPr>
              <w:t>排入</w:t>
            </w:r>
            <w:r>
              <w:rPr>
                <w:rFonts w:hint="eastAsia"/>
                <w:color w:val="000000" w:themeColor="text1"/>
                <w:lang w:val="en-US" w:eastAsia="zh-CN"/>
                <w14:textFill>
                  <w14:solidFill>
                    <w14:schemeClr w14:val="tx1"/>
                  </w14:solidFill>
                </w14:textFill>
              </w:rPr>
              <w:t>中医医院现有污水处理设施</w:t>
            </w:r>
            <w:r>
              <w:rPr>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经处理达标后排入市政排水管网</w:t>
            </w:r>
            <w:r>
              <w:rPr>
                <w:color w:val="000000" w:themeColor="text1"/>
                <w14:textFill>
                  <w14:solidFill>
                    <w14:schemeClr w14:val="tx1"/>
                  </w14:solidFill>
                </w14:textFill>
              </w:rPr>
              <w:t>，不会影响区域水环境质量。上述措施能确保本项目污染物对环境质量的影响降到最小，不突破所在区域环境质量底线。</w:t>
            </w:r>
          </w:p>
          <w:p>
            <w:pPr>
              <w:autoSpaceDE w:val="0"/>
              <w:autoSpaceDN w:val="0"/>
              <w:adjustRightInd w:val="0"/>
              <w:snapToGrid w:val="0"/>
              <w:spacing w:line="520" w:lineRule="exact"/>
              <w:ind w:firstLine="482" w:firstLineChars="200"/>
              <w:rPr>
                <w:rFonts w:hint="eastAsia"/>
                <w:sz w:val="24"/>
              </w:rPr>
            </w:pPr>
            <w:r>
              <w:rPr>
                <w:b/>
                <w:bCs/>
                <w:sz w:val="24"/>
              </w:rPr>
              <w:t>资源利用上线：</w:t>
            </w:r>
            <w:r>
              <w:rPr>
                <w:rFonts w:hint="eastAsia"/>
                <w:sz w:val="24"/>
              </w:rPr>
              <w:t>本项目运营期用水主要为</w:t>
            </w:r>
            <w:r>
              <w:rPr>
                <w:rFonts w:hint="eastAsia"/>
                <w:sz w:val="24"/>
                <w:lang w:val="en-US" w:eastAsia="zh-CN"/>
              </w:rPr>
              <w:t>生活用水</w:t>
            </w:r>
            <w:r>
              <w:rPr>
                <w:rFonts w:hint="eastAsia"/>
                <w:sz w:val="24"/>
              </w:rPr>
              <w:t>和</w:t>
            </w:r>
            <w:r>
              <w:rPr>
                <w:rFonts w:hint="eastAsia"/>
                <w:sz w:val="24"/>
                <w:lang w:val="en-US" w:eastAsia="zh-CN"/>
              </w:rPr>
              <w:t>医疗门诊</w:t>
            </w:r>
            <w:r>
              <w:rPr>
                <w:rFonts w:hint="eastAsia"/>
                <w:sz w:val="24"/>
              </w:rPr>
              <w:t>用水，由</w:t>
            </w:r>
            <w:r>
              <w:rPr>
                <w:rFonts w:hint="eastAsia"/>
                <w:sz w:val="24"/>
                <w:lang w:val="en-US" w:eastAsia="zh-CN"/>
              </w:rPr>
              <w:t>玛纳斯县市</w:t>
            </w:r>
            <w:r>
              <w:rPr>
                <w:rFonts w:hint="eastAsia"/>
                <w:sz w:val="24"/>
              </w:rPr>
              <w:t>政供水管网供给，</w:t>
            </w:r>
            <w:r>
              <w:rPr>
                <w:rFonts w:hint="eastAsia"/>
                <w:sz w:val="24"/>
                <w:lang w:val="en-US" w:eastAsia="zh-CN"/>
              </w:rPr>
              <w:t>废水排入中医医院现有污水处理设施，经预处理达标后排入市政排水管网，最终进入玛纳斯县污水处理厂处理</w:t>
            </w:r>
            <w:r>
              <w:rPr>
                <w:rFonts w:hint="eastAsia"/>
                <w:sz w:val="24"/>
                <w:lang w:eastAsia="zh-CN"/>
              </w:rPr>
              <w:t>；</w:t>
            </w:r>
            <w:r>
              <w:rPr>
                <w:rFonts w:hint="eastAsia"/>
                <w:sz w:val="24"/>
              </w:rPr>
              <w:t>项目水资源消耗量对区域资源利用总量占比很小，不会突破区域资源利用上线；本项目不占用耕地，土地资源消耗符合要求；项目总体上不会突破资源利用上线。</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ascii="Times New Roman" w:hAnsi="Times New Roman" w:eastAsia="宋体" w:cs="Times New Roman"/>
                <w:color w:val="FF0000"/>
                <w:sz w:val="24"/>
                <w:szCs w:val="24"/>
              </w:rPr>
            </w:pPr>
            <w:r>
              <w:rPr>
                <w:rFonts w:hint="eastAsia" w:cs="Times New Roman"/>
                <w:b/>
                <w:bCs/>
                <w:sz w:val="24"/>
                <w:lang w:val="en-US" w:eastAsia="zh-CN"/>
              </w:rPr>
              <w:t>生态</w:t>
            </w:r>
            <w:r>
              <w:rPr>
                <w:rFonts w:ascii="Times New Roman" w:hAnsi="Times New Roman" w:eastAsia="宋体" w:cs="Times New Roman"/>
                <w:b/>
                <w:bCs/>
                <w:sz w:val="24"/>
              </w:rPr>
              <w:t>环境准入清单：</w:t>
            </w:r>
            <w:r>
              <w:rPr>
                <w:rFonts w:hint="eastAsia" w:cs="Times New Roman"/>
                <w:b w:val="0"/>
                <w:bCs w:val="0"/>
                <w:sz w:val="24"/>
                <w:szCs w:val="24"/>
                <w:lang w:val="en-US" w:eastAsia="zh-CN"/>
              </w:rPr>
              <w:t>根据</w:t>
            </w:r>
            <w:r>
              <w:rPr>
                <w:rFonts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昌吉回族自治州“三线一单”生态环境分区管控方案及生态环境准入清单</w:t>
            </w:r>
            <w:r>
              <w:rPr>
                <w:rFonts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本项目位于</w:t>
            </w:r>
            <w:r>
              <w:rPr>
                <w:rFonts w:hint="eastAsia" w:cs="Times New Roman"/>
                <w:color w:val="000000" w:themeColor="text1"/>
                <w:sz w:val="24"/>
                <w:szCs w:val="24"/>
                <w:lang w:val="en-US" w:eastAsia="zh-CN"/>
                <w14:textFill>
                  <w14:solidFill>
                    <w14:schemeClr w14:val="tx1"/>
                  </w14:solidFill>
                </w14:textFill>
              </w:rPr>
              <w:t>玛纳斯县重点管控单元（</w:t>
            </w:r>
            <w:r>
              <w:rPr>
                <w:rFonts w:ascii="Times New Roman" w:hAnsi="Times New Roman" w:eastAsia="仿宋" w:cs="Times New Roman"/>
                <w:color w:val="000000" w:themeColor="text1"/>
                <w:kern w:val="0"/>
                <w:sz w:val="24"/>
                <w:szCs w:val="24"/>
                <w14:textFill>
                  <w14:solidFill>
                    <w14:schemeClr w14:val="tx1"/>
                  </w14:solidFill>
                </w14:textFill>
              </w:rPr>
              <w:t>ZH65232420001</w:t>
            </w:r>
            <w:r>
              <w:rPr>
                <w:rFonts w:hint="eastAsia" w:cs="Times New Roman"/>
                <w:color w:val="000000" w:themeColor="text1"/>
                <w:sz w:val="24"/>
                <w:szCs w:val="24"/>
                <w:lang w:val="en-US" w:eastAsia="zh-CN"/>
                <w14:textFill>
                  <w14:solidFill>
                    <w14:schemeClr w14:val="tx1"/>
                  </w14:solidFill>
                </w14:textFill>
              </w:rPr>
              <w:t>），</w:t>
            </w:r>
            <w:r>
              <w:rPr>
                <w:color w:val="000000" w:themeColor="text1"/>
                <w:sz w:val="24"/>
                <w:szCs w:val="24"/>
                <w14:textFill>
                  <w14:solidFill>
                    <w14:schemeClr w14:val="tx1"/>
                  </w14:solidFill>
                </w14:textFill>
              </w:rPr>
              <w:t>项</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目符合玛纳斯县</w:t>
            </w:r>
            <w:r>
              <w:rPr>
                <w:color w:val="000000" w:themeColor="text1"/>
                <w:sz w:val="24"/>
                <w:szCs w:val="24"/>
                <w14:textFill>
                  <w14:solidFill>
                    <w14:schemeClr w14:val="tx1"/>
                  </w14:solidFill>
                </w14:textFill>
              </w:rPr>
              <w:t>环境管控单元生态环境准入清单（</w:t>
            </w:r>
            <w:r>
              <w:rPr>
                <w:rFonts w:hint="eastAsia"/>
                <w:color w:val="000000" w:themeColor="text1"/>
                <w:sz w:val="24"/>
                <w:szCs w:val="24"/>
                <w:lang w:val="en-US" w:eastAsia="zh-CN"/>
                <w14:textFill>
                  <w14:solidFill>
                    <w14:schemeClr w14:val="tx1"/>
                  </w14:solidFill>
                </w14:textFill>
              </w:rPr>
              <w:t>重点</w:t>
            </w:r>
            <w:r>
              <w:rPr>
                <w:rFonts w:hint="eastAsia"/>
                <w:color w:val="000000" w:themeColor="text1"/>
                <w:sz w:val="24"/>
                <w:szCs w:val="24"/>
                <w14:textFill>
                  <w14:solidFill>
                    <w14:schemeClr w14:val="tx1"/>
                  </w14:solidFill>
                </w14:textFill>
              </w:rPr>
              <w:t>管控单元</w:t>
            </w:r>
            <w:r>
              <w:rPr>
                <w:color w:val="000000" w:themeColor="text1"/>
                <w:sz w:val="24"/>
                <w:szCs w:val="24"/>
                <w14:textFill>
                  <w14:solidFill>
                    <w14:schemeClr w14:val="tx1"/>
                  </w14:solidFill>
                </w14:textFill>
              </w:rPr>
              <w:t>）相关准入要求，符合新疆维吾尔自治区</w:t>
            </w:r>
            <w:r>
              <w:rPr>
                <w:rFonts w:hint="eastAsia"/>
                <w:color w:val="000000" w:themeColor="text1"/>
                <w:sz w:val="24"/>
                <w:szCs w:val="24"/>
                <w14:textFill>
                  <w14:solidFill>
                    <w14:schemeClr w14:val="tx1"/>
                  </w14:solidFill>
                </w14:textFill>
              </w:rPr>
              <w:t>生态环境准入</w:t>
            </w:r>
            <w:r>
              <w:rPr>
                <w:color w:val="000000" w:themeColor="text1"/>
                <w:sz w:val="24"/>
                <w:szCs w:val="24"/>
                <w14:textFill>
                  <w14:solidFill>
                    <w14:schemeClr w14:val="tx1"/>
                  </w14:solidFill>
                </w14:textFill>
              </w:rPr>
              <w:t>要求。</w:t>
            </w:r>
          </w:p>
          <w:p>
            <w:pPr>
              <w:autoSpaceDE w:val="0"/>
              <w:autoSpaceDN w:val="0"/>
              <w:adjustRightInd w:val="0"/>
              <w:snapToGrid w:val="0"/>
              <w:spacing w:line="520" w:lineRule="exact"/>
              <w:ind w:firstLine="482" w:firstLineChars="200"/>
              <w:rPr>
                <w:rFonts w:hint="eastAsia"/>
                <w:b/>
                <w:bCs/>
                <w:sz w:val="24"/>
                <w:lang w:val="en-US" w:eastAsia="zh-CN"/>
              </w:rPr>
            </w:pPr>
            <w:r>
              <w:rPr>
                <w:rFonts w:hint="eastAsia"/>
                <w:b/>
                <w:bCs/>
                <w:sz w:val="24"/>
                <w:lang w:val="en-US" w:eastAsia="zh-CN"/>
              </w:rPr>
              <w:t>2.与《昌吉回族自治州“三线一单”生态环境分区管控方案》相符性分析</w:t>
            </w:r>
          </w:p>
          <w:p>
            <w:pPr>
              <w:autoSpaceDE w:val="0"/>
              <w:autoSpaceDN w:val="0"/>
              <w:adjustRightInd w:val="0"/>
              <w:snapToGrid w:val="0"/>
              <w:spacing w:line="520" w:lineRule="exact"/>
              <w:ind w:firstLine="480" w:firstLineChars="200"/>
              <w:rPr>
                <w:bCs/>
                <w:sz w:val="24"/>
                <w:szCs w:val="24"/>
              </w:rPr>
            </w:pPr>
            <w:r>
              <w:rPr>
                <w:rFonts w:hint="eastAsia"/>
                <w:bCs/>
                <w:sz w:val="24"/>
                <w:szCs w:val="24"/>
                <w:lang w:val="en-US" w:eastAsia="zh-CN"/>
              </w:rPr>
              <w:t xml:space="preserve">根据《昌吉回族自治州“三线一单”生态环境分区管控方案》， </w:t>
            </w:r>
            <w:r>
              <w:rPr>
                <w:rFonts w:hint="eastAsia"/>
                <w:bCs/>
                <w:sz w:val="24"/>
                <w:szCs w:val="24"/>
              </w:rPr>
              <w:t>自治州共划定119个环境管控单元，分为优先保护单元、重点管控单元和一般管控单元三类，实施分类管控。</w:t>
            </w:r>
          </w:p>
          <w:p>
            <w:pPr>
              <w:autoSpaceDE w:val="0"/>
              <w:autoSpaceDN w:val="0"/>
              <w:adjustRightInd w:val="0"/>
              <w:snapToGrid w:val="0"/>
              <w:spacing w:line="520" w:lineRule="exact"/>
              <w:ind w:firstLine="480" w:firstLineChars="200"/>
              <w:rPr>
                <w:bCs/>
                <w:sz w:val="24"/>
                <w:szCs w:val="24"/>
              </w:rPr>
            </w:pPr>
            <w:r>
              <w:rPr>
                <w:rFonts w:hint="eastAsia"/>
                <w:bCs/>
                <w:sz w:val="24"/>
                <w:szCs w:val="24"/>
              </w:rPr>
              <w:t>优先保护单元主要包括</w:t>
            </w:r>
            <w:r>
              <w:rPr>
                <w:rFonts w:hint="eastAsia"/>
                <w:bCs/>
                <w:sz w:val="24"/>
                <w:szCs w:val="24"/>
                <w:lang w:eastAsia="zh-CN"/>
              </w:rPr>
              <w:t>：</w:t>
            </w:r>
            <w:r>
              <w:rPr>
                <w:rFonts w:hint="eastAsia"/>
                <w:bCs/>
                <w:sz w:val="24"/>
                <w:szCs w:val="24"/>
              </w:rPr>
              <w:t>生态保护红线区和生态保护红线区以外的饮用水水源保护区、水源涵养区、防风固沙区、水土保持区、生物多样性维护区、土地沙化防控区、水土流失防控区等一般生态空间管控区。</w:t>
            </w:r>
          </w:p>
          <w:p>
            <w:pPr>
              <w:autoSpaceDE w:val="0"/>
              <w:autoSpaceDN w:val="0"/>
              <w:adjustRightInd w:val="0"/>
              <w:snapToGrid w:val="0"/>
              <w:spacing w:line="520" w:lineRule="exact"/>
              <w:ind w:firstLine="480" w:firstLineChars="200"/>
              <w:rPr>
                <w:bCs/>
                <w:sz w:val="24"/>
                <w:szCs w:val="24"/>
              </w:rPr>
            </w:pPr>
            <w:r>
              <w:rPr>
                <w:rFonts w:hint="eastAsia"/>
                <w:bCs/>
                <w:sz w:val="24"/>
                <w:szCs w:val="24"/>
              </w:rPr>
              <w:t>重点管控单元主要包括</w:t>
            </w:r>
            <w:r>
              <w:rPr>
                <w:rFonts w:hint="eastAsia"/>
                <w:bCs/>
                <w:sz w:val="24"/>
                <w:szCs w:val="24"/>
                <w:lang w:eastAsia="zh-CN"/>
              </w:rPr>
              <w:t>：</w:t>
            </w:r>
            <w:r>
              <w:rPr>
                <w:rFonts w:hint="eastAsia"/>
                <w:bCs/>
                <w:sz w:val="24"/>
                <w:szCs w:val="24"/>
              </w:rPr>
              <w:t>城镇建成区、工业园区和工业聚集区等。</w:t>
            </w:r>
          </w:p>
          <w:p>
            <w:pPr>
              <w:autoSpaceDE w:val="0"/>
              <w:autoSpaceDN w:val="0"/>
              <w:adjustRightInd w:val="0"/>
              <w:snapToGrid w:val="0"/>
              <w:spacing w:line="520" w:lineRule="exact"/>
              <w:ind w:firstLine="480" w:firstLineChars="200"/>
              <w:rPr>
                <w:bCs/>
                <w:sz w:val="24"/>
                <w:szCs w:val="24"/>
              </w:rPr>
            </w:pPr>
            <w:r>
              <w:rPr>
                <w:rFonts w:hint="eastAsia"/>
                <w:bCs/>
                <w:sz w:val="24"/>
                <w:szCs w:val="24"/>
              </w:rPr>
              <w:t>一般管控单元主要包括</w:t>
            </w:r>
            <w:r>
              <w:rPr>
                <w:rFonts w:hint="eastAsia"/>
                <w:bCs/>
                <w:sz w:val="24"/>
                <w:szCs w:val="24"/>
                <w:lang w:eastAsia="zh-CN"/>
              </w:rPr>
              <w:t>：</w:t>
            </w:r>
            <w:r>
              <w:rPr>
                <w:rFonts w:hint="eastAsia"/>
                <w:bCs/>
                <w:sz w:val="24"/>
                <w:szCs w:val="24"/>
              </w:rPr>
              <w:t>优先保护单元和重点管控单元之外的其它区域。</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textAlignment w:val="auto"/>
              <w:rPr>
                <w:sz w:val="24"/>
              </w:rPr>
            </w:pPr>
            <w:r>
              <w:rPr>
                <w:rFonts w:hint="eastAsia"/>
                <w:sz w:val="24"/>
              </w:rPr>
              <w:t>本项目在</w:t>
            </w:r>
            <w:r>
              <w:rPr>
                <w:rFonts w:hint="eastAsia"/>
                <w:bCs/>
                <w:sz w:val="24"/>
                <w:szCs w:val="24"/>
                <w:lang w:val="en-US" w:eastAsia="zh-CN"/>
              </w:rPr>
              <w:t>《昌吉回族自治州“三线一单”生态环境分区管控方案》</w:t>
            </w:r>
            <w:r>
              <w:rPr>
                <w:rFonts w:hint="eastAsia"/>
                <w:color w:val="000000" w:themeColor="text1"/>
                <w:sz w:val="24"/>
                <w14:textFill>
                  <w14:solidFill>
                    <w14:schemeClr w14:val="tx1"/>
                  </w14:solidFill>
                </w14:textFill>
              </w:rPr>
              <w:t>，</w:t>
            </w:r>
            <w:r>
              <w:rPr>
                <w:rFonts w:hint="eastAsia"/>
                <w:sz w:val="24"/>
              </w:rPr>
              <w:t>本项目位于</w:t>
            </w:r>
            <w:r>
              <w:rPr>
                <w:rFonts w:hint="eastAsia"/>
                <w:sz w:val="24"/>
                <w:lang w:val="en-US" w:eastAsia="zh-CN"/>
              </w:rPr>
              <w:t>玛纳斯</w:t>
            </w:r>
            <w:r>
              <w:rPr>
                <w:rFonts w:hint="eastAsia"/>
                <w:sz w:val="24"/>
              </w:rPr>
              <w:t>县</w:t>
            </w:r>
            <w:r>
              <w:rPr>
                <w:rFonts w:hint="eastAsia"/>
                <w:sz w:val="24"/>
                <w:lang w:val="en-US" w:eastAsia="zh-CN"/>
              </w:rPr>
              <w:t>重点</w:t>
            </w:r>
            <w:r>
              <w:rPr>
                <w:rFonts w:hint="eastAsia"/>
                <w:sz w:val="24"/>
              </w:rPr>
              <w:t>管控单元（编号</w:t>
            </w:r>
            <w:r>
              <w:rPr>
                <w:rFonts w:ascii="Times New Roman" w:hAnsi="Times New Roman" w:eastAsia="仿宋" w:cs="Times New Roman"/>
                <w:color w:val="000000" w:themeColor="text1"/>
                <w:kern w:val="0"/>
                <w:sz w:val="24"/>
                <w:szCs w:val="24"/>
                <w14:textFill>
                  <w14:solidFill>
                    <w14:schemeClr w14:val="tx1"/>
                  </w14:solidFill>
                </w14:textFill>
              </w:rPr>
              <w:t>ZH65232420001</w:t>
            </w:r>
            <w:r>
              <w:rPr>
                <w:rFonts w:hint="eastAsia"/>
                <w:sz w:val="24"/>
              </w:rPr>
              <w:t>）。与</w:t>
            </w:r>
            <w:r>
              <w:rPr>
                <w:rFonts w:hint="eastAsia"/>
                <w:bCs/>
                <w:sz w:val="24"/>
                <w:szCs w:val="24"/>
                <w:lang w:val="en-US" w:eastAsia="zh-CN"/>
              </w:rPr>
              <w:t>昌吉回族自治州</w:t>
            </w:r>
            <w:r>
              <w:rPr>
                <w:rFonts w:hint="eastAsia"/>
                <w:sz w:val="24"/>
                <w:lang w:val="en-US" w:eastAsia="zh-CN"/>
              </w:rPr>
              <w:t>玛纳斯</w:t>
            </w:r>
            <w:r>
              <w:rPr>
                <w:rFonts w:hint="eastAsia"/>
                <w:sz w:val="24"/>
              </w:rPr>
              <w:t>县环境管控单元生态环境准入清单（</w:t>
            </w:r>
            <w:r>
              <w:rPr>
                <w:rFonts w:hint="eastAsia"/>
                <w:sz w:val="24"/>
                <w:lang w:val="en-US" w:eastAsia="zh-CN"/>
              </w:rPr>
              <w:t>重点</w:t>
            </w:r>
            <w:r>
              <w:rPr>
                <w:rFonts w:hint="eastAsia"/>
                <w:sz w:val="24"/>
              </w:rPr>
              <w:t>管控单元）符合性分析见表</w:t>
            </w:r>
            <w:r>
              <w:rPr>
                <w:sz w:val="24"/>
              </w:rPr>
              <w:t>1-</w:t>
            </w:r>
            <w:r>
              <w:rPr>
                <w:rFonts w:hint="eastAsia"/>
                <w:sz w:val="24"/>
                <w:lang w:val="en-US" w:eastAsia="zh-CN"/>
              </w:rPr>
              <w:t>1</w:t>
            </w:r>
            <w:r>
              <w:rPr>
                <w:rFonts w:hint="eastAsia"/>
                <w:sz w:val="24"/>
              </w:rPr>
              <w:t>。</w:t>
            </w:r>
          </w:p>
          <w:p>
            <w:pPr>
              <w:jc w:val="center"/>
              <w:rPr>
                <w:rFonts w:eastAsia="黑体"/>
                <w:sz w:val="24"/>
              </w:rPr>
            </w:pPr>
            <w:r>
              <w:rPr>
                <w:rFonts w:eastAsia="黑体"/>
                <w:sz w:val="24"/>
              </w:rPr>
              <w:t>表1-</w:t>
            </w:r>
            <w:r>
              <w:rPr>
                <w:rFonts w:hint="eastAsia" w:eastAsia="黑体"/>
                <w:sz w:val="24"/>
                <w:lang w:val="en-US" w:eastAsia="zh-CN"/>
              </w:rPr>
              <w:t>1</w:t>
            </w:r>
            <w:r>
              <w:rPr>
                <w:rFonts w:eastAsia="黑体"/>
                <w:sz w:val="24"/>
              </w:rPr>
              <w:t xml:space="preserve">    </w:t>
            </w:r>
            <w:r>
              <w:rPr>
                <w:rFonts w:hint="eastAsia" w:eastAsia="黑体"/>
                <w:sz w:val="24"/>
                <w:lang w:val="en-US" w:eastAsia="zh-CN"/>
              </w:rPr>
              <w:t>昌吉回族自治州玛纳斯</w:t>
            </w:r>
            <w:r>
              <w:rPr>
                <w:rFonts w:hint="eastAsia" w:eastAsia="黑体"/>
                <w:sz w:val="24"/>
              </w:rPr>
              <w:t>县环境管控单元生态环境准入清单（</w:t>
            </w:r>
            <w:r>
              <w:rPr>
                <w:rFonts w:hint="eastAsia" w:eastAsia="黑体"/>
                <w:sz w:val="24"/>
                <w:lang w:val="en-US" w:eastAsia="zh-CN"/>
              </w:rPr>
              <w:t>重点</w:t>
            </w:r>
            <w:r>
              <w:rPr>
                <w:rFonts w:hint="eastAsia" w:eastAsia="黑体"/>
                <w:sz w:val="24"/>
              </w:rPr>
              <w:t>管控单元）</w:t>
            </w:r>
            <w:r>
              <w:rPr>
                <w:rFonts w:eastAsia="黑体"/>
                <w:sz w:val="24"/>
              </w:rPr>
              <w:t>符合性一览表</w:t>
            </w:r>
          </w:p>
          <w:tbl>
            <w:tblPr>
              <w:tblStyle w:val="28"/>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0"/>
              <w:gridCol w:w="3976"/>
              <w:gridCol w:w="1913"/>
              <w:gridCol w:w="5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249" w:type="pct"/>
                  <w:gridSpan w:val="2"/>
                  <w:vAlign w:val="center"/>
                </w:tcPr>
                <w:p>
                  <w:pPr>
                    <w:pStyle w:val="27"/>
                    <w:adjustRightInd w:val="0"/>
                    <w:snapToGrid w:val="0"/>
                    <w:spacing w:after="0"/>
                    <w:ind w:left="-63" w:leftChars="-30" w:right="-63" w:rightChars="-30" w:firstLine="0" w:firstLineChars="0"/>
                    <w:jc w:val="center"/>
                    <w:rPr>
                      <w:szCs w:val="21"/>
                    </w:rPr>
                  </w:pPr>
                  <w:r>
                    <w:rPr>
                      <w:szCs w:val="21"/>
                    </w:rPr>
                    <w:t>管控要求</w:t>
                  </w:r>
                </w:p>
              </w:tc>
              <w:tc>
                <w:tcPr>
                  <w:tcW w:w="1361" w:type="pct"/>
                  <w:vAlign w:val="center"/>
                </w:tcPr>
                <w:p>
                  <w:pPr>
                    <w:pStyle w:val="27"/>
                    <w:adjustRightInd w:val="0"/>
                    <w:snapToGrid w:val="0"/>
                    <w:spacing w:after="0"/>
                    <w:ind w:left="-63" w:leftChars="-30" w:right="-63" w:rightChars="-30" w:firstLine="0" w:firstLineChars="0"/>
                    <w:jc w:val="center"/>
                    <w:rPr>
                      <w:szCs w:val="21"/>
                    </w:rPr>
                  </w:pPr>
                  <w:r>
                    <w:rPr>
                      <w:szCs w:val="21"/>
                    </w:rPr>
                    <w:t>本项目</w:t>
                  </w:r>
                </w:p>
              </w:tc>
              <w:tc>
                <w:tcPr>
                  <w:tcW w:w="389" w:type="pct"/>
                  <w:vAlign w:val="center"/>
                </w:tcPr>
                <w:p>
                  <w:pPr>
                    <w:pStyle w:val="27"/>
                    <w:adjustRightInd w:val="0"/>
                    <w:snapToGrid w:val="0"/>
                    <w:spacing w:after="0"/>
                    <w:ind w:left="-63" w:leftChars="-30" w:right="-63" w:rightChars="-30" w:firstLine="0" w:firstLineChars="0"/>
                    <w:jc w:val="center"/>
                    <w:rPr>
                      <w:szCs w:val="21"/>
                    </w:rPr>
                  </w:pPr>
                  <w:r>
                    <w:rPr>
                      <w:rFonts w:hint="eastAsia"/>
                      <w:szCs w:val="21"/>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Align w:val="center"/>
                </w:tcPr>
                <w:p>
                  <w:pPr>
                    <w:pStyle w:val="27"/>
                    <w:adjustRightInd w:val="0"/>
                    <w:snapToGrid w:val="0"/>
                    <w:spacing w:after="0"/>
                    <w:ind w:left="-63" w:leftChars="-30" w:right="-63" w:rightChars="-30" w:firstLine="0" w:firstLineChars="0"/>
                    <w:jc w:val="center"/>
                    <w:rPr>
                      <w:szCs w:val="21"/>
                    </w:rPr>
                  </w:pPr>
                  <w:r>
                    <w:rPr>
                      <w:rFonts w:hint="eastAsia"/>
                      <w:szCs w:val="21"/>
                    </w:rPr>
                    <w:t>空间布局约束</w:t>
                  </w:r>
                </w:p>
              </w:tc>
              <w:tc>
                <w:tcPr>
                  <w:tcW w:w="2829" w:type="pct"/>
                  <w:vAlign w:val="center"/>
                </w:tcPr>
                <w:p>
                  <w:pPr>
                    <w:jc w:val="left"/>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1、执行自治区、乌昌石片区总体准入要求中关于重点管控单元空间布局约束的准入要求（表2-3 A6.1、表3.4-2 B1）。</w:t>
                  </w:r>
                </w:p>
                <w:p>
                  <w:pPr>
                    <w:jc w:val="left"/>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2、</w:t>
                  </w:r>
                  <w:r>
                    <w:rPr>
                      <w:rFonts w:hint="eastAsia" w:ascii="Times New Roman" w:hAnsi="Times New Roman" w:eastAsia="宋体" w:cs="Times New Roman"/>
                      <w:kern w:val="0"/>
                      <w:sz w:val="21"/>
                      <w:szCs w:val="21"/>
                      <w:lang w:val="en-US" w:eastAsia="zh-CN" w:bidi="ar-SA"/>
                    </w:rPr>
                    <w:t>在居民住宅区等人口密集区域和机关、医院、学校、幼儿园、养老院等其他需要特殊保护的区域及其周边，不得新建和扩建易产生恶臭气体的生产项目，或者从事其他产生恶臭气体的生产经营活动。已建成的，应当逐步搬迁或者升级改造。</w:t>
                  </w:r>
                </w:p>
                <w:p>
                  <w:pPr>
                    <w:jc w:val="left"/>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3、城市建成区禁止新建每小时65蒸吨以下燃煤锅炉。</w:t>
                  </w:r>
                </w:p>
                <w:p>
                  <w:pPr>
                    <w:jc w:val="left"/>
                    <w:rPr>
                      <w:szCs w:val="21"/>
                    </w:rPr>
                  </w:pPr>
                  <w:r>
                    <w:rPr>
                      <w:rFonts w:hint="eastAsia" w:ascii="Times New Roman" w:hAnsi="Times New Roman" w:eastAsia="宋体" w:cs="Times New Roman"/>
                      <w:kern w:val="0"/>
                      <w:sz w:val="21"/>
                      <w:szCs w:val="21"/>
                      <w:lang w:val="en-US" w:eastAsia="zh-CN" w:bidi="ar-SA"/>
                    </w:rPr>
                    <w:t>4、在集中供热管网覆盖地区，禁止新建、扩建分散燃煤供热锅炉。</w:t>
                  </w:r>
                </w:p>
              </w:tc>
              <w:tc>
                <w:tcPr>
                  <w:tcW w:w="1361" w:type="pct"/>
                  <w:vAlign w:val="center"/>
                </w:tcPr>
                <w:p>
                  <w:pPr>
                    <w:pStyle w:val="27"/>
                    <w:adjustRightInd w:val="0"/>
                    <w:snapToGrid w:val="0"/>
                    <w:spacing w:after="0"/>
                    <w:ind w:left="-63" w:leftChars="-30" w:right="-63" w:rightChars="-30" w:firstLine="0" w:firstLineChars="0"/>
                    <w:rPr>
                      <w:rFonts w:hint="eastAsia"/>
                      <w:lang w:val="en-US" w:eastAsia="zh-CN"/>
                    </w:rPr>
                  </w:pPr>
                  <w:r>
                    <w:rPr>
                      <w:rFonts w:hint="eastAsia"/>
                      <w:szCs w:val="21"/>
                      <w:lang w:val="en-US" w:eastAsia="zh-CN"/>
                    </w:rPr>
                    <w:t>本</w:t>
                  </w:r>
                  <w:r>
                    <w:rPr>
                      <w:rFonts w:hint="eastAsia"/>
                      <w:szCs w:val="21"/>
                    </w:rPr>
                    <w:t>项目</w:t>
                  </w:r>
                  <w:r>
                    <w:rPr>
                      <w:rFonts w:hint="eastAsia"/>
                      <w:szCs w:val="21"/>
                      <w:lang w:val="en-US" w:eastAsia="zh-CN"/>
                    </w:rPr>
                    <w:t>为中医康复治疗项目，</w:t>
                  </w:r>
                  <w:r>
                    <w:rPr>
                      <w:rFonts w:hint="eastAsia"/>
                    </w:rPr>
                    <w:t>不涉及</w:t>
                  </w:r>
                  <w:r>
                    <w:rPr>
                      <w:rFonts w:hint="eastAsia"/>
                      <w:szCs w:val="21"/>
                    </w:rPr>
                    <w:t>“高污染、高环境风险产品”工业项目</w:t>
                  </w:r>
                  <w:r>
                    <w:rPr>
                      <w:rFonts w:hint="eastAsia"/>
                    </w:rPr>
                    <w:t>。</w:t>
                  </w:r>
                  <w:r>
                    <w:rPr>
                      <w:rFonts w:hint="eastAsia"/>
                      <w:szCs w:val="21"/>
                      <w:lang w:val="en-US" w:eastAsia="zh-CN"/>
                    </w:rPr>
                    <w:t>位于玛纳斯县中医医院院内</w:t>
                  </w:r>
                  <w:r>
                    <w:rPr>
                      <w:rFonts w:hint="eastAsia"/>
                    </w:rPr>
                    <w:t>不新增占地，</w:t>
                  </w:r>
                  <w:r>
                    <w:rPr>
                      <w:rFonts w:hint="eastAsia"/>
                      <w:lang w:val="en-US" w:eastAsia="zh-CN"/>
                    </w:rPr>
                    <w:t>项目废水依托中医院现有污水处理设施处理；供暖接入市政集中供热管网。</w:t>
                  </w:r>
                </w:p>
                <w:p>
                  <w:pPr>
                    <w:pStyle w:val="27"/>
                    <w:adjustRightInd w:val="0"/>
                    <w:snapToGrid w:val="0"/>
                    <w:spacing w:after="0"/>
                    <w:ind w:left="-63" w:leftChars="-30" w:right="-63" w:rightChars="-30" w:firstLine="0" w:firstLineChars="0"/>
                    <w:rPr>
                      <w:rFonts w:hint="default" w:eastAsia="宋体"/>
                      <w:szCs w:val="21"/>
                      <w:lang w:val="en-US" w:eastAsia="zh-CN"/>
                    </w:rPr>
                  </w:pPr>
                </w:p>
              </w:tc>
              <w:tc>
                <w:tcPr>
                  <w:tcW w:w="389" w:type="pct"/>
                  <w:vAlign w:val="center"/>
                </w:tcPr>
                <w:p>
                  <w:pPr>
                    <w:pStyle w:val="27"/>
                    <w:adjustRightInd w:val="0"/>
                    <w:snapToGrid w:val="0"/>
                    <w:spacing w:after="0"/>
                    <w:ind w:left="-63" w:leftChars="-30" w:right="-63" w:rightChars="-30" w:firstLine="0" w:firstLineChars="0"/>
                    <w:jc w:val="center"/>
                    <w:rPr>
                      <w:szCs w:val="21"/>
                    </w:rPr>
                  </w:pPr>
                  <w:r>
                    <w:rPr>
                      <w:rFonts w:hint="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tcBorders>
                    <w:bottom w:val="single" w:color="auto" w:sz="4" w:space="0"/>
                  </w:tcBorders>
                  <w:vAlign w:val="center"/>
                </w:tcPr>
                <w:p>
                  <w:pPr>
                    <w:pStyle w:val="27"/>
                    <w:adjustRightInd w:val="0"/>
                    <w:snapToGrid w:val="0"/>
                    <w:spacing w:after="0"/>
                    <w:ind w:left="-63" w:leftChars="-30" w:right="-63" w:rightChars="-30" w:firstLine="0" w:firstLineChars="0"/>
                    <w:jc w:val="center"/>
                    <w:rPr>
                      <w:szCs w:val="21"/>
                    </w:rPr>
                  </w:pPr>
                  <w:r>
                    <w:rPr>
                      <w:rFonts w:hint="eastAsia"/>
                      <w:szCs w:val="21"/>
                    </w:rPr>
                    <w:t>污染物排放管控</w:t>
                  </w:r>
                </w:p>
              </w:tc>
              <w:tc>
                <w:tcPr>
                  <w:tcW w:w="2829" w:type="pct"/>
                  <w:tcBorders>
                    <w:bottom w:val="single" w:color="auto" w:sz="4" w:space="0"/>
                  </w:tcBorders>
                  <w:vAlign w:val="center"/>
                </w:tcPr>
                <w:p>
                  <w:pPr>
                    <w:jc w:val="left"/>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1、执行自治区、乌昌石片区总体准入要求中关于重点管控单元污染物排放管控的准入要求（表2-3 A6.2、表3.4-2 B2）。</w:t>
                  </w:r>
                </w:p>
                <w:p>
                  <w:pPr>
                    <w:jc w:val="left"/>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2、新（改、扩）建项目应执行最严格的大气污染物特别排放标准。</w:t>
                  </w:r>
                </w:p>
                <w:p>
                  <w:pPr>
                    <w:jc w:val="left"/>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3、PM</w:t>
                  </w:r>
                  <w:r>
                    <w:rPr>
                      <w:rFonts w:ascii="Times New Roman" w:hAnsi="Times New Roman" w:eastAsia="宋体" w:cs="Times New Roman"/>
                      <w:kern w:val="0"/>
                      <w:sz w:val="21"/>
                      <w:szCs w:val="21"/>
                      <w:vertAlign w:val="subscript"/>
                      <w:lang w:val="en-US" w:eastAsia="zh-CN" w:bidi="ar-SA"/>
                    </w:rPr>
                    <w:t>2.5</w:t>
                  </w:r>
                  <w:r>
                    <w:rPr>
                      <w:rFonts w:ascii="Times New Roman" w:hAnsi="Times New Roman" w:eastAsia="宋体" w:cs="Times New Roman"/>
                      <w:kern w:val="0"/>
                      <w:sz w:val="21"/>
                      <w:szCs w:val="21"/>
                      <w:lang w:val="en-US" w:eastAsia="zh-CN" w:bidi="ar-SA"/>
                    </w:rPr>
                    <w:t>年平均浓度不达标县市（园区），禁止新（改、扩）建未落实SO</w:t>
                  </w:r>
                  <w:r>
                    <w:rPr>
                      <w:rFonts w:ascii="Times New Roman" w:hAnsi="Times New Roman" w:eastAsia="宋体" w:cs="Times New Roman"/>
                      <w:kern w:val="0"/>
                      <w:sz w:val="21"/>
                      <w:szCs w:val="21"/>
                      <w:vertAlign w:val="subscript"/>
                      <w:lang w:val="en-US" w:eastAsia="zh-CN" w:bidi="ar-SA"/>
                    </w:rPr>
                    <w:t>2</w:t>
                  </w:r>
                  <w:r>
                    <w:rPr>
                      <w:rFonts w:ascii="Times New Roman" w:hAnsi="Times New Roman" w:eastAsia="宋体" w:cs="Times New Roman"/>
                      <w:kern w:val="0"/>
                      <w:sz w:val="21"/>
                      <w:szCs w:val="21"/>
                      <w:lang w:val="en-US" w:eastAsia="zh-CN" w:bidi="ar-SA"/>
                    </w:rPr>
                    <w:t>、NOx、烟粉尘、挥发性有机物（VOCs）等四项大气污染物总量指标昌吉州区域内倍量替代的项目。</w:t>
                  </w:r>
                </w:p>
                <w:p>
                  <w:pPr>
                    <w:jc w:val="left"/>
                    <w:rPr>
                      <w:rFonts w:ascii="Times New Roman" w:hAnsi="Times New Roman" w:eastAsia="宋体" w:cs="Times New Roman"/>
                      <w:kern w:val="0"/>
                      <w:sz w:val="21"/>
                      <w:szCs w:val="21"/>
                      <w:lang w:val="en-US" w:eastAsia="zh-CN" w:bidi="ar-SA"/>
                    </w:rPr>
                  </w:pPr>
                  <w:r>
                    <w:rPr>
                      <w:rFonts w:ascii="Times New Roman" w:hAnsi="Times New Roman" w:eastAsia="宋体" w:cs="Times New Roman"/>
                      <w:kern w:val="0"/>
                      <w:sz w:val="21"/>
                      <w:szCs w:val="21"/>
                      <w:lang w:val="en-US" w:eastAsia="zh-CN" w:bidi="ar-SA"/>
                    </w:rPr>
                    <w:t>4、加大对纯凝机组和热电联产机组技术改造力度，加快供热管网建设，充分释放和提高供热能力。</w:t>
                  </w:r>
                </w:p>
                <w:p>
                  <w:pPr>
                    <w:pStyle w:val="27"/>
                    <w:adjustRightInd w:val="0"/>
                    <w:snapToGrid w:val="0"/>
                    <w:spacing w:after="0"/>
                    <w:ind w:left="-63" w:leftChars="-30" w:right="-63" w:rightChars="-30" w:firstLine="0" w:firstLineChars="0"/>
                    <w:jc w:val="left"/>
                    <w:rPr>
                      <w:szCs w:val="21"/>
                    </w:rPr>
                  </w:pPr>
                  <w:r>
                    <w:rPr>
                      <w:rFonts w:ascii="Times New Roman" w:hAnsi="Times New Roman" w:eastAsia="宋体" w:cs="Times New Roman"/>
                      <w:kern w:val="0"/>
                      <w:sz w:val="21"/>
                      <w:szCs w:val="21"/>
                      <w:lang w:val="en-US" w:eastAsia="zh-CN" w:bidi="ar-SA"/>
                    </w:rPr>
                    <w:t>5、施工工地全面落实</w:t>
                  </w:r>
                  <w:r>
                    <w:rPr>
                      <w:rFonts w:hint="eastAsia" w:cs="Times New Roman"/>
                      <w:kern w:val="0"/>
                      <w:sz w:val="21"/>
                      <w:szCs w:val="21"/>
                      <w:lang w:val="en-US" w:eastAsia="zh-CN" w:bidi="ar-SA"/>
                    </w:rPr>
                    <w:t>“</w:t>
                  </w:r>
                  <w:r>
                    <w:rPr>
                      <w:rFonts w:ascii="Times New Roman" w:hAnsi="Times New Roman" w:eastAsia="宋体" w:cs="Times New Roman"/>
                      <w:kern w:val="0"/>
                      <w:sz w:val="21"/>
                      <w:szCs w:val="21"/>
                      <w:lang w:val="en-US" w:eastAsia="zh-CN" w:bidi="ar-SA"/>
                    </w:rPr>
                    <w:t>六个百分之百</w:t>
                  </w:r>
                  <w:r>
                    <w:rPr>
                      <w:rFonts w:hint="eastAsia" w:cs="Times New Roman"/>
                      <w:kern w:val="0"/>
                      <w:sz w:val="21"/>
                      <w:szCs w:val="21"/>
                      <w:lang w:val="en-US" w:eastAsia="zh-CN" w:bidi="ar-SA"/>
                    </w:rPr>
                    <w:t>”</w:t>
                  </w:r>
                  <w:r>
                    <w:rPr>
                      <w:rFonts w:ascii="Times New Roman" w:hAnsi="Times New Roman" w:eastAsia="宋体" w:cs="Times New Roman"/>
                      <w:kern w:val="0"/>
                      <w:sz w:val="21"/>
                      <w:szCs w:val="21"/>
                      <w:lang w:val="en-US" w:eastAsia="zh-CN" w:bidi="ar-SA"/>
                    </w:rPr>
                    <w:t>（施工工地周边围挡、物料堆放覆盖、出入车辆冲洗、施工现场地面硬化、拆迁工地湿法作业、渣土车辆密闭运输）。</w:t>
                  </w:r>
                </w:p>
              </w:tc>
              <w:tc>
                <w:tcPr>
                  <w:tcW w:w="1361" w:type="pct"/>
                  <w:tcBorders>
                    <w:bottom w:val="single" w:color="auto" w:sz="4" w:space="0"/>
                  </w:tcBorders>
                  <w:vAlign w:val="center"/>
                </w:tcPr>
                <w:p>
                  <w:pPr>
                    <w:pStyle w:val="27"/>
                    <w:adjustRightInd w:val="0"/>
                    <w:snapToGrid w:val="0"/>
                    <w:spacing w:after="0"/>
                    <w:ind w:left="-63" w:leftChars="-30" w:right="-63" w:rightChars="-30" w:firstLine="0" w:firstLineChars="0"/>
                    <w:jc w:val="center"/>
                  </w:pPr>
                  <w:r>
                    <w:rPr>
                      <w:rFonts w:hint="eastAsia"/>
                      <w:szCs w:val="21"/>
                    </w:rPr>
                    <w:t>本项目为</w:t>
                  </w:r>
                  <w:r>
                    <w:rPr>
                      <w:rFonts w:hint="eastAsia"/>
                      <w:szCs w:val="21"/>
                      <w:lang w:val="en-US" w:eastAsia="zh-CN"/>
                    </w:rPr>
                    <w:t>中医康复治疗项目</w:t>
                  </w:r>
                  <w:r>
                    <w:rPr>
                      <w:rFonts w:hint="eastAsia"/>
                      <w:szCs w:val="21"/>
                    </w:rPr>
                    <w:t>，项目不涉及</w:t>
                  </w:r>
                  <w:r>
                    <w:rPr>
                      <w:szCs w:val="21"/>
                    </w:rPr>
                    <w:t>SO</w:t>
                  </w:r>
                  <w:r>
                    <w:rPr>
                      <w:szCs w:val="21"/>
                      <w:vertAlign w:val="subscript"/>
                    </w:rPr>
                    <w:t>2</w:t>
                  </w:r>
                  <w:r>
                    <w:rPr>
                      <w:szCs w:val="21"/>
                    </w:rPr>
                    <w:t>、NOx、烟粉尘、挥发性有机物（VOCs）等大气污染物</w:t>
                  </w:r>
                  <w:r>
                    <w:rPr>
                      <w:rFonts w:hint="eastAsia"/>
                      <w:szCs w:val="21"/>
                    </w:rPr>
                    <w:t>排放。</w:t>
                  </w:r>
                  <w:r>
                    <w:rPr>
                      <w:rFonts w:hint="eastAsia"/>
                      <w:szCs w:val="21"/>
                      <w:lang w:val="en-US" w:eastAsia="zh-CN"/>
                    </w:rPr>
                    <w:t>项目</w:t>
                  </w:r>
                  <w:r>
                    <w:rPr>
                      <w:rFonts w:hint="eastAsia"/>
                      <w:lang w:val="en-US" w:eastAsia="zh-CN"/>
                    </w:rPr>
                    <w:t>供暖接入市政集中</w:t>
                  </w:r>
                  <w:r>
                    <w:rPr>
                      <w:rFonts w:hint="eastAsia"/>
                      <w:szCs w:val="21"/>
                      <w:lang w:val="en-US" w:eastAsia="zh-CN"/>
                    </w:rPr>
                    <w:t>供热管网。</w:t>
                  </w:r>
                  <w:r>
                    <w:rPr>
                      <w:rFonts w:hint="eastAsia"/>
                      <w:szCs w:val="21"/>
                    </w:rPr>
                    <w:t>施工工地</w:t>
                  </w:r>
                  <w:r>
                    <w:rPr>
                      <w:rFonts w:hint="eastAsia"/>
                      <w:szCs w:val="21"/>
                      <w:lang w:val="en-US" w:eastAsia="zh-CN"/>
                    </w:rPr>
                    <w:t>能</w:t>
                  </w:r>
                  <w:r>
                    <w:rPr>
                      <w:rFonts w:hint="eastAsia"/>
                      <w:szCs w:val="21"/>
                    </w:rPr>
                    <w:t>全面落实“六个百分之百”</w:t>
                  </w:r>
                </w:p>
              </w:tc>
              <w:tc>
                <w:tcPr>
                  <w:tcW w:w="389" w:type="pct"/>
                  <w:vAlign w:val="center"/>
                </w:tcPr>
                <w:p>
                  <w:pPr>
                    <w:pStyle w:val="27"/>
                    <w:adjustRightInd w:val="0"/>
                    <w:snapToGrid w:val="0"/>
                    <w:spacing w:after="0"/>
                    <w:ind w:left="-63" w:leftChars="-30" w:right="-63" w:rightChars="-30" w:firstLine="0" w:firstLineChars="0"/>
                    <w:jc w:val="center"/>
                    <w:rPr>
                      <w:szCs w:val="21"/>
                    </w:rPr>
                  </w:pPr>
                  <w:r>
                    <w:rPr>
                      <w:rFonts w:hint="eastAsia"/>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tcBorders>
                    <w:bottom w:val="single" w:color="auto" w:sz="4" w:space="0"/>
                  </w:tcBorders>
                  <w:vAlign w:val="center"/>
                </w:tcPr>
                <w:p>
                  <w:pPr>
                    <w:pStyle w:val="27"/>
                    <w:adjustRightInd w:val="0"/>
                    <w:snapToGrid w:val="0"/>
                    <w:spacing w:after="0"/>
                    <w:ind w:left="-63" w:leftChars="-30" w:right="-63" w:rightChars="-30" w:firstLine="0" w:firstLineChars="0"/>
                    <w:jc w:val="center"/>
                    <w:rPr>
                      <w:szCs w:val="21"/>
                    </w:rPr>
                  </w:pPr>
                  <w:r>
                    <w:rPr>
                      <w:rFonts w:hint="eastAsia"/>
                      <w:szCs w:val="21"/>
                    </w:rPr>
                    <w:t>环境风险防控</w:t>
                  </w:r>
                </w:p>
              </w:tc>
              <w:tc>
                <w:tcPr>
                  <w:tcW w:w="2829" w:type="pct"/>
                  <w:tcBorders>
                    <w:bottom w:val="single" w:color="auto" w:sz="4" w:space="0"/>
                  </w:tcBorders>
                  <w:vAlign w:val="center"/>
                </w:tcPr>
                <w:p>
                  <w:pPr>
                    <w:pStyle w:val="27"/>
                    <w:adjustRightInd w:val="0"/>
                    <w:snapToGrid w:val="0"/>
                    <w:spacing w:after="0"/>
                    <w:ind w:left="-63" w:leftChars="-30" w:right="-63" w:rightChars="-30" w:firstLine="0" w:firstLineChars="0"/>
                    <w:jc w:val="left"/>
                    <w:rPr>
                      <w:szCs w:val="21"/>
                    </w:rPr>
                  </w:pPr>
                  <w:r>
                    <w:rPr>
                      <w:rFonts w:hint="eastAsia" w:ascii="Times New Roman" w:hAnsi="Times New Roman" w:eastAsia="宋体" w:cs="Times New Roman"/>
                      <w:kern w:val="0"/>
                      <w:sz w:val="21"/>
                      <w:szCs w:val="21"/>
                      <w:lang w:val="en-US" w:eastAsia="zh-CN" w:bidi="ar-SA"/>
                    </w:rPr>
                    <w:t>1、执行自治区、乌昌石片区总体准入要求中关于重点管控单元环境风险防控的准入要求（表2-3 A6.3、表3.4-2 B3）。</w:t>
                  </w:r>
                </w:p>
              </w:tc>
              <w:tc>
                <w:tcPr>
                  <w:tcW w:w="1361" w:type="pct"/>
                  <w:tcBorders>
                    <w:bottom w:val="single" w:color="auto" w:sz="4" w:space="0"/>
                  </w:tcBorders>
                  <w:vAlign w:val="center"/>
                </w:tcPr>
                <w:p>
                  <w:pPr>
                    <w:pStyle w:val="27"/>
                    <w:adjustRightInd w:val="0"/>
                    <w:snapToGrid w:val="0"/>
                    <w:spacing w:after="0"/>
                    <w:ind w:left="-63" w:leftChars="-30" w:right="-63" w:rightChars="-30" w:firstLine="0" w:firstLineChars="0"/>
                    <w:jc w:val="center"/>
                    <w:rPr>
                      <w:rFonts w:hint="default"/>
                      <w:lang w:val="en-US"/>
                    </w:rPr>
                  </w:pPr>
                  <w:r>
                    <w:rPr>
                      <w:rFonts w:hint="eastAsia"/>
                      <w:lang w:val="en-US" w:eastAsia="zh-CN"/>
                    </w:rPr>
                    <w:t>本</w:t>
                  </w:r>
                  <w:r>
                    <w:rPr>
                      <w:rFonts w:hint="eastAsia"/>
                    </w:rPr>
                    <w:t>项目</w:t>
                  </w:r>
                  <w:r>
                    <w:rPr>
                      <w:rFonts w:hint="eastAsia"/>
                      <w:lang w:val="en-US" w:eastAsia="zh-CN"/>
                    </w:rPr>
                    <w:t>位于玛纳斯县中医医院院内，属于玛纳斯县建成区</w:t>
                  </w:r>
                </w:p>
              </w:tc>
              <w:tc>
                <w:tcPr>
                  <w:tcW w:w="389" w:type="pct"/>
                  <w:vAlign w:val="center"/>
                </w:tcPr>
                <w:p>
                  <w:pPr>
                    <w:pStyle w:val="27"/>
                    <w:adjustRightInd w:val="0"/>
                    <w:snapToGrid w:val="0"/>
                    <w:spacing w:after="0"/>
                    <w:ind w:left="-63" w:leftChars="-30" w:right="-63" w:rightChars="-30" w:firstLine="0" w:firstLineChars="0"/>
                    <w:jc w:val="center"/>
                  </w:pPr>
                  <w:r>
                    <w:rPr>
                      <w:rFonts w:hint="eastAsia"/>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0" w:type="pct"/>
                  <w:vAlign w:val="center"/>
                </w:tcPr>
                <w:p>
                  <w:pPr>
                    <w:pStyle w:val="27"/>
                    <w:adjustRightInd w:val="0"/>
                    <w:snapToGrid w:val="0"/>
                    <w:spacing w:after="0"/>
                    <w:ind w:left="-63" w:leftChars="-30" w:right="-63" w:rightChars="-30" w:firstLine="0" w:firstLineChars="0"/>
                    <w:jc w:val="center"/>
                    <w:rPr>
                      <w:szCs w:val="21"/>
                    </w:rPr>
                  </w:pPr>
                  <w:r>
                    <w:rPr>
                      <w:rFonts w:hint="eastAsia"/>
                      <w:szCs w:val="21"/>
                    </w:rPr>
                    <w:t>资源开发效率要求</w:t>
                  </w:r>
                </w:p>
              </w:tc>
              <w:tc>
                <w:tcPr>
                  <w:tcW w:w="2829" w:type="pct"/>
                  <w:vAlign w:val="center"/>
                </w:tcPr>
                <w:p>
                  <w:pPr>
                    <w:pStyle w:val="108"/>
                    <w:ind w:firstLine="0" w:firstLineChars="0"/>
                    <w:jc w:val="left"/>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1、执行自治区、乌昌石片区总体准入要求中关于重点管控单元资源利用效率的准入要求（表2-3 A6.4、表3.4-2 B4）。</w:t>
                  </w:r>
                </w:p>
                <w:p>
                  <w:pPr>
                    <w:pStyle w:val="27"/>
                    <w:adjustRightInd w:val="0"/>
                    <w:snapToGrid w:val="0"/>
                    <w:spacing w:after="0"/>
                    <w:ind w:left="-63" w:leftChars="-30" w:right="-63" w:rightChars="-30" w:firstLine="0" w:firstLineChars="0"/>
                    <w:jc w:val="left"/>
                    <w:rPr>
                      <w:szCs w:val="21"/>
                    </w:rPr>
                  </w:pPr>
                  <w:r>
                    <w:rPr>
                      <w:rFonts w:hint="eastAsia" w:ascii="Times New Roman" w:hAnsi="Times New Roman" w:eastAsia="宋体" w:cs="Times New Roman"/>
                      <w:kern w:val="0"/>
                      <w:sz w:val="21"/>
                      <w:szCs w:val="21"/>
                      <w:lang w:val="en-US" w:eastAsia="zh-CN" w:bidi="ar-SA"/>
                    </w:rPr>
                    <w:t>2、禁止销售、燃用原煤、粉煤、各种可燃废物等高污染燃料；禁止新建、扩建燃用高污染燃料的设施，已建设成的，应当在规定的期限内改用清洁能源；严格控制引进高载能项目。</w:t>
                  </w:r>
                </w:p>
              </w:tc>
              <w:tc>
                <w:tcPr>
                  <w:tcW w:w="1361" w:type="pct"/>
                  <w:vAlign w:val="center"/>
                </w:tcPr>
                <w:p>
                  <w:pPr>
                    <w:pStyle w:val="27"/>
                    <w:adjustRightInd w:val="0"/>
                    <w:snapToGrid w:val="0"/>
                    <w:spacing w:after="0"/>
                    <w:ind w:left="-63" w:leftChars="-30" w:right="-63" w:rightChars="-30" w:firstLine="0" w:firstLineChars="0"/>
                    <w:jc w:val="center"/>
                    <w:rPr>
                      <w:rFonts w:hint="default"/>
                      <w:szCs w:val="21"/>
                      <w:lang w:val="en-US"/>
                    </w:rPr>
                  </w:pPr>
                  <w:r>
                    <w:rPr>
                      <w:rFonts w:hint="eastAsia"/>
                      <w:lang w:val="en-US" w:eastAsia="zh-CN"/>
                    </w:rPr>
                    <w:t>本</w:t>
                  </w:r>
                  <w:r>
                    <w:rPr>
                      <w:rFonts w:hint="eastAsia"/>
                    </w:rPr>
                    <w:t>项目</w:t>
                  </w:r>
                  <w:r>
                    <w:rPr>
                      <w:rFonts w:hint="eastAsia"/>
                      <w:lang w:val="en-US" w:eastAsia="zh-CN"/>
                    </w:rPr>
                    <w:t>位于</w:t>
                  </w:r>
                  <w:r>
                    <w:rPr>
                      <w:rFonts w:hint="eastAsia"/>
                    </w:rPr>
                    <w:t>在</w:t>
                  </w:r>
                  <w:r>
                    <w:rPr>
                      <w:rFonts w:hint="eastAsia"/>
                      <w:lang w:val="en-US" w:eastAsia="zh-CN"/>
                    </w:rPr>
                    <w:t>玛纳斯县中医医院院内，环保设施及公用工程依托中医医院现有。</w:t>
                  </w:r>
                </w:p>
              </w:tc>
              <w:tc>
                <w:tcPr>
                  <w:tcW w:w="389" w:type="pct"/>
                  <w:vAlign w:val="center"/>
                </w:tcPr>
                <w:p>
                  <w:pPr>
                    <w:pStyle w:val="27"/>
                    <w:adjustRightInd w:val="0"/>
                    <w:snapToGrid w:val="0"/>
                    <w:spacing w:after="0"/>
                    <w:ind w:left="-63" w:leftChars="-30" w:right="-63" w:rightChars="-30" w:firstLine="0" w:firstLineChars="0"/>
                    <w:jc w:val="center"/>
                    <w:rPr>
                      <w:szCs w:val="21"/>
                    </w:rPr>
                  </w:pPr>
                  <w:r>
                    <w:rPr>
                      <w:rFonts w:hint="eastAsia"/>
                      <w:szCs w:val="21"/>
                    </w:rPr>
                    <w:t>符合</w:t>
                  </w:r>
                </w:p>
              </w:tc>
            </w:tr>
          </w:tbl>
          <w:p>
            <w:pPr>
              <w:autoSpaceDE w:val="0"/>
              <w:autoSpaceDN w:val="0"/>
              <w:adjustRightInd w:val="0"/>
              <w:snapToGrid w:val="0"/>
              <w:spacing w:line="520" w:lineRule="exact"/>
              <w:ind w:firstLine="496" w:firstLineChars="200"/>
              <w:rPr>
                <w:sz w:val="24"/>
                <w:szCs w:val="24"/>
              </w:rPr>
            </w:pPr>
            <w:r>
              <w:rPr>
                <w:spacing w:val="4"/>
                <w:sz w:val="24"/>
                <w:szCs w:val="24"/>
              </w:rPr>
              <w:t>项</w:t>
            </w:r>
            <w:r>
              <w:rPr>
                <w:sz w:val="24"/>
                <w:szCs w:val="24"/>
              </w:rPr>
              <w:t>目符合国家</w:t>
            </w:r>
            <w:r>
              <w:rPr>
                <w:rFonts w:hint="eastAsia"/>
                <w:sz w:val="24"/>
                <w:szCs w:val="24"/>
              </w:rPr>
              <w:t>及</w:t>
            </w:r>
            <w:r>
              <w:rPr>
                <w:sz w:val="24"/>
                <w:szCs w:val="24"/>
              </w:rPr>
              <w:t>地方产业政策，项目采取有效的三废治理措施</w:t>
            </w:r>
            <w:r>
              <w:rPr>
                <w:rFonts w:hint="eastAsia"/>
                <w:sz w:val="24"/>
                <w:szCs w:val="24"/>
              </w:rPr>
              <w:t>，符合</w:t>
            </w:r>
            <w:r>
              <w:rPr>
                <w:rFonts w:hint="eastAsia"/>
                <w:sz w:val="24"/>
                <w:szCs w:val="24"/>
                <w:lang w:val="en-US" w:eastAsia="zh-CN"/>
              </w:rPr>
              <w:t>昌吉回族自治州</w:t>
            </w:r>
            <w:r>
              <w:rPr>
                <w:rFonts w:hint="eastAsia"/>
                <w:sz w:val="24"/>
                <w:szCs w:val="24"/>
              </w:rPr>
              <w:t>生态环境准入清单相关准入要求</w:t>
            </w:r>
            <w:r>
              <w:rPr>
                <w:sz w:val="24"/>
                <w:szCs w:val="24"/>
              </w:rPr>
              <w:t>。</w:t>
            </w:r>
          </w:p>
          <w:p>
            <w:pPr>
              <w:autoSpaceDE w:val="0"/>
              <w:autoSpaceDN w:val="0"/>
              <w:adjustRightInd w:val="0"/>
              <w:snapToGrid w:val="0"/>
              <w:spacing w:line="520" w:lineRule="exact"/>
              <w:ind w:firstLine="480" w:firstLineChars="200"/>
              <w:rPr>
                <w:sz w:val="24"/>
                <w:szCs w:val="24"/>
              </w:rPr>
            </w:pPr>
            <w:r>
              <w:rPr>
                <w:rFonts w:hint="eastAsia"/>
                <w:sz w:val="24"/>
                <w:szCs w:val="24"/>
              </w:rPr>
              <w:t>综上所述，本项目符合“三线一单”相关要求。</w:t>
            </w:r>
          </w:p>
          <w:p>
            <w:pPr>
              <w:autoSpaceDE w:val="0"/>
              <w:autoSpaceDN w:val="0"/>
              <w:adjustRightInd w:val="0"/>
              <w:snapToGrid w:val="0"/>
              <w:spacing w:line="520" w:lineRule="exact"/>
              <w:ind w:firstLine="482" w:firstLineChars="200"/>
              <w:rPr>
                <w:b/>
                <w:bCs/>
                <w:sz w:val="24"/>
              </w:rPr>
            </w:pPr>
            <w:r>
              <w:rPr>
                <w:rFonts w:hint="eastAsia"/>
                <w:b/>
                <w:bCs/>
                <w:sz w:val="24"/>
                <w:lang w:val="en-US" w:eastAsia="zh-CN"/>
              </w:rPr>
              <w:t>3.</w:t>
            </w:r>
            <w:r>
              <w:rPr>
                <w:b/>
                <w:bCs/>
                <w:sz w:val="24"/>
              </w:rPr>
              <w:t>产业政策符合性分析</w:t>
            </w:r>
          </w:p>
          <w:p>
            <w:pPr>
              <w:autoSpaceDE w:val="0"/>
              <w:autoSpaceDN w:val="0"/>
              <w:adjustRightInd w:val="0"/>
              <w:snapToGrid w:val="0"/>
              <w:spacing w:line="520" w:lineRule="exact"/>
              <w:ind w:firstLine="480" w:firstLineChars="200"/>
              <w:rPr>
                <w:bCs/>
                <w:sz w:val="24"/>
                <w:szCs w:val="24"/>
              </w:rPr>
            </w:pPr>
            <w:r>
              <w:rPr>
                <w:bCs/>
                <w:sz w:val="24"/>
                <w:szCs w:val="24"/>
              </w:rPr>
              <w:t>依据《产业结构调整指导目录（2019年）》，</w:t>
            </w:r>
            <w:r>
              <w:rPr>
                <w:bCs/>
                <w:color w:val="000000" w:themeColor="text1"/>
                <w:sz w:val="24"/>
                <w:szCs w:val="24"/>
                <w14:textFill>
                  <w14:solidFill>
                    <w14:schemeClr w14:val="tx1"/>
                  </w14:solidFill>
                </w14:textFill>
              </w:rPr>
              <w:t>本项目属于鼓励类中的三十七项</w:t>
            </w:r>
            <w:r>
              <w:rPr>
                <w:rFonts w:hint="eastAsia"/>
                <w:bCs/>
                <w:color w:val="000000" w:themeColor="text1"/>
                <w:sz w:val="24"/>
                <w:szCs w:val="24"/>
                <w14:textFill>
                  <w14:solidFill>
                    <w14:schemeClr w14:val="tx1"/>
                  </w14:solidFill>
                </w14:textFill>
              </w:rPr>
              <w:t>“</w:t>
            </w:r>
            <w:r>
              <w:rPr>
                <w:bCs/>
                <w:color w:val="000000" w:themeColor="text1"/>
                <w:sz w:val="24"/>
                <w:szCs w:val="24"/>
                <w14:textFill>
                  <w14:solidFill>
                    <w14:schemeClr w14:val="tx1"/>
                  </w14:solidFill>
                </w14:textFill>
              </w:rPr>
              <w:t>卫生健康</w:t>
            </w:r>
            <w:r>
              <w:rPr>
                <w:rFonts w:hint="eastAsia"/>
                <w:bCs/>
                <w:color w:val="000000" w:themeColor="text1"/>
                <w:sz w:val="24"/>
                <w:szCs w:val="24"/>
                <w14:textFill>
                  <w14:solidFill>
                    <w14:schemeClr w14:val="tx1"/>
                  </w14:solidFill>
                </w14:textFill>
              </w:rPr>
              <w:t>”</w:t>
            </w:r>
            <w:r>
              <w:rPr>
                <w:bCs/>
                <w:color w:val="000000" w:themeColor="text1"/>
                <w:sz w:val="24"/>
                <w:szCs w:val="24"/>
                <w14:textFill>
                  <w14:solidFill>
                    <w14:schemeClr w14:val="tx1"/>
                  </w14:solidFill>
                </w14:textFill>
              </w:rPr>
              <w:t>第</w:t>
            </w:r>
            <w:r>
              <w:rPr>
                <w:rFonts w:hint="eastAsia"/>
                <w:bCs/>
                <w:color w:val="000000" w:themeColor="text1"/>
                <w:sz w:val="24"/>
                <w:szCs w:val="24"/>
                <w:lang w:val="en-US" w:eastAsia="zh-CN"/>
                <w14:textFill>
                  <w14:solidFill>
                    <w14:schemeClr w14:val="tx1"/>
                  </w14:solidFill>
                </w14:textFill>
              </w:rPr>
              <w:t>6</w:t>
            </w:r>
            <w:r>
              <w:rPr>
                <w:bCs/>
                <w:color w:val="000000" w:themeColor="text1"/>
                <w:sz w:val="24"/>
                <w:szCs w:val="24"/>
                <w14:textFill>
                  <w14:solidFill>
                    <w14:schemeClr w14:val="tx1"/>
                  </w14:solidFill>
                </w14:textFill>
              </w:rPr>
              <w:t>条</w:t>
            </w:r>
            <w:r>
              <w:rPr>
                <w:rFonts w:hint="eastAsia"/>
                <w:bCs/>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传染病、儿童、精神卫生专科医院和康复医院（中心）、护</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理院（中心、站）、安宁疗护中心、全科医疗设施建设与服务</w:t>
            </w:r>
            <w:r>
              <w:rPr>
                <w:rFonts w:hint="eastAsia"/>
                <w:bCs/>
                <w:color w:val="000000" w:themeColor="text1"/>
                <w:sz w:val="24"/>
                <w:szCs w:val="24"/>
                <w14:textFill>
                  <w14:solidFill>
                    <w14:schemeClr w14:val="tx1"/>
                  </w14:solidFill>
                </w14:textFill>
              </w:rPr>
              <w:t>”</w:t>
            </w:r>
            <w:r>
              <w:rPr>
                <w:bCs/>
                <w:sz w:val="24"/>
                <w:szCs w:val="24"/>
              </w:rPr>
              <w:t>。因此，该项目的建设符合国家现行产业政策。</w:t>
            </w:r>
          </w:p>
          <w:p>
            <w:pPr>
              <w:autoSpaceDE w:val="0"/>
              <w:autoSpaceDN w:val="0"/>
              <w:adjustRightInd w:val="0"/>
              <w:snapToGrid w:val="0"/>
              <w:spacing w:line="520" w:lineRule="exact"/>
              <w:ind w:firstLine="482" w:firstLineChars="200"/>
              <w:rPr>
                <w:b/>
                <w:bCs/>
                <w:sz w:val="24"/>
              </w:rPr>
            </w:pPr>
            <w:r>
              <w:rPr>
                <w:rFonts w:hint="eastAsia"/>
                <w:b/>
                <w:bCs/>
                <w:sz w:val="24"/>
                <w:lang w:val="en-US" w:eastAsia="zh-CN"/>
              </w:rPr>
              <w:t>4.</w:t>
            </w:r>
            <w:r>
              <w:rPr>
                <w:rFonts w:hint="eastAsia"/>
                <w:b/>
                <w:bCs/>
                <w:sz w:val="24"/>
              </w:rPr>
              <w:t>选址合理性分析</w:t>
            </w:r>
          </w:p>
          <w:p>
            <w:pPr>
              <w:autoSpaceDE w:val="0"/>
              <w:autoSpaceDN w:val="0"/>
              <w:adjustRightInd w:val="0"/>
              <w:snapToGrid w:val="0"/>
              <w:spacing w:line="520" w:lineRule="exact"/>
              <w:ind w:firstLine="480" w:firstLineChars="200"/>
              <w:rPr>
                <w:bCs/>
                <w:sz w:val="24"/>
                <w:szCs w:val="24"/>
              </w:rPr>
            </w:pPr>
            <w:r>
              <w:rPr>
                <w:bCs/>
                <w:sz w:val="24"/>
                <w:szCs w:val="24"/>
              </w:rPr>
              <w:t>（1）本项目用地为专用医疗用地</w:t>
            </w:r>
            <w:r>
              <w:rPr>
                <w:rFonts w:hint="eastAsia"/>
                <w:bCs/>
                <w:sz w:val="24"/>
                <w:szCs w:val="24"/>
                <w:lang w:eastAsia="zh-CN"/>
              </w:rPr>
              <w:t>（</w:t>
            </w:r>
            <w:r>
              <w:rPr>
                <w:rFonts w:hint="eastAsia"/>
                <w:bCs/>
                <w:sz w:val="24"/>
                <w:szCs w:val="24"/>
                <w:lang w:val="en-US" w:eastAsia="zh-CN"/>
              </w:rPr>
              <w:t>详见附图4</w:t>
            </w:r>
            <w:r>
              <w:rPr>
                <w:rFonts w:hint="eastAsia"/>
                <w:bCs/>
                <w:sz w:val="24"/>
                <w:szCs w:val="24"/>
                <w:lang w:eastAsia="zh-CN"/>
              </w:rPr>
              <w:t>）</w:t>
            </w:r>
            <w:r>
              <w:rPr>
                <w:bCs/>
                <w:sz w:val="24"/>
                <w:szCs w:val="24"/>
              </w:rPr>
              <w:t>，符合玛纳斯县城总体规划，符合土地管理法律、法规有关规定和报批要求，本项目建设有利于提高玛纳斯县医疗服务水平，符合玛纳斯县总体规划和发展的需要，因此符合城市总体规划要求。</w:t>
            </w:r>
          </w:p>
          <w:p>
            <w:pPr>
              <w:autoSpaceDE w:val="0"/>
              <w:autoSpaceDN w:val="0"/>
              <w:adjustRightInd w:val="0"/>
              <w:snapToGrid w:val="0"/>
              <w:spacing w:line="520" w:lineRule="exact"/>
              <w:ind w:firstLine="480" w:firstLineChars="200"/>
              <w:rPr>
                <w:bCs/>
                <w:sz w:val="24"/>
                <w:szCs w:val="24"/>
              </w:rPr>
            </w:pPr>
            <w:bookmarkStart w:id="2" w:name="_Toc238303880"/>
            <w:bookmarkStart w:id="3" w:name="_Toc241037929"/>
            <w:bookmarkStart w:id="4" w:name="_Toc241040263"/>
            <w:bookmarkStart w:id="5" w:name="_Toc241040665"/>
            <w:bookmarkStart w:id="6" w:name="_Toc241040463"/>
            <w:bookmarkStart w:id="7" w:name="_Toc241041076"/>
            <w:r>
              <w:rPr>
                <w:bCs/>
                <w:sz w:val="24"/>
                <w:szCs w:val="24"/>
              </w:rPr>
              <w:t>（2）项目选址位于玛纳斯县</w:t>
            </w:r>
            <w:r>
              <w:rPr>
                <w:rFonts w:hint="eastAsia"/>
                <w:bCs/>
                <w:sz w:val="24"/>
                <w:szCs w:val="24"/>
                <w:lang w:val="en-US" w:eastAsia="zh-CN"/>
              </w:rPr>
              <w:t>中医</w:t>
            </w:r>
            <w:r>
              <w:rPr>
                <w:bCs/>
                <w:sz w:val="24"/>
                <w:szCs w:val="24"/>
              </w:rPr>
              <w:t>医院院内，玛纳斯县</w:t>
            </w:r>
            <w:r>
              <w:rPr>
                <w:rFonts w:hint="eastAsia"/>
                <w:bCs/>
                <w:sz w:val="24"/>
                <w:szCs w:val="24"/>
                <w:lang w:val="en-US" w:eastAsia="zh-CN"/>
              </w:rPr>
              <w:t>中医</w:t>
            </w:r>
            <w:r>
              <w:rPr>
                <w:bCs/>
                <w:sz w:val="24"/>
                <w:szCs w:val="24"/>
              </w:rPr>
              <w:t>医院南</w:t>
            </w:r>
            <w:r>
              <w:rPr>
                <w:rFonts w:hint="eastAsia"/>
                <w:bCs/>
                <w:sz w:val="24"/>
                <w:szCs w:val="24"/>
                <w:lang w:eastAsia="zh-CN"/>
              </w:rPr>
              <w:t>、</w:t>
            </w:r>
            <w:r>
              <w:rPr>
                <w:rFonts w:hint="eastAsia"/>
                <w:bCs/>
                <w:sz w:val="24"/>
                <w:szCs w:val="24"/>
                <w:lang w:val="en-US" w:eastAsia="zh-CN"/>
              </w:rPr>
              <w:t>东</w:t>
            </w:r>
            <w:r>
              <w:rPr>
                <w:bCs/>
                <w:sz w:val="24"/>
                <w:szCs w:val="24"/>
              </w:rPr>
              <w:t>侧为</w:t>
            </w:r>
            <w:r>
              <w:rPr>
                <w:rFonts w:hint="eastAsia"/>
                <w:bCs/>
                <w:sz w:val="24"/>
                <w:szCs w:val="24"/>
                <w:lang w:val="en-US" w:eastAsia="zh-CN"/>
              </w:rPr>
              <w:t>道路</w:t>
            </w:r>
            <w:r>
              <w:rPr>
                <w:bCs/>
                <w:sz w:val="24"/>
                <w:szCs w:val="24"/>
              </w:rPr>
              <w:t>、西侧为</w:t>
            </w:r>
            <w:r>
              <w:rPr>
                <w:rFonts w:hint="eastAsia"/>
                <w:bCs/>
                <w:sz w:val="24"/>
                <w:szCs w:val="24"/>
                <w:lang w:val="en-US" w:eastAsia="zh-CN"/>
              </w:rPr>
              <w:t>乡道及葡萄地</w:t>
            </w:r>
            <w:r>
              <w:rPr>
                <w:bCs/>
                <w:sz w:val="24"/>
                <w:szCs w:val="24"/>
              </w:rPr>
              <w:t>，</w:t>
            </w:r>
            <w:r>
              <w:rPr>
                <w:rFonts w:hint="eastAsia"/>
                <w:bCs/>
                <w:sz w:val="24"/>
                <w:szCs w:val="24"/>
                <w:lang w:val="en-US" w:eastAsia="zh-CN"/>
              </w:rPr>
              <w:t>北侧为上二工村，</w:t>
            </w:r>
            <w:r>
              <w:rPr>
                <w:bCs/>
                <w:sz w:val="24"/>
                <w:szCs w:val="24"/>
              </w:rPr>
              <w:t>交通比较便捷，方便患者就医</w:t>
            </w:r>
            <w:bookmarkEnd w:id="2"/>
            <w:bookmarkEnd w:id="3"/>
            <w:bookmarkEnd w:id="4"/>
            <w:bookmarkEnd w:id="5"/>
            <w:bookmarkEnd w:id="6"/>
            <w:bookmarkEnd w:id="7"/>
            <w:r>
              <w:rPr>
                <w:bCs/>
                <w:sz w:val="24"/>
                <w:szCs w:val="24"/>
              </w:rPr>
              <w:t>。</w:t>
            </w:r>
          </w:p>
          <w:p>
            <w:pPr>
              <w:autoSpaceDE w:val="0"/>
              <w:autoSpaceDN w:val="0"/>
              <w:adjustRightInd w:val="0"/>
              <w:snapToGrid w:val="0"/>
              <w:spacing w:line="520" w:lineRule="exact"/>
              <w:ind w:firstLine="480" w:firstLineChars="200"/>
              <w:rPr>
                <w:bCs/>
                <w:sz w:val="24"/>
                <w:szCs w:val="24"/>
              </w:rPr>
            </w:pPr>
            <w:r>
              <w:rPr>
                <w:bCs/>
                <w:sz w:val="24"/>
                <w:szCs w:val="24"/>
              </w:rPr>
              <w:t>（3）根据区域污染源调查，项目所在区域范围内没有大的工厂及其污染大的废气排放源，项目所在地大气环境质量较好，诊疗环境好；医院附近没有工厂及其较大的噪声污染源，环境比较安静，适于患者休养和治疗，是建设高标准医院的理想区域。</w:t>
            </w:r>
          </w:p>
          <w:p>
            <w:pPr>
              <w:autoSpaceDE w:val="0"/>
              <w:autoSpaceDN w:val="0"/>
              <w:adjustRightInd w:val="0"/>
              <w:snapToGrid w:val="0"/>
              <w:spacing w:line="520" w:lineRule="exact"/>
              <w:ind w:firstLine="480" w:firstLineChars="200"/>
              <w:rPr>
                <w:bCs/>
                <w:sz w:val="24"/>
                <w:szCs w:val="24"/>
              </w:rPr>
            </w:pPr>
            <w:r>
              <w:rPr>
                <w:bCs/>
                <w:sz w:val="24"/>
                <w:szCs w:val="24"/>
              </w:rPr>
              <w:t>（4）</w:t>
            </w:r>
            <w:r>
              <w:rPr>
                <w:rFonts w:hint="eastAsia"/>
                <w:bCs/>
                <w:sz w:val="24"/>
                <w:szCs w:val="24"/>
                <w:lang w:val="en-US" w:eastAsia="zh-CN"/>
              </w:rPr>
              <w:t>本</w:t>
            </w:r>
            <w:r>
              <w:rPr>
                <w:bCs/>
                <w:sz w:val="24"/>
                <w:szCs w:val="24"/>
              </w:rPr>
              <w:t>项目区建设地不在地质灾害防治规划确定的地质灾害易发区内，</w:t>
            </w:r>
            <w:r>
              <w:rPr>
                <w:rFonts w:hint="eastAsia"/>
                <w:bCs/>
                <w:sz w:val="24"/>
                <w:szCs w:val="24"/>
                <w:lang w:val="en-US" w:eastAsia="zh-CN"/>
              </w:rPr>
              <w:t>本</w:t>
            </w:r>
            <w:r>
              <w:rPr>
                <w:bCs/>
                <w:sz w:val="24"/>
                <w:szCs w:val="24"/>
              </w:rPr>
              <w:t>项目现状用地范围内均为良好建筑用地。</w:t>
            </w:r>
          </w:p>
          <w:p>
            <w:pPr>
              <w:autoSpaceDE w:val="0"/>
              <w:autoSpaceDN w:val="0"/>
              <w:adjustRightInd w:val="0"/>
              <w:snapToGrid w:val="0"/>
              <w:spacing w:line="520" w:lineRule="exact"/>
              <w:ind w:firstLine="480" w:firstLineChars="200"/>
              <w:rPr>
                <w:bCs/>
                <w:sz w:val="24"/>
                <w:szCs w:val="24"/>
              </w:rPr>
            </w:pPr>
            <w:r>
              <w:rPr>
                <w:bCs/>
                <w:sz w:val="24"/>
                <w:szCs w:val="24"/>
              </w:rPr>
              <w:t>（5）</w:t>
            </w:r>
            <w:r>
              <w:rPr>
                <w:rFonts w:hint="eastAsia"/>
                <w:bCs/>
                <w:sz w:val="24"/>
                <w:szCs w:val="24"/>
                <w:lang w:val="en-US" w:eastAsia="zh-CN"/>
              </w:rPr>
              <w:t>本</w:t>
            </w:r>
            <w:r>
              <w:rPr>
                <w:bCs/>
                <w:sz w:val="24"/>
                <w:szCs w:val="24"/>
              </w:rPr>
              <w:t>项目区空气、声环境质量现状基本能够满足功能区划要求，</w:t>
            </w:r>
            <w:r>
              <w:rPr>
                <w:rFonts w:hint="eastAsia"/>
                <w:bCs/>
                <w:sz w:val="24"/>
                <w:szCs w:val="24"/>
                <w:lang w:val="en-US" w:eastAsia="zh-CN"/>
              </w:rPr>
              <w:t>本</w:t>
            </w:r>
            <w:r>
              <w:rPr>
                <w:bCs/>
                <w:sz w:val="24"/>
                <w:szCs w:val="24"/>
              </w:rPr>
              <w:t>项目建</w:t>
            </w:r>
            <w:r>
              <w:rPr>
                <w:rFonts w:hint="eastAsia"/>
                <w:bCs/>
                <w:sz w:val="24"/>
                <w:szCs w:val="24"/>
                <w:lang w:val="en-US" w:eastAsia="zh-CN"/>
              </w:rPr>
              <w:t>成后</w:t>
            </w:r>
            <w:r>
              <w:rPr>
                <w:bCs/>
                <w:sz w:val="24"/>
                <w:szCs w:val="24"/>
              </w:rPr>
              <w:t>污染物排放较少，对周围环境影响较小。</w:t>
            </w:r>
          </w:p>
          <w:p>
            <w:pPr>
              <w:autoSpaceDE w:val="0"/>
              <w:autoSpaceDN w:val="0"/>
              <w:adjustRightInd w:val="0"/>
              <w:snapToGrid w:val="0"/>
              <w:spacing w:line="520" w:lineRule="exact"/>
              <w:ind w:firstLine="480" w:firstLineChars="200"/>
              <w:rPr>
                <w:bCs/>
                <w:sz w:val="24"/>
                <w:szCs w:val="24"/>
              </w:rPr>
            </w:pPr>
            <w:r>
              <w:rPr>
                <w:bCs/>
                <w:sz w:val="24"/>
                <w:szCs w:val="24"/>
              </w:rPr>
              <w:t>本项目位于玛纳斯县城内，场地地势平坦。交通便利。因此，本项目建设选址是合理的。</w:t>
            </w:r>
          </w:p>
          <w:p>
            <w:pPr>
              <w:autoSpaceDE w:val="0"/>
              <w:autoSpaceDN w:val="0"/>
              <w:adjustRightInd w:val="0"/>
              <w:snapToGrid w:val="0"/>
              <w:spacing w:line="520" w:lineRule="exact"/>
              <w:ind w:firstLine="482" w:firstLineChars="200"/>
              <w:rPr>
                <w:rFonts w:hint="eastAsia"/>
                <w:b/>
                <w:bCs/>
                <w:sz w:val="24"/>
                <w:lang w:val="en-US" w:eastAsia="zh-CN"/>
              </w:rPr>
            </w:pPr>
            <w:r>
              <w:rPr>
                <w:rFonts w:hint="eastAsia"/>
                <w:b/>
                <w:bCs/>
                <w:sz w:val="24"/>
                <w:lang w:val="en-US" w:eastAsia="zh-CN"/>
              </w:rPr>
              <w:t>5.与《关于加强沙区建设项目环境影响评价工作的通知》（新环环评发〔2020〕138号）相符性分析</w:t>
            </w:r>
          </w:p>
          <w:p>
            <w:pPr>
              <w:pStyle w:val="72"/>
              <w:rPr>
                <w:rFonts w:hint="eastAsia" w:ascii="宋体" w:hAnsi="宋体" w:eastAsia="宋体" w:cs="宋体"/>
                <w:sz w:val="24"/>
                <w:szCs w:val="24"/>
              </w:rPr>
            </w:pPr>
            <w:r>
              <w:rPr>
                <w:rFonts w:hint="eastAsia" w:ascii="宋体" w:hAnsi="宋体" w:eastAsia="宋体" w:cs="宋体"/>
                <w:sz w:val="24"/>
                <w:szCs w:val="24"/>
              </w:rPr>
              <w:t>该通知中要求：“按照《中华人民共和国防沙治沙法》要求，加强涉及沙区的建设项目环评文件受理审查，对于没有防沙治沙内容的建设项目环评文件不予受理。对于位于沙化土地封禁保护区范围内或者超过生态环境承载能力或对沙区生态环境可能造成重大影响的建设项目，不予批准其环评文件，从源头预防环境污染和生态破坏。”</w:t>
            </w:r>
          </w:p>
          <w:p>
            <w:pPr>
              <w:pStyle w:val="72"/>
              <w:rPr>
                <w:rFonts w:hint="eastAsia" w:ascii="宋体" w:hAnsi="宋体" w:eastAsia="宋体" w:cs="宋体"/>
                <w:sz w:val="24"/>
                <w:szCs w:val="24"/>
              </w:rPr>
            </w:pPr>
            <w:r>
              <w:rPr>
                <w:rFonts w:hint="eastAsia" w:ascii="宋体" w:hAnsi="宋体" w:eastAsia="宋体" w:cs="宋体"/>
                <w:sz w:val="24"/>
                <w:szCs w:val="24"/>
              </w:rPr>
              <w:t>本项目</w:t>
            </w:r>
            <w:r>
              <w:rPr>
                <w:rFonts w:hint="eastAsia" w:ascii="宋体" w:hAnsi="宋体" w:eastAsia="宋体" w:cs="宋体"/>
                <w:sz w:val="24"/>
                <w:szCs w:val="24"/>
                <w:lang w:val="en-US" w:eastAsia="zh-CN"/>
              </w:rPr>
              <w:t>厂址不在</w:t>
            </w:r>
            <w:r>
              <w:rPr>
                <w:rFonts w:hint="eastAsia" w:ascii="宋体" w:hAnsi="宋体" w:eastAsia="宋体" w:cs="宋体"/>
                <w:sz w:val="24"/>
                <w:szCs w:val="24"/>
              </w:rPr>
              <w:t>沙化土地封禁保护区范围（见附图</w:t>
            </w:r>
            <w:r>
              <w:rPr>
                <w:rFonts w:hint="eastAsia" w:eastAsia="宋体" w:cs="Times New Roman"/>
                <w:color w:val="000000" w:themeColor="text1"/>
                <w:sz w:val="24"/>
                <w:szCs w:val="24"/>
                <w:lang w:val="en-US" w:eastAsia="zh-CN"/>
                <w14:textFill>
                  <w14:solidFill>
                    <w14:schemeClr w14:val="tx1"/>
                  </w14:solidFill>
                </w14:textFill>
              </w:rPr>
              <w:t>6</w:t>
            </w:r>
            <w:r>
              <w:rPr>
                <w:rFonts w:hint="eastAsia" w:ascii="宋体" w:hAnsi="宋体" w:eastAsia="宋体" w:cs="宋体"/>
                <w:sz w:val="24"/>
                <w:szCs w:val="24"/>
              </w:rPr>
              <w:t>）；在建设单位认真落实各项生态保护措施情况下，可有效控制对周围环境的影响；项目施工过程采用成熟的工艺及使用先进的设备，</w:t>
            </w:r>
            <w:r>
              <w:rPr>
                <w:rFonts w:hint="eastAsia" w:ascii="宋体" w:hAnsi="宋体" w:eastAsia="宋体" w:cs="宋体"/>
                <w:sz w:val="24"/>
                <w:szCs w:val="24"/>
                <w:lang w:val="en-US" w:eastAsia="zh-CN"/>
              </w:rPr>
              <w:t>对项目</w:t>
            </w:r>
            <w:r>
              <w:rPr>
                <w:rFonts w:hint="eastAsia" w:ascii="宋体" w:hAnsi="宋体" w:eastAsia="宋体" w:cs="宋体"/>
                <w:sz w:val="24"/>
                <w:szCs w:val="24"/>
              </w:rPr>
              <w:t>选址充分考虑地域特征，尽量减少临时占地；本项目符合该通知要求。</w:t>
            </w:r>
          </w:p>
          <w:p>
            <w:pPr>
              <w:autoSpaceDE w:val="0"/>
              <w:autoSpaceDN w:val="0"/>
              <w:adjustRightInd w:val="0"/>
              <w:snapToGrid w:val="0"/>
              <w:spacing w:line="520" w:lineRule="exact"/>
              <w:ind w:firstLine="482" w:firstLineChars="200"/>
              <w:rPr>
                <w:rFonts w:hint="eastAsia" w:ascii="宋体" w:hAnsi="宋体" w:eastAsia="宋体" w:cs="宋体"/>
                <w:b/>
                <w:bCs/>
                <w:sz w:val="24"/>
                <w:szCs w:val="24"/>
              </w:rPr>
            </w:pPr>
            <w:r>
              <w:rPr>
                <w:rFonts w:hint="eastAsia"/>
                <w:b/>
                <w:bCs/>
                <w:sz w:val="24"/>
                <w:lang w:val="en-US" w:eastAsia="zh-CN"/>
              </w:rPr>
              <w:t>6.与《新疆维吾尔自治区主体功能区规划》的相符性分析</w:t>
            </w:r>
          </w:p>
          <w:p>
            <w:pPr>
              <w:pStyle w:val="72"/>
              <w:rPr>
                <w:rFonts w:hint="eastAsia" w:ascii="宋体" w:hAnsi="宋体" w:eastAsia="宋体" w:cs="宋体"/>
                <w:sz w:val="24"/>
                <w:szCs w:val="24"/>
              </w:rPr>
            </w:pPr>
            <w:r>
              <w:rPr>
                <w:rFonts w:hint="eastAsia" w:ascii="宋体" w:hAnsi="宋体" w:eastAsia="宋体" w:cs="宋体"/>
                <w:sz w:val="24"/>
                <w:szCs w:val="24"/>
              </w:rPr>
              <w:t>根据《新疆维吾尔自治区主体功能区规划》，主体功能区按开发方式，分为优化开发区域、重点开发区域、限制开发区域和禁止开发区域四类；按开发内容，分为城市化地区、农产品主产区和重点生态功能区三类；按层级，分为国家和省级两个层面。</w:t>
            </w:r>
          </w:p>
          <w:p>
            <w:pPr>
              <w:pStyle w:val="72"/>
              <w:rPr>
                <w:rFonts w:hint="eastAsia" w:ascii="宋体" w:hAnsi="宋体" w:eastAsia="宋体" w:cs="宋体"/>
                <w:sz w:val="24"/>
                <w:szCs w:val="24"/>
              </w:rPr>
            </w:pPr>
            <w:r>
              <w:rPr>
                <w:rFonts w:hint="eastAsia" w:ascii="宋体" w:hAnsi="宋体" w:eastAsia="宋体" w:cs="宋体"/>
                <w:sz w:val="24"/>
                <w:szCs w:val="24"/>
              </w:rPr>
              <w:t>本项目位于</w:t>
            </w:r>
            <w:r>
              <w:rPr>
                <w:rFonts w:hint="eastAsia" w:ascii="宋体" w:hAnsi="宋体" w:eastAsia="宋体" w:cs="宋体"/>
                <w:sz w:val="24"/>
                <w:szCs w:val="24"/>
                <w:lang w:val="en-US" w:eastAsia="zh-CN"/>
              </w:rPr>
              <w:t>玛纳斯</w:t>
            </w:r>
            <w:r>
              <w:rPr>
                <w:rFonts w:hint="eastAsia" w:ascii="宋体" w:hAnsi="宋体" w:eastAsia="宋体" w:cs="宋体"/>
                <w:sz w:val="24"/>
                <w:szCs w:val="24"/>
              </w:rPr>
              <w:t>县，不属于主体功能区划中确定的国家和自治区层面的禁止开发区域。本项目</w:t>
            </w:r>
            <w:r>
              <w:rPr>
                <w:rFonts w:hint="eastAsia" w:ascii="宋体" w:hAnsi="宋体" w:eastAsia="宋体" w:cs="宋体"/>
                <w:sz w:val="24"/>
                <w:szCs w:val="24"/>
                <w:lang w:val="en-US" w:eastAsia="zh-CN"/>
              </w:rPr>
              <w:t>属于</w:t>
            </w:r>
            <w:r>
              <w:rPr>
                <w:rFonts w:hint="eastAsia" w:ascii="宋体" w:hAnsi="宋体" w:eastAsia="宋体" w:cs="宋体"/>
                <w:sz w:val="24"/>
                <w:szCs w:val="24"/>
              </w:rPr>
              <w:t>国家级农产品主产区，本项</w:t>
            </w:r>
            <w:r>
              <w:rPr>
                <w:rFonts w:hint="eastAsia" w:ascii="宋体" w:hAnsi="宋体" w:eastAsia="宋体" w:cs="宋体"/>
                <w:color w:val="000000" w:themeColor="text1"/>
                <w:sz w:val="24"/>
                <w:szCs w:val="24"/>
                <w14:textFill>
                  <w14:solidFill>
                    <w14:schemeClr w14:val="tx1"/>
                  </w14:solidFill>
                </w14:textFill>
              </w:rPr>
              <w:t>目在新疆主体功能区划图中的位置详见附图</w:t>
            </w:r>
            <w:r>
              <w:rPr>
                <w:rFonts w:hint="eastAsia" w:eastAsia="宋体" w:cs="Times New Roman"/>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14:textFill>
                  <w14:solidFill>
                    <w14:schemeClr w14:val="tx1"/>
                  </w14:solidFill>
                </w14:textFill>
              </w:rPr>
              <w:t>。</w:t>
            </w:r>
          </w:p>
          <w:p>
            <w:pPr>
              <w:pStyle w:val="72"/>
              <w:ind w:firstLine="482"/>
              <w:rPr>
                <w:rFonts w:hint="eastAsia" w:ascii="宋体" w:hAnsi="宋体" w:eastAsia="宋体" w:cs="宋体"/>
                <w:b/>
                <w:bCs/>
                <w:sz w:val="24"/>
                <w:szCs w:val="24"/>
              </w:rPr>
            </w:pPr>
            <w:r>
              <w:rPr>
                <w:rFonts w:hint="eastAsia" w:ascii="宋体" w:hAnsi="宋体" w:eastAsia="宋体" w:cs="宋体"/>
                <w:b/>
                <w:bCs/>
                <w:sz w:val="24"/>
                <w:szCs w:val="24"/>
              </w:rPr>
              <w:t>主要开发管制原则：</w:t>
            </w:r>
          </w:p>
          <w:p>
            <w:pPr>
              <w:pStyle w:val="72"/>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rPr>
              <w:t>加强土地整治，搞好规划，统筹安排、连片推进，加快中低产田改造，鼓励农民开展土壤改良。</w:t>
            </w:r>
          </w:p>
          <w:p>
            <w:pPr>
              <w:pStyle w:val="72"/>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rPr>
              <w:t>重视农产品主产区土壤环境的保护，避免在农产品主产区内以及周边布局易造成农产品污染的产业。</w:t>
            </w:r>
          </w:p>
          <w:p>
            <w:pPr>
              <w:pStyle w:val="72"/>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3</w:t>
            </w:r>
            <w:r>
              <w:rPr>
                <w:rFonts w:hint="eastAsia" w:ascii="宋体" w:hAnsi="宋体" w:eastAsia="宋体" w:cs="宋体"/>
                <w:sz w:val="24"/>
                <w:szCs w:val="24"/>
                <w:lang w:eastAsia="zh-CN"/>
              </w:rPr>
              <w:t>）</w:t>
            </w:r>
            <w:r>
              <w:rPr>
                <w:rFonts w:hint="eastAsia" w:ascii="宋体" w:hAnsi="宋体" w:eastAsia="宋体" w:cs="宋体"/>
                <w:sz w:val="24"/>
                <w:szCs w:val="24"/>
              </w:rPr>
              <w:t>位于农产品主产区的点状能源和矿产资源基地建设，必须进行生态环境影响评估，并尽可能减少对生态空间与农业空间的占用，同步修复生态环境。其中，在水资源严重短缺、环境容量很小、生态十分脆弱、地震和地质灾害频发的地区，要严格控制能源和矿产资源开发。</w:t>
            </w:r>
          </w:p>
          <w:p>
            <w:pPr>
              <w:pStyle w:val="72"/>
              <w:ind w:firstLine="482"/>
              <w:rPr>
                <w:rFonts w:hint="eastAsia" w:ascii="宋体" w:hAnsi="宋体" w:eastAsia="宋体" w:cs="宋体"/>
                <w:b/>
                <w:bCs/>
                <w:sz w:val="24"/>
                <w:szCs w:val="24"/>
              </w:rPr>
            </w:pPr>
            <w:r>
              <w:rPr>
                <w:rFonts w:hint="eastAsia" w:ascii="宋体" w:hAnsi="宋体" w:eastAsia="宋体" w:cs="宋体"/>
                <w:b/>
                <w:bCs/>
                <w:sz w:val="24"/>
                <w:szCs w:val="24"/>
              </w:rPr>
              <w:t xml:space="preserve">相符性分析： </w:t>
            </w:r>
          </w:p>
          <w:p>
            <w:pPr>
              <w:pStyle w:val="94"/>
              <w:adjustRightInd w:val="0"/>
              <w:snapToGrid w:val="0"/>
              <w:spacing w:line="520" w:lineRule="exact"/>
              <w:ind w:firstLine="480"/>
              <w:rPr>
                <w:rFonts w:hint="eastAsia" w:ascii="宋体" w:hAnsi="宋体" w:eastAsia="宋体" w:cs="宋体"/>
                <w:bCs/>
                <w:sz w:val="24"/>
                <w:szCs w:val="24"/>
              </w:rPr>
            </w:pPr>
            <w:r>
              <w:rPr>
                <w:rFonts w:hint="eastAsia" w:ascii="宋体" w:hAnsi="宋体" w:eastAsia="宋体" w:cs="宋体"/>
                <w:sz w:val="24"/>
                <w:szCs w:val="24"/>
              </w:rPr>
              <w:t>本项目为</w:t>
            </w:r>
            <w:r>
              <w:rPr>
                <w:rFonts w:hint="eastAsia" w:ascii="宋体" w:hAnsi="宋体" w:eastAsia="宋体" w:cs="宋体"/>
                <w:sz w:val="24"/>
                <w:szCs w:val="24"/>
                <w:lang w:val="en-US" w:eastAsia="zh-CN"/>
              </w:rPr>
              <w:t>玛纳斯县中医医院中医康复治疗项目</w:t>
            </w:r>
            <w:r>
              <w:rPr>
                <w:rFonts w:hint="eastAsia" w:ascii="宋体" w:hAnsi="宋体" w:eastAsia="宋体" w:cs="宋体"/>
                <w:sz w:val="24"/>
                <w:szCs w:val="24"/>
              </w:rPr>
              <w:t>，项目所在区域不在生态红线区内，本环评要求建设单位对施工活动严格控制，尽可能减少对生态系统的干扰；积极落实本环评提出的各项生态环境保护措施，因此，本项目的建设符合《新疆维吾尔自治区主体功能区规划》对于项目区块的开发管制原则。</w:t>
            </w:r>
          </w:p>
          <w:p>
            <w:pPr>
              <w:pStyle w:val="94"/>
              <w:adjustRightInd w:val="0"/>
              <w:snapToGrid w:val="0"/>
              <w:spacing w:line="520" w:lineRule="exact"/>
              <w:ind w:firstLine="480"/>
              <w:rPr>
                <w:bCs/>
                <w:szCs w:val="24"/>
              </w:rPr>
            </w:pPr>
          </w:p>
          <w:p>
            <w:pPr>
              <w:pStyle w:val="94"/>
              <w:adjustRightInd w:val="0"/>
              <w:snapToGrid w:val="0"/>
              <w:spacing w:line="520" w:lineRule="exact"/>
              <w:ind w:firstLine="480"/>
              <w:rPr>
                <w:bCs/>
                <w:szCs w:val="24"/>
              </w:rPr>
            </w:pPr>
          </w:p>
          <w:p>
            <w:pPr>
              <w:pStyle w:val="94"/>
              <w:adjustRightInd w:val="0"/>
              <w:snapToGrid w:val="0"/>
              <w:spacing w:line="520" w:lineRule="exact"/>
              <w:ind w:firstLine="480"/>
              <w:rPr>
                <w:bCs/>
                <w:szCs w:val="24"/>
              </w:rPr>
            </w:pPr>
          </w:p>
          <w:p>
            <w:pPr>
              <w:pStyle w:val="94"/>
              <w:adjustRightInd w:val="0"/>
              <w:snapToGrid w:val="0"/>
              <w:spacing w:line="520" w:lineRule="exact"/>
              <w:ind w:firstLine="480"/>
              <w:rPr>
                <w:bCs/>
                <w:szCs w:val="24"/>
              </w:rPr>
            </w:pPr>
          </w:p>
          <w:p>
            <w:pPr>
              <w:pStyle w:val="94"/>
              <w:adjustRightInd w:val="0"/>
              <w:snapToGrid w:val="0"/>
              <w:spacing w:line="520" w:lineRule="exact"/>
              <w:ind w:left="0" w:leftChars="0" w:firstLine="0" w:firstLineChars="0"/>
              <w:rPr>
                <w:bCs/>
                <w:szCs w:val="24"/>
              </w:rPr>
            </w:pPr>
          </w:p>
        </w:tc>
      </w:tr>
    </w:tbl>
    <w:p>
      <w:pPr>
        <w:spacing w:line="360" w:lineRule="auto"/>
        <w:outlineLvl w:val="0"/>
        <w:rPr>
          <w:rFonts w:eastAsia="黑体"/>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4"/>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8"/>
        <w:tblW w:w="88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1"/>
        <w:gridCol w:w="83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6" w:hRule="atLeast"/>
          <w:jc w:val="center"/>
        </w:trPr>
        <w:tc>
          <w:tcPr>
            <w:tcW w:w="471" w:type="dxa"/>
            <w:vAlign w:val="center"/>
          </w:tcPr>
          <w:p>
            <w:pPr>
              <w:pStyle w:val="24"/>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8353" w:type="dxa"/>
          </w:tcPr>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sz w:val="24"/>
              </w:rPr>
            </w:pPr>
            <w:r>
              <w:rPr>
                <w:b/>
                <w:sz w:val="24"/>
              </w:rPr>
              <w:t>1</w:t>
            </w:r>
            <w:r>
              <w:rPr>
                <w:rFonts w:hint="eastAsia"/>
                <w:b/>
                <w:sz w:val="24"/>
                <w:lang w:val="en-US" w:eastAsia="zh-CN"/>
              </w:rPr>
              <w:t>.</w:t>
            </w:r>
            <w:r>
              <w:rPr>
                <w:b/>
                <w:sz w:val="24"/>
              </w:rPr>
              <w:t>项目建设地点及周边环境概况</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cs="Times New Roman"/>
                <w:color w:val="auto"/>
                <w:sz w:val="24"/>
                <w:lang w:val="en-US" w:eastAsia="zh-CN"/>
              </w:rPr>
            </w:pPr>
            <w:r>
              <w:rPr>
                <w:rFonts w:hint="eastAsia" w:cs="Times New Roman"/>
                <w:color w:val="auto"/>
                <w:sz w:val="24"/>
                <w:lang w:val="en-US" w:eastAsia="zh-CN"/>
              </w:rPr>
              <w:t>本项目位于玛纳斯县中华碧玉园东侧</w:t>
            </w:r>
            <w:r>
              <w:rPr>
                <w:rFonts w:hint="default" w:cs="Times New Roman"/>
                <w:color w:val="auto"/>
                <w:sz w:val="24"/>
                <w:lang w:val="en-US" w:eastAsia="zh-CN"/>
              </w:rPr>
              <w:t>500m</w:t>
            </w:r>
            <w:r>
              <w:rPr>
                <w:rFonts w:hint="eastAsia" w:cs="Times New Roman"/>
                <w:color w:val="auto"/>
                <w:sz w:val="24"/>
                <w:lang w:val="en-US" w:eastAsia="zh-CN"/>
              </w:rPr>
              <w:t>处，玛纳斯县中医医院院内门诊楼东侧空地，中心地理坐标为：东经86°13′41.469″，北纬44°16′42.960″。项目地理位置详见附图1，项目区卫星图详见附图2。</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sz w:val="24"/>
              </w:rPr>
            </w:pPr>
            <w:r>
              <w:rPr>
                <w:b/>
                <w:sz w:val="24"/>
              </w:rPr>
              <w:t>2</w:t>
            </w:r>
            <w:r>
              <w:rPr>
                <w:rFonts w:hint="eastAsia"/>
                <w:b/>
                <w:sz w:val="24"/>
                <w:lang w:val="en-US" w:eastAsia="zh-CN"/>
              </w:rPr>
              <w:t>.</w:t>
            </w:r>
            <w:r>
              <w:rPr>
                <w:b/>
                <w:sz w:val="24"/>
              </w:rPr>
              <w:t>项目建设内容</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本项目位于玛纳斯中医医院现状占地范围内，建设1栋地上5层，地下1层的中医康复治疗中心大楼，占地面积1000</w:t>
            </w:r>
            <w:r>
              <w:rPr>
                <w:rFonts w:hint="eastAsia" w:ascii="Times New Roman" w:hAnsi="Times New Roman" w:eastAsia="宋体" w:cs="Times New Roman"/>
                <w:color w:val="000000" w:themeColor="text1"/>
                <w:sz w:val="24"/>
                <w:lang w:val="en-US" w:eastAsia="zh-CN"/>
                <w14:textFill>
                  <w14:solidFill>
                    <w14:schemeClr w14:val="tx1"/>
                  </w14:solidFill>
                </w14:textFill>
              </w:rPr>
              <w:t>m</w:t>
            </w:r>
            <w:r>
              <w:rPr>
                <w:rFonts w:hint="eastAsia" w:ascii="Times New Roman" w:hAnsi="Times New Roman" w:eastAsia="宋体" w:cs="Times New Roman"/>
                <w:color w:val="000000" w:themeColor="text1"/>
                <w:sz w:val="24"/>
                <w:vertAlign w:val="superscript"/>
                <w:lang w:val="en-US" w:eastAsia="zh-CN"/>
                <w14:textFill>
                  <w14:solidFill>
                    <w14:schemeClr w14:val="tx1"/>
                  </w14:solidFill>
                </w14:textFill>
              </w:rPr>
              <w:t>2</w:t>
            </w:r>
            <w:r>
              <w:rPr>
                <w:rFonts w:hint="eastAsia" w:cs="Times New Roman"/>
                <w:color w:val="000000" w:themeColor="text1"/>
                <w:sz w:val="24"/>
                <w:vertAlign w:val="baseline"/>
                <w:lang w:val="en-US" w:eastAsia="zh-CN"/>
                <w14:textFill>
                  <w14:solidFill>
                    <w14:schemeClr w14:val="tx1"/>
                  </w14:solidFill>
                </w14:textFill>
              </w:rPr>
              <w:t>，其中地上</w:t>
            </w:r>
            <w:r>
              <w:rPr>
                <w:rFonts w:hint="eastAsia" w:cs="Times New Roman"/>
                <w:color w:val="000000" w:themeColor="text1"/>
                <w:sz w:val="24"/>
                <w:lang w:val="en-US" w:eastAsia="zh-CN"/>
                <w14:textFill>
                  <w14:solidFill>
                    <w14:schemeClr w14:val="tx1"/>
                  </w14:solidFill>
                </w14:textFill>
              </w:rPr>
              <w:t>建筑</w:t>
            </w:r>
            <w:r>
              <w:rPr>
                <w:rFonts w:hint="eastAsia" w:ascii="Times New Roman" w:hAnsi="Times New Roman" w:eastAsia="宋体" w:cs="Times New Roman"/>
                <w:color w:val="000000" w:themeColor="text1"/>
                <w:sz w:val="24"/>
                <w:lang w:val="en-US" w:eastAsia="zh-CN"/>
                <w14:textFill>
                  <w14:solidFill>
                    <w14:schemeClr w14:val="tx1"/>
                  </w14:solidFill>
                </w14:textFill>
              </w:rPr>
              <w:t>面积为</w:t>
            </w:r>
            <w:r>
              <w:rPr>
                <w:rFonts w:hint="eastAsia" w:cs="Times New Roman"/>
                <w:color w:val="000000" w:themeColor="text1"/>
                <w:sz w:val="24"/>
                <w:lang w:val="en-US" w:eastAsia="zh-CN"/>
                <w14:textFill>
                  <w14:solidFill>
                    <w14:schemeClr w14:val="tx1"/>
                  </w14:solidFill>
                </w14:textFill>
              </w:rPr>
              <w:t>5146.74</w:t>
            </w:r>
            <w:r>
              <w:rPr>
                <w:rFonts w:hint="eastAsia" w:ascii="Times New Roman" w:hAnsi="Times New Roman" w:eastAsia="宋体" w:cs="Times New Roman"/>
                <w:color w:val="000000" w:themeColor="text1"/>
                <w:sz w:val="24"/>
                <w:lang w:val="en-US" w:eastAsia="zh-CN"/>
                <w14:textFill>
                  <w14:solidFill>
                    <w14:schemeClr w14:val="tx1"/>
                  </w14:solidFill>
                </w14:textFill>
              </w:rPr>
              <w:t>m</w:t>
            </w:r>
            <w:r>
              <w:rPr>
                <w:rFonts w:hint="eastAsia" w:ascii="Times New Roman" w:hAnsi="Times New Roman" w:eastAsia="宋体" w:cs="Times New Roman"/>
                <w:color w:val="000000" w:themeColor="text1"/>
                <w:sz w:val="24"/>
                <w:vertAlign w:val="superscript"/>
                <w:lang w:val="en-US" w:eastAsia="zh-CN"/>
                <w14:textFill>
                  <w14:solidFill>
                    <w14:schemeClr w14:val="tx1"/>
                  </w14:solidFill>
                </w14:textFill>
              </w:rPr>
              <w:t>2</w:t>
            </w:r>
            <w:r>
              <w:rPr>
                <w:rFonts w:hint="eastAsia" w:cs="Times New Roman"/>
                <w:color w:val="000000" w:themeColor="text1"/>
                <w:sz w:val="24"/>
                <w:vertAlign w:val="baseline"/>
                <w:lang w:val="en-US" w:eastAsia="zh-CN"/>
                <w14:textFill>
                  <w14:solidFill>
                    <w14:schemeClr w14:val="tx1"/>
                  </w14:solidFill>
                </w14:textFill>
              </w:rPr>
              <w:t>，地下建筑面积为896.80</w:t>
            </w:r>
            <w:r>
              <w:rPr>
                <w:rFonts w:hint="eastAsia" w:ascii="Times New Roman" w:hAnsi="Times New Roman" w:eastAsia="宋体" w:cs="Times New Roman"/>
                <w:color w:val="000000" w:themeColor="text1"/>
                <w:sz w:val="24"/>
                <w:lang w:val="en-US" w:eastAsia="zh-CN"/>
                <w14:textFill>
                  <w14:solidFill>
                    <w14:schemeClr w14:val="tx1"/>
                  </w14:solidFill>
                </w14:textFill>
              </w:rPr>
              <w:t>m</w:t>
            </w:r>
            <w:r>
              <w:rPr>
                <w:rFonts w:hint="eastAsia" w:ascii="Times New Roman" w:hAnsi="Times New Roman" w:eastAsia="宋体" w:cs="Times New Roman"/>
                <w:color w:val="000000" w:themeColor="text1"/>
                <w:sz w:val="24"/>
                <w:vertAlign w:val="superscript"/>
                <w:lang w:val="en-US" w:eastAsia="zh-CN"/>
                <w14:textFill>
                  <w14:solidFill>
                    <w14:schemeClr w14:val="tx1"/>
                  </w14:solidFill>
                </w14:textFill>
              </w:rPr>
              <w:t>2</w:t>
            </w:r>
            <w:r>
              <w:rPr>
                <w:rFonts w:hint="eastAsia" w:cs="Times New Roman"/>
                <w:color w:val="000000" w:themeColor="text1"/>
                <w:sz w:val="24"/>
                <w:vertAlign w:val="baseline"/>
                <w:lang w:val="en-US" w:eastAsia="zh-CN"/>
                <w14:textFill>
                  <w14:solidFill>
                    <w14:schemeClr w14:val="tx1"/>
                  </w14:solidFill>
                </w14:textFill>
              </w:rPr>
              <w:t>，设置120张床位，医务人员70人。</w:t>
            </w:r>
            <w:r>
              <w:rPr>
                <w:rFonts w:hint="eastAsia" w:ascii="宋体" w:hAnsi="宋体" w:eastAsia="宋体" w:cs="宋体"/>
                <w:color w:val="000000" w:themeColor="text1"/>
                <w:kern w:val="0"/>
                <w:sz w:val="24"/>
                <w:szCs w:val="24"/>
                <w:lang w:val="en-US" w:eastAsia="zh-CN" w:bidi="ar"/>
                <w14:textFill>
                  <w14:solidFill>
                    <w14:schemeClr w14:val="tx1"/>
                  </w14:solidFill>
                </w14:textFill>
              </w:rPr>
              <w:t>承担康复评定、康复治疗、康复训练、康复教育、康复人才培训、康复信息咨询等。</w:t>
            </w:r>
            <w:r>
              <w:rPr>
                <w:rFonts w:hint="eastAsia" w:ascii="Times New Roman" w:hAnsi="Times New Roman" w:eastAsia="宋体" w:cs="Times New Roman"/>
                <w:bCs/>
                <w:color w:val="000000" w:themeColor="text1"/>
                <w:sz w:val="24"/>
                <w:lang w:val="en-US" w:eastAsia="zh-CN"/>
                <w14:textFill>
                  <w14:solidFill>
                    <w14:schemeClr w14:val="tx1"/>
                  </w14:solidFill>
                </w14:textFill>
              </w:rPr>
              <w:t>其</w:t>
            </w:r>
            <w:r>
              <w:rPr>
                <w:color w:val="000000" w:themeColor="text1"/>
                <w:sz w:val="24"/>
                <w14:textFill>
                  <w14:solidFill>
                    <w14:schemeClr w14:val="tx1"/>
                  </w14:solidFill>
                </w14:textFill>
              </w:rPr>
              <w:t>辅助工程、公用工程、环保工程</w:t>
            </w:r>
            <w:r>
              <w:rPr>
                <w:rFonts w:hint="eastAsia"/>
                <w:color w:val="000000" w:themeColor="text1"/>
                <w:sz w:val="24"/>
                <w:lang w:val="en-US" w:eastAsia="zh-CN"/>
                <w14:textFill>
                  <w14:solidFill>
                    <w14:schemeClr w14:val="tx1"/>
                  </w14:solidFill>
                </w14:textFill>
              </w:rPr>
              <w:t>均依托中医医院现有</w:t>
            </w:r>
            <w:r>
              <w:rPr>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rFonts w:hint="eastAsia"/>
                <w:color w:val="auto"/>
                <w:sz w:val="24"/>
                <w:lang w:val="en-US" w:eastAsia="zh-CN"/>
              </w:rPr>
              <w:t>本项目</w:t>
            </w:r>
            <w:r>
              <w:rPr>
                <w:rFonts w:hint="eastAsia"/>
                <w:color w:val="auto"/>
                <w:sz w:val="24"/>
              </w:rPr>
              <w:t>工</w:t>
            </w:r>
            <w:r>
              <w:rPr>
                <w:color w:val="auto"/>
                <w:sz w:val="24"/>
              </w:rPr>
              <w:t>程组成</w:t>
            </w:r>
            <w:r>
              <w:rPr>
                <w:rFonts w:hint="eastAsia"/>
                <w:color w:val="auto"/>
                <w:sz w:val="24"/>
                <w:lang w:val="en-US" w:eastAsia="zh-CN"/>
              </w:rPr>
              <w:t>详</w:t>
            </w:r>
            <w:r>
              <w:rPr>
                <w:color w:val="auto"/>
                <w:sz w:val="24"/>
              </w:rPr>
              <w:t>见表2-1。</w:t>
            </w:r>
          </w:p>
          <w:p>
            <w:pPr>
              <w:pStyle w:val="7"/>
              <w:keepNext/>
              <w:keepLines/>
              <w:pageBreakBefore w:val="0"/>
              <w:widowControl w:val="0"/>
              <w:kinsoku/>
              <w:wordWrap/>
              <w:overflowPunct/>
              <w:topLinePunct w:val="0"/>
              <w:autoSpaceDE/>
              <w:autoSpaceDN/>
              <w:bidi w:val="0"/>
              <w:adjustRightInd/>
              <w:snapToGrid/>
              <w:spacing w:before="0" w:after="0" w:line="520" w:lineRule="exact"/>
              <w:jc w:val="center"/>
              <w:textAlignment w:val="auto"/>
            </w:pPr>
            <w:r>
              <w:rPr>
                <w:rFonts w:hAnsi="Times New Roman" w:eastAsia="黑体"/>
                <w:b w:val="0"/>
                <w:bCs w:val="0"/>
                <w:color w:val="auto"/>
                <w:sz w:val="24"/>
                <w:szCs w:val="24"/>
              </w:rPr>
              <w:t>表2-1    项目建设内容组成一览表</w:t>
            </w:r>
          </w:p>
          <w:tbl>
            <w:tblPr>
              <w:tblStyle w:val="28"/>
              <w:tblW w:w="81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872"/>
              <w:gridCol w:w="3806"/>
              <w:gridCol w:w="2077"/>
              <w:gridCol w:w="728"/>
              <w:gridCol w:w="1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13" w:type="dxa"/>
                  <w:gridSpan w:val="2"/>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项目组成</w:t>
                  </w:r>
                </w:p>
              </w:tc>
              <w:tc>
                <w:tcPr>
                  <w:tcW w:w="3806"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工程内容</w:t>
                  </w:r>
                </w:p>
              </w:tc>
              <w:tc>
                <w:tcPr>
                  <w:tcW w:w="2077"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规模</w:t>
                  </w:r>
                </w:p>
              </w:tc>
              <w:tc>
                <w:tcPr>
                  <w:tcW w:w="738" w:type="dxa"/>
                  <w:gridSpan w:val="2"/>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10" w:type="dxa"/>
                <w:jc w:val="center"/>
              </w:trPr>
              <w:tc>
                <w:tcPr>
                  <w:tcW w:w="641" w:type="dxa"/>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主体</w:t>
                  </w:r>
                </w:p>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工程</w:t>
                  </w:r>
                </w:p>
              </w:tc>
              <w:tc>
                <w:tcPr>
                  <w:tcW w:w="872" w:type="dxa"/>
                  <w:vAlign w:val="center"/>
                </w:tcPr>
                <w:p>
                  <w:pPr>
                    <w:widowControl/>
                    <w:jc w:val="center"/>
                    <w:rPr>
                      <w:rFonts w:hint="default"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中医</w:t>
                  </w:r>
                  <w:r>
                    <w:rPr>
                      <w:rFonts w:hint="default" w:ascii="Times New Roman" w:hAnsi="Times New Roman" w:cs="Times New Roman"/>
                      <w:kern w:val="0"/>
                      <w:sz w:val="21"/>
                      <w:szCs w:val="21"/>
                      <w:lang w:val="en-US" w:eastAsia="zh-CN"/>
                    </w:rPr>
                    <w:t>康复诊疗中心大楼</w:t>
                  </w:r>
                </w:p>
              </w:tc>
              <w:tc>
                <w:tcPr>
                  <w:tcW w:w="3806" w:type="dxa"/>
                  <w:vAlign w:val="center"/>
                </w:tcPr>
                <w:p>
                  <w:pPr>
                    <w:widowControl/>
                    <w:jc w:val="center"/>
                    <w:rPr>
                      <w:rFonts w:hint="default" w:ascii="Times New Roman" w:hAnsi="Times New Roman" w:cs="Times New Roman"/>
                      <w:color w:val="000000" w:themeColor="text1"/>
                      <w:kern w:val="0"/>
                      <w:sz w:val="21"/>
                      <w:szCs w:val="21"/>
                      <w:lang w:val="en-US"/>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地下1层为人防、采血室、B超室、CT室、X光室等；1层为耳鼻喉科、出院结算部、挂号收费处、心电图室、会议室等；2层为诊疗室、推拿室、骨科康复、理疗室、医护休息室等：3-5层为护士、医生办公室、病房、处置室、治疗室等。</w:t>
                  </w:r>
                </w:p>
              </w:tc>
              <w:tc>
                <w:tcPr>
                  <w:tcW w:w="2077" w:type="dxa"/>
                  <w:vAlign w:val="center"/>
                </w:tcPr>
                <w:p>
                  <w:pPr>
                    <w:widowControl/>
                    <w:jc w:val="both"/>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负1层</w:t>
                  </w:r>
                  <w:r>
                    <w:rPr>
                      <w:rFonts w:hint="default" w:ascii="Times New Roman" w:hAnsi="Times New Roman" w:cs="Times New Roman" w:eastAsiaTheme="minorEastAsia"/>
                      <w:color w:val="000000" w:themeColor="text1"/>
                      <w:sz w:val="21"/>
                      <w:szCs w:val="21"/>
                      <w14:textFill>
                        <w14:solidFill>
                          <w14:schemeClr w14:val="tx1"/>
                        </w14:solidFill>
                      </w14:textFill>
                    </w:rPr>
                    <w:t>建筑面积</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为896.80</w:t>
                  </w:r>
                  <w:r>
                    <w:rPr>
                      <w:rFonts w:hint="default" w:ascii="Times New Roman" w:hAnsi="Times New Roman" w:cs="Times New Roman" w:eastAsiaTheme="minorEastAsia"/>
                      <w:color w:val="000000" w:themeColor="text1"/>
                      <w:sz w:val="21"/>
                      <w:szCs w:val="21"/>
                      <w14:textFill>
                        <w14:solidFill>
                          <w14:schemeClr w14:val="tx1"/>
                        </w14:solidFill>
                      </w14:textFill>
                    </w:rPr>
                    <w:t>m</w:t>
                  </w:r>
                  <w:r>
                    <w:rPr>
                      <w:rFonts w:hint="default" w:ascii="Times New Roman" w:hAnsi="Times New Roman" w:cs="Times New Roman" w:eastAsiaTheme="minorEastAsia"/>
                      <w:color w:val="000000" w:themeColor="text1"/>
                      <w:sz w:val="2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 w:val="21"/>
                      <w:szCs w:val="21"/>
                      <w:vertAlign w:val="baseline"/>
                      <w:lang w:eastAsia="zh-CN"/>
                      <w14:textFill>
                        <w14:solidFill>
                          <w14:schemeClr w14:val="tx1"/>
                        </w14:solidFill>
                      </w14:textFill>
                    </w:rPr>
                    <w:t>，</w:t>
                  </w:r>
                  <w:r>
                    <w:rPr>
                      <w:rFonts w:hint="eastAsia"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2层</w:t>
                  </w:r>
                  <w:r>
                    <w:rPr>
                      <w:rFonts w:hint="default" w:ascii="Times New Roman" w:hAnsi="Times New Roman" w:cs="Times New Roman" w:eastAsiaTheme="minorEastAsia"/>
                      <w:color w:val="000000" w:themeColor="text1"/>
                      <w:sz w:val="21"/>
                      <w:szCs w:val="21"/>
                      <w14:textFill>
                        <w14:solidFill>
                          <w14:schemeClr w14:val="tx1"/>
                        </w14:solidFill>
                      </w14:textFill>
                    </w:rPr>
                    <w:t>建筑面积</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均为982.84</w:t>
                  </w:r>
                  <w:r>
                    <w:rPr>
                      <w:rFonts w:hint="default" w:ascii="Times New Roman" w:hAnsi="Times New Roman" w:cs="Times New Roman" w:eastAsiaTheme="minorEastAsia"/>
                      <w:color w:val="000000" w:themeColor="text1"/>
                      <w:sz w:val="21"/>
                      <w:szCs w:val="21"/>
                      <w14:textFill>
                        <w14:solidFill>
                          <w14:schemeClr w14:val="tx1"/>
                        </w14:solidFill>
                      </w14:textFill>
                    </w:rPr>
                    <w:t>m</w:t>
                  </w:r>
                  <w:r>
                    <w:rPr>
                      <w:rFonts w:hint="default" w:ascii="Times New Roman" w:hAnsi="Times New Roman" w:cs="Times New Roman" w:eastAsiaTheme="minorEastAsia"/>
                      <w:color w:val="000000" w:themeColor="text1"/>
                      <w:sz w:val="21"/>
                      <w:szCs w:val="21"/>
                      <w:vertAlign w:val="superscript"/>
                      <w14:textFill>
                        <w14:solidFill>
                          <w14:schemeClr w14:val="tx1"/>
                        </w14:solidFill>
                      </w14:textFill>
                    </w:rPr>
                    <w:t>2</w:t>
                  </w:r>
                  <w:r>
                    <w:rPr>
                      <w:rFonts w:hint="eastAsia" w:ascii="Times New Roman" w:hAnsi="Times New Roman" w:cs="Times New Roman" w:eastAsiaTheme="minorEastAsia"/>
                      <w:color w:val="000000" w:themeColor="text1"/>
                      <w:sz w:val="21"/>
                      <w:szCs w:val="21"/>
                      <w:vertAlign w:val="baseline"/>
                      <w:lang w:eastAsia="zh-CN"/>
                      <w14:textFill>
                        <w14:solidFill>
                          <w14:schemeClr w14:val="tx1"/>
                        </w14:solidFill>
                      </w14:textFill>
                    </w:rPr>
                    <w:t>，</w:t>
                  </w:r>
                  <w: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3层建筑面积为964</w:t>
                  </w:r>
                  <w:r>
                    <w:rPr>
                      <w:rFonts w:hint="default" w:ascii="Times New Roman" w:hAnsi="Times New Roman" w:cs="Times New Roman" w:eastAsiaTheme="minorEastAsia"/>
                      <w:color w:val="000000" w:themeColor="text1"/>
                      <w:sz w:val="21"/>
                      <w:szCs w:val="21"/>
                      <w14:textFill>
                        <w14:solidFill>
                          <w14:schemeClr w14:val="tx1"/>
                        </w14:solidFill>
                      </w14:textFill>
                    </w:rPr>
                    <w:t>m</w:t>
                  </w:r>
                  <w:r>
                    <w:rPr>
                      <w:rFonts w:hint="default" w:ascii="Times New Roman" w:hAnsi="Times New Roman" w:cs="Times New Roman" w:eastAsiaTheme="minorEastAsia"/>
                      <w:color w:val="000000" w:themeColor="text1"/>
                      <w:sz w:val="2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 w:val="21"/>
                      <w:szCs w:val="21"/>
                      <w:vertAlign w:val="baseline"/>
                      <w:lang w:eastAsia="zh-CN"/>
                      <w14:textFill>
                        <w14:solidFill>
                          <w14:schemeClr w14:val="tx1"/>
                        </w14:solidFill>
                      </w14:textFill>
                    </w:rPr>
                    <w:t>，</w:t>
                  </w:r>
                  <w: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4-5层建筑面积均为995.92</w:t>
                  </w:r>
                  <w:r>
                    <w:rPr>
                      <w:rFonts w:hint="default" w:ascii="Times New Roman" w:hAnsi="Times New Roman" w:cs="Times New Roman" w:eastAsiaTheme="minorEastAsia"/>
                      <w:color w:val="000000" w:themeColor="text1"/>
                      <w:sz w:val="21"/>
                      <w:szCs w:val="21"/>
                      <w14:textFill>
                        <w14:solidFill>
                          <w14:schemeClr w14:val="tx1"/>
                        </w14:solidFill>
                      </w14:textFill>
                    </w:rPr>
                    <w:t>m</w:t>
                  </w:r>
                  <w:r>
                    <w:rPr>
                      <w:rFonts w:hint="default" w:ascii="Times New Roman" w:hAnsi="Times New Roman" w:cs="Times New Roman" w:eastAsiaTheme="minorEastAsia"/>
                      <w:color w:val="000000" w:themeColor="text1"/>
                      <w:sz w:val="2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 w:val="21"/>
                      <w:szCs w:val="21"/>
                      <w:vertAlign w:val="baseline"/>
                      <w:lang w:eastAsia="zh-CN"/>
                      <w14:textFill>
                        <w14:solidFill>
                          <w14:schemeClr w14:val="tx1"/>
                        </w14:solidFill>
                      </w14:textFill>
                    </w:rPr>
                    <w:t>；</w:t>
                  </w:r>
                  <w: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总建筑面积为6043.54</w:t>
                  </w:r>
                  <w:r>
                    <w:rPr>
                      <w:rFonts w:hint="default" w:ascii="Times New Roman" w:hAnsi="Times New Roman" w:cs="Times New Roman" w:eastAsiaTheme="minorEastAsia"/>
                      <w:color w:val="000000" w:themeColor="text1"/>
                      <w:sz w:val="21"/>
                      <w:szCs w:val="21"/>
                      <w14:textFill>
                        <w14:solidFill>
                          <w14:schemeClr w14:val="tx1"/>
                        </w14:solidFill>
                      </w14:textFill>
                    </w:rPr>
                    <w:t>m</w:t>
                  </w:r>
                  <w:r>
                    <w:rPr>
                      <w:rFonts w:hint="default" w:ascii="Times New Roman" w:hAnsi="Times New Roman" w:cs="Times New Roman" w:eastAsiaTheme="minorEastAsia"/>
                      <w:color w:val="000000" w:themeColor="text1"/>
                      <w:sz w:val="2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 w:val="21"/>
                      <w:szCs w:val="21"/>
                      <w:vertAlign w:val="baseline"/>
                      <w:lang w:val="en-US" w:eastAsia="zh-CN"/>
                      <w14:textFill>
                        <w14:solidFill>
                          <w14:schemeClr w14:val="tx1"/>
                        </w14:solidFill>
                      </w14:textFill>
                    </w:rPr>
                    <w:t>。</w:t>
                  </w:r>
                </w:p>
              </w:tc>
              <w:tc>
                <w:tcPr>
                  <w:tcW w:w="728"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90" w:hRule="atLeast"/>
                <w:jc w:val="center"/>
              </w:trPr>
              <w:tc>
                <w:tcPr>
                  <w:tcW w:w="641" w:type="dxa"/>
                  <w:vMerge w:val="restart"/>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公用</w:t>
                  </w:r>
                </w:p>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工程</w:t>
                  </w:r>
                </w:p>
              </w:tc>
              <w:tc>
                <w:tcPr>
                  <w:tcW w:w="872"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供水</w:t>
                  </w:r>
                </w:p>
              </w:tc>
              <w:tc>
                <w:tcPr>
                  <w:tcW w:w="3806" w:type="dxa"/>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sz w:val="21"/>
                      <w:szCs w:val="21"/>
                    </w:rPr>
                    <w:t>项目用水由</w:t>
                  </w:r>
                  <w:r>
                    <w:rPr>
                      <w:rFonts w:hint="default" w:ascii="Times New Roman" w:hAnsi="Times New Roman" w:cs="Times New Roman"/>
                      <w:sz w:val="21"/>
                      <w:szCs w:val="21"/>
                      <w:lang w:val="en-US" w:eastAsia="zh-CN"/>
                    </w:rPr>
                    <w:t>中医医院现有供水设施</w:t>
                  </w:r>
                  <w:r>
                    <w:rPr>
                      <w:rFonts w:hint="default" w:ascii="Times New Roman" w:hAnsi="Times New Roman" w:cs="Times New Roman"/>
                      <w:sz w:val="21"/>
                      <w:szCs w:val="21"/>
                    </w:rPr>
                    <w:t>供给；</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w:t>
                  </w:r>
                </w:p>
              </w:tc>
              <w:tc>
                <w:tcPr>
                  <w:tcW w:w="72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eastAsiaTheme="minorEastAsia"/>
                      <w:sz w:val="21"/>
                      <w:szCs w:val="21"/>
                      <w:lang w:val="en-US" w:eastAsia="zh-CN"/>
                    </w:rPr>
                    <w:t>依托</w:t>
                  </w:r>
                  <w:r>
                    <w:rPr>
                      <w:rFonts w:hint="default" w:ascii="Times New Roman" w:hAnsi="Times New Roman" w:cs="Times New Roman" w:eastAsiaTheme="minorEastAsia"/>
                      <w:sz w:val="21"/>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jc w:val="center"/>
              </w:trPr>
              <w:tc>
                <w:tcPr>
                  <w:tcW w:w="641" w:type="dxa"/>
                  <w:vMerge w:val="continue"/>
                  <w:vAlign w:val="center"/>
                </w:tcPr>
                <w:p>
                  <w:pPr>
                    <w:widowControl/>
                    <w:jc w:val="center"/>
                    <w:rPr>
                      <w:rFonts w:hint="default" w:ascii="Times New Roman" w:hAnsi="Times New Roman" w:cs="Times New Roman"/>
                      <w:kern w:val="0"/>
                      <w:sz w:val="21"/>
                      <w:szCs w:val="21"/>
                    </w:rPr>
                  </w:pPr>
                </w:p>
              </w:tc>
              <w:tc>
                <w:tcPr>
                  <w:tcW w:w="872"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供电</w:t>
                  </w:r>
                </w:p>
              </w:tc>
              <w:tc>
                <w:tcPr>
                  <w:tcW w:w="3806"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sz w:val="21"/>
                      <w:szCs w:val="21"/>
                    </w:rPr>
                    <w:t>项目用电由</w:t>
                  </w:r>
                  <w:r>
                    <w:rPr>
                      <w:rFonts w:hint="default" w:ascii="Times New Roman" w:hAnsi="Times New Roman" w:cs="Times New Roman"/>
                      <w:sz w:val="21"/>
                      <w:szCs w:val="21"/>
                      <w:lang w:val="en-US" w:eastAsia="zh-CN"/>
                    </w:rPr>
                    <w:t>中医医院现有</w:t>
                  </w:r>
                  <w:r>
                    <w:rPr>
                      <w:rFonts w:hint="default" w:ascii="Times New Roman" w:hAnsi="Times New Roman" w:cs="Times New Roman"/>
                      <w:sz w:val="21"/>
                      <w:szCs w:val="21"/>
                    </w:rPr>
                    <w:t>供电网</w:t>
                  </w:r>
                  <w:r>
                    <w:rPr>
                      <w:rFonts w:hint="default" w:ascii="Times New Roman" w:hAnsi="Times New Roman" w:cs="Times New Roman"/>
                      <w:sz w:val="21"/>
                      <w:szCs w:val="21"/>
                      <w:lang w:val="en-US" w:eastAsia="zh-CN"/>
                    </w:rPr>
                    <w:t>接入</w:t>
                  </w:r>
                  <w:r>
                    <w:rPr>
                      <w:rFonts w:hint="default" w:ascii="Times New Roman" w:hAnsi="Times New Roman" w:cs="Times New Roman"/>
                      <w:sz w:val="21"/>
                      <w:szCs w:val="21"/>
                    </w:rPr>
                    <w:t>；</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w:t>
                  </w:r>
                </w:p>
              </w:tc>
              <w:tc>
                <w:tcPr>
                  <w:tcW w:w="728" w:type="dxa"/>
                  <w:vAlign w:val="center"/>
                </w:tcPr>
                <w:p>
                  <w:pPr>
                    <w:widowControl/>
                    <w:jc w:val="center"/>
                    <w:rPr>
                      <w:rFonts w:hint="default" w:ascii="Times New Roman" w:hAnsi="Times New Roman" w:cs="Times New Roman"/>
                      <w:sz w:val="21"/>
                      <w:szCs w:val="21"/>
                    </w:rPr>
                  </w:pPr>
                  <w:r>
                    <w:rPr>
                      <w:rFonts w:hint="default" w:ascii="Times New Roman" w:hAnsi="Times New Roman" w:cs="Times New Roman" w:eastAsiaTheme="minorEastAsia"/>
                      <w:sz w:val="21"/>
                      <w:szCs w:val="21"/>
                      <w:lang w:val="en-US" w:eastAsia="zh-CN"/>
                    </w:rPr>
                    <w:t>依托</w:t>
                  </w:r>
                  <w:r>
                    <w:rPr>
                      <w:rFonts w:hint="default" w:ascii="Times New Roman" w:hAnsi="Times New Roman" w:cs="Times New Roman" w:eastAsiaTheme="minorEastAsia"/>
                      <w:sz w:val="21"/>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90" w:hRule="atLeast"/>
                <w:jc w:val="center"/>
              </w:trPr>
              <w:tc>
                <w:tcPr>
                  <w:tcW w:w="641" w:type="dxa"/>
                  <w:vMerge w:val="continue"/>
                  <w:vAlign w:val="center"/>
                </w:tcPr>
                <w:p>
                  <w:pPr>
                    <w:widowControl/>
                    <w:jc w:val="center"/>
                    <w:rPr>
                      <w:rFonts w:hint="default" w:ascii="Times New Roman" w:hAnsi="Times New Roman" w:cs="Times New Roman"/>
                      <w:kern w:val="0"/>
                      <w:sz w:val="21"/>
                      <w:szCs w:val="21"/>
                    </w:rPr>
                  </w:pPr>
                </w:p>
              </w:tc>
              <w:tc>
                <w:tcPr>
                  <w:tcW w:w="872"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排水</w:t>
                  </w:r>
                </w:p>
              </w:tc>
              <w:tc>
                <w:tcPr>
                  <w:tcW w:w="3806" w:type="dxa"/>
                  <w:vAlign w:val="center"/>
                </w:tcPr>
                <w:p>
                  <w:pPr>
                    <w:widowControl/>
                    <w:jc w:val="left"/>
                    <w:rPr>
                      <w:rFonts w:hint="default" w:ascii="Times New Roman" w:hAnsi="Times New Roman" w:cs="Times New Roman"/>
                      <w:sz w:val="21"/>
                      <w:szCs w:val="21"/>
                    </w:rPr>
                  </w:pPr>
                  <w:r>
                    <w:rPr>
                      <w:rFonts w:hint="default" w:ascii="Times New Roman" w:hAnsi="Times New Roman" w:cs="Times New Roman"/>
                      <w:color w:val="000000" w:themeColor="text1"/>
                      <w:kern w:val="0"/>
                      <w:sz w:val="21"/>
                      <w:szCs w:val="21"/>
                      <w14:textFill>
                        <w14:solidFill>
                          <w14:schemeClr w14:val="tx1"/>
                        </w14:solidFill>
                      </w14:textFill>
                    </w:rPr>
                    <w:t>生活污水</w:t>
                  </w:r>
                  <w:r>
                    <w:rPr>
                      <w:rFonts w:hint="default" w:ascii="Times New Roman" w:hAnsi="Times New Roman" w:cs="Times New Roman"/>
                      <w:color w:val="000000" w:themeColor="text1"/>
                      <w:kern w:val="0"/>
                      <w:sz w:val="21"/>
                      <w:szCs w:val="21"/>
                      <w:lang w:val="en-US" w:eastAsia="zh-CN"/>
                      <w14:textFill>
                        <w14:solidFill>
                          <w14:schemeClr w14:val="tx1"/>
                        </w14:solidFill>
                      </w14:textFill>
                    </w:rPr>
                    <w:t>和医疗废水</w:t>
                  </w:r>
                  <w:r>
                    <w:rPr>
                      <w:rFonts w:hint="default" w:ascii="Times New Roman" w:hAnsi="Times New Roman" w:cs="Times New Roman"/>
                      <w:color w:val="000000" w:themeColor="text1"/>
                      <w:kern w:val="0"/>
                      <w:sz w:val="21"/>
                      <w:szCs w:val="21"/>
                      <w14:textFill>
                        <w14:solidFill>
                          <w14:schemeClr w14:val="tx1"/>
                        </w14:solidFill>
                      </w14:textFill>
                    </w:rPr>
                    <w:t>排入</w:t>
                  </w:r>
                  <w:r>
                    <w:rPr>
                      <w:rFonts w:hint="default" w:ascii="Times New Roman" w:hAnsi="Times New Roman" w:cs="Times New Roman"/>
                      <w:color w:val="000000" w:themeColor="text1"/>
                      <w:kern w:val="0"/>
                      <w:sz w:val="21"/>
                      <w:szCs w:val="21"/>
                      <w:lang w:val="en-US" w:eastAsia="zh-CN"/>
                      <w14:textFill>
                        <w14:solidFill>
                          <w14:schemeClr w14:val="tx1"/>
                        </w14:solidFill>
                      </w14:textFill>
                    </w:rPr>
                    <w:t>中医院现有污水处理站，</w:t>
                  </w:r>
                  <w:r>
                    <w:rPr>
                      <w:rFonts w:hint="default" w:ascii="Times New Roman" w:hAnsi="Times New Roman" w:cs="Times New Roman"/>
                      <w:kern w:val="0"/>
                      <w:sz w:val="21"/>
                      <w:szCs w:val="21"/>
                      <w:lang w:val="en-US" w:eastAsia="zh-CN"/>
                    </w:rPr>
                    <w:t>经处理达到《医疗机构水污染物排放标准》表2预处理标准后，排入市政下水管网</w:t>
                  </w:r>
                  <w:r>
                    <w:rPr>
                      <w:rFonts w:hint="default" w:ascii="Times New Roman" w:hAnsi="Times New Roman" w:cs="Times New Roman"/>
                      <w:color w:val="000000" w:themeColor="text1"/>
                      <w:kern w:val="0"/>
                      <w:sz w:val="21"/>
                      <w:szCs w:val="21"/>
                      <w:lang w:val="en-US" w:eastAsia="zh-CN"/>
                      <w14:textFill>
                        <w14:solidFill>
                          <w14:schemeClr w14:val="tx1"/>
                        </w14:solidFill>
                      </w14:textFill>
                    </w:rPr>
                    <w:t>。</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污水处理站处理规模为300m</w:t>
                  </w:r>
                  <w:r>
                    <w:rPr>
                      <w:rFonts w:hint="default" w:ascii="Times New Roman" w:hAnsi="Times New Roman" w:cs="Times New Roman" w:eastAsiaTheme="minorEastAsia"/>
                      <w:color w:val="000000" w:themeColor="text1"/>
                      <w:sz w:val="2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/d</w:t>
                  </w:r>
                </w:p>
              </w:tc>
              <w:tc>
                <w:tcPr>
                  <w:tcW w:w="728" w:type="dxa"/>
                  <w:vAlign w:val="center"/>
                </w:tcPr>
                <w:p>
                  <w:pPr>
                    <w:widowControl/>
                    <w:jc w:val="center"/>
                    <w:rPr>
                      <w:rFonts w:hint="default" w:ascii="Times New Roman" w:hAnsi="Times New Roman" w:eastAsia="宋体" w:cs="Times New Roman"/>
                      <w:kern w:val="0"/>
                      <w:sz w:val="21"/>
                      <w:szCs w:val="21"/>
                      <w:lang w:eastAsia="zh-CN"/>
                    </w:rPr>
                  </w:pPr>
                  <w:r>
                    <w:rPr>
                      <w:rFonts w:hint="default" w:ascii="Times New Roman" w:hAnsi="Times New Roman" w:cs="Times New Roman" w:eastAsiaTheme="minorEastAsia"/>
                      <w:sz w:val="21"/>
                      <w:szCs w:val="21"/>
                      <w:lang w:val="en-US" w:eastAsia="zh-CN"/>
                    </w:rPr>
                    <w:t>依托</w:t>
                  </w: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20" w:hRule="atLeast"/>
                <w:jc w:val="center"/>
              </w:trPr>
              <w:tc>
                <w:tcPr>
                  <w:tcW w:w="641" w:type="dxa"/>
                  <w:vMerge w:val="continue"/>
                  <w:vAlign w:val="center"/>
                </w:tcPr>
                <w:p>
                  <w:pPr>
                    <w:widowControl/>
                    <w:jc w:val="center"/>
                    <w:rPr>
                      <w:rFonts w:hint="default" w:ascii="Times New Roman" w:hAnsi="Times New Roman" w:cs="Times New Roman"/>
                      <w:kern w:val="0"/>
                      <w:sz w:val="21"/>
                      <w:szCs w:val="21"/>
                    </w:rPr>
                  </w:pPr>
                </w:p>
              </w:tc>
              <w:tc>
                <w:tcPr>
                  <w:tcW w:w="872" w:type="dxa"/>
                  <w:vAlign w:val="center"/>
                </w:tcPr>
                <w:p>
                  <w:pPr>
                    <w:widowControl/>
                    <w:jc w:val="center"/>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lang w:val="en-US" w:eastAsia="zh-CN"/>
                    </w:rPr>
                    <w:t>供暖</w:t>
                  </w:r>
                </w:p>
              </w:tc>
              <w:tc>
                <w:tcPr>
                  <w:tcW w:w="3806"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bCs/>
                      <w:sz w:val="21"/>
                      <w:szCs w:val="21"/>
                      <w:lang w:val="en-US" w:eastAsia="zh-CN"/>
                    </w:rPr>
                    <w:t>本工程供暖由</w:t>
                  </w:r>
                  <w:r>
                    <w:rPr>
                      <w:rFonts w:hint="eastAsia" w:cs="Times New Roman"/>
                      <w:bCs/>
                      <w:sz w:val="21"/>
                      <w:szCs w:val="21"/>
                      <w:lang w:val="en-US" w:eastAsia="zh-CN"/>
                    </w:rPr>
                    <w:t>玛纳斯县</w:t>
                  </w:r>
                  <w:r>
                    <w:rPr>
                      <w:rFonts w:hint="default" w:ascii="Times New Roman" w:hAnsi="Times New Roman" w:cs="Times New Roman"/>
                      <w:bCs/>
                      <w:sz w:val="21"/>
                      <w:szCs w:val="21"/>
                      <w:lang w:val="en-US" w:eastAsia="zh-CN"/>
                    </w:rPr>
                    <w:t>集中供热管网接入</w:t>
                  </w:r>
                  <w:r>
                    <w:rPr>
                      <w:rFonts w:hint="default" w:ascii="Times New Roman" w:hAnsi="Times New Roman" w:cs="Times New Roman"/>
                      <w:bCs/>
                      <w:sz w:val="21"/>
                      <w:szCs w:val="21"/>
                    </w:rPr>
                    <w:t>；</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w:t>
                  </w:r>
                </w:p>
              </w:tc>
              <w:tc>
                <w:tcPr>
                  <w:tcW w:w="728" w:type="dxa"/>
                  <w:vAlign w:val="center"/>
                </w:tcPr>
                <w:p>
                  <w:pPr>
                    <w:widowControl/>
                    <w:jc w:val="center"/>
                    <w:rPr>
                      <w:rFonts w:hint="default" w:ascii="Times New Roman" w:hAnsi="Times New Roman" w:cs="Times New Roman"/>
                      <w:bCs/>
                      <w:sz w:val="21"/>
                      <w:szCs w:val="21"/>
                    </w:rPr>
                  </w:pPr>
                  <w:r>
                    <w:rPr>
                      <w:rFonts w:hint="default" w:ascii="Times New Roman" w:hAnsi="Times New Roman" w:cs="Times New Roman" w:eastAsiaTheme="minorEastAsia"/>
                      <w:sz w:val="21"/>
                      <w:szCs w:val="21"/>
                      <w:lang w:val="en-US" w:eastAsia="zh-CN"/>
                    </w:rPr>
                    <w:t>依托</w:t>
                  </w:r>
                  <w:r>
                    <w:rPr>
                      <w:rFonts w:hint="default" w:ascii="Times New Roman" w:hAnsi="Times New Roman" w:cs="Times New Roman" w:eastAsiaTheme="minorEastAsia"/>
                      <w:sz w:val="21"/>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20" w:hRule="atLeast"/>
                <w:jc w:val="center"/>
              </w:trPr>
              <w:tc>
                <w:tcPr>
                  <w:tcW w:w="641" w:type="dxa"/>
                  <w:vMerge w:val="continue"/>
                  <w:vAlign w:val="center"/>
                </w:tcPr>
                <w:p>
                  <w:pPr>
                    <w:widowControl/>
                    <w:jc w:val="center"/>
                    <w:rPr>
                      <w:rFonts w:hint="default" w:ascii="Times New Roman" w:hAnsi="Times New Roman" w:cs="Times New Roman"/>
                      <w:kern w:val="0"/>
                      <w:sz w:val="21"/>
                      <w:szCs w:val="21"/>
                    </w:rPr>
                  </w:pPr>
                </w:p>
              </w:tc>
              <w:tc>
                <w:tcPr>
                  <w:tcW w:w="872" w:type="dxa"/>
                  <w:vAlign w:val="center"/>
                </w:tcPr>
                <w:p>
                  <w:pPr>
                    <w:widowControl/>
                    <w:jc w:val="center"/>
                    <w:rPr>
                      <w:rFonts w:hint="default" w:ascii="Times New Roman" w:hAnsi="Times New Roman" w:cs="Times New Roman"/>
                      <w:kern w:val="0"/>
                      <w:sz w:val="21"/>
                      <w:szCs w:val="21"/>
                      <w:lang w:val="en-US" w:eastAsia="zh-CN"/>
                    </w:rPr>
                  </w:pPr>
                  <w:r>
                    <w:rPr>
                      <w:rFonts w:hint="default" w:ascii="Times New Roman" w:hAnsi="Times New Roman" w:cs="Times New Roman"/>
                      <w:kern w:val="0"/>
                      <w:sz w:val="21"/>
                      <w:szCs w:val="21"/>
                      <w:lang w:val="en-US" w:eastAsia="zh-CN"/>
                    </w:rPr>
                    <w:t>供氧</w:t>
                  </w:r>
                </w:p>
              </w:tc>
              <w:tc>
                <w:tcPr>
                  <w:tcW w:w="3806" w:type="dxa"/>
                  <w:vAlign w:val="center"/>
                </w:tcPr>
                <w:p>
                  <w:pPr>
                    <w:widowControl/>
                    <w:jc w:val="center"/>
                    <w:rPr>
                      <w:rFonts w:hint="default" w:ascii="Times New Roman" w:hAnsi="Times New Roman" w:cs="Times New Roman"/>
                      <w:bCs/>
                      <w:sz w:val="21"/>
                      <w:szCs w:val="21"/>
                      <w:lang w:val="en-US" w:eastAsia="zh-CN"/>
                    </w:rPr>
                  </w:pPr>
                  <w:r>
                    <w:rPr>
                      <w:rFonts w:hint="default" w:ascii="Times New Roman" w:hAnsi="Times New Roman" w:cs="Times New Roman"/>
                      <w:kern w:val="0"/>
                      <w:sz w:val="21"/>
                      <w:szCs w:val="21"/>
                    </w:rPr>
                    <w:t>接入</w:t>
                  </w:r>
                  <w:r>
                    <w:rPr>
                      <w:rFonts w:hint="default" w:ascii="Times New Roman" w:hAnsi="Times New Roman" w:cs="Times New Roman"/>
                      <w:kern w:val="0"/>
                      <w:sz w:val="21"/>
                      <w:szCs w:val="21"/>
                      <w:lang w:val="en-US" w:eastAsia="zh-CN"/>
                    </w:rPr>
                    <w:t>中医院现</w:t>
                  </w:r>
                  <w:r>
                    <w:rPr>
                      <w:rFonts w:hint="default" w:ascii="Times New Roman" w:hAnsi="Times New Roman" w:cs="Times New Roman"/>
                      <w:kern w:val="0"/>
                      <w:sz w:val="21"/>
                      <w:szCs w:val="21"/>
                    </w:rPr>
                    <w:t>有</w:t>
                  </w:r>
                  <w:r>
                    <w:rPr>
                      <w:rFonts w:hint="default" w:ascii="Times New Roman" w:hAnsi="Times New Roman" w:cs="Times New Roman"/>
                      <w:kern w:val="0"/>
                      <w:sz w:val="21"/>
                      <w:szCs w:val="21"/>
                      <w:lang w:val="en-US" w:eastAsia="zh-CN"/>
                    </w:rPr>
                    <w:t>中心</w:t>
                  </w:r>
                  <w:r>
                    <w:rPr>
                      <w:rFonts w:hint="default" w:ascii="Times New Roman" w:hAnsi="Times New Roman" w:cs="Times New Roman"/>
                      <w:kern w:val="0"/>
                      <w:sz w:val="21"/>
                      <w:szCs w:val="21"/>
                    </w:rPr>
                    <w:t>供氧站</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w:t>
                  </w:r>
                </w:p>
              </w:tc>
              <w:tc>
                <w:tcPr>
                  <w:tcW w:w="728" w:type="dxa"/>
                  <w:vAlign w:val="center"/>
                </w:tcPr>
                <w:p>
                  <w:pPr>
                    <w:widowControl/>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lang w:val="en-US" w:eastAsia="zh-CN"/>
                    </w:rPr>
                    <w:t>依托</w:t>
                  </w:r>
                  <w:r>
                    <w:rPr>
                      <w:rFonts w:hint="default" w:ascii="Times New Roman" w:hAnsi="Times New Roman" w:cs="Times New Roman" w:eastAsiaTheme="minorEastAsia"/>
                      <w:sz w:val="21"/>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jc w:val="center"/>
              </w:trPr>
              <w:tc>
                <w:tcPr>
                  <w:tcW w:w="641" w:type="dxa"/>
                  <w:vMerge w:val="restart"/>
                  <w:vAlign w:val="center"/>
                </w:tcPr>
                <w:p>
                  <w:pPr>
                    <w:widowControl/>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环保工程</w:t>
                  </w:r>
                </w:p>
              </w:tc>
              <w:tc>
                <w:tcPr>
                  <w:tcW w:w="872"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废水</w:t>
                  </w:r>
                </w:p>
              </w:tc>
              <w:tc>
                <w:tcPr>
                  <w:tcW w:w="3806" w:type="dxa"/>
                  <w:vAlign w:val="center"/>
                </w:tcPr>
                <w:p>
                  <w:pPr>
                    <w:jc w:val="left"/>
                    <w:rPr>
                      <w:rFonts w:hint="default" w:ascii="Times New Roman" w:hAnsi="Times New Roman" w:cs="Times New Roman"/>
                      <w:kern w:val="0"/>
                      <w:sz w:val="21"/>
                      <w:szCs w:val="21"/>
                      <w:lang w:val="en-US"/>
                    </w:rPr>
                  </w:pPr>
                  <w:r>
                    <w:rPr>
                      <w:rFonts w:hint="default" w:ascii="Times New Roman" w:hAnsi="Times New Roman" w:cs="Times New Roman"/>
                      <w:kern w:val="0"/>
                      <w:sz w:val="21"/>
                      <w:szCs w:val="21"/>
                    </w:rPr>
                    <w:t>生活污水</w:t>
                  </w:r>
                  <w:r>
                    <w:rPr>
                      <w:rFonts w:hint="default" w:ascii="Times New Roman" w:hAnsi="Times New Roman" w:cs="Times New Roman"/>
                      <w:kern w:val="0"/>
                      <w:sz w:val="21"/>
                      <w:szCs w:val="21"/>
                      <w:lang w:val="en-US" w:eastAsia="zh-CN"/>
                    </w:rPr>
                    <w:t>及医疗废水</w:t>
                  </w:r>
                  <w:r>
                    <w:rPr>
                      <w:rFonts w:hint="default" w:ascii="Times New Roman" w:hAnsi="Times New Roman" w:cs="Times New Roman"/>
                      <w:kern w:val="0"/>
                      <w:sz w:val="21"/>
                      <w:szCs w:val="21"/>
                    </w:rPr>
                    <w:t>排入</w:t>
                  </w:r>
                  <w:r>
                    <w:rPr>
                      <w:rFonts w:hint="default" w:ascii="Times New Roman" w:hAnsi="Times New Roman" w:cs="Times New Roman"/>
                      <w:kern w:val="0"/>
                      <w:sz w:val="21"/>
                      <w:szCs w:val="21"/>
                      <w:lang w:val="en-US" w:eastAsia="zh-CN"/>
                    </w:rPr>
                    <w:t>中医医院现有污水处理站，经处理达到《医疗机构水污染物排放标准》表2预处理标准后，排入市政下水管网</w:t>
                  </w:r>
                  <w:r>
                    <w:rPr>
                      <w:rFonts w:hint="default" w:ascii="Times New Roman" w:hAnsi="Times New Roman" w:cs="Times New Roman"/>
                      <w:color w:val="000000" w:themeColor="text1"/>
                      <w:kern w:val="0"/>
                      <w:sz w:val="21"/>
                      <w:szCs w:val="21"/>
                      <w:lang w:val="en-US" w:eastAsia="zh-CN"/>
                      <w14:textFill>
                        <w14:solidFill>
                          <w14:schemeClr w14:val="tx1"/>
                        </w14:solidFill>
                      </w14:textFill>
                    </w:rPr>
                    <w:t>。</w:t>
                  </w:r>
                </w:p>
              </w:tc>
              <w:tc>
                <w:tcPr>
                  <w:tcW w:w="2077" w:type="dxa"/>
                  <w:vAlign w:val="center"/>
                </w:tcPr>
                <w:p>
                  <w:pPr>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w:t>
                  </w:r>
                </w:p>
              </w:tc>
              <w:tc>
                <w:tcPr>
                  <w:tcW w:w="728" w:type="dxa"/>
                  <w:vAlign w:val="center"/>
                </w:tcPr>
                <w:p>
                  <w:pPr>
                    <w:jc w:val="center"/>
                    <w:rPr>
                      <w:rFonts w:hint="default" w:ascii="Times New Roman" w:hAnsi="Times New Roman" w:cs="Times New Roman" w:eastAsiaTheme="minorEastAsia"/>
                      <w:bCs/>
                      <w:sz w:val="21"/>
                      <w:szCs w:val="21"/>
                      <w:lang w:eastAsia="zh-CN"/>
                    </w:rPr>
                  </w:pPr>
                  <w:r>
                    <w:rPr>
                      <w:rFonts w:hint="default" w:ascii="Times New Roman" w:hAnsi="Times New Roman" w:cs="Times New Roman" w:eastAsiaTheme="minorEastAsia"/>
                      <w:sz w:val="21"/>
                      <w:szCs w:val="21"/>
                      <w:lang w:val="en-US" w:eastAsia="zh-CN"/>
                    </w:rPr>
                    <w:t>依托</w:t>
                  </w:r>
                  <w:r>
                    <w:rPr>
                      <w:rFonts w:hint="default" w:ascii="Times New Roman" w:hAnsi="Times New Roman" w:cs="Times New Roman" w:eastAsiaTheme="minorEastAsia"/>
                      <w:sz w:val="21"/>
                      <w:szCs w:val="21"/>
                    </w:rPr>
                    <w:t>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jc w:val="center"/>
              </w:trPr>
              <w:tc>
                <w:tcPr>
                  <w:tcW w:w="641" w:type="dxa"/>
                  <w:vMerge w:val="continue"/>
                  <w:vAlign w:val="center"/>
                </w:tcPr>
                <w:p>
                  <w:pPr>
                    <w:widowControl/>
                    <w:jc w:val="center"/>
                    <w:rPr>
                      <w:rFonts w:hint="default" w:ascii="Times New Roman" w:hAnsi="Times New Roman" w:cs="Times New Roman"/>
                      <w:kern w:val="0"/>
                      <w:sz w:val="21"/>
                      <w:szCs w:val="21"/>
                      <w:lang w:val="en-US" w:eastAsia="zh-CN"/>
                    </w:rPr>
                  </w:pPr>
                </w:p>
              </w:tc>
              <w:tc>
                <w:tcPr>
                  <w:tcW w:w="872" w:type="dxa"/>
                  <w:vAlign w:val="center"/>
                </w:tcPr>
                <w:p>
                  <w:pPr>
                    <w:widowControl/>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废气</w:t>
                  </w:r>
                </w:p>
              </w:tc>
              <w:tc>
                <w:tcPr>
                  <w:tcW w:w="3806" w:type="dxa"/>
                  <w:vAlign w:val="center"/>
                </w:tcPr>
                <w:p>
                  <w:pPr>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kern w:val="0"/>
                      <w:sz w:val="21"/>
                      <w:szCs w:val="21"/>
                    </w:rPr>
                    <w:t>污水处理设备置于地下；</w:t>
                  </w:r>
                  <w:r>
                    <w:rPr>
                      <w:rFonts w:hint="default" w:ascii="Times New Roman" w:hAnsi="Times New Roman" w:cs="Times New Roman"/>
                      <w:color w:val="000000"/>
                      <w:kern w:val="0"/>
                      <w:sz w:val="21"/>
                      <w:szCs w:val="21"/>
                      <w:lang w:val="en-US" w:eastAsia="zh-CN"/>
                    </w:rPr>
                    <w:t>本</w:t>
                  </w:r>
                  <w:r>
                    <w:rPr>
                      <w:rFonts w:hint="default" w:ascii="Times New Roman" w:hAnsi="Times New Roman" w:cs="Times New Roman"/>
                      <w:color w:val="000000"/>
                      <w:kern w:val="0"/>
                      <w:sz w:val="21"/>
                      <w:szCs w:val="21"/>
                    </w:rPr>
                    <w:t>环评建议项目废气处理采用</w:t>
                  </w:r>
                  <w:r>
                    <w:rPr>
                      <w:rFonts w:hint="eastAsia" w:cs="Times New Roman"/>
                      <w:color w:val="000000"/>
                      <w:kern w:val="0"/>
                      <w:sz w:val="21"/>
                      <w:szCs w:val="21"/>
                      <w:lang w:val="en-US" w:eastAsia="zh-CN"/>
                    </w:rPr>
                    <w:t>生物</w:t>
                  </w:r>
                  <w:r>
                    <w:rPr>
                      <w:rFonts w:hint="default" w:ascii="Times New Roman" w:hAnsi="Times New Roman" w:cs="Times New Roman"/>
                      <w:color w:val="000000"/>
                      <w:kern w:val="0"/>
                      <w:sz w:val="21"/>
                      <w:szCs w:val="21"/>
                    </w:rPr>
                    <w:t>除臭系统，经处理后由15m高排气筒排放。</w:t>
                  </w:r>
                </w:p>
              </w:tc>
              <w:tc>
                <w:tcPr>
                  <w:tcW w:w="2077" w:type="dxa"/>
                  <w:vAlign w:val="center"/>
                </w:tcPr>
                <w:p>
                  <w:pPr>
                    <w:jc w:val="cente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pPr>
                  <w:r>
                    <w:rPr>
                      <w:rFonts w:hint="eastAsia" w:cs="Times New Roman"/>
                      <w:kern w:val="0"/>
                      <w:sz w:val="21"/>
                      <w:szCs w:val="21"/>
                      <w:lang w:val="en-US" w:eastAsia="zh-CN"/>
                    </w:rPr>
                    <w:t>生物除臭</w:t>
                  </w:r>
                  <w:r>
                    <w:rPr>
                      <w:rFonts w:hint="default" w:ascii="Times New Roman" w:hAnsi="Times New Roman" w:cs="Times New Roman"/>
                      <w:kern w:val="0"/>
                      <w:sz w:val="21"/>
                      <w:szCs w:val="21"/>
                    </w:rPr>
                    <w:t>装置及15m高排气筒</w:t>
                  </w:r>
                </w:p>
              </w:tc>
              <w:tc>
                <w:tcPr>
                  <w:tcW w:w="728" w:type="dxa"/>
                  <w:vAlign w:val="center"/>
                </w:tcPr>
                <w:p>
                  <w:pPr>
                    <w:jc w:val="center"/>
                    <w:rPr>
                      <w:rFonts w:hint="default" w:ascii="Times New Roman" w:hAnsi="Times New Roman" w:cs="Times New Roman" w:eastAsiaTheme="minorEastAsia"/>
                      <w:color w:val="FF0000"/>
                      <w:sz w:val="21"/>
                      <w:szCs w:val="21"/>
                      <w:lang w:val="en-US" w:eastAsia="zh-CN"/>
                    </w:rPr>
                  </w:pPr>
                  <w:r>
                    <w:rPr>
                      <w:rFonts w:hint="default" w:ascii="Times New Roman" w:hAnsi="Times New Roman" w:cs="Times New Roman" w:eastAsiaTheme="minorEastAsia"/>
                      <w:sz w:val="21"/>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795" w:hRule="atLeast"/>
                <w:jc w:val="center"/>
              </w:trPr>
              <w:tc>
                <w:tcPr>
                  <w:tcW w:w="641" w:type="dxa"/>
                  <w:vMerge w:val="continue"/>
                  <w:vAlign w:val="center"/>
                </w:tcPr>
                <w:p>
                  <w:pPr>
                    <w:widowControl/>
                    <w:jc w:val="center"/>
                    <w:rPr>
                      <w:rFonts w:hint="default" w:ascii="Times New Roman" w:hAnsi="Times New Roman" w:cs="Times New Roman"/>
                      <w:kern w:val="0"/>
                      <w:sz w:val="21"/>
                      <w:szCs w:val="21"/>
                    </w:rPr>
                  </w:pPr>
                </w:p>
              </w:tc>
              <w:tc>
                <w:tcPr>
                  <w:tcW w:w="872"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固废</w:t>
                  </w:r>
                </w:p>
              </w:tc>
              <w:tc>
                <w:tcPr>
                  <w:tcW w:w="3806" w:type="dxa"/>
                  <w:vAlign w:val="center"/>
                </w:tcPr>
                <w:p>
                  <w:pPr>
                    <w:widowControl/>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rPr>
                    <w:t>生活垃圾集中收集</w:t>
                  </w:r>
                  <w:r>
                    <w:rPr>
                      <w:rFonts w:hint="eastAsia" w:cs="Times New Roman"/>
                      <w:kern w:val="0"/>
                      <w:sz w:val="21"/>
                      <w:szCs w:val="21"/>
                      <w:lang w:val="en-US" w:eastAsia="zh-CN"/>
                    </w:rPr>
                    <w:t>后</w:t>
                  </w:r>
                  <w:r>
                    <w:rPr>
                      <w:rFonts w:hint="default" w:ascii="Times New Roman" w:hAnsi="Times New Roman" w:cs="Times New Roman"/>
                      <w:kern w:val="0"/>
                      <w:sz w:val="21"/>
                      <w:szCs w:val="21"/>
                    </w:rPr>
                    <w:t>由环卫部门统一清运；</w:t>
                  </w:r>
                  <w:r>
                    <w:rPr>
                      <w:rFonts w:hint="default" w:ascii="Times New Roman" w:hAnsi="Times New Roman" w:cs="Times New Roman"/>
                      <w:kern w:val="0"/>
                      <w:sz w:val="21"/>
                      <w:szCs w:val="21"/>
                      <w:lang w:val="en-US" w:eastAsia="zh-CN"/>
                    </w:rPr>
                    <w:t>医疗废物专人负责</w:t>
                  </w:r>
                  <w:r>
                    <w:rPr>
                      <w:rFonts w:hint="default" w:ascii="Times New Roman" w:hAnsi="Times New Roman" w:cs="Times New Roman"/>
                      <w:kern w:val="0"/>
                      <w:sz w:val="21"/>
                      <w:szCs w:val="21"/>
                    </w:rPr>
                    <w:t>集中收集后</w:t>
                  </w:r>
                  <w:r>
                    <w:rPr>
                      <w:rFonts w:hint="default" w:ascii="Times New Roman" w:hAnsi="Times New Roman" w:cs="Times New Roman"/>
                      <w:kern w:val="0"/>
                      <w:sz w:val="21"/>
                      <w:szCs w:val="21"/>
                      <w:lang w:eastAsia="zh-CN"/>
                    </w:rPr>
                    <w:t>，</w:t>
                  </w:r>
                  <w:r>
                    <w:rPr>
                      <w:rFonts w:hint="default" w:ascii="Times New Roman" w:hAnsi="Times New Roman" w:cs="Times New Roman"/>
                      <w:kern w:val="0"/>
                      <w:sz w:val="21"/>
                      <w:szCs w:val="21"/>
                      <w:lang w:val="en-US" w:eastAsia="zh-CN"/>
                    </w:rPr>
                    <w:t>委托有资质单位处置</w:t>
                  </w:r>
                  <w:r>
                    <w:rPr>
                      <w:rFonts w:hint="default" w:ascii="Times New Roman" w:hAnsi="Times New Roman" w:cs="Times New Roman"/>
                      <w:kern w:val="0"/>
                      <w:sz w:val="21"/>
                      <w:szCs w:val="21"/>
                    </w:rPr>
                    <w:t>；</w:t>
                  </w:r>
                  <w:r>
                    <w:rPr>
                      <w:rFonts w:hint="default" w:ascii="Times New Roman" w:hAnsi="Times New Roman" w:cs="Times New Roman"/>
                      <w:sz w:val="21"/>
                      <w:szCs w:val="21"/>
                    </w:rPr>
                    <w:t>污泥委托有资质单位处置</w:t>
                  </w:r>
                  <w:r>
                    <w:rPr>
                      <w:rFonts w:hint="default" w:ascii="Times New Roman" w:hAnsi="Times New Roman" w:cs="Times New Roman"/>
                      <w:sz w:val="21"/>
                      <w:szCs w:val="21"/>
                      <w:lang w:eastAsia="zh-CN"/>
                    </w:rPr>
                    <w:t>。</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kern w:val="0"/>
                      <w:sz w:val="21"/>
                      <w:szCs w:val="21"/>
                    </w:rPr>
                    <w:t>医疗废物储存间建筑面积</w:t>
                  </w:r>
                  <w:r>
                    <w:rPr>
                      <w:rFonts w:hint="default" w:ascii="Times New Roman" w:hAnsi="Times New Roman" w:cs="Times New Roman"/>
                      <w:kern w:val="0"/>
                      <w:sz w:val="21"/>
                      <w:szCs w:val="21"/>
                      <w:lang w:val="en-US" w:eastAsia="zh-CN"/>
                    </w:rPr>
                    <w:t>均为</w:t>
                  </w:r>
                  <w:r>
                    <w:rPr>
                      <w:rFonts w:hint="default" w:ascii="Times New Roman" w:hAnsi="Times New Roman" w:cs="Times New Roman"/>
                      <w:color w:val="000000" w:themeColor="text1"/>
                      <w:kern w:val="0"/>
                      <w:sz w:val="21"/>
                      <w:szCs w:val="21"/>
                      <w:lang w:val="en-US" w:eastAsia="zh-CN"/>
                      <w14:textFill>
                        <w14:solidFill>
                          <w14:schemeClr w14:val="tx1"/>
                        </w14:solidFill>
                      </w14:textFill>
                    </w:rPr>
                    <w:t>100</w:t>
                  </w:r>
                  <w:r>
                    <w:rPr>
                      <w:rFonts w:hint="default" w:ascii="Times New Roman" w:hAnsi="Times New Roman" w:cs="Times New Roman"/>
                      <w:kern w:val="0"/>
                      <w:sz w:val="21"/>
                      <w:szCs w:val="21"/>
                    </w:rPr>
                    <w:t>m</w:t>
                  </w:r>
                  <w:r>
                    <w:rPr>
                      <w:rFonts w:hint="default" w:ascii="Times New Roman" w:hAnsi="Times New Roman" w:cs="Times New Roman"/>
                      <w:kern w:val="0"/>
                      <w:sz w:val="21"/>
                      <w:szCs w:val="21"/>
                      <w:vertAlign w:val="superscript"/>
                    </w:rPr>
                    <w:t>2</w:t>
                  </w:r>
                </w:p>
              </w:tc>
              <w:tc>
                <w:tcPr>
                  <w:tcW w:w="728" w:type="dxa"/>
                  <w:vAlign w:val="center"/>
                </w:tcPr>
                <w:p>
                  <w:pPr>
                    <w:widowControl/>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eastAsiaTheme="minorEastAsia"/>
                      <w:sz w:val="21"/>
                      <w:szCs w:val="21"/>
                      <w:lang w:val="en-US"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782" w:hRule="atLeast"/>
                <w:jc w:val="center"/>
              </w:trPr>
              <w:tc>
                <w:tcPr>
                  <w:tcW w:w="641" w:type="dxa"/>
                  <w:vMerge w:val="continue"/>
                  <w:vAlign w:val="center"/>
                </w:tcPr>
                <w:p>
                  <w:pPr>
                    <w:widowControl/>
                    <w:jc w:val="center"/>
                    <w:rPr>
                      <w:rFonts w:hint="default" w:ascii="Times New Roman" w:hAnsi="Times New Roman" w:cs="Times New Roman"/>
                      <w:kern w:val="0"/>
                      <w:sz w:val="21"/>
                      <w:szCs w:val="21"/>
                    </w:rPr>
                  </w:pPr>
                </w:p>
              </w:tc>
              <w:tc>
                <w:tcPr>
                  <w:tcW w:w="872"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噪声</w:t>
                  </w:r>
                </w:p>
              </w:tc>
              <w:tc>
                <w:tcPr>
                  <w:tcW w:w="3806" w:type="dxa"/>
                  <w:vAlign w:val="center"/>
                </w:tcPr>
                <w:p>
                  <w:pPr>
                    <w:widowControl/>
                    <w:jc w:val="center"/>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rPr>
                    <w:t>选用低噪声</w:t>
                  </w:r>
                  <w:r>
                    <w:rPr>
                      <w:rFonts w:hint="eastAsia" w:cs="Times New Roman"/>
                      <w:kern w:val="0"/>
                      <w:sz w:val="21"/>
                      <w:szCs w:val="21"/>
                      <w:lang w:val="en-US" w:eastAsia="zh-CN"/>
                    </w:rPr>
                    <w:t>医疗</w:t>
                  </w:r>
                  <w:r>
                    <w:rPr>
                      <w:rFonts w:hint="default" w:ascii="Times New Roman" w:hAnsi="Times New Roman" w:cs="Times New Roman"/>
                      <w:kern w:val="0"/>
                      <w:sz w:val="21"/>
                      <w:szCs w:val="21"/>
                    </w:rPr>
                    <w:t>设备</w:t>
                  </w:r>
                  <w:r>
                    <w:rPr>
                      <w:rFonts w:hint="eastAsia" w:cs="Times New Roman"/>
                      <w:kern w:val="0"/>
                      <w:sz w:val="21"/>
                      <w:szCs w:val="21"/>
                      <w:lang w:eastAsia="zh-CN"/>
                    </w:rPr>
                    <w:t>，</w:t>
                  </w:r>
                  <w:r>
                    <w:rPr>
                      <w:rFonts w:hint="eastAsia" w:cs="Times New Roman"/>
                      <w:kern w:val="0"/>
                      <w:sz w:val="21"/>
                      <w:szCs w:val="21"/>
                      <w:lang w:val="en-US" w:eastAsia="zh-CN"/>
                    </w:rPr>
                    <w:t>并采取</w:t>
                  </w:r>
                  <w:r>
                    <w:rPr>
                      <w:rFonts w:hint="default" w:ascii="Times New Roman" w:hAnsi="Times New Roman" w:cs="Times New Roman"/>
                      <w:kern w:val="0"/>
                      <w:sz w:val="21"/>
                      <w:szCs w:val="21"/>
                    </w:rPr>
                    <w:t>隔音等措施降噪</w:t>
                  </w:r>
                  <w:r>
                    <w:rPr>
                      <w:rFonts w:hint="default" w:ascii="Times New Roman" w:hAnsi="Times New Roman" w:cs="Times New Roman"/>
                      <w:kern w:val="0"/>
                      <w:sz w:val="21"/>
                      <w:szCs w:val="21"/>
                      <w:lang w:eastAsia="zh-CN"/>
                    </w:rPr>
                    <w:t>。</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w:t>
                  </w:r>
                </w:p>
              </w:tc>
              <w:tc>
                <w:tcPr>
                  <w:tcW w:w="728" w:type="dxa"/>
                  <w:vAlign w:val="center"/>
                </w:tcPr>
                <w:p>
                  <w:pPr>
                    <w:widowControl/>
                    <w:jc w:val="center"/>
                    <w:rPr>
                      <w:rFonts w:hint="default" w:ascii="Times New Roman" w:hAnsi="Times New Roman" w:cs="Times New Roman"/>
                      <w:kern w:val="0"/>
                      <w:sz w:val="21"/>
                      <w:szCs w:val="21"/>
                    </w:rPr>
                  </w:pPr>
                  <w:r>
                    <w:rPr>
                      <w:rFonts w:hint="default" w:ascii="Times New Roman" w:hAnsi="Times New Roman" w:cs="Times New Roman" w:eastAsiaTheme="minorEastAsia"/>
                      <w:sz w:val="21"/>
                      <w:szCs w:val="21"/>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0" w:type="dxa"/>
                <w:trHeight w:val="332" w:hRule="atLeast"/>
                <w:jc w:val="center"/>
              </w:trPr>
              <w:tc>
                <w:tcPr>
                  <w:tcW w:w="641" w:type="dxa"/>
                  <w:vMerge w:val="continue"/>
                  <w:vAlign w:val="center"/>
                </w:tcPr>
                <w:p>
                  <w:pPr>
                    <w:widowControl/>
                    <w:jc w:val="center"/>
                    <w:rPr>
                      <w:rFonts w:hint="default" w:ascii="Times New Roman" w:hAnsi="Times New Roman" w:cs="Times New Roman"/>
                      <w:kern w:val="0"/>
                      <w:sz w:val="21"/>
                      <w:szCs w:val="21"/>
                    </w:rPr>
                  </w:pPr>
                </w:p>
              </w:tc>
              <w:tc>
                <w:tcPr>
                  <w:tcW w:w="872" w:type="dxa"/>
                  <w:vAlign w:val="center"/>
                </w:tcPr>
                <w:p>
                  <w:pPr>
                    <w:widowControl/>
                    <w:jc w:val="center"/>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绿化</w:t>
                  </w:r>
                </w:p>
              </w:tc>
              <w:tc>
                <w:tcPr>
                  <w:tcW w:w="3806" w:type="dxa"/>
                  <w:vAlign w:val="center"/>
                </w:tcPr>
                <w:p>
                  <w:pPr>
                    <w:widowControl/>
                    <w:jc w:val="center"/>
                    <w:rPr>
                      <w:rFonts w:hint="default"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中医</w:t>
                  </w:r>
                  <w:r>
                    <w:rPr>
                      <w:rFonts w:hint="default" w:ascii="Times New Roman" w:hAnsi="Times New Roman" w:cs="Times New Roman"/>
                      <w:kern w:val="0"/>
                      <w:sz w:val="21"/>
                      <w:szCs w:val="21"/>
                      <w:lang w:val="en-US" w:eastAsia="zh-CN"/>
                    </w:rPr>
                    <w:t>康复诊疗中心大楼周围新增绿化带</w:t>
                  </w:r>
                </w:p>
              </w:tc>
              <w:tc>
                <w:tcPr>
                  <w:tcW w:w="2077"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绿化面积1000</w:t>
                  </w:r>
                  <w:r>
                    <w:rPr>
                      <w:rFonts w:hint="default" w:ascii="Times New Roman" w:hAnsi="Times New Roman" w:cs="Times New Roman"/>
                      <w:color w:val="000000" w:themeColor="text1"/>
                      <w:kern w:val="0"/>
                      <w:sz w:val="21"/>
                      <w:szCs w:val="21"/>
                      <w14:textFill>
                        <w14:solidFill>
                          <w14:schemeClr w14:val="tx1"/>
                        </w14:solidFill>
                      </w14:textFill>
                    </w:rPr>
                    <w:t>m</w:t>
                  </w:r>
                  <w:r>
                    <w:rPr>
                      <w:rFonts w:hint="default" w:ascii="Times New Roman" w:hAnsi="Times New Roman" w:cs="Times New Roman"/>
                      <w:color w:val="000000" w:themeColor="text1"/>
                      <w:kern w:val="0"/>
                      <w:sz w:val="21"/>
                      <w:szCs w:val="21"/>
                      <w:vertAlign w:val="superscript"/>
                      <w14:textFill>
                        <w14:solidFill>
                          <w14:schemeClr w14:val="tx1"/>
                        </w14:solidFill>
                      </w14:textFill>
                    </w:rPr>
                    <w:t>2</w:t>
                  </w:r>
                </w:p>
              </w:tc>
              <w:tc>
                <w:tcPr>
                  <w:tcW w:w="728" w:type="dxa"/>
                  <w:vAlign w:val="center"/>
                </w:tcPr>
                <w:p>
                  <w:pPr>
                    <w:widowControl/>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新建</w:t>
                  </w:r>
                </w:p>
              </w:tc>
            </w:tr>
          </w:tbl>
          <w:p>
            <w:pPr>
              <w:pStyle w:val="60"/>
              <w:spacing w:line="240" w:lineRule="auto"/>
              <w:ind w:firstLine="480"/>
              <w:jc w:val="center"/>
              <w:rPr>
                <w:rFonts w:hAnsi="Times New Roman" w:eastAsia="黑体"/>
                <w:b w:val="0"/>
                <w:bCs w:val="0"/>
                <w:color w:val="auto"/>
                <w:sz w:val="24"/>
                <w:szCs w:val="24"/>
              </w:rPr>
            </w:pPr>
          </w:p>
          <w:p>
            <w:pPr>
              <w:keepNext w:val="0"/>
              <w:keepLines w:val="0"/>
              <w:pageBreakBefore w:val="0"/>
              <w:widowControl w:val="0"/>
              <w:kinsoku/>
              <w:wordWrap/>
              <w:overflowPunct/>
              <w:autoSpaceDE/>
              <w:autoSpaceDN/>
              <w:bidi w:val="0"/>
              <w:adjustRightInd w:val="0"/>
              <w:snapToGrid w:val="0"/>
              <w:spacing w:line="520" w:lineRule="exact"/>
              <w:ind w:firstLine="482" w:firstLineChars="200"/>
              <w:rPr>
                <w:b/>
                <w:bCs/>
                <w:sz w:val="24"/>
              </w:rPr>
            </w:pPr>
            <w:r>
              <w:rPr>
                <w:b/>
                <w:bCs/>
                <w:sz w:val="24"/>
              </w:rPr>
              <w:t>3</w:t>
            </w:r>
            <w:r>
              <w:rPr>
                <w:rFonts w:hint="eastAsia"/>
                <w:b/>
                <w:bCs/>
                <w:sz w:val="24"/>
                <w:lang w:val="en-US" w:eastAsia="zh-CN"/>
              </w:rPr>
              <w:t>.</w:t>
            </w:r>
            <w:r>
              <w:rPr>
                <w:rFonts w:hint="eastAsia"/>
                <w:b/>
                <w:bCs/>
                <w:sz w:val="24"/>
              </w:rPr>
              <w:t>主要产能</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pPr>
            <w:r>
              <w:rPr>
                <w:rFonts w:hint="eastAsia"/>
                <w:color w:val="000000" w:themeColor="text1"/>
                <w:sz w:val="24"/>
                <w:lang w:val="en-US" w:eastAsia="zh-CN"/>
                <w14:textFill>
                  <w14:solidFill>
                    <w14:schemeClr w14:val="tx1"/>
                  </w14:solidFill>
                </w14:textFill>
              </w:rPr>
              <w:t>本项目设置120张病床，接待病患100人/天。</w:t>
            </w:r>
          </w:p>
          <w:p>
            <w:pPr>
              <w:keepNext w:val="0"/>
              <w:keepLines w:val="0"/>
              <w:pageBreakBefore w:val="0"/>
              <w:widowControl w:val="0"/>
              <w:kinsoku/>
              <w:wordWrap/>
              <w:overflowPunct/>
              <w:topLinePunct/>
              <w:autoSpaceDE/>
              <w:autoSpaceDN/>
              <w:bidi w:val="0"/>
              <w:adjustRightInd w:val="0"/>
              <w:spacing w:line="520" w:lineRule="exact"/>
              <w:ind w:firstLine="482" w:firstLineChars="200"/>
              <w:textAlignment w:val="baseline"/>
              <w:rPr>
                <w:rFonts w:hint="default" w:ascii="Times New Roman" w:hAnsi="Times New Roman" w:eastAsia="宋体" w:cs="Times New Roman"/>
                <w:b/>
                <w:snapToGrid w:val="0"/>
                <w:kern w:val="0"/>
                <w:sz w:val="24"/>
                <w:szCs w:val="24"/>
                <w:lang w:val="en-US" w:eastAsia="zh-CN"/>
              </w:rPr>
            </w:pPr>
            <w:r>
              <w:rPr>
                <w:b/>
                <w:bCs/>
                <w:sz w:val="24"/>
              </w:rPr>
              <w:t>4</w:t>
            </w:r>
            <w:r>
              <w:rPr>
                <w:rFonts w:hint="eastAsia"/>
                <w:b/>
                <w:bCs/>
                <w:sz w:val="24"/>
                <w:lang w:val="en-US" w:eastAsia="zh-CN"/>
              </w:rPr>
              <w:t>.</w:t>
            </w:r>
            <w:r>
              <w:rPr>
                <w:rFonts w:hint="eastAsia" w:cs="Times New Roman"/>
                <w:b/>
                <w:snapToGrid w:val="0"/>
                <w:kern w:val="0"/>
                <w:sz w:val="24"/>
                <w:szCs w:val="24"/>
                <w:lang w:val="en-US" w:eastAsia="zh-CN"/>
              </w:rPr>
              <w:t>主要生产单元及主要工艺</w:t>
            </w:r>
          </w:p>
          <w:p>
            <w:pPr>
              <w:keepNext w:val="0"/>
              <w:keepLines w:val="0"/>
              <w:pageBreakBefore w:val="0"/>
              <w:widowControl w:val="0"/>
              <w:kinsoku/>
              <w:wordWrap/>
              <w:overflowPunct/>
              <w:topLinePunct w:val="0"/>
              <w:autoSpaceDE/>
              <w:autoSpaceDN/>
              <w:bidi w:val="0"/>
              <w:adjustRightInd w:val="0"/>
              <w:snapToGrid w:val="0"/>
              <w:spacing w:line="520" w:lineRule="exact"/>
              <w:ind w:left="0" w:firstLine="480" w:firstLineChars="200"/>
              <w:textAlignment w:val="auto"/>
              <w:rPr>
                <w:rFonts w:hint="default"/>
                <w:sz w:val="24"/>
                <w:lang w:val="en-US" w:eastAsia="zh-CN"/>
              </w:rPr>
            </w:pPr>
            <w:r>
              <w:rPr>
                <w:rFonts w:hint="eastAsia"/>
                <w:sz w:val="24"/>
                <w:lang w:val="en-US" w:eastAsia="zh-CN"/>
              </w:rPr>
              <w:t>（1）本项目新建主要单元</w:t>
            </w:r>
          </w:p>
          <w:p>
            <w:pPr>
              <w:keepNext w:val="0"/>
              <w:keepLines w:val="0"/>
              <w:pageBreakBefore w:val="0"/>
              <w:widowControl w:val="0"/>
              <w:kinsoku/>
              <w:wordWrap/>
              <w:overflowPunct/>
              <w:topLinePunct w:val="0"/>
              <w:autoSpaceDE/>
              <w:autoSpaceDN/>
              <w:bidi w:val="0"/>
              <w:adjustRightInd w:val="0"/>
              <w:snapToGrid w:val="0"/>
              <w:spacing w:line="520" w:lineRule="exact"/>
              <w:ind w:left="0" w:firstLine="480" w:firstLineChars="200"/>
              <w:textAlignment w:val="auto"/>
              <w:rPr>
                <w:rFonts w:hint="default"/>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新</w:t>
            </w:r>
            <w:r>
              <w:rPr>
                <w:rFonts w:hint="default"/>
                <w:color w:val="000000" w:themeColor="text1"/>
                <w:sz w:val="24"/>
                <w:szCs w:val="24"/>
                <w14:textFill>
                  <w14:solidFill>
                    <w14:schemeClr w14:val="tx1"/>
                  </w14:solidFill>
                </w14:textFill>
              </w:rPr>
              <w:t>建</w:t>
            </w:r>
            <w:r>
              <w:rPr>
                <w:rFonts w:hint="eastAsia"/>
                <w:color w:val="000000" w:themeColor="text1"/>
                <w:sz w:val="24"/>
                <w:szCs w:val="24"/>
                <w:lang w:val="en-US" w:eastAsia="zh-CN"/>
                <w14:textFill>
                  <w14:solidFill>
                    <w14:schemeClr w14:val="tx1"/>
                  </w14:solidFill>
                </w14:textFill>
              </w:rPr>
              <w:t>1</w:t>
            </w:r>
            <w:r>
              <w:rPr>
                <w:rFonts w:hint="default"/>
                <w:color w:val="000000" w:themeColor="text1"/>
                <w:sz w:val="24"/>
                <w:szCs w:val="24"/>
                <w14:textFill>
                  <w14:solidFill>
                    <w14:schemeClr w14:val="tx1"/>
                  </w14:solidFill>
                </w14:textFill>
              </w:rPr>
              <w:t>栋</w:t>
            </w:r>
            <w:r>
              <w:rPr>
                <w:rFonts w:hint="eastAsia"/>
                <w:color w:val="000000" w:themeColor="text1"/>
                <w:sz w:val="24"/>
                <w:szCs w:val="24"/>
                <w:lang w:val="en-US" w:eastAsia="zh-CN"/>
                <w14:textFill>
                  <w14:solidFill>
                    <w14:schemeClr w14:val="tx1"/>
                  </w14:solidFill>
                </w14:textFill>
              </w:rPr>
              <w:t>中医康复治疗大楼</w:t>
            </w:r>
            <w:r>
              <w:rPr>
                <w:rFonts w:hint="default"/>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地下1层、</w:t>
            </w:r>
            <w:r>
              <w:rPr>
                <w:rFonts w:hint="default"/>
                <w:color w:val="000000" w:themeColor="text1"/>
                <w:sz w:val="24"/>
                <w:szCs w:val="24"/>
                <w14:textFill>
                  <w14:solidFill>
                    <w14:schemeClr w14:val="tx1"/>
                  </w14:solidFill>
                </w14:textFill>
              </w:rPr>
              <w:t>地上</w:t>
            </w:r>
            <w:r>
              <w:rPr>
                <w:rFonts w:hint="eastAsia"/>
                <w:color w:val="000000" w:themeColor="text1"/>
                <w:sz w:val="24"/>
                <w:szCs w:val="24"/>
                <w:lang w:val="en-US" w:eastAsia="zh-CN"/>
                <w14:textFill>
                  <w14:solidFill>
                    <w14:schemeClr w14:val="tx1"/>
                  </w14:solidFill>
                </w14:textFill>
              </w:rPr>
              <w:t>5</w:t>
            </w:r>
            <w:r>
              <w:rPr>
                <w:rFonts w:hint="default"/>
                <w:color w:val="000000" w:themeColor="text1"/>
                <w:sz w:val="24"/>
                <w:szCs w:val="24"/>
                <w14:textFill>
                  <w14:solidFill>
                    <w14:schemeClr w14:val="tx1"/>
                  </w14:solidFill>
                </w14:textFill>
              </w:rPr>
              <w:t>层</w:t>
            </w:r>
            <w:r>
              <w:rPr>
                <w:rFonts w:hint="default"/>
                <w:color w:val="000000" w:themeColor="text1"/>
                <w:sz w:val="24"/>
                <w:szCs w:val="24"/>
                <w:lang w:eastAsia="zh-CN"/>
                <w14:textFill>
                  <w14:solidFill>
                    <w14:schemeClr w14:val="tx1"/>
                  </w14:solidFill>
                </w14:textFill>
              </w:rPr>
              <w:t>）</w:t>
            </w:r>
            <w:r>
              <w:rPr>
                <w:rFonts w:hint="default"/>
                <w:color w:val="000000" w:themeColor="text1"/>
                <w:sz w:val="24"/>
                <w:szCs w:val="24"/>
                <w14:textFill>
                  <w14:solidFill>
                    <w14:schemeClr w14:val="tx1"/>
                  </w14:solidFill>
                </w14:textFill>
              </w:rPr>
              <w:t>，</w:t>
            </w:r>
            <w:r>
              <w:rPr>
                <w:rFonts w:hint="eastAsia" w:cs="Times New Roman" w:eastAsiaTheme="minorEastAsia"/>
                <w:color w:val="000000" w:themeColor="text1"/>
                <w:sz w:val="24"/>
                <w:szCs w:val="24"/>
                <w:lang w:val="en-US" w:eastAsia="zh-CN"/>
                <w14:textFill>
                  <w14:solidFill>
                    <w14:schemeClr w14:val="tx1"/>
                  </w14:solidFill>
                </w14:textFill>
              </w:rPr>
              <w:t>地下1</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层</w:t>
            </w:r>
            <w:r>
              <w:rPr>
                <w:rFonts w:hint="eastAsia" w:cs="Times New Roman" w:eastAsiaTheme="minorEastAsia"/>
                <w:color w:val="000000" w:themeColor="text1"/>
                <w:sz w:val="24"/>
                <w:szCs w:val="24"/>
                <w:lang w:val="en-US" w:eastAsia="zh-CN"/>
                <w14:textFill>
                  <w14:solidFill>
                    <w14:schemeClr w14:val="tx1"/>
                  </w14:solidFill>
                </w14:textFill>
              </w:rPr>
              <w:t>为人防、采血室、B超室、CT室、X光室等</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eastAsia" w:cs="Times New Roman" w:eastAsiaTheme="minorEastAsia"/>
                <w:color w:val="000000" w:themeColor="text1"/>
                <w:sz w:val="24"/>
                <w:szCs w:val="24"/>
                <w:lang w:val="en-US" w:eastAsia="zh-CN"/>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层</w:t>
            </w:r>
            <w:r>
              <w:rPr>
                <w:rFonts w:hint="eastAsia" w:cs="Times New Roman" w:eastAsiaTheme="minorEastAsia"/>
                <w:color w:val="000000" w:themeColor="text1"/>
                <w:sz w:val="24"/>
                <w:szCs w:val="24"/>
                <w:lang w:val="en-US" w:eastAsia="zh-CN"/>
                <w14:textFill>
                  <w14:solidFill>
                    <w14:schemeClr w14:val="tx1"/>
                  </w14:solidFill>
                </w14:textFill>
              </w:rPr>
              <w:t>为耳鼻、口腔科</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eastAsia" w:cs="Times New Roman" w:eastAsiaTheme="minorEastAsia"/>
                <w:color w:val="000000" w:themeColor="text1"/>
                <w:sz w:val="24"/>
                <w:szCs w:val="24"/>
                <w:lang w:val="en-US" w:eastAsia="zh-CN"/>
                <w14:textFill>
                  <w14:solidFill>
                    <w14:schemeClr w14:val="tx1"/>
                  </w14:solidFill>
                </w14:textFill>
              </w:rPr>
              <w:t>出院结算部、挂号收费处、心电图室、会议室等；2</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层</w:t>
            </w:r>
            <w:r>
              <w:rPr>
                <w:rFonts w:hint="eastAsia" w:cs="Times New Roman" w:eastAsiaTheme="minorEastAsia"/>
                <w:color w:val="000000" w:themeColor="text1"/>
                <w:sz w:val="24"/>
                <w:szCs w:val="24"/>
                <w:lang w:val="en-US" w:eastAsia="zh-CN"/>
                <w14:textFill>
                  <w14:solidFill>
                    <w14:schemeClr w14:val="tx1"/>
                  </w14:solidFill>
                </w14:textFill>
              </w:rPr>
              <w:t>为诊疗室、推拿室、骨科康复、理疗室、医护休息室等</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r>
              <w:rPr>
                <w:rFonts w:hint="eastAsia" w:cs="Times New Roman" w:eastAsiaTheme="minorEastAsia"/>
                <w:color w:val="000000" w:themeColor="text1"/>
                <w:sz w:val="24"/>
                <w:szCs w:val="24"/>
                <w:lang w:val="en-US" w:eastAsia="zh-CN"/>
                <w14:textFill>
                  <w14:solidFill>
                    <w14:schemeClr w14:val="tx1"/>
                  </w14:solidFill>
                </w14:textFill>
              </w:rPr>
              <w:t>3-5层为</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护士、医生办公室、病房</w:t>
            </w:r>
            <w:r>
              <w:rPr>
                <w:rFonts w:hint="eastAsia" w:cs="Times New Roman" w:eastAsiaTheme="minorEastAsia"/>
                <w:color w:val="000000" w:themeColor="text1"/>
                <w:sz w:val="24"/>
                <w:szCs w:val="24"/>
                <w:lang w:val="en-US" w:eastAsia="zh-CN"/>
                <w14:textFill>
                  <w14:solidFill>
                    <w14:schemeClr w14:val="tx1"/>
                  </w14:solidFill>
                </w14:textFill>
              </w:rPr>
              <w:t>、处置室、治疗室</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等</w:t>
            </w:r>
            <w:r>
              <w:rPr>
                <w:rFonts w:hint="eastAsia" w:cs="Times New Roman" w:eastAsiaTheme="minorEastAsia"/>
                <w:color w:val="000000" w:themeColor="text1"/>
                <w:sz w:val="24"/>
                <w:szCs w:val="24"/>
                <w:lang w:val="en-US" w:eastAsia="zh-CN"/>
                <w14:textFill>
                  <w14:solidFill>
                    <w14:schemeClr w14:val="tx1"/>
                  </w14:solidFill>
                </w14:textFill>
              </w:rPr>
              <w:t>。本</w:t>
            </w:r>
            <w:r>
              <w:rPr>
                <w:rFonts w:hint="default"/>
                <w:color w:val="000000" w:themeColor="text1"/>
                <w:sz w:val="24"/>
                <w:szCs w:val="24"/>
                <w14:textFill>
                  <w14:solidFill>
                    <w14:schemeClr w14:val="tx1"/>
                  </w14:solidFill>
                </w14:textFill>
              </w:rPr>
              <w:t>项目不设置传染病房。</w:t>
            </w:r>
          </w:p>
          <w:p>
            <w:pPr>
              <w:pStyle w:val="2"/>
              <w:keepNext w:val="0"/>
              <w:keepLines w:val="0"/>
              <w:pageBreakBefore w:val="0"/>
              <w:widowControl w:val="0"/>
              <w:kinsoku/>
              <w:wordWrap/>
              <w:overflowPunct/>
              <w:topLinePunct w:val="0"/>
              <w:bidi w:val="0"/>
              <w:adjustRightInd w:val="0"/>
              <w:spacing w:line="520" w:lineRule="exact"/>
              <w:ind w:left="0" w:firstLine="480" w:firstLineChars="200"/>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本次环境影响评价范围不包括辐射评价，辐射评价需另作环评。</w:t>
            </w:r>
          </w:p>
          <w:p>
            <w:pPr>
              <w:keepNext w:val="0"/>
              <w:keepLines w:val="0"/>
              <w:pageBreakBefore w:val="0"/>
              <w:widowControl w:val="0"/>
              <w:kinsoku/>
              <w:wordWrap/>
              <w:overflowPunct/>
              <w:topLinePunct w:val="0"/>
              <w:bidi w:val="0"/>
              <w:spacing w:line="520" w:lineRule="exact"/>
              <w:ind w:firstLine="480" w:firstLineChars="200"/>
              <w:textAlignment w:val="auto"/>
              <w:rPr>
                <w:rFonts w:hint="eastAsia" w:ascii="Times New Roman" w:hAnsi="Times New Roman" w:cs="Times New Roman"/>
                <w:lang w:val="en-US" w:eastAsia="zh-CN"/>
              </w:rPr>
            </w:pPr>
            <w:r>
              <w:rPr>
                <w:rFonts w:hint="eastAsia"/>
                <w:color w:val="000000" w:themeColor="text1"/>
                <w:sz w:val="24"/>
                <w:szCs w:val="24"/>
                <w:lang w:val="en-US" w:eastAsia="zh-CN"/>
                <w14:textFill>
                  <w14:solidFill>
                    <w14:schemeClr w14:val="tx1"/>
                  </w14:solidFill>
                </w14:textFill>
              </w:rPr>
              <w:t>（2）主要工艺</w:t>
            </w:r>
          </w:p>
          <w:p>
            <w:pPr>
              <w:pStyle w:val="2"/>
              <w:keepNext w:val="0"/>
              <w:keepLines w:val="0"/>
              <w:pageBreakBefore w:val="0"/>
              <w:widowControl w:val="0"/>
              <w:kinsoku/>
              <w:wordWrap/>
              <w:overflowPunct/>
              <w:topLinePunct w:val="0"/>
              <w:bidi w:val="0"/>
              <w:adjustRightInd w:val="0"/>
              <w:spacing w:line="520" w:lineRule="exact"/>
              <w:ind w:left="0" w:firstLine="480" w:firstLineChars="200"/>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挂号、医生诊断、检查、接受治疗、病人康复。</w:t>
            </w:r>
          </w:p>
          <w:p>
            <w:pPr>
              <w:keepNext w:val="0"/>
              <w:keepLines w:val="0"/>
              <w:pageBreakBefore w:val="0"/>
              <w:widowControl w:val="0"/>
              <w:kinsoku/>
              <w:wordWrap/>
              <w:overflowPunct/>
              <w:topLinePunct w:val="0"/>
              <w:bidi w:val="0"/>
              <w:adjustRightInd w:val="0"/>
              <w:snapToGrid w:val="0"/>
              <w:spacing w:line="520" w:lineRule="exact"/>
              <w:ind w:firstLine="482" w:firstLineChars="200"/>
              <w:textAlignment w:val="auto"/>
              <w:rPr>
                <w:b/>
                <w:bCs/>
                <w:sz w:val="24"/>
              </w:rPr>
            </w:pPr>
            <w:r>
              <w:rPr>
                <w:rFonts w:hint="eastAsia"/>
                <w:b/>
                <w:bCs/>
                <w:sz w:val="24"/>
              </w:rPr>
              <w:t>5</w:t>
            </w:r>
            <w:r>
              <w:rPr>
                <w:rFonts w:hint="eastAsia"/>
                <w:b/>
                <w:bCs/>
                <w:sz w:val="24"/>
                <w:lang w:val="en-US" w:eastAsia="zh-CN"/>
              </w:rPr>
              <w:t>.</w:t>
            </w:r>
            <w:r>
              <w:rPr>
                <w:b/>
                <w:bCs/>
                <w:sz w:val="24"/>
              </w:rPr>
              <w:t>主要设备</w:t>
            </w:r>
          </w:p>
          <w:p>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bCs/>
                <w:sz w:val="24"/>
              </w:rPr>
            </w:pPr>
            <w:r>
              <w:rPr>
                <w:rFonts w:hint="eastAsia"/>
                <w:kern w:val="15"/>
                <w:sz w:val="24"/>
                <w:szCs w:val="22"/>
                <w:lang w:val="en-US" w:eastAsia="zh-CN"/>
              </w:rPr>
              <w:t>本项目</w:t>
            </w:r>
            <w:r>
              <w:rPr>
                <w:bCs/>
                <w:sz w:val="24"/>
              </w:rPr>
              <w:t>主要</w:t>
            </w:r>
            <w:r>
              <w:rPr>
                <w:rFonts w:hint="eastAsia"/>
                <w:bCs/>
                <w:sz w:val="24"/>
                <w:lang w:val="en-US" w:eastAsia="zh-CN"/>
              </w:rPr>
              <w:t>医疗</w:t>
            </w:r>
            <w:r>
              <w:rPr>
                <w:bCs/>
                <w:sz w:val="24"/>
              </w:rPr>
              <w:t>设备</w:t>
            </w:r>
            <w:r>
              <w:rPr>
                <w:rFonts w:hint="eastAsia"/>
                <w:bCs/>
                <w:sz w:val="24"/>
                <w:lang w:val="en-US" w:eastAsia="zh-CN"/>
              </w:rPr>
              <w:t>详情见</w:t>
            </w:r>
            <w:r>
              <w:rPr>
                <w:bCs/>
                <w:sz w:val="24"/>
              </w:rPr>
              <w:t>表2-</w:t>
            </w:r>
            <w:r>
              <w:rPr>
                <w:rFonts w:hint="eastAsia"/>
                <w:bCs/>
                <w:sz w:val="24"/>
              </w:rPr>
              <w:t>2</w:t>
            </w:r>
            <w:r>
              <w:rPr>
                <w:bCs/>
                <w:sz w:val="24"/>
              </w:rPr>
              <w:t>。</w:t>
            </w:r>
          </w:p>
          <w:p>
            <w:pPr>
              <w:pStyle w:val="60"/>
              <w:spacing w:line="240" w:lineRule="auto"/>
              <w:ind w:firstLine="480"/>
              <w:jc w:val="center"/>
              <w:rPr>
                <w:rFonts w:hAnsi="Times New Roman" w:eastAsia="黑体"/>
                <w:b w:val="0"/>
                <w:bCs w:val="0"/>
                <w:color w:val="000000" w:themeColor="text1"/>
                <w:sz w:val="24"/>
                <w:szCs w:val="24"/>
                <w14:textFill>
                  <w14:solidFill>
                    <w14:schemeClr w14:val="tx1"/>
                  </w14:solidFill>
                </w14:textFill>
              </w:rPr>
            </w:pPr>
            <w:r>
              <w:rPr>
                <w:rFonts w:hAnsi="Times New Roman" w:eastAsia="黑体"/>
                <w:b w:val="0"/>
                <w:bCs w:val="0"/>
                <w:color w:val="000000" w:themeColor="text1"/>
                <w:sz w:val="24"/>
                <w:szCs w:val="24"/>
                <w14:textFill>
                  <w14:solidFill>
                    <w14:schemeClr w14:val="tx1"/>
                  </w14:solidFill>
                </w14:textFill>
              </w:rPr>
              <w:t>表2-</w:t>
            </w:r>
            <w:r>
              <w:rPr>
                <w:rFonts w:hint="eastAsia" w:hAnsi="Times New Roman" w:eastAsia="黑体"/>
                <w:b w:val="0"/>
                <w:bCs w:val="0"/>
                <w:color w:val="000000" w:themeColor="text1"/>
                <w:sz w:val="24"/>
                <w:szCs w:val="24"/>
                <w14:textFill>
                  <w14:solidFill>
                    <w14:schemeClr w14:val="tx1"/>
                  </w14:solidFill>
                </w14:textFill>
              </w:rPr>
              <w:t>2</w:t>
            </w:r>
            <w:r>
              <w:rPr>
                <w:rFonts w:hAnsi="Times New Roman" w:eastAsia="黑体"/>
                <w:b w:val="0"/>
                <w:bCs w:val="0"/>
                <w:color w:val="000000" w:themeColor="text1"/>
                <w:sz w:val="24"/>
                <w:szCs w:val="24"/>
                <w14:textFill>
                  <w14:solidFill>
                    <w14:schemeClr w14:val="tx1"/>
                  </w14:solidFill>
                </w14:textFill>
              </w:rPr>
              <w:t xml:space="preserve">    主要</w:t>
            </w:r>
            <w:r>
              <w:rPr>
                <w:rFonts w:hint="eastAsia" w:hAnsi="Times New Roman" w:eastAsia="黑体"/>
                <w:b w:val="0"/>
                <w:bCs w:val="0"/>
                <w:color w:val="000000" w:themeColor="text1"/>
                <w:sz w:val="24"/>
                <w:szCs w:val="24"/>
                <w:lang w:val="en-US" w:eastAsia="zh-CN"/>
                <w14:textFill>
                  <w14:solidFill>
                    <w14:schemeClr w14:val="tx1"/>
                  </w14:solidFill>
                </w14:textFill>
              </w:rPr>
              <w:t>医疗</w:t>
            </w:r>
            <w:r>
              <w:rPr>
                <w:rFonts w:hAnsi="Times New Roman" w:eastAsia="黑体"/>
                <w:b w:val="0"/>
                <w:bCs w:val="0"/>
                <w:color w:val="000000" w:themeColor="text1"/>
                <w:sz w:val="24"/>
                <w:szCs w:val="24"/>
                <w14:textFill>
                  <w14:solidFill>
                    <w14:schemeClr w14:val="tx1"/>
                  </w14:solidFill>
                </w14:textFill>
              </w:rPr>
              <w:t>设备一览表</w:t>
            </w:r>
          </w:p>
          <w:tbl>
            <w:tblPr>
              <w:tblStyle w:val="28"/>
              <w:tblW w:w="81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2490"/>
              <w:gridCol w:w="730"/>
              <w:gridCol w:w="2250"/>
              <w:gridCol w:w="6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04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科室</w:t>
                  </w:r>
                </w:p>
              </w:tc>
              <w:tc>
                <w:tcPr>
                  <w:tcW w:w="2490"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仪器名称</w:t>
                  </w:r>
                </w:p>
              </w:tc>
              <w:tc>
                <w:tcPr>
                  <w:tcW w:w="730"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2250"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仪器名称</w:t>
                  </w:r>
                </w:p>
              </w:tc>
              <w:tc>
                <w:tcPr>
                  <w:tcW w:w="617"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047" w:type="dxa"/>
                  <w:vMerge w:val="restar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功能评测室（一）</w:t>
                  </w: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表面肌电分析系统</w:t>
                  </w:r>
                </w:p>
              </w:tc>
              <w:tc>
                <w:tcPr>
                  <w:tcW w:w="73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1套</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无轨迹等张肌力测试康复训练系统</w:t>
                  </w:r>
                </w:p>
              </w:tc>
              <w:tc>
                <w:tcPr>
                  <w:tcW w:w="61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手功能性电刺激评估与训练系统</w:t>
                  </w:r>
                </w:p>
              </w:tc>
              <w:tc>
                <w:tcPr>
                  <w:tcW w:w="730" w:type="dxa"/>
                  <w:vAlign w:val="center"/>
                </w:tcPr>
                <w:p>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1套</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眼动认知康复诊断系统</w:t>
                  </w:r>
                </w:p>
              </w:tc>
              <w:tc>
                <w:tcPr>
                  <w:tcW w:w="61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助行仪功能性电刺激评估与训练系统</w:t>
                  </w:r>
                </w:p>
              </w:tc>
              <w:tc>
                <w:tcPr>
                  <w:tcW w:w="730"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1套</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精细运行功能评估软件</w:t>
                  </w:r>
                </w:p>
              </w:tc>
              <w:tc>
                <w:tcPr>
                  <w:tcW w:w="61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冷热疗室（二）</w:t>
                  </w: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低温冲击镇痛仪</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1套</w:t>
                  </w:r>
                </w:p>
              </w:tc>
              <w:tc>
                <w:tcPr>
                  <w:tcW w:w="2250" w:type="dxa"/>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低频热敷综合治疗仪</w:t>
                  </w:r>
                </w:p>
              </w:tc>
              <w:tc>
                <w:tcPr>
                  <w:tcW w:w="61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color w:val="000000" w:themeColor="text1"/>
                      <w:szCs w:val="21"/>
                      <w:lang w:val="en-US"/>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低、中频室（三）</w:t>
                  </w:r>
                </w:p>
              </w:tc>
              <w:tc>
                <w:tcPr>
                  <w:tcW w:w="2490" w:type="dxa"/>
                  <w:vAlign w:val="center"/>
                </w:tcPr>
                <w:p>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超低频治疗仪</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多功能止痛及肌肉刺激仪</w:t>
                  </w:r>
                </w:p>
              </w:tc>
              <w:tc>
                <w:tcPr>
                  <w:tcW w:w="617" w:type="dxa"/>
                  <w:vAlign w:val="center"/>
                </w:tcPr>
                <w:p>
                  <w:pPr>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变频体外膈肌起搏器</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立体干扰电治疗仪</w:t>
                  </w:r>
                </w:p>
              </w:tc>
              <w:tc>
                <w:tcPr>
                  <w:tcW w:w="61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变频治疗系统</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经络通治仪</w:t>
                  </w:r>
                </w:p>
              </w:tc>
              <w:tc>
                <w:tcPr>
                  <w:tcW w:w="61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双侧控制生物刺激反馈仪</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17" w:type="dxa"/>
                  <w:vAlign w:val="center"/>
                </w:tcPr>
                <w:p>
                  <w:pPr>
                    <w:jc w:val="center"/>
                    <w:rPr>
                      <w:rFonts w:hint="eastAsia"/>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高频室（四）</w:t>
                  </w: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大功率短波治疗仪</w:t>
                  </w:r>
                </w:p>
              </w:tc>
              <w:tc>
                <w:tcPr>
                  <w:tcW w:w="730" w:type="dxa"/>
                  <w:vAlign w:val="center"/>
                </w:tcPr>
                <w:p>
                  <w:pPr>
                    <w:jc w:val="center"/>
                    <w:rPr>
                      <w:rFonts w:hint="default"/>
                      <w:color w:val="000000" w:themeColor="text1"/>
                      <w:szCs w:val="21"/>
                      <w:lang w:val="en-US"/>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负压超声治疗仪</w:t>
                  </w:r>
                </w:p>
              </w:tc>
              <w:tc>
                <w:tcPr>
                  <w:tcW w:w="61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大功率微波治疗仪</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经颅磁刺激仪</w:t>
                  </w:r>
                </w:p>
              </w:tc>
              <w:tc>
                <w:tcPr>
                  <w:tcW w:w="61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威伐光治疗仪</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1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光疗、磁疗室（五）</w:t>
                  </w: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磁振热治疗仪</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吸附式多通道激光治疗仪</w:t>
                  </w:r>
                </w:p>
              </w:tc>
              <w:tc>
                <w:tcPr>
                  <w:tcW w:w="61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color w:val="000000" w:themeColor="text1"/>
                      <w:szCs w:val="21"/>
                      <w14:textFill>
                        <w14:solidFill>
                          <w14:schemeClr w14:val="tx1"/>
                        </w14:solidFill>
                      </w14:textFill>
                    </w:rPr>
                  </w:pPr>
                </w:p>
              </w:tc>
              <w:tc>
                <w:tcPr>
                  <w:tcW w:w="249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线偏振光疼痛治疗仪</w:t>
                  </w:r>
                </w:p>
              </w:tc>
              <w:tc>
                <w:tcPr>
                  <w:tcW w:w="730"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17" w:type="dxa"/>
                  <w:vAlign w:val="center"/>
                </w:tcPr>
                <w:p>
                  <w:pPr>
                    <w:jc w:val="center"/>
                    <w:rPr>
                      <w:rFonts w:hint="eastAsia"/>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声疗、牵引室（六）</w:t>
                  </w: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智能温热牵引系统</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17" w:type="dxa"/>
                  <w:vAlign w:val="center"/>
                </w:tcPr>
                <w:p>
                  <w:pPr>
                    <w:jc w:val="center"/>
                    <w:rPr>
                      <w:rFonts w:hint="eastAsia"/>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疼痛治疗室（七）</w:t>
                  </w: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体外冲击波治疗机</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rFonts w:hint="eastAsia"/>
                      <w:color w:val="000000" w:themeColor="text1"/>
                      <w:szCs w:val="21"/>
                      <w14:textFill>
                        <w14:solidFill>
                          <w14:schemeClr w14:val="tx1"/>
                        </w14:solidFill>
                      </w14:textFill>
                    </w:rPr>
                    <w:t>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射频治疗系统</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内热针治疗仪</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激光磁场治疗仪</w:t>
                  </w:r>
                </w:p>
              </w:tc>
              <w:tc>
                <w:tcPr>
                  <w:tcW w:w="617" w:type="dxa"/>
                  <w:vAlign w:val="center"/>
                </w:tcPr>
                <w:p>
                  <w:pPr>
                    <w:jc w:val="center"/>
                    <w:rPr>
                      <w:rFonts w:hint="eastAsia"/>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言语认知、吞咽障碍资料室（七）</w:t>
                  </w: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肌电反馈、超声及电疗治疗（吞咽障碍治疗仪）</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吞咽障碍治疗仪</w:t>
                  </w:r>
                </w:p>
              </w:tc>
              <w:tc>
                <w:tcPr>
                  <w:tcW w:w="617" w:type="dxa"/>
                  <w:vAlign w:val="center"/>
                </w:tcPr>
                <w:p>
                  <w:pPr>
                    <w:jc w:val="center"/>
                    <w:rPr>
                      <w:rFonts w:hint="eastAsia"/>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失语症心理语言评价与治疗系统</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言语训练卡</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阿基米德康复工作站（十）</w:t>
                  </w: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阿基米德三维康复悬吊工作站</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全能整脊手法治疗床</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纠正性弹力环</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振动棒</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平衡软踏</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康复训练垫</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精英型泡沫轴</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运动机能贴</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瑞士球</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激痛点套件</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动态关节松动术治疗带</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17" w:type="dxa"/>
                  <w:vAlign w:val="center"/>
                </w:tcPr>
                <w:p>
                  <w:pPr>
                    <w:jc w:val="center"/>
                    <w:rPr>
                      <w:rFonts w:hint="eastAsia"/>
                      <w:color w:val="000000" w:themeColor="text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PT运动康复室</w:t>
                  </w: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下肢评估康复训练系统</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联动升降平衡杠</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BT瘫痪站立评估训练系统</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智能阶梯步行训练系统</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智能上下肢康复训练器</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全地形模拟训练系统</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FES功能刺激床康复训练器</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多功能训练器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下肢智能反馈训练系统</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髋关节训练器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上肢智能反馈训练系统</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踝关节矫正器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肌力评估与运动反馈训练系统</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踝关节矫正训练器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多功能平衡训练系统</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踝关节训练器</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简易运动功能训练系统</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偏瘫康复器</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骑马训练器</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系列沙袋</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牵引网架</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滚筒</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划船训练器</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智能康复起立床</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液压式踏步器</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站立架</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PT凳</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组合皮垫</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restart"/>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OT作业治疗室</w:t>
                  </w: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智能电动磨砂板</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反应是情景互动训练系统</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手工能综合训练桌</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日常生活作业智能训练系统</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OT桌</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分指板</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推环</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手指功能训练器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重锤式手指肌力训练桌</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手功能组合训练箱</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套彩盘</w:t>
                  </w:r>
                </w:p>
              </w:tc>
              <w:tc>
                <w:tcPr>
                  <w:tcW w:w="730"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套圈</w:t>
                  </w:r>
                </w:p>
              </w:tc>
              <w:tc>
                <w:tcPr>
                  <w:tcW w:w="617" w:type="dxa"/>
                  <w:vAlign w:val="center"/>
                </w:tcPr>
                <w:p>
                  <w:pPr>
                    <w:jc w:val="center"/>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手功能训练器</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镶嵌训练器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上肢协调功能训练器</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肩抬举训练器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体操棒与抛接球</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腕部功能训练器</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作业训练器</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1台</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上肢悬挂架</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穿衣板</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上螺丝</w:t>
                  </w:r>
                </w:p>
              </w:tc>
              <w:tc>
                <w:tcPr>
                  <w:tcW w:w="617"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2047" w:type="dxa"/>
                  <w:vMerge w:val="continue"/>
                  <w:vAlign w:val="center"/>
                </w:tcPr>
                <w:p>
                  <w:pPr>
                    <w:jc w:val="center"/>
                    <w:rPr>
                      <w:rFonts w:hint="eastAsia"/>
                      <w:color w:val="000000" w:themeColor="text1"/>
                      <w:szCs w:val="21"/>
                      <w:lang w:val="en-US" w:eastAsia="zh-CN"/>
                      <w14:textFill>
                        <w14:solidFill>
                          <w14:schemeClr w14:val="tx1"/>
                        </w14:solidFill>
                      </w14:textFill>
                    </w:rPr>
                  </w:pPr>
                </w:p>
              </w:tc>
              <w:tc>
                <w:tcPr>
                  <w:tcW w:w="249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上螺母</w:t>
                  </w:r>
                </w:p>
              </w:tc>
              <w:tc>
                <w:tcPr>
                  <w:tcW w:w="73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1个</w:t>
                  </w:r>
                </w:p>
              </w:tc>
              <w:tc>
                <w:tcPr>
                  <w:tcW w:w="2250" w:type="dxa"/>
                  <w:vAlign w:val="center"/>
                </w:tcPr>
                <w:p>
                  <w:pPr>
                    <w:jc w:val="center"/>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w:t>
                  </w:r>
                </w:p>
              </w:tc>
              <w:tc>
                <w:tcPr>
                  <w:tcW w:w="617" w:type="dxa"/>
                  <w:vAlign w:val="center"/>
                </w:tcPr>
                <w:p>
                  <w:pPr>
                    <w:jc w:val="center"/>
                    <w:rPr>
                      <w:rFonts w:hint="eastAsia"/>
                      <w:color w:val="000000" w:themeColor="text1"/>
                      <w:szCs w:val="21"/>
                      <w:lang w:val="en-US" w:eastAsia="zh-CN"/>
                      <w14:textFill>
                        <w14:solidFill>
                          <w14:schemeClr w14:val="tx1"/>
                        </w14:solidFill>
                      </w14:textFill>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default" w:eastAsia="宋体"/>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6.</w:t>
            </w:r>
            <w:r>
              <w:rPr>
                <w:rFonts w:hint="eastAsia"/>
                <w:b/>
                <w:bCs/>
                <w:color w:val="000000" w:themeColor="text1"/>
                <w:sz w:val="24"/>
                <w14:textFill>
                  <w14:solidFill>
                    <w14:schemeClr w14:val="tx1"/>
                  </w14:solidFill>
                </w14:textFill>
              </w:rPr>
              <w:t>主要</w:t>
            </w:r>
            <w:r>
              <w:rPr>
                <w:b/>
                <w:bCs/>
                <w:color w:val="000000" w:themeColor="text1"/>
                <w:sz w:val="24"/>
                <w14:textFill>
                  <w14:solidFill>
                    <w14:schemeClr w14:val="tx1"/>
                  </w14:solidFill>
                </w14:textFill>
              </w:rPr>
              <w:t>原辅材料</w:t>
            </w:r>
            <w:r>
              <w:rPr>
                <w:rFonts w:hint="eastAsia"/>
                <w:b/>
                <w:bCs/>
                <w:color w:val="000000" w:themeColor="text1"/>
                <w:sz w:val="24"/>
                <w14:textFill>
                  <w14:solidFill>
                    <w14:schemeClr w14:val="tx1"/>
                  </w14:solidFill>
                </w14:textFill>
              </w:rPr>
              <w:t>及</w:t>
            </w:r>
            <w:r>
              <w:rPr>
                <w:rFonts w:hint="eastAsia"/>
                <w:b/>
                <w:bCs/>
                <w:color w:val="000000" w:themeColor="text1"/>
                <w:sz w:val="24"/>
                <w:lang w:val="en-US" w:eastAsia="zh-CN"/>
                <w14:textFill>
                  <w14:solidFill>
                    <w14:schemeClr w14:val="tx1"/>
                  </w14:solidFill>
                </w14:textFill>
              </w:rPr>
              <w:t>能源消耗</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eastAsia="宋体"/>
                <w:color w:val="000000" w:themeColor="text1"/>
                <w:kern w:val="15"/>
                <w:sz w:val="24"/>
                <w:szCs w:val="22"/>
                <w:lang w:eastAsia="zh-CN"/>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原</w:t>
            </w:r>
            <w:r>
              <w:rPr>
                <w:rFonts w:hint="eastAsia"/>
                <w:color w:val="000000" w:themeColor="text1"/>
                <w:sz w:val="24"/>
                <w:lang w:val="en-US" w:eastAsia="zh-CN"/>
                <w14:textFill>
                  <w14:solidFill>
                    <w14:schemeClr w14:val="tx1"/>
                  </w14:solidFill>
                </w14:textFill>
              </w:rPr>
              <w:t>辅</w:t>
            </w:r>
            <w:r>
              <w:rPr>
                <w:rFonts w:hint="eastAsia"/>
                <w:color w:val="000000" w:themeColor="text1"/>
                <w:sz w:val="24"/>
                <w14:textFill>
                  <w14:solidFill>
                    <w14:schemeClr w14:val="tx1"/>
                  </w14:solidFill>
                </w14:textFill>
              </w:rPr>
              <w:t>材料</w:t>
            </w:r>
            <w:r>
              <w:rPr>
                <w:rFonts w:hint="eastAsia"/>
                <w:color w:val="000000" w:themeColor="text1"/>
                <w:sz w:val="24"/>
                <w:lang w:val="en-US" w:eastAsia="zh-CN"/>
                <w14:textFill>
                  <w14:solidFill>
                    <w14:schemeClr w14:val="tx1"/>
                  </w14:solidFill>
                </w14:textFill>
              </w:rPr>
              <w:t>及能源</w:t>
            </w:r>
            <w:r>
              <w:rPr>
                <w:rFonts w:hint="eastAsia"/>
                <w:color w:val="000000" w:themeColor="text1"/>
                <w:sz w:val="24"/>
                <w14:textFill>
                  <w14:solidFill>
                    <w14:schemeClr w14:val="tx1"/>
                  </w14:solidFill>
                </w14:textFill>
              </w:rPr>
              <w:t>使用</w:t>
            </w:r>
            <w:r>
              <w:rPr>
                <w:color w:val="000000" w:themeColor="text1"/>
                <w:sz w:val="24"/>
                <w14:textFill>
                  <w14:solidFill>
                    <w14:schemeClr w14:val="tx1"/>
                  </w14:solidFill>
                </w14:textFill>
              </w:rPr>
              <w:t>情况见表2-</w:t>
            </w:r>
            <w:r>
              <w:rPr>
                <w:rFonts w:hint="eastAsia"/>
                <w:color w:val="000000" w:themeColor="text1"/>
                <w:sz w:val="24"/>
                <w14:textFill>
                  <w14:solidFill>
                    <w14:schemeClr w14:val="tx1"/>
                  </w14:solidFill>
                </w14:textFill>
              </w:rPr>
              <w:t>3</w:t>
            </w:r>
            <w:r>
              <w:rPr>
                <w:rFonts w:hint="eastAsia"/>
                <w:color w:val="000000" w:themeColor="text1"/>
                <w:sz w:val="24"/>
                <w:lang w:eastAsia="zh-CN"/>
                <w14:textFill>
                  <w14:solidFill>
                    <w14:schemeClr w14:val="tx1"/>
                  </w14:solidFill>
                </w14:textFill>
              </w:rPr>
              <w:t>。</w:t>
            </w:r>
          </w:p>
          <w:p>
            <w:pPr>
              <w:jc w:val="center"/>
              <w:rPr>
                <w:rFonts w:eastAsia="黑体"/>
                <w:bCs/>
                <w:color w:val="000000" w:themeColor="text1"/>
                <w:sz w:val="24"/>
                <w:szCs w:val="24"/>
                <w14:textFill>
                  <w14:solidFill>
                    <w14:schemeClr w14:val="tx1"/>
                  </w14:solidFill>
                </w14:textFill>
              </w:rPr>
            </w:pPr>
            <w:r>
              <w:rPr>
                <w:rFonts w:eastAsia="黑体"/>
                <w:bCs/>
                <w:color w:val="000000" w:themeColor="text1"/>
                <w:sz w:val="24"/>
                <w:szCs w:val="24"/>
                <w14:textFill>
                  <w14:solidFill>
                    <w14:schemeClr w14:val="tx1"/>
                  </w14:solidFill>
                </w14:textFill>
              </w:rPr>
              <w:t>表</w:t>
            </w:r>
            <w:r>
              <w:rPr>
                <w:rFonts w:hint="eastAsia" w:eastAsia="黑体"/>
                <w:bCs/>
                <w:color w:val="000000" w:themeColor="text1"/>
                <w:sz w:val="24"/>
                <w:szCs w:val="24"/>
                <w:lang w:val="en-US" w:eastAsia="zh-CN"/>
                <w14:textFill>
                  <w14:solidFill>
                    <w14:schemeClr w14:val="tx1"/>
                  </w14:solidFill>
                </w14:textFill>
              </w:rPr>
              <w:t>2-3</w:t>
            </w:r>
            <w:r>
              <w:rPr>
                <w:rFonts w:eastAsia="黑体"/>
                <w:bCs/>
                <w:color w:val="000000" w:themeColor="text1"/>
                <w:sz w:val="24"/>
                <w:szCs w:val="24"/>
                <w14:textFill>
                  <w14:solidFill>
                    <w14:schemeClr w14:val="tx1"/>
                  </w14:solidFill>
                </w14:textFill>
              </w:rPr>
              <w:t xml:space="preserve">    主要原辅材料和</w:t>
            </w:r>
            <w:r>
              <w:rPr>
                <w:rFonts w:hint="eastAsia" w:eastAsia="黑体"/>
                <w:bCs/>
                <w:color w:val="000000" w:themeColor="text1"/>
                <w:sz w:val="24"/>
                <w:szCs w:val="24"/>
                <w:lang w:val="en-US" w:eastAsia="zh-CN"/>
                <w14:textFill>
                  <w14:solidFill>
                    <w14:schemeClr w14:val="tx1"/>
                  </w14:solidFill>
                </w14:textFill>
              </w:rPr>
              <w:t>能源消耗</w:t>
            </w:r>
            <w:r>
              <w:rPr>
                <w:rFonts w:eastAsia="黑体"/>
                <w:bCs/>
                <w:color w:val="000000" w:themeColor="text1"/>
                <w:sz w:val="24"/>
                <w:szCs w:val="24"/>
                <w14:textFill>
                  <w14:solidFill>
                    <w14:schemeClr w14:val="tx1"/>
                  </w14:solidFill>
                </w14:textFill>
              </w:rPr>
              <w:t>一览表（年用量）</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3699"/>
              <w:gridCol w:w="2239"/>
              <w:gridCol w:w="219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4" w:hRule="atLeast"/>
                <w:tblHeader/>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snapToGrid w:val="0"/>
                      <w:color w:val="000000" w:themeColor="text1"/>
                      <w:kern w:val="0"/>
                      <w:szCs w:val="2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原辅材料/试剂</w:t>
                  </w:r>
                </w:p>
              </w:tc>
              <w:tc>
                <w:tcPr>
                  <w:tcW w:w="1376"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snapToGrid w:val="0"/>
                      <w:color w:val="000000" w:themeColor="text1"/>
                      <w:kern w:val="0"/>
                      <w:szCs w:val="2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年耗量</w:t>
                  </w:r>
                </w:p>
              </w:tc>
              <w:tc>
                <w:tcPr>
                  <w:tcW w:w="1349" w:type="pct"/>
                  <w:tcBorders>
                    <w:tl2br w:val="nil"/>
                    <w:tr2bl w:val="nil"/>
                  </w:tcBorders>
                  <w:vAlign w:val="center"/>
                </w:tcPr>
                <w:p>
                  <w:pPr>
                    <w:overflowPunct w:val="0"/>
                    <w:adjustRightInd w:val="0"/>
                    <w:snapToGrid w:val="0"/>
                    <w:ind w:left="-105" w:leftChars="-50" w:right="-105" w:rightChars="-50"/>
                    <w:jc w:val="center"/>
                    <w:rPr>
                      <w:rFonts w:hint="eastAsia" w:ascii="Times New Roman" w:hAnsi="Times New Roman" w:eastAsia="宋体" w:cs="Times New Roman"/>
                      <w:snapToGrid w:val="0"/>
                      <w:color w:val="000000" w:themeColor="text1"/>
                      <w:kern w:val="0"/>
                      <w:szCs w:val="2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snapToGrid w:val="0"/>
                      <w:color w:val="000000" w:themeColor="text1"/>
                      <w:kern w:val="0"/>
                      <w:szCs w:val="2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一次性空针、输液管</w:t>
                  </w:r>
                </w:p>
              </w:tc>
              <w:tc>
                <w:tcPr>
                  <w:tcW w:w="1376" w:type="pct"/>
                  <w:tcBorders>
                    <w:tl2br w:val="nil"/>
                    <w:tr2bl w:val="nil"/>
                  </w:tcBorders>
                  <w:vAlign w:val="center"/>
                </w:tcPr>
                <w:p>
                  <w:pPr>
                    <w:adjustRightInd w:val="0"/>
                    <w:snapToGrid w:val="0"/>
                    <w:ind w:left="-105" w:leftChars="-50" w:right="-105" w:rightChars="-5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10000具</w:t>
                  </w:r>
                </w:p>
              </w:tc>
              <w:tc>
                <w:tcPr>
                  <w:tcW w:w="1349" w:type="pct"/>
                  <w:tcBorders>
                    <w:tl2br w:val="nil"/>
                    <w:tr2bl w:val="nil"/>
                  </w:tcBorders>
                  <w:vAlign w:val="center"/>
                </w:tcPr>
                <w:p>
                  <w:pPr>
                    <w:adjustRightInd w:val="0"/>
                    <w:snapToGrid w:val="0"/>
                    <w:ind w:left="-105" w:leftChars="-50" w:right="-105" w:rightChars="-5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snapToGrid w:val="0"/>
                      <w:color w:val="000000" w:themeColor="text1"/>
                      <w:kern w:val="0"/>
                      <w:szCs w:val="2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青霉素针液</w:t>
                  </w:r>
                </w:p>
              </w:tc>
              <w:tc>
                <w:tcPr>
                  <w:tcW w:w="1376" w:type="pct"/>
                  <w:tcBorders>
                    <w:tl2br w:val="nil"/>
                    <w:tr2bl w:val="nil"/>
                  </w:tcBorders>
                  <w:vAlign w:val="center"/>
                </w:tcPr>
                <w:p>
                  <w:pPr>
                    <w:adjustRightInd w:val="0"/>
                    <w:snapToGrid w:val="0"/>
                    <w:ind w:left="-105" w:leftChars="-50" w:right="-105" w:rightChars="-50"/>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8000支</w:t>
                  </w:r>
                </w:p>
              </w:tc>
              <w:tc>
                <w:tcPr>
                  <w:tcW w:w="1349" w:type="pct"/>
                  <w:tcBorders>
                    <w:tl2br w:val="nil"/>
                    <w:tr2bl w:val="nil"/>
                  </w:tcBorders>
                  <w:vAlign w:val="center"/>
                </w:tcPr>
                <w:p>
                  <w:pPr>
                    <w:adjustRightInd w:val="0"/>
                    <w:snapToGrid w:val="0"/>
                    <w:ind w:left="-105" w:leftChars="-50" w:right="-105" w:rightChars="-5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6"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snapToGrid w:val="0"/>
                      <w:color w:val="000000" w:themeColor="text1"/>
                      <w:kern w:val="0"/>
                      <w:szCs w:val="2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注射用头孢他啶</w:t>
                  </w:r>
                </w:p>
              </w:tc>
              <w:tc>
                <w:tcPr>
                  <w:tcW w:w="1376" w:type="pct"/>
                  <w:tcBorders>
                    <w:tl2br w:val="nil"/>
                    <w:tr2bl w:val="nil"/>
                  </w:tcBorders>
                  <w:vAlign w:val="center"/>
                </w:tcPr>
                <w:p>
                  <w:pPr>
                    <w:adjustRightInd w:val="0"/>
                    <w:snapToGrid w:val="0"/>
                    <w:ind w:left="-105" w:leftChars="-50" w:right="-105" w:rightChars="-50"/>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5</w:t>
                  </w:r>
                  <w:r>
                    <w:rPr>
                      <w:rFonts w:hint="default" w:ascii="Times New Roman" w:hAnsi="Times New Roman" w:cs="Times New Roman"/>
                      <w:color w:val="000000" w:themeColor="text1"/>
                      <w:szCs w:val="21"/>
                      <w14:textFill>
                        <w14:solidFill>
                          <w14:schemeClr w14:val="tx1"/>
                        </w14:solidFill>
                      </w14:textFill>
                    </w:rPr>
                    <w:t>000支</w:t>
                  </w:r>
                </w:p>
              </w:tc>
              <w:tc>
                <w:tcPr>
                  <w:tcW w:w="1349" w:type="pct"/>
                  <w:tcBorders>
                    <w:tl2br w:val="nil"/>
                    <w:tr2bl w:val="nil"/>
                  </w:tcBorders>
                  <w:vAlign w:val="center"/>
                </w:tcPr>
                <w:p>
                  <w:pPr>
                    <w:adjustRightInd w:val="0"/>
                    <w:snapToGrid w:val="0"/>
                    <w:ind w:left="-105" w:leftChars="-50" w:right="-105" w:rightChars="-5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4"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snapToGrid w:val="0"/>
                      <w:color w:val="000000" w:themeColor="text1"/>
                      <w:kern w:val="0"/>
                      <w:szCs w:val="2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注射用乳糖酸阿奇霉素</w:t>
                  </w:r>
                </w:p>
              </w:tc>
              <w:tc>
                <w:tcPr>
                  <w:tcW w:w="1376" w:type="pct"/>
                  <w:tcBorders>
                    <w:tl2br w:val="nil"/>
                    <w:tr2bl w:val="nil"/>
                  </w:tcBorders>
                  <w:vAlign w:val="center"/>
                </w:tcPr>
                <w:p>
                  <w:pPr>
                    <w:adjustRightInd w:val="0"/>
                    <w:snapToGrid w:val="0"/>
                    <w:ind w:left="-105" w:leftChars="-50" w:right="-105" w:rightChars="-50"/>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w:t>
                  </w:r>
                  <w:r>
                    <w:rPr>
                      <w:rFonts w:hint="default" w:ascii="Times New Roman" w:hAnsi="Times New Roman" w:cs="Times New Roman"/>
                      <w:color w:val="000000" w:themeColor="text1"/>
                      <w:szCs w:val="21"/>
                      <w14:textFill>
                        <w14:solidFill>
                          <w14:schemeClr w14:val="tx1"/>
                        </w14:solidFill>
                      </w14:textFill>
                    </w:rPr>
                    <w:t>000支</w:t>
                  </w:r>
                </w:p>
              </w:tc>
              <w:tc>
                <w:tcPr>
                  <w:tcW w:w="1349" w:type="pct"/>
                  <w:tcBorders>
                    <w:tl2br w:val="nil"/>
                    <w:tr2bl w:val="nil"/>
                  </w:tcBorders>
                  <w:vAlign w:val="center"/>
                </w:tcPr>
                <w:p>
                  <w:pPr>
                    <w:adjustRightInd w:val="0"/>
                    <w:snapToGrid w:val="0"/>
                    <w:ind w:left="-105" w:leftChars="-50" w:right="-105" w:rightChars="-5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5"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snapToGrid w:val="0"/>
                      <w:color w:val="000000" w:themeColor="text1"/>
                      <w:kern w:val="0"/>
                      <w:szCs w:val="2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口服阿莫西林</w:t>
                  </w:r>
                </w:p>
              </w:tc>
              <w:tc>
                <w:tcPr>
                  <w:tcW w:w="1376" w:type="pct"/>
                  <w:tcBorders>
                    <w:tl2br w:val="nil"/>
                    <w:tr2bl w:val="nil"/>
                  </w:tcBorders>
                  <w:vAlign w:val="center"/>
                </w:tcPr>
                <w:p>
                  <w:pPr>
                    <w:adjustRightInd w:val="0"/>
                    <w:snapToGrid w:val="0"/>
                    <w:ind w:left="-105" w:leftChars="-50" w:right="-105" w:rightChars="-50"/>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2</w:t>
                  </w:r>
                  <w:r>
                    <w:rPr>
                      <w:rFonts w:hint="default" w:ascii="Times New Roman" w:hAnsi="Times New Roman" w:cs="Times New Roman"/>
                      <w:color w:val="000000" w:themeColor="text1"/>
                      <w:szCs w:val="21"/>
                      <w14:textFill>
                        <w14:solidFill>
                          <w14:schemeClr w14:val="tx1"/>
                        </w14:solidFill>
                      </w14:textFill>
                    </w:rPr>
                    <w:t>000盒</w:t>
                  </w:r>
                </w:p>
              </w:tc>
              <w:tc>
                <w:tcPr>
                  <w:tcW w:w="1349" w:type="pct"/>
                  <w:tcBorders>
                    <w:tl2br w:val="nil"/>
                    <w:tr2bl w:val="nil"/>
                  </w:tcBorders>
                  <w:vAlign w:val="center"/>
                </w:tcPr>
                <w:p>
                  <w:pPr>
                    <w:adjustRightInd w:val="0"/>
                    <w:snapToGrid w:val="0"/>
                    <w:ind w:left="-105" w:leftChars="-50" w:right="-105" w:rightChars="-50"/>
                    <w:jc w:val="center"/>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0.9%氯化钠注射液</w:t>
                  </w:r>
                </w:p>
              </w:tc>
              <w:tc>
                <w:tcPr>
                  <w:tcW w:w="1376" w:type="pct"/>
                  <w:tcBorders>
                    <w:tl2br w:val="nil"/>
                    <w:tr2bl w:val="nil"/>
                  </w:tcBorders>
                  <w:vAlign w:val="center"/>
                </w:tcPr>
                <w:p>
                  <w:pPr>
                    <w:overflowPunct w:val="0"/>
                    <w:adjustRightInd w:val="0"/>
                    <w:snapToGrid w:val="0"/>
                    <w:ind w:left="-105" w:leftChars="-50" w:right="-105" w:rightChars="-50"/>
                    <w:jc w:val="center"/>
                    <w:rPr>
                      <w:rFonts w:hint="eastAsia" w:cs="Times New Roman"/>
                      <w:color w:val="000000" w:themeColor="text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5</w:t>
                  </w:r>
                  <w:r>
                    <w:rPr>
                      <w:rFonts w:hint="default" w:ascii="Times New Roman" w:hAnsi="Times New Roman" w:cs="Times New Roman"/>
                      <w:snapToGrid w:val="0"/>
                      <w:color w:val="000000" w:themeColor="text1"/>
                      <w:kern w:val="0"/>
                      <w:szCs w:val="21"/>
                      <w14:textFill>
                        <w14:solidFill>
                          <w14:schemeClr w14:val="tx1"/>
                        </w14:solidFill>
                      </w14:textFill>
                    </w:rPr>
                    <w:t>000瓶</w:t>
                  </w:r>
                </w:p>
              </w:tc>
              <w:tc>
                <w:tcPr>
                  <w:tcW w:w="1349" w:type="pct"/>
                  <w:tcBorders>
                    <w:tl2br w:val="nil"/>
                    <w:tr2bl w:val="nil"/>
                  </w:tcBorders>
                  <w:vAlign w:val="center"/>
                </w:tcPr>
                <w:p>
                  <w:pPr>
                    <w:overflowPunct w:val="0"/>
                    <w:adjustRightInd w:val="0"/>
                    <w:snapToGrid w:val="0"/>
                    <w:ind w:left="-105" w:leftChars="-50" w:right="-105" w:rightChars="-50"/>
                    <w:jc w:val="center"/>
                    <w:rPr>
                      <w:rFonts w:hint="eastAsia" w:ascii="Times New Roman" w:hAnsi="Times New Roman" w:eastAsia="宋体" w:cs="Times New Roman"/>
                      <w:snapToGrid w:val="0"/>
                      <w:color w:val="000000" w:themeColor="text1"/>
                      <w:kern w:val="0"/>
                      <w:szCs w:val="2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snapToGrid w:val="0"/>
                      <w:color w:val="000000" w:themeColor="text1"/>
                      <w:kern w:val="0"/>
                      <w:szCs w:val="21"/>
                      <w14:textFill>
                        <w14:solidFill>
                          <w14:schemeClr w14:val="tx1"/>
                        </w14:solidFill>
                      </w14:textFill>
                    </w:rPr>
                    <w:t>10%、5%葡萄糖注射液</w:t>
                  </w:r>
                </w:p>
              </w:tc>
              <w:tc>
                <w:tcPr>
                  <w:tcW w:w="1376" w:type="pct"/>
                  <w:tcBorders>
                    <w:tl2br w:val="nil"/>
                    <w:tr2bl w:val="nil"/>
                  </w:tcBorders>
                  <w:vAlign w:val="center"/>
                </w:tcPr>
                <w:p>
                  <w:pPr>
                    <w:overflowPunct w:val="0"/>
                    <w:adjustRightInd w:val="0"/>
                    <w:snapToGrid w:val="0"/>
                    <w:ind w:left="-105" w:leftChars="-50" w:right="-105" w:rightChars="-50"/>
                    <w:jc w:val="center"/>
                    <w:rPr>
                      <w:rFonts w:hint="eastAsia" w:cs="Times New Roman"/>
                      <w:color w:val="000000" w:themeColor="text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5</w:t>
                  </w:r>
                  <w:r>
                    <w:rPr>
                      <w:rFonts w:hint="default" w:ascii="Times New Roman" w:hAnsi="Times New Roman" w:cs="Times New Roman"/>
                      <w:snapToGrid w:val="0"/>
                      <w:color w:val="000000" w:themeColor="text1"/>
                      <w:kern w:val="0"/>
                      <w:szCs w:val="21"/>
                      <w14:textFill>
                        <w14:solidFill>
                          <w14:schemeClr w14:val="tx1"/>
                        </w14:solidFill>
                      </w14:textFill>
                    </w:rPr>
                    <w:t>000瓶</w:t>
                  </w:r>
                </w:p>
              </w:tc>
              <w:tc>
                <w:tcPr>
                  <w:tcW w:w="1349" w:type="pct"/>
                  <w:tcBorders>
                    <w:tl2br w:val="nil"/>
                    <w:tr2bl w:val="nil"/>
                  </w:tcBorders>
                  <w:vAlign w:val="center"/>
                </w:tcPr>
                <w:p>
                  <w:pPr>
                    <w:overflowPunct w:val="0"/>
                    <w:adjustRightInd w:val="0"/>
                    <w:snapToGrid w:val="0"/>
                    <w:ind w:left="-105" w:leftChars="-50" w:right="-105" w:rightChars="-50"/>
                    <w:jc w:val="center"/>
                    <w:rPr>
                      <w:rFonts w:hint="eastAsia" w:ascii="Times New Roman" w:hAnsi="Times New Roman" w:eastAsia="宋体" w:cs="Times New Roman"/>
                      <w:snapToGrid w:val="0"/>
                      <w:color w:val="000000" w:themeColor="text1"/>
                      <w:kern w:val="0"/>
                      <w:szCs w:val="2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eastAsia" w:ascii="Times New Roman" w:hAnsi="Times New Roman" w:eastAsia="宋体" w:cs="Times New Roman"/>
                      <w:snapToGrid w:val="0"/>
                      <w:color w:val="000000" w:themeColor="text1"/>
                      <w:kern w:val="0"/>
                      <w:szCs w:val="2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次氯酸钠</w:t>
                  </w:r>
                </w:p>
              </w:tc>
              <w:tc>
                <w:tcPr>
                  <w:tcW w:w="1376" w:type="pct"/>
                  <w:tcBorders>
                    <w:tl2br w:val="nil"/>
                    <w:tr2bl w:val="nil"/>
                  </w:tcBorders>
                  <w:vAlign w:val="center"/>
                </w:tcPr>
                <w:p>
                  <w:pPr>
                    <w:overflowPunct w:val="0"/>
                    <w:adjustRightInd w:val="0"/>
                    <w:snapToGrid w:val="0"/>
                    <w:ind w:left="-105" w:leftChars="-50" w:right="-105" w:rightChars="-50"/>
                    <w:jc w:val="center"/>
                    <w:rPr>
                      <w:rFonts w:hint="default" w:cs="Times New Roman"/>
                      <w:snapToGrid w:val="0"/>
                      <w:color w:val="000000" w:themeColor="text1"/>
                      <w:kern w:val="0"/>
                      <w:szCs w:val="2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0.2t/a</w:t>
                  </w:r>
                </w:p>
              </w:tc>
              <w:tc>
                <w:tcPr>
                  <w:tcW w:w="1349" w:type="pct"/>
                  <w:tcBorders>
                    <w:tl2br w:val="nil"/>
                    <w:tr2bl w:val="nil"/>
                  </w:tcBorders>
                  <w:vAlign w:val="center"/>
                </w:tcPr>
                <w:p>
                  <w:pPr>
                    <w:overflowPunct w:val="0"/>
                    <w:adjustRightInd w:val="0"/>
                    <w:snapToGrid w:val="0"/>
                    <w:ind w:left="-105" w:leftChars="-50" w:right="-105" w:rightChars="-50"/>
                    <w:jc w:val="center"/>
                    <w:rPr>
                      <w:rFonts w:hint="default" w:cs="Times New Roman"/>
                      <w:snapToGrid w:val="0"/>
                      <w:color w:val="000000" w:themeColor="text1"/>
                      <w:kern w:val="0"/>
                      <w:szCs w:val="21"/>
                      <w:lang w:val="en-US" w:eastAsia="zh-CN"/>
                      <w14:textFill>
                        <w14:solidFill>
                          <w14:schemeClr w14:val="tx1"/>
                        </w14:solidFill>
                      </w14:textFill>
                    </w:rPr>
                  </w:pPr>
                  <w:r>
                    <w:rPr>
                      <w:rFonts w:hint="eastAsia" w:cs="Times New Roman"/>
                      <w:snapToGrid w:val="0"/>
                      <w:color w:val="000000" w:themeColor="text1"/>
                      <w:kern w:val="0"/>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水</w:t>
                  </w:r>
                </w:p>
              </w:tc>
              <w:tc>
                <w:tcPr>
                  <w:tcW w:w="1376" w:type="pct"/>
                  <w:tcBorders>
                    <w:tl2br w:val="nil"/>
                    <w:tr2bl w:val="nil"/>
                  </w:tcBorders>
                  <w:vAlign w:val="center"/>
                </w:tcPr>
                <w:p>
                  <w:pPr>
                    <w:overflowPunct w:val="0"/>
                    <w:adjustRightInd w:val="0"/>
                    <w:snapToGrid w:val="0"/>
                    <w:ind w:left="-105" w:leftChars="-50" w:right="-105" w:rightChars="-50"/>
                    <w:jc w:val="center"/>
                    <w:rPr>
                      <w:rFonts w:hint="eastAsia"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13596.25</w:t>
                  </w:r>
                  <w:r>
                    <w:rPr>
                      <w:rFonts w:hint="default" w:ascii="Times New Roman" w:hAnsi="Times New Roman" w:cs="Times New Roman"/>
                      <w:color w:val="000000" w:themeColor="text1"/>
                      <w14:textFill>
                        <w14:solidFill>
                          <w14:schemeClr w14:val="tx1"/>
                        </w14:solidFill>
                      </w14:textFill>
                    </w:rPr>
                    <w:t>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/a</w:t>
                  </w:r>
                </w:p>
              </w:tc>
              <w:tc>
                <w:tcPr>
                  <w:tcW w:w="1349" w:type="pct"/>
                  <w:tcBorders>
                    <w:tl2br w:val="nil"/>
                    <w:tr2bl w:val="nil"/>
                  </w:tcBorders>
                  <w:vAlign w:val="center"/>
                </w:tcPr>
                <w:p>
                  <w:pPr>
                    <w:overflowPunct w:val="0"/>
                    <w:adjustRightInd w:val="0"/>
                    <w:snapToGrid w:val="0"/>
                    <w:ind w:left="-105" w:leftChars="-50" w:right="-105" w:rightChars="-50"/>
                    <w:jc w:val="center"/>
                    <w:rPr>
                      <w:rFonts w:hint="default"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8" w:hRule="atLeast"/>
                <w:jc w:val="center"/>
              </w:trPr>
              <w:tc>
                <w:tcPr>
                  <w:tcW w:w="2273" w:type="pct"/>
                  <w:tcBorders>
                    <w:tl2br w:val="nil"/>
                    <w:tr2bl w:val="nil"/>
                  </w:tcBorders>
                  <w:vAlign w:val="center"/>
                </w:tcPr>
                <w:p>
                  <w:pPr>
                    <w:overflowPunct w:val="0"/>
                    <w:adjustRightInd w:val="0"/>
                    <w:snapToGrid w:val="0"/>
                    <w:ind w:left="-105" w:leftChars="-50" w:right="-105" w:rightChars="-50"/>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电</w:t>
                  </w:r>
                </w:p>
              </w:tc>
              <w:tc>
                <w:tcPr>
                  <w:tcW w:w="1376" w:type="pct"/>
                  <w:tcBorders>
                    <w:tl2br w:val="nil"/>
                    <w:tr2bl w:val="nil"/>
                  </w:tcBorders>
                  <w:vAlign w:val="center"/>
                </w:tcPr>
                <w:p>
                  <w:pPr>
                    <w:overflowPunct w:val="0"/>
                    <w:adjustRightInd w:val="0"/>
                    <w:snapToGrid w:val="0"/>
                    <w:ind w:left="-105" w:leftChars="-50" w:right="-105" w:rightChars="-50"/>
                    <w:jc w:val="center"/>
                    <w:rPr>
                      <w:rFonts w:hint="eastAsia"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80万Kw.h</w:t>
                  </w:r>
                </w:p>
              </w:tc>
              <w:tc>
                <w:tcPr>
                  <w:tcW w:w="1349" w:type="pct"/>
                  <w:tcBorders>
                    <w:tl2br w:val="nil"/>
                    <w:tr2bl w:val="nil"/>
                  </w:tcBorders>
                  <w:vAlign w:val="center"/>
                </w:tcPr>
                <w:p>
                  <w:pPr>
                    <w:overflowPunct w:val="0"/>
                    <w:adjustRightInd w:val="0"/>
                    <w:snapToGrid w:val="0"/>
                    <w:ind w:left="-105" w:leftChars="-50" w:right="-105" w:rightChars="-50"/>
                    <w:jc w:val="center"/>
                    <w:rPr>
                      <w:rFonts w:hint="eastAsia"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w:t>
                  </w:r>
                </w:p>
              </w:tc>
            </w:tr>
          </w:tbl>
          <w:p>
            <w:pPr>
              <w:adjustRightInd w:val="0"/>
              <w:snapToGrid w:val="0"/>
              <w:spacing w:line="520" w:lineRule="exact"/>
              <w:ind w:firstLine="482" w:firstLineChars="200"/>
              <w:rPr>
                <w:b/>
                <w:bCs/>
                <w:sz w:val="24"/>
              </w:rPr>
            </w:pPr>
            <w:r>
              <w:rPr>
                <w:b/>
                <w:bCs/>
                <w:sz w:val="24"/>
              </w:rPr>
              <w:t>7</w:t>
            </w:r>
            <w:r>
              <w:rPr>
                <w:rFonts w:hint="eastAsia"/>
                <w:b/>
                <w:bCs/>
                <w:sz w:val="24"/>
                <w:lang w:val="en-US" w:eastAsia="zh-CN"/>
              </w:rPr>
              <w:t>.</w:t>
            </w:r>
            <w:r>
              <w:rPr>
                <w:b/>
                <w:bCs/>
                <w:sz w:val="24"/>
              </w:rPr>
              <w:t>公用工程</w:t>
            </w:r>
          </w:p>
          <w:p>
            <w:pPr>
              <w:adjustRightInd w:val="0"/>
              <w:snapToGrid w:val="0"/>
              <w:spacing w:line="520" w:lineRule="exact"/>
              <w:ind w:firstLine="480" w:firstLineChars="200"/>
              <w:rPr>
                <w:sz w:val="24"/>
              </w:rPr>
            </w:pPr>
            <w:r>
              <w:rPr>
                <w:rFonts w:hint="eastAsia"/>
                <w:sz w:val="24"/>
              </w:rPr>
              <w:t>（1）</w:t>
            </w:r>
            <w:r>
              <w:rPr>
                <w:sz w:val="24"/>
              </w:rPr>
              <w:t>供电</w:t>
            </w:r>
          </w:p>
          <w:p>
            <w:pPr>
              <w:adjustRightInd w:val="0"/>
              <w:snapToGrid w:val="0"/>
              <w:spacing w:line="520" w:lineRule="exact"/>
              <w:ind w:firstLine="480" w:firstLineChars="200"/>
              <w:rPr>
                <w:sz w:val="24"/>
              </w:rPr>
            </w:pPr>
            <w:r>
              <w:rPr>
                <w:rFonts w:hint="eastAsia"/>
                <w:sz w:val="24"/>
                <w:lang w:val="en-US" w:eastAsia="zh-CN"/>
              </w:rPr>
              <w:t>本</w:t>
            </w:r>
            <w:r>
              <w:rPr>
                <w:rFonts w:hint="eastAsia"/>
                <w:sz w:val="24"/>
              </w:rPr>
              <w:t>项目用电由</w:t>
            </w:r>
            <w:r>
              <w:rPr>
                <w:rFonts w:hint="eastAsia"/>
                <w:sz w:val="24"/>
                <w:lang w:val="en-US" w:eastAsia="zh-CN"/>
              </w:rPr>
              <w:t>玛纳斯县市政</w:t>
            </w:r>
            <w:r>
              <w:rPr>
                <w:rFonts w:hint="eastAsia"/>
                <w:sz w:val="24"/>
              </w:rPr>
              <w:t>电网供给。</w:t>
            </w:r>
          </w:p>
          <w:p>
            <w:pPr>
              <w:adjustRightInd w:val="0"/>
              <w:snapToGrid w:val="0"/>
              <w:spacing w:line="520" w:lineRule="exact"/>
              <w:ind w:firstLine="480" w:firstLineChars="200"/>
              <w:rPr>
                <w:sz w:val="24"/>
              </w:rPr>
            </w:pPr>
            <w:r>
              <w:rPr>
                <w:sz w:val="24"/>
              </w:rPr>
              <w:t>（2）给水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lang w:val="en-US" w:eastAsia="zh-CN"/>
              </w:rPr>
            </w:pPr>
            <w:r>
              <w:rPr>
                <w:rFonts w:hint="eastAsia"/>
                <w:sz w:val="24"/>
              </w:rPr>
              <w:t>本项目用水由</w:t>
            </w:r>
            <w:r>
              <w:rPr>
                <w:rFonts w:hint="eastAsia"/>
                <w:sz w:val="24"/>
                <w:lang w:val="en-US" w:eastAsia="zh-CN"/>
              </w:rPr>
              <w:t>玛纳斯县市</w:t>
            </w:r>
            <w:r>
              <w:rPr>
                <w:rFonts w:hint="eastAsia"/>
                <w:sz w:val="24"/>
              </w:rPr>
              <w:t>政供水管网供给，</w:t>
            </w:r>
            <w:r>
              <w:rPr>
                <w:rFonts w:hint="eastAsia"/>
                <w:sz w:val="24"/>
                <w:lang w:val="en-US" w:eastAsia="zh-CN"/>
              </w:rPr>
              <w:t>主要为绿化用水及中医康复诊疗中心用水。</w:t>
            </w:r>
          </w:p>
          <w:p>
            <w:pPr>
              <w:pStyle w:val="7"/>
              <w:pageBreakBefore w:val="0"/>
              <w:widowControl w:val="0"/>
              <w:kinsoku/>
              <w:wordWrap/>
              <w:overflowPunct/>
              <w:topLinePunct w:val="0"/>
              <w:autoSpaceDE/>
              <w:autoSpaceDN/>
              <w:bidi w:val="0"/>
              <w:adjustRightInd/>
              <w:snapToGrid/>
              <w:spacing w:before="0" w:after="0" w:line="520" w:lineRule="exact"/>
              <w:ind w:firstLine="480" w:firstLineChars="200"/>
              <w:textAlignment w:val="auto"/>
              <w:rPr>
                <w:rFonts w:hint="eastAsia" w:eastAsia="宋体"/>
                <w:lang w:val="en-US" w:eastAsia="zh-CN"/>
              </w:rPr>
            </w:pPr>
            <w:r>
              <w:rPr>
                <w:rFonts w:hint="eastAsia" w:ascii="Times New Roman" w:hAnsi="Times New Roman" w:eastAsia="宋体" w:cs="Times New Roman"/>
                <w:b w:val="0"/>
                <w:bCs w:val="0"/>
                <w:kern w:val="2"/>
                <w:sz w:val="24"/>
                <w:szCs w:val="24"/>
                <w:lang w:val="en-US" w:eastAsia="zh-CN" w:bidi="ar-SA"/>
              </w:rPr>
              <w:t>本项目绿化面积为1000m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，绿化用水量按2L/m</w:t>
            </w:r>
            <w:r>
              <w:rPr>
                <w:rFonts w:hint="eastAsia" w:ascii="Times New Roman" w:hAnsi="Times New Roman" w:eastAsia="宋体" w:cs="Times New Roman"/>
                <w:b w:val="0"/>
                <w:bCs w:val="0"/>
                <w:kern w:val="2"/>
                <w:sz w:val="24"/>
                <w:szCs w:val="24"/>
                <w:vertAlign w:val="superscript"/>
                <w:lang w:val="en-US" w:eastAsia="zh-CN" w:bidi="ar-SA"/>
              </w:rPr>
              <w:t>2</w:t>
            </w:r>
            <w:r>
              <w:rPr>
                <w:rFonts w:hint="eastAsia" w:ascii="Times New Roman" w:hAnsi="Times New Roman" w:eastAsia="宋体" w:cs="Times New Roman"/>
                <w:b w:val="0"/>
                <w:bCs w:val="0"/>
                <w:kern w:val="2"/>
                <w:sz w:val="24"/>
                <w:szCs w:val="24"/>
                <w:lang w:val="en-US" w:eastAsia="zh-CN" w:bidi="ar-SA"/>
              </w:rPr>
              <w:t>，年绿化天数270天，则绿化用水量为2m</w:t>
            </w:r>
            <w:r>
              <w:rPr>
                <w:rFonts w:hint="eastAsia" w:ascii="Times New Roman" w:hAnsi="Times New Roman" w:eastAsia="宋体" w:cs="Times New Roman"/>
                <w:b w:val="0"/>
                <w:bCs w:val="0"/>
                <w:kern w:val="2"/>
                <w:sz w:val="24"/>
                <w:szCs w:val="24"/>
                <w:vertAlign w:val="superscript"/>
                <w:lang w:val="en-US" w:eastAsia="zh-CN" w:bidi="ar-SA"/>
              </w:rPr>
              <w:t>3</w:t>
            </w:r>
            <w:r>
              <w:rPr>
                <w:rFonts w:hint="eastAsia" w:ascii="Times New Roman" w:hAnsi="Times New Roman" w:eastAsia="宋体" w:cs="Times New Roman"/>
                <w:b w:val="0"/>
                <w:bCs w:val="0"/>
                <w:kern w:val="2"/>
                <w:sz w:val="24"/>
                <w:szCs w:val="24"/>
                <w:lang w:val="en-US" w:eastAsia="zh-CN" w:bidi="ar-SA"/>
              </w:rPr>
              <w:t>/d（540m</w:t>
            </w:r>
            <w:r>
              <w:rPr>
                <w:rFonts w:hint="eastAsia" w:ascii="Times New Roman" w:hAnsi="Times New Roman" w:eastAsia="宋体" w:cs="Times New Roman"/>
                <w:b w:val="0"/>
                <w:bCs w:val="0"/>
                <w:kern w:val="2"/>
                <w:sz w:val="24"/>
                <w:szCs w:val="24"/>
                <w:vertAlign w:val="superscript"/>
                <w:lang w:val="en-US" w:eastAsia="zh-CN" w:bidi="ar-SA"/>
              </w:rPr>
              <w:t>3</w:t>
            </w:r>
            <w:r>
              <w:rPr>
                <w:rFonts w:hint="eastAsia" w:ascii="Times New Roman" w:hAnsi="Times New Roman" w:eastAsia="宋体" w:cs="Times New Roman"/>
                <w:b w:val="0"/>
                <w:bCs w:val="0"/>
                <w:kern w:val="2"/>
                <w:sz w:val="24"/>
                <w:szCs w:val="24"/>
                <w:lang w:val="en-US" w:eastAsia="zh-CN" w:bidi="ar-SA"/>
              </w:rPr>
              <w:t>/a）</w:t>
            </w:r>
            <w:r>
              <w:rPr>
                <w:rFonts w:hint="eastAsia"/>
                <w:bCs/>
                <w:color w:val="000000" w:themeColor="text1"/>
                <w:sz w:val="21"/>
                <w:szCs w:val="21"/>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sz w:val="24"/>
              </w:rPr>
            </w:pPr>
            <w:r>
              <w:rPr>
                <w:sz w:val="24"/>
                <w:szCs w:val="22"/>
              </w:rPr>
              <w:t>根据《新疆维吾尔自治区工业和生活用水定额》（新政办发</w:t>
            </w:r>
            <w:r>
              <w:rPr>
                <w:rFonts w:hint="eastAsia"/>
                <w:sz w:val="24"/>
                <w:szCs w:val="22"/>
              </w:rPr>
              <w:t>〔</w:t>
            </w:r>
            <w:r>
              <w:rPr>
                <w:sz w:val="24"/>
                <w:szCs w:val="22"/>
              </w:rPr>
              <w:t>2007</w:t>
            </w:r>
            <w:r>
              <w:rPr>
                <w:rFonts w:hint="eastAsia"/>
                <w:sz w:val="24"/>
                <w:szCs w:val="22"/>
              </w:rPr>
              <w:t>〕</w:t>
            </w:r>
            <w:r>
              <w:rPr>
                <w:sz w:val="24"/>
                <w:szCs w:val="22"/>
              </w:rPr>
              <w:t>105号），医护人员用水25L/人·d，门诊部用水定额为25L/人次·d。</w:t>
            </w:r>
            <w:r>
              <w:rPr>
                <w:rFonts w:hint="eastAsia"/>
                <w:sz w:val="24"/>
                <w:szCs w:val="22"/>
                <w:lang w:val="en-US" w:eastAsia="zh-CN"/>
              </w:rPr>
              <w:t>本项目</w:t>
            </w:r>
            <w:r>
              <w:rPr>
                <w:sz w:val="24"/>
                <w:szCs w:val="22"/>
              </w:rPr>
              <w:t>用水量按满负荷计</w:t>
            </w:r>
            <w:r>
              <w:rPr>
                <w:rFonts w:hint="eastAsia"/>
                <w:sz w:val="24"/>
                <w:szCs w:val="22"/>
                <w:lang w:eastAsia="zh-CN"/>
              </w:rPr>
              <w:t>；</w:t>
            </w:r>
            <w:r>
              <w:rPr>
                <w:sz w:val="24"/>
                <w:szCs w:val="22"/>
              </w:rPr>
              <w:t>根据原国家环保总局下发的《医院污水处理技术指南》（环发〔2003〕197号）文件，</w:t>
            </w:r>
            <w:r>
              <w:rPr>
                <w:rFonts w:hint="eastAsia"/>
                <w:sz w:val="24"/>
                <w:szCs w:val="22"/>
                <w:lang w:val="en-US" w:eastAsia="zh-CN"/>
              </w:rPr>
              <w:t>中</w:t>
            </w:r>
            <w:r>
              <w:rPr>
                <w:sz w:val="24"/>
                <w:szCs w:val="22"/>
              </w:rPr>
              <w:t>型医院：平均用水量为</w:t>
            </w:r>
            <w:r>
              <w:rPr>
                <w:rFonts w:hint="eastAsia"/>
                <w:sz w:val="24"/>
                <w:szCs w:val="22"/>
                <w:lang w:val="en-US" w:eastAsia="zh-CN"/>
              </w:rPr>
              <w:t>300</w:t>
            </w:r>
            <w:r>
              <w:rPr>
                <w:sz w:val="24"/>
                <w:szCs w:val="22"/>
              </w:rPr>
              <w:t>~</w:t>
            </w:r>
            <w:r>
              <w:rPr>
                <w:rFonts w:hint="eastAsia"/>
                <w:sz w:val="24"/>
                <w:szCs w:val="22"/>
                <w:lang w:val="en-US" w:eastAsia="zh-CN"/>
              </w:rPr>
              <w:t>4</w:t>
            </w:r>
            <w:r>
              <w:rPr>
                <w:sz w:val="24"/>
                <w:szCs w:val="22"/>
              </w:rPr>
              <w:t>00L/床·d，本项目取</w:t>
            </w:r>
            <w:r>
              <w:rPr>
                <w:rFonts w:hint="eastAsia"/>
                <w:sz w:val="24"/>
                <w:szCs w:val="22"/>
                <w:lang w:val="en-US" w:eastAsia="zh-CN"/>
              </w:rPr>
              <w:t>350</w:t>
            </w:r>
            <w:r>
              <w:rPr>
                <w:sz w:val="24"/>
                <w:szCs w:val="22"/>
              </w:rPr>
              <w:t>L/床·d，</w:t>
            </w:r>
            <w:r>
              <w:rPr>
                <w:sz w:val="24"/>
              </w:rPr>
              <w:t>本项目</w:t>
            </w:r>
            <w:r>
              <w:rPr>
                <w:rStyle w:val="34"/>
                <w:sz w:val="24"/>
                <w:szCs w:val="24"/>
              </w:rPr>
              <w:t>布草洗涤委托专门清洗机构进行清洗，则项目</w:t>
            </w:r>
            <w:r>
              <w:rPr>
                <w:sz w:val="24"/>
              </w:rPr>
              <w:t>运营后用水情况见表</w:t>
            </w:r>
            <w:r>
              <w:rPr>
                <w:rFonts w:hint="eastAsia"/>
                <w:sz w:val="24"/>
                <w:lang w:val="en-US" w:eastAsia="zh-CN"/>
              </w:rPr>
              <w:t>2-4</w:t>
            </w:r>
            <w:r>
              <w:rPr>
                <w:sz w:val="24"/>
              </w:rPr>
              <w:t>。</w:t>
            </w:r>
          </w:p>
          <w:p>
            <w:pPr>
              <w:keepNext w:val="0"/>
              <w:keepLines w:val="0"/>
              <w:pageBreakBefore w:val="0"/>
              <w:widowControl w:val="0"/>
              <w:kinsoku/>
              <w:wordWrap/>
              <w:overflowPunct/>
              <w:topLinePunct w:val="0"/>
              <w:autoSpaceDE/>
              <w:autoSpaceDN/>
              <w:bidi w:val="0"/>
              <w:adjustRightInd/>
              <w:snapToGrid/>
              <w:spacing w:beforeAutospacing="0" w:line="240" w:lineRule="auto"/>
              <w:jc w:val="center"/>
              <w:textAlignment w:val="auto"/>
              <w:rPr>
                <w:rFonts w:eastAsia="黑体"/>
                <w:bCs/>
                <w:sz w:val="24"/>
                <w:szCs w:val="24"/>
              </w:rPr>
            </w:pPr>
            <w:r>
              <w:rPr>
                <w:rFonts w:eastAsia="黑体"/>
                <w:bCs/>
                <w:sz w:val="24"/>
                <w:szCs w:val="24"/>
              </w:rPr>
              <w:t>表</w:t>
            </w:r>
            <w:r>
              <w:rPr>
                <w:rFonts w:hint="eastAsia" w:eastAsia="黑体"/>
                <w:bCs/>
                <w:sz w:val="24"/>
                <w:szCs w:val="24"/>
                <w:lang w:val="en-US" w:eastAsia="zh-CN"/>
              </w:rPr>
              <w:t>2-4</w:t>
            </w:r>
            <w:r>
              <w:rPr>
                <w:rFonts w:eastAsia="黑体"/>
                <w:bCs/>
                <w:sz w:val="24"/>
                <w:szCs w:val="24"/>
              </w:rPr>
              <w:t xml:space="preserve">    用水量估算表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49"/>
              <w:gridCol w:w="1222"/>
              <w:gridCol w:w="868"/>
              <w:gridCol w:w="910"/>
              <w:gridCol w:w="1138"/>
              <w:gridCol w:w="1105"/>
              <w:gridCol w:w="12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1013" w:type="pct"/>
                  <w:vMerge w:val="restart"/>
                  <w:vAlign w:val="center"/>
                </w:tcPr>
                <w:p>
                  <w:pPr>
                    <w:jc w:val="center"/>
                    <w:rPr>
                      <w:color w:val="000000" w:themeColor="text1"/>
                      <w:kern w:val="21"/>
                      <w:sz w:val="21"/>
                      <w:szCs w:val="21"/>
                      <w14:textFill>
                        <w14:solidFill>
                          <w14:schemeClr w14:val="tx1"/>
                        </w14:solidFill>
                      </w14:textFill>
                    </w:rPr>
                  </w:pPr>
                  <w:r>
                    <w:rPr>
                      <w:color w:val="000000" w:themeColor="text1"/>
                      <w:kern w:val="21"/>
                      <w:sz w:val="21"/>
                      <w:szCs w:val="21"/>
                      <w14:textFill>
                        <w14:solidFill>
                          <w14:schemeClr w14:val="tx1"/>
                        </w14:solidFill>
                      </w14:textFill>
                    </w:rPr>
                    <w:t>类别</w:t>
                  </w:r>
                </w:p>
              </w:tc>
              <w:tc>
                <w:tcPr>
                  <w:tcW w:w="751" w:type="pct"/>
                  <w:vMerge w:val="restart"/>
                  <w:vAlign w:val="center"/>
                </w:tcPr>
                <w:p>
                  <w:pPr>
                    <w:pStyle w:val="76"/>
                    <w:spacing w:line="240" w:lineRule="auto"/>
                    <w:rPr>
                      <w:color w:val="000000" w:themeColor="text1"/>
                      <w:kern w:val="21"/>
                      <w:sz w:val="21"/>
                      <w:szCs w:val="21"/>
                      <w14:textFill>
                        <w14:solidFill>
                          <w14:schemeClr w14:val="tx1"/>
                        </w14:solidFill>
                      </w14:textFill>
                    </w:rPr>
                  </w:pPr>
                  <w:r>
                    <w:rPr>
                      <w:color w:val="000000" w:themeColor="text1"/>
                      <w:kern w:val="21"/>
                      <w:sz w:val="21"/>
                      <w:szCs w:val="21"/>
                      <w14:textFill>
                        <w14:solidFill>
                          <w14:schemeClr w14:val="tx1"/>
                        </w14:solidFill>
                      </w14:textFill>
                    </w:rPr>
                    <w:t>用水定额</w:t>
                  </w:r>
                </w:p>
              </w:tc>
              <w:tc>
                <w:tcPr>
                  <w:tcW w:w="533" w:type="pct"/>
                  <w:vMerge w:val="restart"/>
                  <w:vAlign w:val="center"/>
                </w:tcPr>
                <w:p>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用水</w:t>
                  </w:r>
                </w:p>
                <w:p>
                  <w:pPr>
                    <w:jc w:val="center"/>
                    <w:rPr>
                      <w:color w:val="000000" w:themeColor="text1"/>
                      <w:kern w:val="21"/>
                      <w:sz w:val="21"/>
                      <w:szCs w:val="21"/>
                      <w14:textFill>
                        <w14:solidFill>
                          <w14:schemeClr w14:val="tx1"/>
                        </w14:solidFill>
                      </w14:textFill>
                    </w:rPr>
                  </w:pPr>
                  <w:r>
                    <w:rPr>
                      <w:bCs/>
                      <w:color w:val="000000" w:themeColor="text1"/>
                      <w:sz w:val="21"/>
                      <w:szCs w:val="21"/>
                      <w14:textFill>
                        <w14:solidFill>
                          <w14:schemeClr w14:val="tx1"/>
                        </w14:solidFill>
                      </w14:textFill>
                    </w:rPr>
                    <w:t>规模</w:t>
                  </w:r>
                </w:p>
              </w:tc>
              <w:tc>
                <w:tcPr>
                  <w:tcW w:w="1258" w:type="pct"/>
                  <w:gridSpan w:val="2"/>
                  <w:vAlign w:val="center"/>
                </w:tcPr>
                <w:p>
                  <w:pPr>
                    <w:jc w:val="center"/>
                    <w:rPr>
                      <w:color w:val="000000" w:themeColor="text1"/>
                      <w:kern w:val="21"/>
                      <w:sz w:val="21"/>
                      <w:szCs w:val="21"/>
                      <w14:textFill>
                        <w14:solidFill>
                          <w14:schemeClr w14:val="tx1"/>
                        </w14:solidFill>
                      </w14:textFill>
                    </w:rPr>
                  </w:pPr>
                  <w:r>
                    <w:rPr>
                      <w:color w:val="000000" w:themeColor="text1"/>
                      <w:kern w:val="21"/>
                      <w:sz w:val="21"/>
                      <w:szCs w:val="21"/>
                      <w14:textFill>
                        <w14:solidFill>
                          <w14:schemeClr w14:val="tx1"/>
                        </w14:solidFill>
                      </w14:textFill>
                    </w:rPr>
                    <w:t>用水量</w:t>
                  </w:r>
                </w:p>
              </w:tc>
              <w:tc>
                <w:tcPr>
                  <w:tcW w:w="1442" w:type="pct"/>
                  <w:gridSpan w:val="2"/>
                  <w:vAlign w:val="center"/>
                </w:tcPr>
                <w:p>
                  <w:pPr>
                    <w:jc w:val="center"/>
                    <w:rPr>
                      <w:color w:val="000000" w:themeColor="text1"/>
                      <w:kern w:val="21"/>
                      <w:sz w:val="21"/>
                      <w:szCs w:val="21"/>
                      <w14:textFill>
                        <w14:solidFill>
                          <w14:schemeClr w14:val="tx1"/>
                        </w14:solidFill>
                      </w14:textFill>
                    </w:rPr>
                  </w:pPr>
                  <w:r>
                    <w:rPr>
                      <w:rFonts w:hint="eastAsia"/>
                      <w:color w:val="000000" w:themeColor="text1"/>
                      <w:kern w:val="21"/>
                      <w:sz w:val="21"/>
                      <w:szCs w:val="21"/>
                      <w14:textFill>
                        <w14:solidFill>
                          <w14:schemeClr w14:val="tx1"/>
                        </w14:solidFill>
                      </w14:textFill>
                    </w:rPr>
                    <w:t>排水量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013" w:type="pct"/>
                  <w:vMerge w:val="continue"/>
                  <w:vAlign w:val="center"/>
                </w:tcPr>
                <w:p>
                  <w:pPr>
                    <w:jc w:val="center"/>
                    <w:rPr>
                      <w:color w:val="000000" w:themeColor="text1"/>
                      <w:kern w:val="21"/>
                      <w:sz w:val="21"/>
                      <w:szCs w:val="21"/>
                      <w14:textFill>
                        <w14:solidFill>
                          <w14:schemeClr w14:val="tx1"/>
                        </w14:solidFill>
                      </w14:textFill>
                    </w:rPr>
                  </w:pPr>
                </w:p>
              </w:tc>
              <w:tc>
                <w:tcPr>
                  <w:tcW w:w="751" w:type="pct"/>
                  <w:vMerge w:val="continue"/>
                  <w:vAlign w:val="center"/>
                </w:tcPr>
                <w:p>
                  <w:pPr>
                    <w:pStyle w:val="76"/>
                    <w:spacing w:line="240" w:lineRule="auto"/>
                    <w:rPr>
                      <w:color w:val="000000" w:themeColor="text1"/>
                      <w:kern w:val="21"/>
                      <w:sz w:val="21"/>
                      <w:szCs w:val="21"/>
                      <w14:textFill>
                        <w14:solidFill>
                          <w14:schemeClr w14:val="tx1"/>
                        </w14:solidFill>
                      </w14:textFill>
                    </w:rPr>
                  </w:pPr>
                </w:p>
              </w:tc>
              <w:tc>
                <w:tcPr>
                  <w:tcW w:w="533" w:type="pct"/>
                  <w:vMerge w:val="continue"/>
                  <w:vAlign w:val="center"/>
                </w:tcPr>
                <w:p>
                  <w:pPr>
                    <w:jc w:val="center"/>
                    <w:rPr>
                      <w:bCs/>
                      <w:color w:val="000000" w:themeColor="text1"/>
                      <w:sz w:val="21"/>
                      <w:szCs w:val="21"/>
                      <w14:textFill>
                        <w14:solidFill>
                          <w14:schemeClr w14:val="tx1"/>
                        </w14:solidFill>
                      </w14:textFill>
                    </w:rPr>
                  </w:pPr>
                </w:p>
              </w:tc>
              <w:tc>
                <w:tcPr>
                  <w:tcW w:w="559" w:type="pct"/>
                  <w:vAlign w:val="center"/>
                </w:tcPr>
                <w:p>
                  <w:pPr>
                    <w:jc w:val="center"/>
                    <w:rPr>
                      <w:color w:val="000000" w:themeColor="text1"/>
                      <w:kern w:val="21"/>
                      <w:sz w:val="21"/>
                      <w:szCs w:val="21"/>
                      <w14:textFill>
                        <w14:solidFill>
                          <w14:schemeClr w14:val="tx1"/>
                        </w14:solidFill>
                      </w14:textFill>
                    </w:rPr>
                  </w:pPr>
                  <w:r>
                    <w:rPr>
                      <w:bCs/>
                      <w:color w:val="000000" w:themeColor="text1"/>
                      <w:sz w:val="21"/>
                      <w:szCs w:val="21"/>
                      <w14:textFill>
                        <w14:solidFill>
                          <w14:schemeClr w14:val="tx1"/>
                        </w14:solidFill>
                      </w14:textFill>
                    </w:rPr>
                    <w:t>m</w:t>
                  </w:r>
                  <w:r>
                    <w:rPr>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/d</w:t>
                  </w:r>
                </w:p>
              </w:tc>
              <w:tc>
                <w:tcPr>
                  <w:tcW w:w="699" w:type="pct"/>
                  <w:vAlign w:val="center"/>
                </w:tcPr>
                <w:p>
                  <w:pPr>
                    <w:jc w:val="center"/>
                    <w:rPr>
                      <w:color w:val="000000" w:themeColor="text1"/>
                      <w:kern w:val="21"/>
                      <w:sz w:val="21"/>
                      <w:szCs w:val="21"/>
                      <w14:textFill>
                        <w14:solidFill>
                          <w14:schemeClr w14:val="tx1"/>
                        </w14:solidFill>
                      </w14:textFill>
                    </w:rPr>
                  </w:pPr>
                  <w:r>
                    <w:rPr>
                      <w:bCs/>
                      <w:color w:val="000000" w:themeColor="text1"/>
                      <w:sz w:val="21"/>
                      <w:szCs w:val="21"/>
                      <w14:textFill>
                        <w14:solidFill>
                          <w14:schemeClr w14:val="tx1"/>
                        </w14:solidFill>
                      </w14:textFill>
                    </w:rPr>
                    <w:t>m</w:t>
                  </w:r>
                  <w:r>
                    <w:rPr>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/a</w:t>
                  </w:r>
                </w:p>
              </w:tc>
              <w:tc>
                <w:tcPr>
                  <w:tcW w:w="679" w:type="pct"/>
                  <w:vAlign w:val="center"/>
                </w:tcPr>
                <w:p>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m</w:t>
                  </w:r>
                  <w:r>
                    <w:rPr>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/d</w:t>
                  </w:r>
                </w:p>
              </w:tc>
              <w:tc>
                <w:tcPr>
                  <w:tcW w:w="763" w:type="pct"/>
                  <w:vAlign w:val="center"/>
                </w:tcPr>
                <w:p>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m</w:t>
                  </w:r>
                  <w:r>
                    <w:rPr>
                      <w:bCs/>
                      <w:color w:val="000000" w:themeColor="text1"/>
                      <w:sz w:val="21"/>
                      <w:szCs w:val="21"/>
                      <w:vertAlign w:val="superscript"/>
                      <w14:textFill>
                        <w14:solidFill>
                          <w14:schemeClr w14:val="tx1"/>
                        </w14:solidFill>
                      </w14:textFill>
                    </w:rPr>
                    <w:t>3</w:t>
                  </w:r>
                  <w:r>
                    <w:rPr>
                      <w:bCs/>
                      <w:color w:val="000000" w:themeColor="text1"/>
                      <w:sz w:val="21"/>
                      <w:szCs w:val="21"/>
                      <w14:textFill>
                        <w14:solidFill>
                          <w14:schemeClr w14:val="tx1"/>
                        </w14:solidFill>
                      </w14:textFill>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013" w:type="pct"/>
                  <w:vAlign w:val="center"/>
                </w:tcPr>
                <w:p>
                  <w:pPr>
                    <w:jc w:val="center"/>
                    <w:rPr>
                      <w:color w:val="000000" w:themeColor="text1"/>
                      <w:spacing w:val="-10"/>
                      <w:sz w:val="21"/>
                      <w:szCs w:val="21"/>
                      <w14:textFill>
                        <w14:solidFill>
                          <w14:schemeClr w14:val="tx1"/>
                        </w14:solidFill>
                      </w14:textFill>
                    </w:rPr>
                  </w:pPr>
                  <w:r>
                    <w:rPr>
                      <w:color w:val="000000" w:themeColor="text1"/>
                      <w:sz w:val="21"/>
                      <w:szCs w:val="21"/>
                      <w14:textFill>
                        <w14:solidFill>
                          <w14:schemeClr w14:val="tx1"/>
                        </w14:solidFill>
                      </w14:textFill>
                    </w:rPr>
                    <w:t>住院</w:t>
                  </w:r>
                  <w:r>
                    <w:rPr>
                      <w:rFonts w:hint="eastAsia"/>
                      <w:color w:val="000000" w:themeColor="text1"/>
                      <w:sz w:val="21"/>
                      <w:szCs w:val="21"/>
                      <w14:textFill>
                        <w14:solidFill>
                          <w14:schemeClr w14:val="tx1"/>
                        </w14:solidFill>
                      </w14:textFill>
                    </w:rPr>
                    <w:t>患者</w:t>
                  </w:r>
                </w:p>
              </w:tc>
              <w:tc>
                <w:tcPr>
                  <w:tcW w:w="751"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w:t>
                  </w:r>
                  <w:r>
                    <w:rPr>
                      <w:color w:val="000000" w:themeColor="text1"/>
                      <w:sz w:val="21"/>
                      <w:szCs w:val="21"/>
                      <w14:textFill>
                        <w14:solidFill>
                          <w14:schemeClr w14:val="tx1"/>
                        </w14:solidFill>
                      </w14:textFill>
                    </w:rPr>
                    <w:t>50L/床·d</w:t>
                  </w:r>
                </w:p>
              </w:tc>
              <w:tc>
                <w:tcPr>
                  <w:tcW w:w="533"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120</w:t>
                  </w:r>
                  <w:r>
                    <w:rPr>
                      <w:color w:val="000000" w:themeColor="text1"/>
                      <w:sz w:val="21"/>
                      <w:szCs w:val="21"/>
                      <w14:textFill>
                        <w14:solidFill>
                          <w14:schemeClr w14:val="tx1"/>
                        </w14:solidFill>
                      </w14:textFill>
                    </w:rPr>
                    <w:t>张</w:t>
                  </w:r>
                </w:p>
              </w:tc>
              <w:tc>
                <w:tcPr>
                  <w:tcW w:w="55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42</w:t>
                  </w:r>
                </w:p>
              </w:tc>
              <w:tc>
                <w:tcPr>
                  <w:tcW w:w="69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15330</w:t>
                  </w:r>
                </w:p>
              </w:tc>
              <w:tc>
                <w:tcPr>
                  <w:tcW w:w="67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33.6</w:t>
                  </w:r>
                </w:p>
              </w:tc>
              <w:tc>
                <w:tcPr>
                  <w:tcW w:w="763"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12264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013"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医护人员</w:t>
                  </w:r>
                </w:p>
              </w:tc>
              <w:tc>
                <w:tcPr>
                  <w:tcW w:w="75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25L/人·d</w:t>
                  </w:r>
                </w:p>
              </w:tc>
              <w:tc>
                <w:tcPr>
                  <w:tcW w:w="533"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70</w:t>
                  </w:r>
                  <w:r>
                    <w:rPr>
                      <w:color w:val="000000" w:themeColor="text1"/>
                      <w:sz w:val="21"/>
                      <w:szCs w:val="21"/>
                      <w14:textFill>
                        <w14:solidFill>
                          <w14:schemeClr w14:val="tx1"/>
                        </w14:solidFill>
                      </w14:textFill>
                    </w:rPr>
                    <w:t>人</w:t>
                  </w:r>
                </w:p>
              </w:tc>
              <w:tc>
                <w:tcPr>
                  <w:tcW w:w="55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1.75</w:t>
                  </w:r>
                </w:p>
              </w:tc>
              <w:tc>
                <w:tcPr>
                  <w:tcW w:w="69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638.75</w:t>
                  </w:r>
                </w:p>
              </w:tc>
              <w:tc>
                <w:tcPr>
                  <w:tcW w:w="67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1.4</w:t>
                  </w:r>
                </w:p>
              </w:tc>
              <w:tc>
                <w:tcPr>
                  <w:tcW w:w="763"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1013"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门诊患者</w:t>
                  </w:r>
                </w:p>
              </w:tc>
              <w:tc>
                <w:tcPr>
                  <w:tcW w:w="751" w:type="pct"/>
                  <w:vAlign w:val="center"/>
                </w:tcPr>
                <w:p>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25L/人·d</w:t>
                  </w:r>
                </w:p>
              </w:tc>
              <w:tc>
                <w:tcPr>
                  <w:tcW w:w="533"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r>
                    <w:rPr>
                      <w:color w:val="000000" w:themeColor="text1"/>
                      <w:sz w:val="21"/>
                      <w:szCs w:val="21"/>
                      <w14:textFill>
                        <w14:solidFill>
                          <w14:schemeClr w14:val="tx1"/>
                        </w14:solidFill>
                      </w14:textFill>
                    </w:rPr>
                    <w:t>人</w:t>
                  </w:r>
                </w:p>
              </w:tc>
              <w:tc>
                <w:tcPr>
                  <w:tcW w:w="559"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2.5</w:t>
                  </w:r>
                </w:p>
              </w:tc>
              <w:tc>
                <w:tcPr>
                  <w:tcW w:w="699"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912.5</w:t>
                  </w:r>
                </w:p>
              </w:tc>
              <w:tc>
                <w:tcPr>
                  <w:tcW w:w="679"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w:t>
                  </w:r>
                </w:p>
              </w:tc>
              <w:tc>
                <w:tcPr>
                  <w:tcW w:w="763"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013" w:type="pct"/>
                  <w:vAlign w:val="center"/>
                </w:tcPr>
                <w:p>
                  <w:pPr>
                    <w:ind w:left="-105" w:leftChars="-50" w:right="-105" w:rightChars="-5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陪护人生活用水</w:t>
                  </w:r>
                </w:p>
              </w:tc>
              <w:tc>
                <w:tcPr>
                  <w:tcW w:w="751" w:type="pct"/>
                  <w:vAlign w:val="center"/>
                </w:tcPr>
                <w:p>
                  <w:pPr>
                    <w:ind w:left="-105" w:leftChars="-50" w:right="-105" w:rightChars="-5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25L/人·d</w:t>
                  </w:r>
                </w:p>
              </w:tc>
              <w:tc>
                <w:tcPr>
                  <w:tcW w:w="533" w:type="pct"/>
                  <w:vAlign w:val="center"/>
                </w:tcPr>
                <w:p>
                  <w:pPr>
                    <w:jc w:val="center"/>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120</w:t>
                  </w:r>
                  <w:r>
                    <w:rPr>
                      <w:color w:val="000000" w:themeColor="text1"/>
                      <w:sz w:val="21"/>
                      <w:szCs w:val="21"/>
                      <w14:textFill>
                        <w14:solidFill>
                          <w14:schemeClr w14:val="tx1"/>
                        </w14:solidFill>
                      </w14:textFill>
                    </w:rPr>
                    <w:t>人</w:t>
                  </w:r>
                </w:p>
              </w:tc>
              <w:tc>
                <w:tcPr>
                  <w:tcW w:w="55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w:t>
                  </w:r>
                </w:p>
              </w:tc>
              <w:tc>
                <w:tcPr>
                  <w:tcW w:w="69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1095</w:t>
                  </w:r>
                </w:p>
              </w:tc>
              <w:tc>
                <w:tcPr>
                  <w:tcW w:w="67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w:t>
                  </w:r>
                </w:p>
              </w:tc>
              <w:tc>
                <w:tcPr>
                  <w:tcW w:w="763"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013" w:type="pct"/>
                  <w:vAlign w:val="center"/>
                </w:tcPr>
                <w:p>
                  <w:pPr>
                    <w:ind w:left="-105" w:leftChars="-50" w:right="-105" w:rightChars="-5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绿化用水</w:t>
                  </w:r>
                </w:p>
              </w:tc>
              <w:tc>
                <w:tcPr>
                  <w:tcW w:w="751" w:type="pct"/>
                  <w:vAlign w:val="center"/>
                </w:tcPr>
                <w:p>
                  <w:pPr>
                    <w:ind w:left="-105" w:leftChars="-50" w:right="-105" w:rightChars="-5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r>
                    <w:rPr>
                      <w:color w:val="000000" w:themeColor="text1"/>
                      <w:sz w:val="21"/>
                      <w:szCs w:val="21"/>
                      <w14:textFill>
                        <w14:solidFill>
                          <w14:schemeClr w14:val="tx1"/>
                        </w14:solidFill>
                      </w14:textFill>
                    </w:rPr>
                    <w:t>L/</w:t>
                  </w:r>
                  <w:r>
                    <w:rPr>
                      <w:bCs/>
                      <w:color w:val="000000" w:themeColor="text1"/>
                      <w:sz w:val="21"/>
                      <w:szCs w:val="21"/>
                      <w14:textFill>
                        <w14:solidFill>
                          <w14:schemeClr w14:val="tx1"/>
                        </w14:solidFill>
                      </w14:textFill>
                    </w:rPr>
                    <w:t>m</w:t>
                  </w:r>
                  <w:r>
                    <w:rPr>
                      <w:rFonts w:hint="eastAsia"/>
                      <w:bCs/>
                      <w:color w:val="000000" w:themeColor="text1"/>
                      <w:sz w:val="21"/>
                      <w:szCs w:val="21"/>
                      <w:vertAlign w:val="superscript"/>
                      <w:lang w:val="en-US" w:eastAsia="zh-CN"/>
                      <w14:textFill>
                        <w14:solidFill>
                          <w14:schemeClr w14:val="tx1"/>
                        </w14:solidFill>
                      </w14:textFill>
                    </w:rPr>
                    <w:t>2</w:t>
                  </w:r>
                </w:p>
              </w:tc>
              <w:tc>
                <w:tcPr>
                  <w:tcW w:w="533"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1000</w:t>
                  </w:r>
                  <w:r>
                    <w:rPr>
                      <w:bCs/>
                      <w:color w:val="000000" w:themeColor="text1"/>
                      <w:sz w:val="21"/>
                      <w:szCs w:val="21"/>
                      <w14:textFill>
                        <w14:solidFill>
                          <w14:schemeClr w14:val="tx1"/>
                        </w14:solidFill>
                      </w14:textFill>
                    </w:rPr>
                    <w:t>m</w:t>
                  </w:r>
                  <w:r>
                    <w:rPr>
                      <w:bCs/>
                      <w:color w:val="000000" w:themeColor="text1"/>
                      <w:sz w:val="21"/>
                      <w:szCs w:val="21"/>
                      <w:vertAlign w:val="superscript"/>
                      <w14:textFill>
                        <w14:solidFill>
                          <w14:schemeClr w14:val="tx1"/>
                        </w14:solidFill>
                      </w14:textFill>
                    </w:rPr>
                    <w:t>3</w:t>
                  </w:r>
                </w:p>
              </w:tc>
              <w:tc>
                <w:tcPr>
                  <w:tcW w:w="559"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w:t>
                  </w:r>
                </w:p>
              </w:tc>
              <w:tc>
                <w:tcPr>
                  <w:tcW w:w="699"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540</w:t>
                  </w:r>
                </w:p>
              </w:tc>
              <w:tc>
                <w:tcPr>
                  <w:tcW w:w="679"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63" w:type="pct"/>
                  <w:vAlign w:val="center"/>
                </w:tcPr>
                <w:p>
                  <w:pPr>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013" w:type="pct"/>
                  <w:vAlign w:val="center"/>
                </w:tcPr>
                <w:p>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合计</w:t>
                  </w:r>
                </w:p>
              </w:tc>
              <w:tc>
                <w:tcPr>
                  <w:tcW w:w="751" w:type="pct"/>
                  <w:vAlign w:val="center"/>
                </w:tcPr>
                <w:p>
                  <w:pPr>
                    <w:jc w:val="center"/>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p>
              </w:tc>
              <w:tc>
                <w:tcPr>
                  <w:tcW w:w="533" w:type="pct"/>
                  <w:vAlign w:val="center"/>
                </w:tcPr>
                <w:p>
                  <w:pPr>
                    <w:jc w:val="center"/>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w:t>
                  </w:r>
                </w:p>
              </w:tc>
              <w:tc>
                <w:tcPr>
                  <w:tcW w:w="55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51.25</w:t>
                  </w:r>
                </w:p>
              </w:tc>
              <w:tc>
                <w:tcPr>
                  <w:tcW w:w="69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18516.25</w:t>
                  </w:r>
                </w:p>
              </w:tc>
              <w:tc>
                <w:tcPr>
                  <w:tcW w:w="679"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39.4</w:t>
                  </w:r>
                </w:p>
              </w:tc>
              <w:tc>
                <w:tcPr>
                  <w:tcW w:w="763" w:type="pct"/>
                  <w:vAlign w:val="center"/>
                </w:tcPr>
                <w:p>
                  <w:pPr>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14381</w:t>
                  </w:r>
                </w:p>
              </w:tc>
            </w:tr>
          </w:tbl>
          <w:p>
            <w:pPr>
              <w:rPr>
                <w:rFonts w:hint="default" w:ascii="Times New Roman" w:hAnsi="Times New Roman" w:cs="Times New Roman"/>
                <w:sz w:val="18"/>
                <w:szCs w:val="18"/>
              </w:rPr>
            </w:pPr>
            <w:r>
              <w:rPr>
                <w:rFonts w:hint="default" w:ascii="Times New Roman" w:hAnsi="Times New Roman" w:cs="Times New Roman"/>
                <w:b/>
                <w:bCs/>
                <w:sz w:val="18"/>
                <w:szCs w:val="18"/>
              </w:rPr>
              <w:t>注：</w:t>
            </w:r>
            <w:r>
              <w:rPr>
                <w:rFonts w:hint="default" w:ascii="Times New Roman" w:hAnsi="Times New Roman" w:cs="Times New Roman"/>
                <w:bCs/>
                <w:sz w:val="18"/>
                <w:szCs w:val="18"/>
              </w:rPr>
              <w:t>①</w:t>
            </w:r>
            <w:r>
              <w:rPr>
                <w:rFonts w:hint="default" w:ascii="Times New Roman" w:hAnsi="Times New Roman" w:cs="Times New Roman"/>
                <w:b/>
                <w:bCs/>
                <w:sz w:val="18"/>
                <w:szCs w:val="18"/>
              </w:rPr>
              <w:t xml:space="preserve"> </w:t>
            </w:r>
            <w:r>
              <w:rPr>
                <w:rFonts w:hint="default" w:ascii="Times New Roman" w:hAnsi="Times New Roman" w:cs="Times New Roman"/>
                <w:sz w:val="18"/>
                <w:szCs w:val="18"/>
              </w:rPr>
              <w:t>陪护人数按住院病人人数1∶1计；用水定额依据《</w:t>
            </w:r>
            <w:r>
              <w:rPr>
                <w:rFonts w:hint="default" w:ascii="Times New Roman" w:hAnsi="Times New Roman" w:cs="Times New Roman"/>
                <w:bCs/>
                <w:sz w:val="18"/>
                <w:szCs w:val="18"/>
              </w:rPr>
              <w:t>建筑给水排水设计规范》（GB50015-2009）、</w:t>
            </w:r>
            <w:r>
              <w:rPr>
                <w:rFonts w:hint="default" w:ascii="Times New Roman" w:hAnsi="Times New Roman" w:cs="Times New Roman"/>
                <w:sz w:val="18"/>
                <w:szCs w:val="18"/>
              </w:rPr>
              <w:t>《新疆维吾尔自治区生活用水定额》和《医院污水处理工程技术规范》（HJ2029-2013）：4.2.2 100＜N≤499床的一般设备的中型医院，q=300L/床·d~400L/床·d，Kd=2.2~2.5，本次评价q取350L/床·d；</w:t>
            </w:r>
          </w:p>
          <w:p>
            <w:pPr>
              <w:ind w:firstLine="360"/>
              <w:rPr>
                <w:rFonts w:hint="default" w:ascii="Times New Roman" w:hAnsi="Times New Roman" w:cs="Times New Roman"/>
                <w:sz w:val="18"/>
                <w:szCs w:val="18"/>
              </w:rPr>
            </w:pPr>
            <w:r>
              <w:rPr>
                <w:rFonts w:hint="default" w:ascii="Times New Roman" w:hAnsi="Times New Roman" w:cs="Times New Roman"/>
                <w:sz w:val="18"/>
                <w:szCs w:val="18"/>
              </w:rPr>
              <w:t>② 未预见用水量是给水系统设计中，对难于预测的各项因素而准备的水量，不计入废水量。废水产生量按用水量的80%计算。</w:t>
            </w:r>
          </w:p>
          <w:p>
            <w:pPr>
              <w:ind w:firstLine="349" w:firstLineChars="194"/>
              <w:rPr>
                <w:rFonts w:hint="default" w:ascii="Times New Roman" w:hAnsi="Times New Roman" w:cs="Times New Roman"/>
                <w:bCs/>
                <w:sz w:val="18"/>
                <w:szCs w:val="18"/>
              </w:rPr>
            </w:pPr>
            <w:r>
              <w:rPr>
                <w:rFonts w:hint="default" w:ascii="Times New Roman" w:hAnsi="Times New Roman" w:cs="Times New Roman"/>
                <w:bCs/>
                <w:sz w:val="18"/>
                <w:szCs w:val="18"/>
              </w:rPr>
              <w:t>③ 医院备品洗涤委托当地洗涤中心集中处理，因此不存在洗涤废水。</w:t>
            </w:r>
          </w:p>
          <w:p>
            <w:pPr>
              <w:adjustRightInd w:val="0"/>
              <w:snapToGrid w:val="0"/>
              <w:spacing w:line="520" w:lineRule="exact"/>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由上表可知，本项目建成后中医康复诊疗中心用水总量为49..25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17976.25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rFonts w:hint="eastAsia" w:ascii="Times New Roman" w:hAnsi="Times New Roman" w:eastAsia="宋体" w:cs="Times New Roman"/>
                <w:b w:val="0"/>
                <w:bCs w:val="0"/>
                <w:kern w:val="2"/>
                <w:sz w:val="24"/>
                <w:szCs w:val="24"/>
                <w:lang w:val="en-US" w:eastAsia="zh-CN" w:bidi="ar-SA"/>
              </w:rPr>
              <w:t>绿化用水量为2m</w:t>
            </w:r>
            <w:r>
              <w:rPr>
                <w:rFonts w:hint="eastAsia" w:ascii="Times New Roman" w:hAnsi="Times New Roman" w:eastAsia="宋体" w:cs="Times New Roman"/>
                <w:b w:val="0"/>
                <w:bCs w:val="0"/>
                <w:kern w:val="2"/>
                <w:sz w:val="24"/>
                <w:szCs w:val="24"/>
                <w:vertAlign w:val="superscript"/>
                <w:lang w:val="en-US" w:eastAsia="zh-CN" w:bidi="ar-SA"/>
              </w:rPr>
              <w:t>3</w:t>
            </w:r>
            <w:r>
              <w:rPr>
                <w:rFonts w:hint="eastAsia" w:ascii="Times New Roman" w:hAnsi="Times New Roman" w:eastAsia="宋体" w:cs="Times New Roman"/>
                <w:b w:val="0"/>
                <w:bCs w:val="0"/>
                <w:kern w:val="2"/>
                <w:sz w:val="24"/>
                <w:szCs w:val="24"/>
                <w:lang w:val="en-US" w:eastAsia="zh-CN" w:bidi="ar-SA"/>
              </w:rPr>
              <w:t>/d（540m</w:t>
            </w:r>
            <w:r>
              <w:rPr>
                <w:rFonts w:hint="eastAsia" w:ascii="Times New Roman" w:hAnsi="Times New Roman" w:eastAsia="宋体" w:cs="Times New Roman"/>
                <w:b w:val="0"/>
                <w:bCs w:val="0"/>
                <w:kern w:val="2"/>
                <w:sz w:val="24"/>
                <w:szCs w:val="24"/>
                <w:vertAlign w:val="superscript"/>
                <w:lang w:val="en-US" w:eastAsia="zh-CN" w:bidi="ar-SA"/>
              </w:rPr>
              <w:t>3</w:t>
            </w:r>
            <w:r>
              <w:rPr>
                <w:rFonts w:hint="eastAsia" w:ascii="Times New Roman" w:hAnsi="Times New Roman" w:eastAsia="宋体" w:cs="Times New Roman"/>
                <w:b w:val="0"/>
                <w:bCs w:val="0"/>
                <w:kern w:val="2"/>
                <w:sz w:val="24"/>
                <w:szCs w:val="24"/>
                <w:lang w:val="en-US" w:eastAsia="zh-CN" w:bidi="ar-SA"/>
              </w:rPr>
              <w:t>/a）</w:t>
            </w:r>
            <w:r>
              <w:rPr>
                <w:rFonts w:hint="eastAsia"/>
                <w:color w:val="000000" w:themeColor="text1"/>
                <w:sz w:val="24"/>
                <w:lang w:val="en-US" w:eastAsia="zh-CN"/>
                <w14:textFill>
                  <w14:solidFill>
                    <w14:schemeClr w14:val="tx1"/>
                  </w14:solidFill>
                </w14:textFill>
              </w:rPr>
              <w:t>。</w:t>
            </w:r>
          </w:p>
          <w:p>
            <w:pPr>
              <w:adjustRightInd w:val="0"/>
              <w:snapToGrid w:val="0"/>
              <w:spacing w:line="520" w:lineRule="exact"/>
              <w:ind w:firstLine="480" w:firstLineChars="200"/>
              <w:rPr>
                <w:sz w:val="24"/>
              </w:rPr>
            </w:pPr>
            <w:r>
              <w:rPr>
                <w:sz w:val="24"/>
              </w:rPr>
              <w:t>（3）排水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医疗废水</w:t>
            </w:r>
            <w:r>
              <w:rPr>
                <w:rFonts w:hint="eastAsia"/>
                <w:color w:val="000000" w:themeColor="text1"/>
                <w:sz w:val="24"/>
                <w14:textFill>
                  <w14:solidFill>
                    <w14:schemeClr w14:val="tx1"/>
                  </w14:solidFill>
                </w14:textFill>
              </w:rPr>
              <w:t>排放量按用水量的80%计，</w:t>
            </w:r>
            <w:r>
              <w:rPr>
                <w:rFonts w:hint="eastAsia"/>
                <w:color w:val="000000" w:themeColor="text1"/>
                <w:sz w:val="24"/>
                <w:lang w:val="en-US" w:eastAsia="zh-CN"/>
                <w14:textFill>
                  <w14:solidFill>
                    <w14:schemeClr w14:val="tx1"/>
                  </w14:solidFill>
                </w14:textFill>
              </w:rPr>
              <w:t>排水量为39.4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（14381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val="en-US" w:eastAsia="zh-CN"/>
                <w14:textFill>
                  <w14:solidFill>
                    <w14:schemeClr w14:val="tx1"/>
                  </w14:solidFill>
                </w14:textFill>
              </w:rPr>
              <w:t>）</w:t>
            </w:r>
            <w:r>
              <w:rPr>
                <w:rFonts w:hint="eastAsia"/>
                <w:sz w:val="24"/>
                <w:lang w:val="en-US" w:eastAsia="zh-CN"/>
              </w:rPr>
              <w:t>，</w:t>
            </w:r>
            <w:r>
              <w:rPr>
                <w:rFonts w:hint="eastAsia"/>
                <w:color w:val="000000" w:themeColor="text1"/>
                <w:sz w:val="24"/>
                <w:lang w:val="en-US" w:eastAsia="zh-CN"/>
                <w14:textFill>
                  <w14:solidFill>
                    <w14:schemeClr w14:val="tx1"/>
                  </w14:solidFill>
                </w14:textFill>
              </w:rPr>
              <w:t>玛纳斯县中医医院</w:t>
            </w:r>
            <w:r>
              <w:rPr>
                <w:rFonts w:hint="default"/>
                <w:color w:val="000000" w:themeColor="text1"/>
                <w:sz w:val="24"/>
                <w14:textFill>
                  <w14:solidFill>
                    <w14:schemeClr w14:val="tx1"/>
                  </w14:solidFill>
                </w14:textFill>
              </w:rPr>
              <w:t>现有污水处理系统处理规模为</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300</w:t>
            </w:r>
            <w:r>
              <w:rPr>
                <w:rFonts w:hint="default"/>
                <w:color w:val="000000" w:themeColor="text1"/>
                <w:sz w:val="24"/>
                <w14:textFill>
                  <w14:solidFill>
                    <w14:schemeClr w14:val="tx1"/>
                  </w14:solidFill>
                </w14:textFill>
              </w:rPr>
              <w:t>m³/d</w:t>
            </w:r>
            <w:r>
              <w:rPr>
                <w:rFonts w:hint="eastAsia"/>
                <w:color w:val="000000" w:themeColor="text1"/>
                <w:sz w:val="24"/>
                <w:lang w:eastAsia="zh-CN"/>
                <w14:textFill>
                  <w14:solidFill>
                    <w14:schemeClr w14:val="tx1"/>
                  </w14:solidFill>
                </w14:textFill>
              </w:rPr>
              <w:t>，</w:t>
            </w:r>
            <w:r>
              <w:rPr>
                <w:rFonts w:hint="default"/>
                <w:color w:val="000000" w:themeColor="text1"/>
                <w:sz w:val="24"/>
                <w14:textFill>
                  <w14:solidFill>
                    <w14:schemeClr w14:val="tx1"/>
                  </w14:solidFill>
                </w14:textFill>
              </w:rPr>
              <w:t>目前</w:t>
            </w:r>
            <w:r>
              <w:rPr>
                <w:rFonts w:hint="eastAsia"/>
                <w:color w:val="000000" w:themeColor="text1"/>
                <w:sz w:val="24"/>
                <w:lang w:val="en-US" w:eastAsia="zh-CN"/>
                <w14:textFill>
                  <w14:solidFill>
                    <w14:schemeClr w14:val="tx1"/>
                  </w14:solidFill>
                </w14:textFill>
              </w:rPr>
              <w:t>实际</w:t>
            </w:r>
            <w:r>
              <w:rPr>
                <w:rFonts w:hint="default"/>
                <w:color w:val="000000" w:themeColor="text1"/>
                <w:sz w:val="24"/>
                <w14:textFill>
                  <w14:solidFill>
                    <w14:schemeClr w14:val="tx1"/>
                  </w14:solidFill>
                </w14:textFill>
              </w:rPr>
              <w:t>处理量</w:t>
            </w:r>
            <w:r>
              <w:rPr>
                <w:rFonts w:hint="eastAsia"/>
                <w:color w:val="000000" w:themeColor="text1"/>
                <w:sz w:val="24"/>
                <w:lang w:val="en-US" w:eastAsia="zh-CN"/>
                <w14:textFill>
                  <w14:solidFill>
                    <w14:schemeClr w14:val="tx1"/>
                  </w14:solidFill>
                </w14:textFill>
              </w:rPr>
              <w:t>约</w:t>
            </w:r>
            <w:r>
              <w:rPr>
                <w:rFonts w:hint="default"/>
                <w:color w:val="000000" w:themeColor="text1"/>
                <w:sz w:val="24"/>
                <w14:textFill>
                  <w14:solidFill>
                    <w14:schemeClr w14:val="tx1"/>
                  </w14:solidFill>
                </w14:textFill>
              </w:rPr>
              <w:t>为</w:t>
            </w:r>
            <w:r>
              <w:rPr>
                <w:rFonts w:hint="eastAsia"/>
                <w:color w:val="000000" w:themeColor="text1"/>
                <w:sz w:val="24"/>
                <w:lang w:val="en-US" w:eastAsia="zh-CN"/>
                <w14:textFill>
                  <w14:solidFill>
                    <w14:schemeClr w14:val="tx1"/>
                  </w14:solidFill>
                </w14:textFill>
              </w:rPr>
              <w:t>17</w:t>
            </w:r>
            <w:r>
              <w:rPr>
                <w:rFonts w:hint="default"/>
                <w:color w:val="000000" w:themeColor="text1"/>
                <w:sz w:val="24"/>
                <w14:textFill>
                  <w14:solidFill>
                    <w14:schemeClr w14:val="tx1"/>
                  </w14:solidFill>
                </w14:textFill>
              </w:rPr>
              <w:t>m³/d，</w:t>
            </w:r>
            <w:r>
              <w:rPr>
                <w:rFonts w:hint="eastAsia"/>
                <w:color w:val="000000" w:themeColor="text1"/>
                <w:sz w:val="24"/>
                <w:lang w:val="en-US" w:eastAsia="zh-CN"/>
                <w14:textFill>
                  <w14:solidFill>
                    <w14:schemeClr w14:val="tx1"/>
                  </w14:solidFill>
                </w14:textFill>
              </w:rPr>
              <w:t>完全能</w:t>
            </w:r>
            <w:r>
              <w:rPr>
                <w:rFonts w:hint="default"/>
                <w:color w:val="000000" w:themeColor="text1"/>
                <w:sz w:val="24"/>
                <w14:textFill>
                  <w14:solidFill>
                    <w14:schemeClr w14:val="tx1"/>
                  </w14:solidFill>
                </w14:textFill>
              </w:rPr>
              <w:t>接纳</w:t>
            </w:r>
            <w:r>
              <w:rPr>
                <w:rFonts w:hint="eastAsia"/>
                <w:color w:val="000000" w:themeColor="text1"/>
                <w:sz w:val="24"/>
                <w:lang w:val="en-US" w:eastAsia="zh-CN"/>
                <w14:textFill>
                  <w14:solidFill>
                    <w14:schemeClr w14:val="tx1"/>
                  </w14:solidFill>
                </w14:textFill>
              </w:rPr>
              <w:t>本</w:t>
            </w:r>
            <w:r>
              <w:rPr>
                <w:rFonts w:hint="default"/>
                <w:color w:val="000000" w:themeColor="text1"/>
                <w:sz w:val="24"/>
                <w14:textFill>
                  <w14:solidFill>
                    <w14:schemeClr w14:val="tx1"/>
                  </w14:solidFill>
                </w14:textFill>
              </w:rPr>
              <w:t>项目排水</w:t>
            </w:r>
            <w:r>
              <w:rPr>
                <w:rFonts w:hint="eastAsia"/>
                <w:color w:val="000000" w:themeColor="text1"/>
                <w:sz w:val="24"/>
                <w:lang w:val="en-US" w:eastAsia="zh-CN"/>
                <w14:textFill>
                  <w14:solidFill>
                    <w14:schemeClr w14:val="tx1"/>
                  </w14:solidFill>
                </w14:textFill>
              </w:rPr>
              <w:t>量</w:t>
            </w:r>
            <w:r>
              <w:rPr>
                <w:rFonts w:hint="eastAsia"/>
                <w:color w:val="000000" w:themeColor="text1"/>
                <w:sz w:val="24"/>
                <w14:textFill>
                  <w14:solidFill>
                    <w14:schemeClr w14:val="tx1"/>
                  </w14:solidFill>
                </w14:textFill>
              </w:rPr>
              <w:t>。</w:t>
            </w:r>
          </w:p>
          <w:p>
            <w:pPr>
              <w:pStyle w:val="64"/>
            </w:pPr>
            <w:r>
              <w:rPr>
                <w:rFonts w:hint="eastAsia"/>
                <w:lang w:val="en-US" w:eastAsia="zh-CN"/>
              </w:rPr>
              <w:t>本</w:t>
            </w:r>
            <w:r>
              <w:t>项目水平衡详见图</w:t>
            </w:r>
            <w:r>
              <w:rPr>
                <w:rFonts w:hint="eastAsia"/>
              </w:rPr>
              <w:t>2-1</w:t>
            </w:r>
            <w:r>
              <w:t>。</w:t>
            </w:r>
          </w:p>
          <w:p>
            <w:pPr>
              <w:pStyle w:val="64"/>
            </w:pPr>
          </w:p>
          <w:p>
            <w:pPr>
              <w:pStyle w:val="64"/>
            </w:pPr>
          </w:p>
          <w:p>
            <w:pPr>
              <w:pStyle w:val="64"/>
            </w:pPr>
          </w:p>
          <w:p>
            <w:pPr>
              <w:pStyle w:val="64"/>
            </w:pPr>
          </w:p>
          <w:p>
            <w:pPr>
              <w:pStyle w:val="64"/>
            </w:pPr>
          </w:p>
          <w:p>
            <w:pPr>
              <w:pStyle w:val="60"/>
              <w:spacing w:before="100" w:beforeAutospacing="1" w:line="240" w:lineRule="auto"/>
              <w:ind w:firstLine="480"/>
              <w:jc w:val="center"/>
              <w:rPr>
                <w:rFonts w:hint="eastAsia" w:hAnsi="Times New Roman" w:eastAsia="黑体"/>
                <w:b w:val="0"/>
                <w:bCs w:val="0"/>
                <w:color w:val="FF0000"/>
                <w:szCs w:val="24"/>
              </w:rPr>
            </w:pPr>
            <w:r>
              <w:rPr>
                <w:snapToGrid w:val="0"/>
                <w:kern w:val="0"/>
              </w:rPr>
              <mc:AlternateContent>
                <mc:Choice Requires="wpc">
                  <w:drawing>
                    <wp:anchor distT="0" distB="0" distL="0" distR="0" simplePos="0" relativeHeight="251662336" behindDoc="0" locked="0" layoutInCell="1" allowOverlap="1">
                      <wp:simplePos x="0" y="0"/>
                      <wp:positionH relativeFrom="column">
                        <wp:posOffset>-23495</wp:posOffset>
                      </wp:positionH>
                      <wp:positionV relativeFrom="paragraph">
                        <wp:posOffset>86995</wp:posOffset>
                      </wp:positionV>
                      <wp:extent cx="5184775" cy="3199765"/>
                      <wp:effectExtent l="5080" t="4445" r="10795" b="15240"/>
                      <wp:wrapNone/>
                      <wp:docPr id="379" name="画布 15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74" name="矩形 1567"/>
                              <wps:cNvSpPr>
                                <a:spLocks noChangeArrowheads="1"/>
                              </wps:cNvSpPr>
                              <wps:spPr bwMode="auto">
                                <a:xfrm>
                                  <a:off x="1179195" y="2078355"/>
                                  <a:ext cx="715645"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638.75</w:t>
                                    </w:r>
                                  </w:p>
                                </w:txbxContent>
                              </wps:txbx>
                              <wps:bodyPr rot="0" vert="horz" wrap="square" lIns="91440" tIns="45720" rIns="91440" bIns="45720" anchor="t" anchorCtr="0" upright="1">
                                <a:noAutofit/>
                              </wps:bodyPr>
                            </wps:wsp>
                            <wps:wsp>
                              <wps:cNvPr id="76" name="矩形 1579"/>
                              <wps:cNvSpPr>
                                <a:spLocks noChangeArrowheads="1"/>
                              </wps:cNvSpPr>
                              <wps:spPr bwMode="auto">
                                <a:xfrm>
                                  <a:off x="586740" y="1469390"/>
                                  <a:ext cx="714375" cy="297180"/>
                                </a:xfrm>
                                <a:prstGeom prst="rect">
                                  <a:avLst/>
                                </a:prstGeom>
                                <a:noFill/>
                                <a:ln>
                                  <a:noFill/>
                                </a:ln>
                              </wps:spPr>
                              <wps:txbx>
                                <w:txbxContent>
                                  <w:p>
                                    <w:pPr>
                                      <w:jc w:val="center"/>
                                      <w:rPr>
                                        <w:rFonts w:hint="default" w:eastAsia="宋体"/>
                                        <w:b w:val="0"/>
                                        <w:bCs/>
                                        <w:sz w:val="21"/>
                                        <w:szCs w:val="21"/>
                                        <w:lang w:val="en-US" w:eastAsia="zh-CN"/>
                                      </w:rPr>
                                    </w:pPr>
                                    <w:r>
                                      <w:rPr>
                                        <w:rFonts w:hint="eastAsia"/>
                                        <w:b w:val="0"/>
                                        <w:bCs/>
                                        <w:sz w:val="21"/>
                                        <w:szCs w:val="21"/>
                                        <w:lang w:val="en-US" w:eastAsia="zh-CN"/>
                                      </w:rPr>
                                      <w:t>18516.25</w:t>
                                    </w:r>
                                  </w:p>
                                </w:txbxContent>
                              </wps:txbx>
                              <wps:bodyPr rot="0" vert="horz" wrap="square" lIns="91440" tIns="45720" rIns="91440" bIns="45720" anchor="t" anchorCtr="0" upright="1">
                                <a:noAutofit/>
                              </wps:bodyPr>
                            </wps:wsp>
                            <wps:wsp>
                              <wps:cNvPr id="77" name="直线 1581"/>
                              <wps:cNvCnPr>
                                <a:cxnSpLocks noChangeShapeType="1"/>
                              </wps:cNvCnPr>
                              <wps:spPr bwMode="auto">
                                <a:xfrm flipH="1">
                                  <a:off x="1274445" y="485775"/>
                                  <a:ext cx="17780" cy="2289810"/>
                                </a:xfrm>
                                <a:prstGeom prst="line">
                                  <a:avLst/>
                                </a:prstGeom>
                                <a:noFill/>
                                <a:ln w="9525">
                                  <a:solidFill>
                                    <a:srgbClr val="000000"/>
                                  </a:solidFill>
                                  <a:round/>
                                </a:ln>
                              </wps:spPr>
                              <wps:bodyPr/>
                            </wps:wsp>
                            <wps:wsp>
                              <wps:cNvPr id="78" name="直线 1583"/>
                              <wps:cNvCnPr>
                                <a:cxnSpLocks noChangeShapeType="1"/>
                              </wps:cNvCnPr>
                              <wps:spPr bwMode="auto">
                                <a:xfrm>
                                  <a:off x="667385" y="1731645"/>
                                  <a:ext cx="649605" cy="635"/>
                                </a:xfrm>
                                <a:prstGeom prst="line">
                                  <a:avLst/>
                                </a:prstGeom>
                                <a:noFill/>
                                <a:ln w="9525">
                                  <a:solidFill>
                                    <a:srgbClr val="000000"/>
                                  </a:solidFill>
                                  <a:round/>
                                  <a:tailEnd type="triangle" w="med" len="med"/>
                                </a:ln>
                              </wps:spPr>
                              <wps:bodyPr/>
                            </wps:wsp>
                            <wps:wsp>
                              <wps:cNvPr id="79" name="矩形 1588"/>
                              <wps:cNvSpPr>
                                <a:spLocks noChangeArrowheads="1"/>
                              </wps:cNvSpPr>
                              <wps:spPr bwMode="auto">
                                <a:xfrm>
                                  <a:off x="1157605" y="233680"/>
                                  <a:ext cx="658495"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15330</w:t>
                                    </w:r>
                                  </w:p>
                                </w:txbxContent>
                              </wps:txbx>
                              <wps:bodyPr rot="0" vert="horz" wrap="square" lIns="91440" tIns="45720" rIns="91440" bIns="45720" anchor="t" anchorCtr="0" upright="1">
                                <a:noAutofit/>
                              </wps:bodyPr>
                            </wps:wsp>
                            <wps:wsp>
                              <wps:cNvPr id="80" name="直线 1589"/>
                              <wps:cNvCnPr>
                                <a:cxnSpLocks noChangeShapeType="1"/>
                              </wps:cNvCnPr>
                              <wps:spPr bwMode="auto">
                                <a:xfrm>
                                  <a:off x="1291590" y="485140"/>
                                  <a:ext cx="481330" cy="635"/>
                                </a:xfrm>
                                <a:prstGeom prst="line">
                                  <a:avLst/>
                                </a:prstGeom>
                                <a:noFill/>
                                <a:ln w="9525">
                                  <a:solidFill>
                                    <a:srgbClr val="000000"/>
                                  </a:solidFill>
                                  <a:round/>
                                  <a:tailEnd type="triangle" w="med" len="med"/>
                                </a:ln>
                              </wps:spPr>
                              <wps:bodyPr/>
                            </wps:wsp>
                            <wps:wsp>
                              <wps:cNvPr id="81" name="矩形 1591"/>
                              <wps:cNvSpPr>
                                <a:spLocks noChangeArrowheads="1"/>
                              </wps:cNvSpPr>
                              <wps:spPr bwMode="auto">
                                <a:xfrm>
                                  <a:off x="1181735" y="859790"/>
                                  <a:ext cx="638810" cy="297180"/>
                                </a:xfrm>
                                <a:prstGeom prst="rect">
                                  <a:avLst/>
                                </a:prstGeom>
                                <a:noFill/>
                                <a:ln>
                                  <a:noFill/>
                                </a:ln>
                              </wps:spPr>
                              <wps:txbx>
                                <w:txbxContent>
                                  <w:p>
                                    <w:pPr>
                                      <w:jc w:val="center"/>
                                      <w:rPr>
                                        <w:rFonts w:hint="default" w:eastAsia="宋体"/>
                                        <w:sz w:val="18"/>
                                        <w:szCs w:val="18"/>
                                        <w:lang w:val="en-US" w:eastAsia="zh-CN"/>
                                      </w:rPr>
                                    </w:pPr>
                                    <w:r>
                                      <w:rPr>
                                        <w:rFonts w:hint="eastAsia"/>
                                        <w:sz w:val="18"/>
                                        <w:szCs w:val="18"/>
                                        <w:lang w:val="en-US" w:eastAsia="zh-CN"/>
                                      </w:rPr>
                                      <w:t>1095</w:t>
                                    </w:r>
                                  </w:p>
                                </w:txbxContent>
                              </wps:txbx>
                              <wps:bodyPr rot="0" vert="horz" wrap="square" lIns="91440" tIns="45720" rIns="91440" bIns="45720" anchor="t" anchorCtr="0" upright="1">
                                <a:noAutofit/>
                              </wps:bodyPr>
                            </wps:wsp>
                            <wps:wsp>
                              <wps:cNvPr id="82" name="矩形 1598"/>
                              <wps:cNvSpPr>
                                <a:spLocks noChangeArrowheads="1"/>
                              </wps:cNvSpPr>
                              <wps:spPr bwMode="auto">
                                <a:xfrm>
                                  <a:off x="1231265" y="1433830"/>
                                  <a:ext cx="601345" cy="297180"/>
                                </a:xfrm>
                                <a:prstGeom prst="rect">
                                  <a:avLst/>
                                </a:prstGeom>
                                <a:noFill/>
                                <a:ln>
                                  <a:noFill/>
                                </a:ln>
                              </wps:spPr>
                              <wps:txbx>
                                <w:txbxContent>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912.5</w:t>
                                    </w:r>
                                  </w:p>
                                </w:txbxContent>
                              </wps:txbx>
                              <wps:bodyPr rot="0" vert="horz" wrap="square" lIns="91440" tIns="45720" rIns="91440" bIns="45720" anchor="t" anchorCtr="0" upright="1">
                                <a:noAutofit/>
                              </wps:bodyPr>
                            </wps:wsp>
                            <wps:wsp>
                              <wps:cNvPr id="83" name="直线 1603"/>
                              <wps:cNvCnPr>
                                <a:cxnSpLocks noChangeShapeType="1"/>
                              </wps:cNvCnPr>
                              <wps:spPr bwMode="auto">
                                <a:xfrm>
                                  <a:off x="1303655" y="1091565"/>
                                  <a:ext cx="481330" cy="635"/>
                                </a:xfrm>
                                <a:prstGeom prst="line">
                                  <a:avLst/>
                                </a:prstGeom>
                                <a:noFill/>
                                <a:ln w="9525">
                                  <a:solidFill>
                                    <a:srgbClr val="000000"/>
                                  </a:solidFill>
                                  <a:round/>
                                  <a:tailEnd type="triangle" w="med" len="med"/>
                                </a:ln>
                              </wps:spPr>
                              <wps:bodyPr/>
                            </wps:wsp>
                            <wps:wsp>
                              <wps:cNvPr id="84" name="直线 1604"/>
                              <wps:cNvCnPr>
                                <a:cxnSpLocks noChangeShapeType="1"/>
                              </wps:cNvCnPr>
                              <wps:spPr bwMode="auto">
                                <a:xfrm>
                                  <a:off x="1295400" y="1694180"/>
                                  <a:ext cx="481330" cy="635"/>
                                </a:xfrm>
                                <a:prstGeom prst="line">
                                  <a:avLst/>
                                </a:prstGeom>
                                <a:noFill/>
                                <a:ln w="9525">
                                  <a:solidFill>
                                    <a:srgbClr val="000000"/>
                                  </a:solidFill>
                                  <a:round/>
                                  <a:tailEnd type="triangle" w="med" len="med"/>
                                </a:ln>
                              </wps:spPr>
                              <wps:bodyPr/>
                            </wps:wsp>
                            <wps:wsp>
                              <wps:cNvPr id="85" name="直线 1605"/>
                              <wps:cNvCnPr>
                                <a:cxnSpLocks noChangeShapeType="1"/>
                                <a:endCxn id="359" idx="1"/>
                              </wps:cNvCnPr>
                              <wps:spPr bwMode="auto">
                                <a:xfrm flipV="1">
                                  <a:off x="1270635" y="2319020"/>
                                  <a:ext cx="517525" cy="5715"/>
                                </a:xfrm>
                                <a:prstGeom prst="line">
                                  <a:avLst/>
                                </a:prstGeom>
                                <a:noFill/>
                                <a:ln w="9525">
                                  <a:solidFill>
                                    <a:srgbClr val="000000"/>
                                  </a:solidFill>
                                  <a:round/>
                                  <a:tailEnd type="triangle" w="med" len="med"/>
                                </a:ln>
                              </wps:spPr>
                              <wps:bodyPr/>
                            </wps:wsp>
                            <wps:wsp>
                              <wps:cNvPr id="87" name="矩形 621"/>
                              <wps:cNvSpPr>
                                <a:spLocks noChangeArrowheads="1"/>
                              </wps:cNvSpPr>
                              <wps:spPr bwMode="auto">
                                <a:xfrm>
                                  <a:off x="175895" y="1393825"/>
                                  <a:ext cx="497840" cy="693420"/>
                                </a:xfrm>
                                <a:prstGeom prst="rect">
                                  <a:avLst/>
                                </a:prstGeom>
                                <a:solidFill>
                                  <a:srgbClr val="FFFFFF"/>
                                </a:solidFill>
                                <a:ln w="9525">
                                  <a:solidFill>
                                    <a:srgbClr val="000000"/>
                                  </a:solidFill>
                                  <a:miter lim="800000"/>
                                </a:ln>
                                <a:effectLst/>
                              </wps:spPr>
                              <wps:txbx>
                                <w:txbxContent>
                                  <w:p>
                                    <w:pPr>
                                      <w:jc w:val="center"/>
                                      <w:rPr>
                                        <w:szCs w:val="21"/>
                                      </w:rPr>
                                    </w:pPr>
                                    <w:r>
                                      <w:rPr>
                                        <w:rFonts w:hint="eastAsia"/>
                                        <w:szCs w:val="21"/>
                                      </w:rPr>
                                      <w:t>市政供水管网</w:t>
                                    </w:r>
                                  </w:p>
                                </w:txbxContent>
                              </wps:txbx>
                              <wps:bodyPr rot="0" vert="horz" wrap="square" lIns="91440" tIns="45720" rIns="91440" bIns="45720" anchor="t" anchorCtr="0" upright="1">
                                <a:noAutofit/>
                              </wps:bodyPr>
                            </wps:wsp>
                            <wps:wsp>
                              <wps:cNvPr id="88" name="矩形 1609"/>
                              <wps:cNvSpPr>
                                <a:spLocks noChangeArrowheads="1"/>
                              </wps:cNvSpPr>
                              <wps:spPr bwMode="auto">
                                <a:xfrm>
                                  <a:off x="1886585" y="0"/>
                                  <a:ext cx="800100"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3066</w:t>
                                    </w:r>
                                  </w:p>
                                </w:txbxContent>
                              </wps:txbx>
                              <wps:bodyPr rot="0" vert="horz" wrap="square" lIns="91440" tIns="45720" rIns="91440" bIns="45720" anchor="t" anchorCtr="0" upright="1">
                                <a:noAutofit/>
                              </wps:bodyPr>
                            </wps:wsp>
                            <wps:wsp>
                              <wps:cNvPr id="89" name="矩形 1610"/>
                              <wps:cNvSpPr>
                                <a:spLocks noChangeArrowheads="1"/>
                              </wps:cNvSpPr>
                              <wps:spPr bwMode="auto">
                                <a:xfrm>
                                  <a:off x="1763395" y="330200"/>
                                  <a:ext cx="1337310" cy="297180"/>
                                </a:xfrm>
                                <a:prstGeom prst="rect">
                                  <a:avLst/>
                                </a:prstGeom>
                                <a:solidFill>
                                  <a:srgbClr val="FFFFFF"/>
                                </a:solidFill>
                                <a:ln w="9525">
                                  <a:solidFill>
                                    <a:srgbClr val="000000"/>
                                  </a:solidFill>
                                  <a:miter lim="800000"/>
                                </a:ln>
                              </wps:spPr>
                              <wps:txbx>
                                <w:txbxContent>
                                  <w:p>
                                    <w:pPr>
                                      <w:jc w:val="center"/>
                                      <w:rPr>
                                        <w:szCs w:val="21"/>
                                      </w:rPr>
                                    </w:pPr>
                                    <w:r>
                                      <w:rPr>
                                        <w:rFonts w:hint="eastAsia"/>
                                        <w:szCs w:val="21"/>
                                      </w:rPr>
                                      <w:t>住院患者用水</w:t>
                                    </w:r>
                                  </w:p>
                                </w:txbxContent>
                              </wps:txbx>
                              <wps:bodyPr rot="0" vert="horz" wrap="square" lIns="91440" tIns="45720" rIns="91440" bIns="45720" anchor="t" anchorCtr="0" upright="1">
                                <a:noAutofit/>
                              </wps:bodyPr>
                            </wps:wsp>
                            <wps:wsp>
                              <wps:cNvPr id="90" name="直线 1611"/>
                              <wps:cNvCnPr>
                                <a:cxnSpLocks noChangeShapeType="1"/>
                              </wps:cNvCnPr>
                              <wps:spPr bwMode="auto">
                                <a:xfrm flipV="1">
                                  <a:off x="2263775" y="227965"/>
                                  <a:ext cx="114300" cy="99060"/>
                                </a:xfrm>
                                <a:prstGeom prst="line">
                                  <a:avLst/>
                                </a:prstGeom>
                                <a:noFill/>
                                <a:ln w="9525">
                                  <a:solidFill>
                                    <a:srgbClr val="000000"/>
                                  </a:solidFill>
                                  <a:prstDash val="dashDot"/>
                                  <a:round/>
                                  <a:tailEnd type="triangle" w="med" len="med"/>
                                </a:ln>
                              </wps:spPr>
                              <wps:bodyPr/>
                            </wps:wsp>
                            <wps:wsp>
                              <wps:cNvPr id="18" name="直线 1612"/>
                              <wps:cNvCnPr>
                                <a:cxnSpLocks noChangeShapeType="1"/>
                              </wps:cNvCnPr>
                              <wps:spPr bwMode="auto">
                                <a:xfrm>
                                  <a:off x="3109595" y="492760"/>
                                  <a:ext cx="481330" cy="635"/>
                                </a:xfrm>
                                <a:prstGeom prst="line">
                                  <a:avLst/>
                                </a:prstGeom>
                                <a:noFill/>
                                <a:ln w="9525">
                                  <a:solidFill>
                                    <a:srgbClr val="000000"/>
                                  </a:solidFill>
                                  <a:round/>
                                  <a:tailEnd type="triangle" w="med" len="med"/>
                                </a:ln>
                              </wps:spPr>
                              <wps:bodyPr/>
                            </wps:wsp>
                            <wps:wsp>
                              <wps:cNvPr id="94" name="矩形 1616"/>
                              <wps:cNvSpPr>
                                <a:spLocks noChangeArrowheads="1"/>
                              </wps:cNvSpPr>
                              <wps:spPr bwMode="auto">
                                <a:xfrm>
                                  <a:off x="1890395" y="606425"/>
                                  <a:ext cx="800100" cy="297180"/>
                                </a:xfrm>
                                <a:prstGeom prst="rect">
                                  <a:avLst/>
                                </a:prstGeom>
                                <a:noFill/>
                                <a:ln>
                                  <a:noFill/>
                                </a:ln>
                              </wps:spPr>
                              <wps:txbx>
                                <w:txbxContent>
                                  <w:p>
                                    <w:pPr>
                                      <w:jc w:val="right"/>
                                      <w:rPr>
                                        <w:rFonts w:hint="default" w:eastAsia="宋体"/>
                                        <w:szCs w:val="21"/>
                                        <w:lang w:val="en-US" w:eastAsia="zh-CN"/>
                                      </w:rPr>
                                    </w:pPr>
                                    <w:r>
                                      <w:rPr>
                                        <w:rFonts w:hint="eastAsia"/>
                                        <w:szCs w:val="21"/>
                                        <w:lang w:val="en-US" w:eastAsia="zh-CN"/>
                                      </w:rPr>
                                      <w:t>219.0</w:t>
                                    </w:r>
                                  </w:p>
                                </w:txbxContent>
                              </wps:txbx>
                              <wps:bodyPr rot="0" vert="horz" wrap="square" lIns="91440" tIns="45720" rIns="91440" bIns="45720" anchor="t" anchorCtr="0" upright="1">
                                <a:noAutofit/>
                              </wps:bodyPr>
                            </wps:wsp>
                            <wps:wsp>
                              <wps:cNvPr id="95" name="矩形 1617"/>
                              <wps:cNvSpPr>
                                <a:spLocks noChangeArrowheads="1"/>
                              </wps:cNvSpPr>
                              <wps:spPr bwMode="auto">
                                <a:xfrm>
                                  <a:off x="1784350" y="953135"/>
                                  <a:ext cx="1337310" cy="297180"/>
                                </a:xfrm>
                                <a:prstGeom prst="rect">
                                  <a:avLst/>
                                </a:prstGeom>
                                <a:solidFill>
                                  <a:srgbClr val="FFFFFF"/>
                                </a:solidFill>
                                <a:ln w="9525">
                                  <a:solidFill>
                                    <a:srgbClr val="000000"/>
                                  </a:solidFill>
                                  <a:miter lim="800000"/>
                                </a:ln>
                              </wps:spPr>
                              <wps:txbx>
                                <w:txbxContent>
                                  <w:p>
                                    <w:pPr>
                                      <w:jc w:val="center"/>
                                      <w:rPr>
                                        <w:szCs w:val="21"/>
                                      </w:rPr>
                                    </w:pPr>
                                    <w:r>
                                      <w:rPr>
                                        <w:rFonts w:hint="eastAsia"/>
                                        <w:szCs w:val="21"/>
                                      </w:rPr>
                                      <w:t>陪护人员用水</w:t>
                                    </w:r>
                                  </w:p>
                                </w:txbxContent>
                              </wps:txbx>
                              <wps:bodyPr rot="0" vert="horz" wrap="square" lIns="91440" tIns="45720" rIns="91440" bIns="45720" anchor="t" anchorCtr="0" upright="1">
                                <a:noAutofit/>
                              </wps:bodyPr>
                            </wps:wsp>
                            <wps:wsp>
                              <wps:cNvPr id="352" name="直线 1618"/>
                              <wps:cNvCnPr>
                                <a:cxnSpLocks noChangeShapeType="1"/>
                              </wps:cNvCnPr>
                              <wps:spPr bwMode="auto">
                                <a:xfrm flipV="1">
                                  <a:off x="2267585" y="834390"/>
                                  <a:ext cx="114300" cy="99060"/>
                                </a:xfrm>
                                <a:prstGeom prst="line">
                                  <a:avLst/>
                                </a:prstGeom>
                                <a:noFill/>
                                <a:ln w="9525">
                                  <a:solidFill>
                                    <a:srgbClr val="000000"/>
                                  </a:solidFill>
                                  <a:prstDash val="dashDot"/>
                                  <a:round/>
                                  <a:tailEnd type="triangle" w="med" len="med"/>
                                </a:ln>
                              </wps:spPr>
                              <wps:bodyPr/>
                            </wps:wsp>
                            <wps:wsp>
                              <wps:cNvPr id="353" name="直线 1619"/>
                              <wps:cNvCnPr>
                                <a:cxnSpLocks noChangeShapeType="1"/>
                              </wps:cNvCnPr>
                              <wps:spPr bwMode="auto">
                                <a:xfrm>
                                  <a:off x="3113405" y="1099185"/>
                                  <a:ext cx="481330" cy="635"/>
                                </a:xfrm>
                                <a:prstGeom prst="line">
                                  <a:avLst/>
                                </a:prstGeom>
                                <a:noFill/>
                                <a:ln w="9525">
                                  <a:solidFill>
                                    <a:srgbClr val="000000"/>
                                  </a:solidFill>
                                  <a:round/>
                                  <a:tailEnd type="triangle" w="med" len="med"/>
                                </a:ln>
                              </wps:spPr>
                              <wps:bodyPr/>
                            </wps:wsp>
                            <wps:wsp>
                              <wps:cNvPr id="354" name="矩形 1620"/>
                              <wps:cNvSpPr>
                                <a:spLocks noChangeArrowheads="1"/>
                              </wps:cNvSpPr>
                              <wps:spPr bwMode="auto">
                                <a:xfrm>
                                  <a:off x="1894205" y="1212850"/>
                                  <a:ext cx="800100" cy="297180"/>
                                </a:xfrm>
                                <a:prstGeom prst="rect">
                                  <a:avLst/>
                                </a:prstGeom>
                                <a:noFill/>
                                <a:ln>
                                  <a:noFill/>
                                </a:ln>
                              </wps:spPr>
                              <wps:txbx>
                                <w:txbxContent>
                                  <w:p>
                                    <w:pPr>
                                      <w:wordWrap w:val="0"/>
                                      <w:jc w:val="right"/>
                                      <w:rPr>
                                        <w:rFonts w:hint="default" w:eastAsia="宋体"/>
                                        <w:color w:val="FF0000"/>
                                        <w:szCs w:val="21"/>
                                        <w:lang w:val="en-US" w:eastAsia="zh-CN"/>
                                      </w:rPr>
                                    </w:pPr>
                                    <w:r>
                                      <w:rPr>
                                        <w:rFonts w:hint="eastAsia"/>
                                        <w:color w:val="000000" w:themeColor="text1"/>
                                        <w:szCs w:val="21"/>
                                        <w:lang w:val="en-US" w:eastAsia="zh-CN"/>
                                        <w14:textFill>
                                          <w14:solidFill>
                                            <w14:schemeClr w14:val="tx1"/>
                                          </w14:solidFill>
                                        </w14:textFill>
                                      </w:rPr>
                                      <w:t>182.5</w:t>
                                    </w:r>
                                  </w:p>
                                </w:txbxContent>
                              </wps:txbx>
                              <wps:bodyPr rot="0" vert="horz" wrap="square" lIns="91440" tIns="45720" rIns="91440" bIns="45720" anchor="t" anchorCtr="0" upright="1">
                                <a:noAutofit/>
                              </wps:bodyPr>
                            </wps:wsp>
                            <wps:wsp>
                              <wps:cNvPr id="355" name="矩形 1621"/>
                              <wps:cNvSpPr>
                                <a:spLocks noChangeArrowheads="1"/>
                              </wps:cNvSpPr>
                              <wps:spPr bwMode="auto">
                                <a:xfrm>
                                  <a:off x="1773555" y="1544955"/>
                                  <a:ext cx="1337310" cy="297180"/>
                                </a:xfrm>
                                <a:prstGeom prst="rect">
                                  <a:avLst/>
                                </a:prstGeom>
                                <a:solidFill>
                                  <a:srgbClr val="FFFFFF"/>
                                </a:solidFill>
                                <a:ln w="9525">
                                  <a:solidFill>
                                    <a:srgbClr val="000000"/>
                                  </a:solidFill>
                                  <a:miter lim="800000"/>
                                </a:ln>
                              </wps:spPr>
                              <wps:txbx>
                                <w:txbxContent>
                                  <w:p>
                                    <w:pPr>
                                      <w:jc w:val="center"/>
                                      <w:rPr>
                                        <w:szCs w:val="21"/>
                                      </w:rPr>
                                    </w:pPr>
                                    <w:r>
                                      <w:rPr>
                                        <w:rFonts w:hint="eastAsia"/>
                                        <w:szCs w:val="21"/>
                                      </w:rPr>
                                      <w:t>门诊患者用水</w:t>
                                    </w:r>
                                  </w:p>
                                </w:txbxContent>
                              </wps:txbx>
                              <wps:bodyPr rot="0" vert="horz" wrap="square" lIns="91440" tIns="45720" rIns="91440" bIns="45720" anchor="t" anchorCtr="0" upright="1">
                                <a:noAutofit/>
                              </wps:bodyPr>
                            </wps:wsp>
                            <wps:wsp>
                              <wps:cNvPr id="356" name="直线 1622"/>
                              <wps:cNvCnPr>
                                <a:cxnSpLocks noChangeShapeType="1"/>
                              </wps:cNvCnPr>
                              <wps:spPr bwMode="auto">
                                <a:xfrm flipV="1">
                                  <a:off x="2271395" y="1440815"/>
                                  <a:ext cx="114300" cy="99060"/>
                                </a:xfrm>
                                <a:prstGeom prst="line">
                                  <a:avLst/>
                                </a:prstGeom>
                                <a:noFill/>
                                <a:ln w="9525">
                                  <a:solidFill>
                                    <a:srgbClr val="000000"/>
                                  </a:solidFill>
                                  <a:prstDash val="dashDot"/>
                                  <a:round/>
                                  <a:tailEnd type="triangle" w="med" len="med"/>
                                </a:ln>
                              </wps:spPr>
                              <wps:bodyPr/>
                            </wps:wsp>
                            <wps:wsp>
                              <wps:cNvPr id="357" name="直线 1623"/>
                              <wps:cNvCnPr>
                                <a:cxnSpLocks noChangeShapeType="1"/>
                              </wps:cNvCnPr>
                              <wps:spPr bwMode="auto">
                                <a:xfrm>
                                  <a:off x="3117215" y="1705610"/>
                                  <a:ext cx="481330" cy="635"/>
                                </a:xfrm>
                                <a:prstGeom prst="line">
                                  <a:avLst/>
                                </a:prstGeom>
                                <a:noFill/>
                                <a:ln w="9525">
                                  <a:solidFill>
                                    <a:srgbClr val="000000"/>
                                  </a:solidFill>
                                  <a:round/>
                                  <a:tailEnd type="triangle" w="med" len="med"/>
                                </a:ln>
                              </wps:spPr>
                              <wps:bodyPr/>
                            </wps:wsp>
                            <wps:wsp>
                              <wps:cNvPr id="358" name="矩形 1624"/>
                              <wps:cNvSpPr>
                                <a:spLocks noChangeArrowheads="1"/>
                              </wps:cNvSpPr>
                              <wps:spPr bwMode="auto">
                                <a:xfrm>
                                  <a:off x="1902460" y="1831975"/>
                                  <a:ext cx="800100" cy="297180"/>
                                </a:xfrm>
                                <a:prstGeom prst="rect">
                                  <a:avLst/>
                                </a:prstGeom>
                                <a:noFill/>
                                <a:ln>
                                  <a:noFill/>
                                </a:ln>
                              </wps:spPr>
                              <wps:txbx>
                                <w:txbxContent>
                                  <w:p>
                                    <w:pPr>
                                      <w:jc w:val="right"/>
                                      <w:rPr>
                                        <w:rFonts w:hint="default" w:eastAsia="宋体"/>
                                        <w:szCs w:val="21"/>
                                        <w:lang w:val="en-US" w:eastAsia="zh-CN"/>
                                      </w:rPr>
                                    </w:pPr>
                                    <w:r>
                                      <w:rPr>
                                        <w:rFonts w:hint="eastAsia"/>
                                        <w:szCs w:val="21"/>
                                        <w:lang w:val="en-US" w:eastAsia="zh-CN"/>
                                      </w:rPr>
                                      <w:t>127.75</w:t>
                                    </w:r>
                                  </w:p>
                                </w:txbxContent>
                              </wps:txbx>
                              <wps:bodyPr rot="0" vert="horz" wrap="square" lIns="91440" tIns="45720" rIns="91440" bIns="45720" anchor="t" anchorCtr="0" upright="1">
                                <a:noAutofit/>
                              </wps:bodyPr>
                            </wps:wsp>
                            <wps:wsp>
                              <wps:cNvPr id="359" name="矩形 1625"/>
                              <wps:cNvSpPr>
                                <a:spLocks noChangeArrowheads="1"/>
                              </wps:cNvSpPr>
                              <wps:spPr bwMode="auto">
                                <a:xfrm>
                                  <a:off x="1788160" y="2170430"/>
                                  <a:ext cx="1337310" cy="297180"/>
                                </a:xfrm>
                                <a:prstGeom prst="rect">
                                  <a:avLst/>
                                </a:prstGeom>
                                <a:solidFill>
                                  <a:srgbClr val="FFFFFF"/>
                                </a:solidFill>
                                <a:ln w="9525">
                                  <a:solidFill>
                                    <a:srgbClr val="000000"/>
                                  </a:solidFill>
                                  <a:miter lim="800000"/>
                                </a:ln>
                              </wps:spPr>
                              <wps:txbx>
                                <w:txbxContent>
                                  <w:p>
                                    <w:pPr>
                                      <w:jc w:val="center"/>
                                      <w:rPr>
                                        <w:szCs w:val="21"/>
                                      </w:rPr>
                                    </w:pPr>
                                    <w:r>
                                      <w:rPr>
                                        <w:rFonts w:hint="eastAsia"/>
                                        <w:szCs w:val="21"/>
                                      </w:rPr>
                                      <w:t>医护人员生活用水</w:t>
                                    </w:r>
                                  </w:p>
                                </w:txbxContent>
                              </wps:txbx>
                              <wps:bodyPr rot="0" vert="horz" wrap="square" lIns="91440" tIns="45720" rIns="91440" bIns="45720" anchor="t" anchorCtr="0" upright="1">
                                <a:noAutofit/>
                              </wps:bodyPr>
                            </wps:wsp>
                            <wps:wsp>
                              <wps:cNvPr id="360" name="直线 1626"/>
                              <wps:cNvCnPr>
                                <a:cxnSpLocks noChangeShapeType="1"/>
                              </wps:cNvCnPr>
                              <wps:spPr bwMode="auto">
                                <a:xfrm flipV="1">
                                  <a:off x="2279650" y="2059940"/>
                                  <a:ext cx="114300" cy="99060"/>
                                </a:xfrm>
                                <a:prstGeom prst="line">
                                  <a:avLst/>
                                </a:prstGeom>
                                <a:noFill/>
                                <a:ln w="9525">
                                  <a:solidFill>
                                    <a:srgbClr val="000000"/>
                                  </a:solidFill>
                                  <a:prstDash val="dashDot"/>
                                  <a:round/>
                                  <a:tailEnd type="triangle" w="med" len="med"/>
                                </a:ln>
                              </wps:spPr>
                              <wps:bodyPr/>
                            </wps:wsp>
                            <wps:wsp>
                              <wps:cNvPr id="361" name="直线 1627"/>
                              <wps:cNvCnPr>
                                <a:cxnSpLocks noChangeShapeType="1"/>
                              </wps:cNvCnPr>
                              <wps:spPr bwMode="auto">
                                <a:xfrm>
                                  <a:off x="3125470" y="2324735"/>
                                  <a:ext cx="481330" cy="635"/>
                                </a:xfrm>
                                <a:prstGeom prst="line">
                                  <a:avLst/>
                                </a:prstGeom>
                                <a:noFill/>
                                <a:ln w="9525">
                                  <a:solidFill>
                                    <a:srgbClr val="000000"/>
                                  </a:solidFill>
                                  <a:round/>
                                  <a:tailEnd type="triangle" w="med" len="med"/>
                                </a:ln>
                              </wps:spPr>
                              <wps:bodyPr/>
                            </wps:wsp>
                            <wps:wsp>
                              <wps:cNvPr id="364" name="直线 1638"/>
                              <wps:cNvCnPr>
                                <a:cxnSpLocks noChangeShapeType="1"/>
                              </wps:cNvCnPr>
                              <wps:spPr bwMode="auto">
                                <a:xfrm flipH="1">
                                  <a:off x="3586480" y="493395"/>
                                  <a:ext cx="12065" cy="1823720"/>
                                </a:xfrm>
                                <a:prstGeom prst="line">
                                  <a:avLst/>
                                </a:prstGeom>
                                <a:noFill/>
                                <a:ln w="9525">
                                  <a:solidFill>
                                    <a:srgbClr val="000000"/>
                                  </a:solidFill>
                                  <a:round/>
                                </a:ln>
                              </wps:spPr>
                              <wps:bodyPr/>
                            </wps:wsp>
                            <wps:wsp>
                              <wps:cNvPr id="365" name="直线 1639"/>
                              <wps:cNvCnPr>
                                <a:cxnSpLocks noChangeShapeType="1"/>
                              </wps:cNvCnPr>
                              <wps:spPr bwMode="auto">
                                <a:xfrm>
                                  <a:off x="3615690" y="1706245"/>
                                  <a:ext cx="481330" cy="635"/>
                                </a:xfrm>
                                <a:prstGeom prst="line">
                                  <a:avLst/>
                                </a:prstGeom>
                                <a:noFill/>
                                <a:ln w="9525">
                                  <a:solidFill>
                                    <a:srgbClr val="000000"/>
                                  </a:solidFill>
                                  <a:round/>
                                  <a:tailEnd type="triangle" w="med" len="med"/>
                                </a:ln>
                              </wps:spPr>
                              <wps:bodyPr/>
                            </wps:wsp>
                            <wps:wsp>
                              <wps:cNvPr id="366" name="矩形 619"/>
                              <wps:cNvSpPr>
                                <a:spLocks noChangeArrowheads="1"/>
                              </wps:cNvSpPr>
                              <wps:spPr bwMode="auto">
                                <a:xfrm>
                                  <a:off x="4097020" y="908685"/>
                                  <a:ext cx="1014095" cy="1151255"/>
                                </a:xfrm>
                                <a:prstGeom prst="rect">
                                  <a:avLst/>
                                </a:prstGeom>
                                <a:solidFill>
                                  <a:srgbClr val="FFFFFF"/>
                                </a:solidFill>
                                <a:ln w="9525">
                                  <a:solidFill>
                                    <a:srgbClr val="000000"/>
                                  </a:solidFill>
                                  <a:miter lim="800000"/>
                                </a:ln>
                                <a:effectLst/>
                              </wps:spPr>
                              <wps:txbx>
                                <w:txbxContent>
                                  <w:p>
                                    <w:pPr>
                                      <w:ind w:left="-105" w:leftChars="-50" w:right="-105" w:rightChars="-50"/>
                                      <w:jc w:val="center"/>
                                      <w:rPr>
                                        <w:rFonts w:hint="default" w:eastAsia="宋体"/>
                                        <w:sz w:val="21"/>
                                        <w:szCs w:val="21"/>
                                        <w:lang w:val="en-US" w:eastAsia="zh-CN"/>
                                      </w:rPr>
                                    </w:pPr>
                                    <w:r>
                                      <w:rPr>
                                        <w:rFonts w:hint="eastAsia"/>
                                        <w:sz w:val="21"/>
                                        <w:szCs w:val="21"/>
                                      </w:rPr>
                                      <w:t>化</w:t>
                                    </w:r>
                                    <w:r>
                                      <w:rPr>
                                        <w:sz w:val="21"/>
                                        <w:szCs w:val="21"/>
                                      </w:rPr>
                                      <w:t>采用</w:t>
                                    </w:r>
                                    <w:r>
                                      <w:rPr>
                                        <w:rFonts w:hint="eastAsia"/>
                                        <w:sz w:val="21"/>
                                        <w:szCs w:val="21"/>
                                      </w:rPr>
                                      <w:t>“</w:t>
                                    </w:r>
                                    <w:r>
                                      <w:rPr>
                                        <w:rFonts w:hint="eastAsia"/>
                                        <w:sz w:val="21"/>
                                        <w:szCs w:val="21"/>
                                        <w:lang w:val="en-US" w:eastAsia="zh-CN"/>
                                      </w:rPr>
                                      <w:t>化粪池</w:t>
                                    </w:r>
                                    <w:r>
                                      <w:rPr>
                                        <w:sz w:val="21"/>
                                        <w:szCs w:val="21"/>
                                      </w:rPr>
                                      <w:t>+调节池+</w:t>
                                    </w:r>
                                    <w:r>
                                      <w:rPr>
                                        <w:rFonts w:hint="eastAsia"/>
                                        <w:sz w:val="21"/>
                                        <w:szCs w:val="21"/>
                                        <w:lang w:val="en-US" w:eastAsia="zh-CN"/>
                                      </w:rPr>
                                      <w:t>厌氧</w:t>
                                    </w:r>
                                    <w:r>
                                      <w:rPr>
                                        <w:sz w:val="21"/>
                                        <w:szCs w:val="21"/>
                                      </w:rPr>
                                      <w:t>池+</w:t>
                                    </w:r>
                                    <w:r>
                                      <w:rPr>
                                        <w:rFonts w:hint="eastAsia"/>
                                        <w:sz w:val="21"/>
                                        <w:szCs w:val="21"/>
                                        <w:lang w:val="en-US" w:eastAsia="zh-CN"/>
                                      </w:rPr>
                                      <w:t>生</w:t>
                                    </w:r>
                                    <w:r>
                                      <w:rPr>
                                        <w:sz w:val="21"/>
                                        <w:szCs w:val="21"/>
                                      </w:rPr>
                                      <w:t>化池+</w:t>
                                    </w:r>
                                    <w:r>
                                      <w:rPr>
                                        <w:rFonts w:hint="eastAsia"/>
                                        <w:sz w:val="21"/>
                                        <w:szCs w:val="21"/>
                                      </w:rPr>
                                      <w:t>沉淀</w:t>
                                    </w:r>
                                    <w:r>
                                      <w:rPr>
                                        <w:sz w:val="21"/>
                                        <w:szCs w:val="21"/>
                                      </w:rPr>
                                      <w:t>池+</w:t>
                                    </w:r>
                                    <w:r>
                                      <w:rPr>
                                        <w:rFonts w:hint="eastAsia"/>
                                        <w:sz w:val="21"/>
                                        <w:szCs w:val="21"/>
                                        <w:lang w:val="en-US" w:eastAsia="zh-CN"/>
                                      </w:rPr>
                                      <w:t>MBR膜池+清水消毒池+清水池”</w:t>
                                    </w:r>
                                  </w:p>
                                </w:txbxContent>
                              </wps:txbx>
                              <wps:bodyPr rot="0" vert="horz" wrap="square" lIns="91440" tIns="45720" rIns="91440" bIns="45720" anchor="t" anchorCtr="0" upright="1">
                                <a:noAutofit/>
                              </wps:bodyPr>
                            </wps:wsp>
                            <wps:wsp>
                              <wps:cNvPr id="367" name="矩形 620"/>
                              <wps:cNvSpPr>
                                <a:spLocks noChangeArrowheads="1"/>
                              </wps:cNvSpPr>
                              <wps:spPr bwMode="auto">
                                <a:xfrm>
                                  <a:off x="3917315" y="2247265"/>
                                  <a:ext cx="1209675" cy="294005"/>
                                </a:xfrm>
                                <a:prstGeom prst="rect">
                                  <a:avLst/>
                                </a:prstGeom>
                                <a:solidFill>
                                  <a:srgbClr val="FFFFFF"/>
                                </a:solidFill>
                                <a:ln w="9525">
                                  <a:solidFill>
                                    <a:srgbClr val="000000"/>
                                  </a:solidFill>
                                  <a:miter lim="800000"/>
                                </a:ln>
                                <a:effectLst/>
                              </wps:spPr>
                              <wps:txbx>
                                <w:txbxContent>
                                  <w:p>
                                    <w:pPr>
                                      <w:jc w:val="center"/>
                                      <w:rPr>
                                        <w:rFonts w:hint="default" w:eastAsia="宋体"/>
                                        <w:szCs w:val="21"/>
                                        <w:lang w:val="en-US" w:eastAsia="zh-CN"/>
                                      </w:rPr>
                                    </w:pPr>
                                    <w:r>
                                      <w:rPr>
                                        <w:rFonts w:hint="eastAsia"/>
                                        <w:szCs w:val="21"/>
                                        <w:lang w:val="en-US" w:eastAsia="zh-CN"/>
                                      </w:rPr>
                                      <w:t>市政下水管网</w:t>
                                    </w:r>
                                  </w:p>
                                </w:txbxContent>
                              </wps:txbx>
                              <wps:bodyPr rot="0" vert="horz" wrap="square" lIns="91440" tIns="45720" rIns="91440" bIns="45720" anchor="t" anchorCtr="0" upright="1">
                                <a:noAutofit/>
                              </wps:bodyPr>
                            </wps:wsp>
                            <wps:wsp>
                              <wps:cNvPr id="368" name="自选图形 640"/>
                              <wps:cNvCnPr>
                                <a:cxnSpLocks noChangeShapeType="1"/>
                              </wps:cNvCnPr>
                              <wps:spPr bwMode="auto">
                                <a:xfrm flipH="1">
                                  <a:off x="4563745" y="2057400"/>
                                  <a:ext cx="5080" cy="185420"/>
                                </a:xfrm>
                                <a:prstGeom prst="straightConnector1">
                                  <a:avLst/>
                                </a:prstGeom>
                                <a:noFill/>
                                <a:ln w="9525">
                                  <a:solidFill>
                                    <a:srgbClr val="000000"/>
                                  </a:solidFill>
                                  <a:round/>
                                  <a:tailEnd type="triangle" w="med" len="med"/>
                                </a:ln>
                                <a:effectLst/>
                              </wps:spPr>
                              <wps:bodyPr/>
                            </wps:wsp>
                            <wps:wsp>
                              <wps:cNvPr id="370" name="矩形 1645"/>
                              <wps:cNvSpPr>
                                <a:spLocks noChangeArrowheads="1"/>
                              </wps:cNvSpPr>
                              <wps:spPr bwMode="auto">
                                <a:xfrm>
                                  <a:off x="3044825" y="250190"/>
                                  <a:ext cx="642620"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12264</w:t>
                                    </w:r>
                                  </w:p>
                                </w:txbxContent>
                              </wps:txbx>
                              <wps:bodyPr rot="0" vert="horz" wrap="square" lIns="91440" tIns="45720" rIns="91440" bIns="45720" anchor="t" anchorCtr="0" upright="1">
                                <a:noAutofit/>
                              </wps:bodyPr>
                            </wps:wsp>
                            <wps:wsp>
                              <wps:cNvPr id="371" name="矩形 1646"/>
                              <wps:cNvSpPr>
                                <a:spLocks noChangeArrowheads="1"/>
                              </wps:cNvSpPr>
                              <wps:spPr bwMode="auto">
                                <a:xfrm>
                                  <a:off x="3065145" y="864870"/>
                                  <a:ext cx="554355"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876</w:t>
                                    </w:r>
                                  </w:p>
                                </w:txbxContent>
                              </wps:txbx>
                              <wps:bodyPr rot="0" vert="horz" wrap="square" lIns="91440" tIns="45720" rIns="91440" bIns="45720" anchor="t" anchorCtr="0" upright="1">
                                <a:noAutofit/>
                              </wps:bodyPr>
                            </wps:wsp>
                            <wps:wsp>
                              <wps:cNvPr id="373" name="矩形 1647"/>
                              <wps:cNvSpPr>
                                <a:spLocks noChangeArrowheads="1"/>
                              </wps:cNvSpPr>
                              <wps:spPr bwMode="auto">
                                <a:xfrm>
                                  <a:off x="3077210" y="1471295"/>
                                  <a:ext cx="554355" cy="297180"/>
                                </a:xfrm>
                                <a:prstGeom prst="rect">
                                  <a:avLst/>
                                </a:prstGeom>
                                <a:noFill/>
                                <a:ln>
                                  <a:noFill/>
                                </a:ln>
                              </wps:spPr>
                              <wps:txbx>
                                <w:txbxContent>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730</w:t>
                                    </w:r>
                                  </w:p>
                                </w:txbxContent>
                              </wps:txbx>
                              <wps:bodyPr rot="0" vert="horz" wrap="square" lIns="91440" tIns="45720" rIns="91440" bIns="45720" anchor="t" anchorCtr="0" upright="1">
                                <a:noAutofit/>
                              </wps:bodyPr>
                            </wps:wsp>
                            <wps:wsp>
                              <wps:cNvPr id="374" name="矩形 1648"/>
                              <wps:cNvSpPr>
                                <a:spLocks noChangeArrowheads="1"/>
                              </wps:cNvSpPr>
                              <wps:spPr bwMode="auto">
                                <a:xfrm>
                                  <a:off x="3077210" y="2087245"/>
                                  <a:ext cx="554355"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511</w:t>
                                    </w:r>
                                  </w:p>
                                </w:txbxContent>
                              </wps:txbx>
                              <wps:bodyPr rot="0" vert="horz" wrap="square" lIns="91440" tIns="45720" rIns="91440" bIns="45720" anchor="t" anchorCtr="0" upright="1">
                                <a:noAutofit/>
                              </wps:bodyPr>
                            </wps:wsp>
                            <wps:wsp>
                              <wps:cNvPr id="375" name="矩形 1650"/>
                              <wps:cNvSpPr>
                                <a:spLocks noChangeArrowheads="1"/>
                              </wps:cNvSpPr>
                              <wps:spPr bwMode="auto">
                                <a:xfrm>
                                  <a:off x="3521075" y="1483995"/>
                                  <a:ext cx="647065" cy="297180"/>
                                </a:xfrm>
                                <a:prstGeom prst="rect">
                                  <a:avLst/>
                                </a:prstGeom>
                                <a:noFill/>
                                <a:ln>
                                  <a:noFill/>
                                </a:ln>
                              </wps:spPr>
                              <wps:txbx>
                                <w:txbxContent>
                                  <w:p>
                                    <w:pPr>
                                      <w:jc w:val="center"/>
                                      <w:rPr>
                                        <w:rFonts w:hint="default" w:eastAsia="宋体"/>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14381</w:t>
                                    </w:r>
                                  </w:p>
                                </w:txbxContent>
                              </wps:txbx>
                              <wps:bodyPr rot="0" vert="horz" wrap="square" lIns="91440" tIns="45720" rIns="91440" bIns="45720" anchor="t" anchorCtr="0" upright="1">
                                <a:noAutofit/>
                              </wps:bodyPr>
                            </wps:wsp>
                            <wps:wsp>
                              <wps:cNvPr id="8" name="直线 1605"/>
                              <wps:cNvCnPr>
                                <a:cxnSpLocks noChangeShapeType="1"/>
                              </wps:cNvCnPr>
                              <wps:spPr bwMode="auto">
                                <a:xfrm flipV="1">
                                  <a:off x="1270635" y="2768600"/>
                                  <a:ext cx="517525" cy="5715"/>
                                </a:xfrm>
                                <a:prstGeom prst="line">
                                  <a:avLst/>
                                </a:prstGeom>
                                <a:noFill/>
                                <a:ln w="9525">
                                  <a:solidFill>
                                    <a:srgbClr val="000000"/>
                                  </a:solidFill>
                                  <a:round/>
                                  <a:tailEnd type="triangle" w="med" len="med"/>
                                </a:ln>
                              </wps:spPr>
                              <wps:bodyPr/>
                            </wps:wsp>
                            <wps:wsp>
                              <wps:cNvPr id="11" name="矩形 620"/>
                              <wps:cNvSpPr>
                                <a:spLocks noChangeArrowheads="1"/>
                              </wps:cNvSpPr>
                              <wps:spPr bwMode="auto">
                                <a:xfrm>
                                  <a:off x="1798955" y="2613025"/>
                                  <a:ext cx="751840" cy="294005"/>
                                </a:xfrm>
                                <a:prstGeom prst="rect">
                                  <a:avLst/>
                                </a:prstGeom>
                                <a:solidFill>
                                  <a:srgbClr val="FFFFFF"/>
                                </a:solidFill>
                                <a:ln w="9525">
                                  <a:solidFill>
                                    <a:srgbClr val="000000"/>
                                  </a:solidFill>
                                  <a:miter lim="800000"/>
                                </a:ln>
                                <a:effectLst/>
                              </wps:spPr>
                              <wps:txbx>
                                <w:txbxContent>
                                  <w:p>
                                    <w:pPr>
                                      <w:jc w:val="center"/>
                                      <w:rPr>
                                        <w:rFonts w:hint="default" w:eastAsia="宋体"/>
                                        <w:szCs w:val="21"/>
                                        <w:lang w:val="en-US" w:eastAsia="zh-CN"/>
                                      </w:rPr>
                                    </w:pPr>
                                    <w:r>
                                      <w:rPr>
                                        <w:rFonts w:hint="eastAsia"/>
                                        <w:szCs w:val="21"/>
                                        <w:lang w:val="en-US" w:eastAsia="zh-CN"/>
                                      </w:rPr>
                                      <w:t>绿化用水</w:t>
                                    </w:r>
                                  </w:p>
                                </w:txbxContent>
                              </wps:txbx>
                              <wps:bodyPr rot="0" vert="horz" wrap="square" lIns="91440" tIns="45720" rIns="91440" bIns="45720" anchor="t" anchorCtr="0" upright="1">
                                <a:noAutofit/>
                              </wps:bodyPr>
                            </wps:wsp>
                            <wps:wsp>
                              <wps:cNvPr id="12" name="矩形 1567"/>
                              <wps:cNvSpPr>
                                <a:spLocks noChangeArrowheads="1"/>
                              </wps:cNvSpPr>
                              <wps:spPr bwMode="auto">
                                <a:xfrm>
                                  <a:off x="1132205" y="2517775"/>
                                  <a:ext cx="715645"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540</w:t>
                                    </w:r>
                                  </w:p>
                                </w:txbxContent>
                              </wps:txbx>
                              <wps:bodyPr rot="0" vert="horz" wrap="square" lIns="91440" tIns="45720" rIns="91440" bIns="45720" anchor="t" anchorCtr="0" upright="1">
                                <a:noAutofit/>
                              </wps:bodyPr>
                            </wps:wsp>
                            <wps:wsp>
                              <wps:cNvPr id="15" name="直线 1605"/>
                              <wps:cNvCnPr>
                                <a:cxnSpLocks noChangeShapeType="1"/>
                              </wps:cNvCnPr>
                              <wps:spPr bwMode="auto">
                                <a:xfrm>
                                  <a:off x="2543810" y="2765425"/>
                                  <a:ext cx="271780" cy="1270"/>
                                </a:xfrm>
                                <a:prstGeom prst="line">
                                  <a:avLst/>
                                </a:prstGeom>
                                <a:noFill/>
                                <a:ln w="9525">
                                  <a:solidFill>
                                    <a:srgbClr val="000000"/>
                                  </a:solidFill>
                                  <a:round/>
                                  <a:tailEnd type="triangle" w="med" len="med"/>
                                </a:ln>
                              </wps:spPr>
                              <wps:bodyPr/>
                            </wps:wsp>
                            <wps:wsp>
                              <wps:cNvPr id="17" name="矩形 1567"/>
                              <wps:cNvSpPr>
                                <a:spLocks noChangeArrowheads="1"/>
                              </wps:cNvSpPr>
                              <wps:spPr bwMode="auto">
                                <a:xfrm>
                                  <a:off x="2725420" y="2613025"/>
                                  <a:ext cx="715645" cy="297180"/>
                                </a:xfrm>
                                <a:prstGeom prst="rect">
                                  <a:avLst/>
                                </a:prstGeom>
                                <a:noFill/>
                                <a:ln>
                                  <a:noFill/>
                                </a:ln>
                              </wps:spPr>
                              <wps:txbx>
                                <w:txbxContent>
                                  <w:p>
                                    <w:pPr>
                                      <w:jc w:val="center"/>
                                      <w:rPr>
                                        <w:rFonts w:hint="default" w:eastAsia="宋体"/>
                                        <w:szCs w:val="21"/>
                                        <w:lang w:val="en-US" w:eastAsia="zh-CN"/>
                                      </w:rPr>
                                    </w:pPr>
                                    <w:r>
                                      <w:rPr>
                                        <w:rFonts w:hint="eastAsia"/>
                                        <w:szCs w:val="21"/>
                                        <w:lang w:val="en-US" w:eastAsia="zh-CN"/>
                                      </w:rPr>
                                      <w:t>绿化带</w:t>
                                    </w:r>
                                  </w:p>
                                </w:txbxContent>
                              </wps:txbx>
                              <wps:bodyPr rot="0" vert="horz" wrap="square" lIns="91440" tIns="45720" rIns="91440" bIns="45720" anchor="t" anchorCtr="0" upright="1">
                                <a:noAutofit/>
                              </wps:bodyPr>
                            </wps:wsp>
                          </wpc:wpc>
                        </a:graphicData>
                      </a:graphic>
                    </wp:anchor>
                  </w:drawing>
                </mc:Choice>
                <mc:Fallback>
                  <w:pict>
                    <v:group id="画布 1562" o:spid="_x0000_s1026" o:spt="203" style="position:absolute;left:0pt;margin-left:-1.85pt;margin-top:6.85pt;height:251.95pt;width:408.25pt;z-index:251662336;mso-width-relative:page;mso-height-relative:page;" coordsize="5184775,3199765" editas="canvas" o:gfxdata="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">
                      <o:lock v:ext="edit" aspectratio="f"/>
                      <v:shape id="画布 1562" o:spid="_x0000_s1026" style="position:absolute;left:0;top:0;height:3199765;width:5184775;" filled="f" stroked="t" coordsize="21600,21600" o:gfxdata="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">
                        <v:fill on="f" focussize="0,0"/>
                        <v:stroke color="#000000" miterlimit="8" joinstyle="miter"/>
                        <v:imagedata o:title=""/>
                        <o:lock v:ext="edit" aspectratio="t"/>
                      </v:shape>
                      <v:rect id="矩形 1567" o:spid="_x0000_s1026" o:spt="1" style="position:absolute;left:1179195;top:2078355;height:297180;width:71564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oTc2TZAAAA&#10;CQEAAA8AAAAAAAAAAQAgAAAAIgAAAGRycy9kb3ducmV2LnhtbFBLAQIUABQAAAAIAIdO4kAMkSFz&#10;HAIAABcEAAAOAAAAAAAAAAEAIAAAACgBAABkcnMvZTJvRG9jLnhtbFBLBQYAAAAABgAGAFkBAAC2&#10;BQA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638.75</w:t>
                              </w:r>
                            </w:p>
                          </w:txbxContent>
                        </v:textbox>
                      </v:rect>
                      <v:rect id="矩形 1579" o:spid="_x0000_s1026" o:spt="1" style="position:absolute;left:586740;top:1469390;height:297180;width:71437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hNzZNkAAAAJ&#10;AQAADwAAAAAAAAABACAAAAAiAAAAZHJzL2Rvd25yZXYueG1sUEsBAhQAFAAAAAgAh07iQLpo5xwb&#10;AgAAFgQAAA4AAAAAAAAAAQAgAAAAKAEAAGRycy9lMm9Eb2MueG1sUEsFBgAAAAAGAAYAWQEAALUF&#10;AAAAAA==&#10;">
                        <v:fill on="f" focussize="0,0"/>
                        <v:stroke on="f"/>
                        <v:imagedata o:title=""/>
                        <o:lock v:ext="edit" aspectratio="f"/>
                        <v:textbox>
                          <w:txbxContent>
                            <w:p>
                              <w:pPr>
                                <w:jc w:val="center"/>
                                <w:rPr>
                                  <w:rFonts w:hint="default" w:eastAsia="宋体"/>
                                  <w:b w:val="0"/>
                                  <w:bCs/>
                                  <w:sz w:val="21"/>
                                  <w:szCs w:val="21"/>
                                  <w:lang w:val="en-US" w:eastAsia="zh-CN"/>
                                </w:rPr>
                              </w:pPr>
                              <w:r>
                                <w:rPr>
                                  <w:rFonts w:hint="eastAsia"/>
                                  <w:b w:val="0"/>
                                  <w:bCs/>
                                  <w:sz w:val="21"/>
                                  <w:szCs w:val="21"/>
                                  <w:lang w:val="en-US" w:eastAsia="zh-CN"/>
                                </w:rPr>
                                <w:t>18516.25</w:t>
                              </w:r>
                            </w:p>
                          </w:txbxContent>
                        </v:textbox>
                      </v:rect>
                      <v:line id="直线 1581" o:spid="_x0000_s1026" o:spt="20" style="position:absolute;left:1274445;top:485775;flip:x;height:2289810;width:17780;" filled="f" stroked="t" coordsize="21600,21600" o:gfxdata="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1QW7D1wAAAAkBAAAPAAAAAAAAAAEAIAAAACIAAABkcnMvZG93bnJldi54bWxQSwECFAAU&#10;AAAACACHTuJAfsPeA/IBAAC+AwAADgAAAAAAAAABACAAAAAmAQAAZHJzL2Uyb0RvYy54bWxQSwUG&#10;AAAAAAYABgBZAQAAigUAAAAA&#10;">
                        <v:fill on="f" focussize="0,0"/>
                        <v:stroke color="#000000" joinstyle="round"/>
                        <v:imagedata o:title=""/>
                        <o:lock v:ext="edit" aspectratio="f"/>
                      </v:line>
                      <v:line id="直线 1583" o:spid="_x0000_s1026" o:spt="20" style="position:absolute;left:667385;top:1731645;height:635;width:649605;"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&#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7sVmbaAAAACQEAAA8AAAAAAAAAAQAgAAAAIgAAAGRy&#10;cy9kb3ducmV2LnhtbFBLAQIUABQAAAAIAIdO4kB6FZ3AAwIAAN8DAAAOAAAAAAAAAAEAIAAAACkB&#10;AABkcnMvZTJvRG9jLnhtbFBLBQYAAAAABgAGAFkBAACeBQAAAAA=&#10;">
                        <v:fill on="f" focussize="0,0"/>
                        <v:stroke color="#000000" joinstyle="round" endarrow="block"/>
                        <v:imagedata o:title=""/>
                        <o:lock v:ext="edit" aspectratio="f"/>
                      </v:line>
                      <v:rect id="矩形 1588" o:spid="_x0000_s1026" o:spt="1" style="position:absolute;left:1157605;top:233680;height:297180;width:65849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qE3Nk2QAAAAkB&#10;AAAPAAAAAAAAAAEAIAAAACIAAABkcnMvZG93bnJldi54bWxQSwECFAAUAAAACACHTuJABbz2GRoC&#10;AAAWBAAADgAAAAAAAAABACAAAAAoAQAAZHJzL2Uyb0RvYy54bWxQSwUGAAAAAAYABgBZAQAAtAUA&#10;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15330</w:t>
                              </w:r>
                            </w:p>
                          </w:txbxContent>
                        </v:textbox>
                      </v:rect>
                      <v:line id="直线 1589" o:spid="_x0000_s1026" o:spt="20" style="position:absolute;left:1291590;top:485140;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7FZm2gAAAAkBAAAPAAAAAAAAAAEAIAAAACIAAABkcnMv&#10;ZG93bnJldi54bWxQSwECFAAUAAAACACHTuJAFkvNDAECAADfAwAADgAAAAAAAAABACAAAAApAQAA&#10;ZHJzL2Uyb0RvYy54bWxQSwUGAAAAAAYABgBZAQAAnAUAAAAA&#10;">
                        <v:fill on="f" focussize="0,0"/>
                        <v:stroke color="#000000" joinstyle="round" endarrow="block"/>
                        <v:imagedata o:title=""/>
                        <o:lock v:ext="edit" aspectratio="f"/>
                      </v:line>
                      <v:rect id="矩形 1591" o:spid="_x0000_s1026" o:spt="1" style="position:absolute;left:1181735;top:859790;height:297180;width:638810;"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qE3Nk2QAAAAkB&#10;AAAPAAAAAAAAAAEAIAAAACIAAABkcnMvZG93bnJldi54bWxQSwECFAAUAAAACACHTuJAyiylUhoC&#10;AAAWBAAADgAAAAAAAAABACAAAAAoAQAAZHJzL2Uyb0RvYy54bWxQSwUGAAAAAAYABgBZAQAAtAUA&#10;AAAA&#10;">
                        <v:fill on="f" focussize="0,0"/>
                        <v:stroke on="f"/>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1095</w:t>
                              </w:r>
                            </w:p>
                          </w:txbxContent>
                        </v:textbox>
                      </v:rect>
                      <v:rect id="矩形 1598" o:spid="_x0000_s1026" o:spt="1" style="position:absolute;left:1231265;top:1433830;height:297180;width:60134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oTc2TZAAAA&#10;CQEAAA8AAAAAAAAAAQAgAAAAIgAAAGRycy9kb3ducmV2LnhtbFBLAQIUABQAAAAIAIdO4kC3w9oj&#10;HAIAABcEAAAOAAAAAAAAAAEAIAAAACgBAABkcnMvZTJvRG9jLnhtbFBLBQYAAAAABgAGAFkBAAC2&#10;BQAAAAA=&#10;">
                        <v:fill on="f" focussize="0,0"/>
                        <v:stroke on="f"/>
                        <v:imagedata o:title=""/>
                        <o:lock v:ext="edit" aspectratio="f"/>
                        <v:textbox>
                          <w:txbxContent>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912.5</w:t>
                              </w:r>
                            </w:p>
                          </w:txbxContent>
                        </v:textbox>
                      </v:rect>
                      <v:line id="直线 1603" o:spid="_x0000_s1026" o:spt="20" style="position:absolute;left:1303655;top:1091565;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&#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7sVmbaAAAACQEAAA8AAAAAAAAAAQAgAAAAIgAAAGRy&#10;cy9kb3ducmV2LnhtbFBLAQIUABQAAAAIAIdO4kBEXCRUAwIAAOADAAAOAAAAAAAAAAEAIAAAACkB&#10;AABkcnMvZTJvRG9jLnhtbFBLBQYAAAAABgAGAFkBAACeBQAAAAA=&#10;">
                        <v:fill on="f" focussize="0,0"/>
                        <v:stroke color="#000000" joinstyle="round" endarrow="block"/>
                        <v:imagedata o:title=""/>
                        <o:lock v:ext="edit" aspectratio="f"/>
                      </v:line>
                      <v:line id="直线 1604" o:spid="_x0000_s1026" o:spt="20" style="position:absolute;left:1295400;top:1694180;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7FZm2gAAAAkBAAAPAAAAAAAAAAEAIAAAACIAAABkcnMv&#10;ZG93bnJldi54bWxQSwECFAAUAAAACACHTuJAnOWEmQECAADgAwAADgAAAAAAAAABACAAAAApAQAA&#10;ZHJzL2Uyb0RvYy54bWxQSwUGAAAAAAYABgBZAQAAnAUAAAAA&#10;">
                        <v:fill on="f" focussize="0,0"/>
                        <v:stroke color="#000000" joinstyle="round" endarrow="block"/>
                        <v:imagedata o:title=""/>
                        <o:lock v:ext="edit" aspectratio="f"/>
                      </v:line>
                      <v:line id="直线 1605" o:spid="_x0000_s1026" o:spt="20" style="position:absolute;left:1270635;top:2319020;flip:y;height:5715;width:517525;" filled="f" stroked="t" coordsize="21600,21600" o:gfxdata="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ezj9t2gAAAAkBAAAP&#10;AAAAAAAAAAEAIAAAACIAAABkcnMvZG93bnJldi54bWxQSwECFAAUAAAACACHTuJADa0uhRYCAAAH&#10;BAAADgAAAAAAAAABACAAAAApAQAAZHJzL2Uyb0RvYy54bWxQSwUGAAAAAAYABgBZAQAAsQUAAAAA&#10;">
                        <v:fill on="f" focussize="0,0"/>
                        <v:stroke color="#000000" joinstyle="round" endarrow="block"/>
                        <v:imagedata o:title=""/>
                        <o:lock v:ext="edit" aspectratio="f"/>
                      </v:line>
                      <v:rect id="矩形 621" o:spid="_x0000_s1026" o:spt="1" style="position:absolute;left:175895;top:1393825;height:693420;width:497840;"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hqjK9cAAAAJAQAADwAAAAAAAAABACAA&#10;AAAiAAAAZHJzL2Rvd25yZXYueG1sUEsBAhQAFAAAAAgAh07iQK5d7xBHAgAAlQQAAA4AAAAAAAAA&#10;AQAgAAAAJgEAAGRycy9lMm9Eb2MueG1sUEsFBgAAAAAGAAYAWQEAAN8FAAAAAA==&#10;">
                        <v:fill on="t" focussize="0,0"/>
                        <v:stroke color="#000000" miterlimit="8" joinstyle="miter"/>
                        <v:imagedata o:title=""/>
                        <o:lock v:ext="edit" aspectratio="f"/>
                        <v:textbox>
                          <w:txbxContent>
                            <w:p>
                              <w:pPr>
                                <w:jc w:val="center"/>
                                <w:rPr>
                                  <w:szCs w:val="21"/>
                                </w:rPr>
                              </w:pPr>
                              <w:r>
                                <w:rPr>
                                  <w:rFonts w:hint="eastAsia"/>
                                  <w:szCs w:val="21"/>
                                </w:rPr>
                                <w:t>市政供水管网</w:t>
                              </w:r>
                            </w:p>
                          </w:txbxContent>
                        </v:textbox>
                      </v:rect>
                      <v:rect id="矩形 1609" o:spid="_x0000_s1026" o:spt="1" style="position:absolute;left:1886585;top:0;height:297180;width:800100;"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KhNzZNkAAAAJAQAADwAA&#10;AAAAAAABACAAAAAiAAAAZHJzL2Rvd25yZXYueG1sUEsBAhQAFAAAAAgAh07iQB6i00UVAgAAEQQA&#10;AA4AAAAAAAAAAQAgAAAAKAEAAGRycy9lMm9Eb2MueG1sUEsFBgAAAAAGAAYAWQEAAK8FAA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3066</w:t>
                              </w:r>
                            </w:p>
                          </w:txbxContent>
                        </v:textbox>
                      </v:rect>
                      <v:rect id="矩形 1610" o:spid="_x0000_s1026" o:spt="1" style="position:absolute;left:1763395;top:330200;height:297180;width:1337310;"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hqjK9cAAAAJAQAADwAAAAAAAAABACAA&#10;AAAiAAAAZHJzL2Rvd25yZXYueG1sUEsBAhQAFAAAAAgAh07iQPe1U51HAgAAiQQAAA4AAAAAAAAA&#10;AQAgAAAAJgEAAGRycy9lMm9Eb2MueG1sUEsFBgAAAAAGAAYAWQEAAN8FAAAAAA==&#10;">
                        <v:fill on="t" focussize="0,0"/>
                        <v:stroke color="#000000" miterlimit="8" joinstyle="miter"/>
                        <v:imagedata o:title=""/>
                        <o:lock v:ext="edit" aspectratio="f"/>
                        <v:textbox>
                          <w:txbxContent>
                            <w:p>
                              <w:pPr>
                                <w:jc w:val="center"/>
                                <w:rPr>
                                  <w:szCs w:val="21"/>
                                </w:rPr>
                              </w:pPr>
                              <w:r>
                                <w:rPr>
                                  <w:rFonts w:hint="eastAsia"/>
                                  <w:szCs w:val="21"/>
                                </w:rPr>
                                <w:t>住院患者用水</w:t>
                              </w:r>
                            </w:p>
                          </w:txbxContent>
                        </v:textbox>
                      </v:rect>
                      <v:line id="直线 1611" o:spid="_x0000_s1026" o:spt="20" style="position:absolute;left:2263775;top:227965;flip:y;height:99060;width:114300;" filled="f" stroked="t" coordsize="21600,21600" o:gfxdata="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2WEOQtcAAAAJAQAADwAA&#10;AAAAAAABACAAAAAiAAAAZHJzL2Rvd25yZXYueG1sUEsBAhQAFAAAAAgAh07iQB2OlB8XAgAABgQA&#10;AA4AAAAAAAAAAQAgAAAAJgEAAGRycy9lMm9Eb2MueG1sUEsFBgAAAAAGAAYAWQEAAK8FAAAAAA==&#10;">
                        <v:fill on="f" focussize="0,0"/>
                        <v:stroke color="#000000" joinstyle="round" dashstyle="dashDot" endarrow="block"/>
                        <v:imagedata o:title=""/>
                        <o:lock v:ext="edit" aspectratio="f"/>
                      </v:line>
                      <v:line id="直线 1612" o:spid="_x0000_s1026" o:spt="20" style="position:absolute;left:3109595;top:492760;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&#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7sVmbaAAAACQEAAA8AAAAAAAAAAQAgAAAAIgAAAGRy&#10;cy9kb3ducmV2LnhtbFBLAQIUABQAAAAIAIdO4kCXqRIBAwIAAN8DAAAOAAAAAAAAAAEAIAAAACkB&#10;AABkcnMvZTJvRG9jLnhtbFBLBQYAAAAABgAGAFkBAACeBQAAAAA=&#10;">
                        <v:fill on="f" focussize="0,0"/>
                        <v:stroke color="#000000" joinstyle="round" endarrow="block"/>
                        <v:imagedata o:title=""/>
                        <o:lock v:ext="edit" aspectratio="f"/>
                      </v:line>
                      <v:rect id="矩形 1616" o:spid="_x0000_s1026" o:spt="1" style="position:absolute;left:1890395;top:606425;height:297180;width:800100;"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oTc2TZAAAA&#10;CQEAAA8AAAAAAAAAAQAgAAAAIgAAAGRycy9kb3ducmV2LnhtbFBLAQIUABQAAAAIAIdO4kDCuV1V&#10;HAIAABYEAAAOAAAAAAAAAAEAIAAAACgBAABkcnMvZTJvRG9jLnhtbFBLBQYAAAAABgAGAFkBAAC2&#10;BQAAAAA=&#10;">
                        <v:fill on="f" focussize="0,0"/>
                        <v:stroke on="f"/>
                        <v:imagedata o:title=""/>
                        <o:lock v:ext="edit" aspectratio="f"/>
                        <v:textbox>
                          <w:txbxContent>
                            <w:p>
                              <w:pPr>
                                <w:jc w:val="right"/>
                                <w:rPr>
                                  <w:rFonts w:hint="default" w:eastAsia="宋体"/>
                                  <w:szCs w:val="21"/>
                                  <w:lang w:val="en-US" w:eastAsia="zh-CN"/>
                                </w:rPr>
                              </w:pPr>
                              <w:r>
                                <w:rPr>
                                  <w:rFonts w:hint="eastAsia"/>
                                  <w:szCs w:val="21"/>
                                  <w:lang w:val="en-US" w:eastAsia="zh-CN"/>
                                </w:rPr>
                                <w:t>219.0</w:t>
                              </w:r>
                            </w:p>
                          </w:txbxContent>
                        </v:textbox>
                      </v:rect>
                      <v:rect id="矩形 1617" o:spid="_x0000_s1026" o:spt="1" style="position:absolute;left:1784350;top:953135;height:297180;width:1337310;"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GqMr1wAAAAkBAAAPAAAAAAAAAAEAIAAA&#10;ACIAAABkcnMvZG93bnJldi54bWxQSwECFAAUAAAACACHTuJAsAuNhUYCAACJBAAADgAAAAAAAAAB&#10;ACAAAAAmAQAAZHJzL2Uyb0RvYy54bWxQSwUGAAAAAAYABgBZAQAA3gUAAAAA&#10;">
                        <v:fill on="t" focussize="0,0"/>
                        <v:stroke color="#000000" miterlimit="8" joinstyle="miter"/>
                        <v:imagedata o:title=""/>
                        <o:lock v:ext="edit" aspectratio="f"/>
                        <v:textbox>
                          <w:txbxContent>
                            <w:p>
                              <w:pPr>
                                <w:jc w:val="center"/>
                                <w:rPr>
                                  <w:szCs w:val="21"/>
                                </w:rPr>
                              </w:pPr>
                              <w:r>
                                <w:rPr>
                                  <w:rFonts w:hint="eastAsia"/>
                                  <w:szCs w:val="21"/>
                                </w:rPr>
                                <w:t>陪护人员用水</w:t>
                              </w:r>
                            </w:p>
                          </w:txbxContent>
                        </v:textbox>
                      </v:rect>
                      <v:line id="直线 1618" o:spid="_x0000_s1026" o:spt="20" style="position:absolute;left:2267585;top:834390;flip:y;height:99060;width:114300;" filled="f" stroked="t" coordsize="21600,21600" o:gfxdata="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ZYQ5C1wAAAAkBAAAP&#10;AAAAAAAAAAEAIAAAACIAAABkcnMvZG93bnJldi54bWxQSwECFAAUAAAACACHTuJALAj7kRkCAAAH&#10;BAAADgAAAAAAAAABACAAAAAmAQAAZHJzL2Uyb0RvYy54bWxQSwUGAAAAAAYABgBZAQAAsQUAAAAA&#10;">
                        <v:fill on="f" focussize="0,0"/>
                        <v:stroke color="#000000" joinstyle="round" dashstyle="dashDot" endarrow="block"/>
                        <v:imagedata o:title=""/>
                        <o:lock v:ext="edit" aspectratio="f"/>
                      </v:line>
                      <v:line id="直线 1619" o:spid="_x0000_s1026" o:spt="20" style="position:absolute;left:3113405;top:1099185;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uxWZtoAAAAJAQAADwAAAAAAAAABACAAAAAiAAAA&#10;ZHJzL2Rvd25yZXYueG1sUEsBAhQAFAAAAAgAh07iQNOjuLIFAgAA4QMAAA4AAAAAAAAAAQAgAAAA&#10;KQEAAGRycy9lMm9Eb2MueG1sUEsFBgAAAAAGAAYAWQEAAKAFAAAAAA==&#10;">
                        <v:fill on="f" focussize="0,0"/>
                        <v:stroke color="#000000" joinstyle="round" endarrow="block"/>
                        <v:imagedata o:title=""/>
                        <o:lock v:ext="edit" aspectratio="f"/>
                      </v:line>
                      <v:rect id="矩形 1620" o:spid="_x0000_s1026" o:spt="1" style="position:absolute;left:1894205;top:1212850;height:297180;width:800100;"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oTc2TZAAAA&#10;CQEAAA8AAAAAAAAAAQAgAAAAIgAAAGRycy9kb3ducmV2LnhtbFBLAQIUABQAAAAIAIdO4kAjcmFN&#10;HAIAABgEAAAOAAAAAAAAAAEAIAAAACgBAABkcnMvZTJvRG9jLnhtbFBLBQYAAAAABgAGAFkBAAC2&#10;BQAAAAA=&#10;">
                        <v:fill on="f" focussize="0,0"/>
                        <v:stroke on="f"/>
                        <v:imagedata o:title=""/>
                        <o:lock v:ext="edit" aspectratio="f"/>
                        <v:textbox>
                          <w:txbxContent>
                            <w:p>
                              <w:pPr>
                                <w:wordWrap w:val="0"/>
                                <w:jc w:val="right"/>
                                <w:rPr>
                                  <w:rFonts w:hint="default" w:eastAsia="宋体"/>
                                  <w:color w:val="FF0000"/>
                                  <w:szCs w:val="21"/>
                                  <w:lang w:val="en-US" w:eastAsia="zh-CN"/>
                                </w:rPr>
                              </w:pPr>
                              <w:r>
                                <w:rPr>
                                  <w:rFonts w:hint="eastAsia"/>
                                  <w:color w:val="000000" w:themeColor="text1"/>
                                  <w:szCs w:val="21"/>
                                  <w:lang w:val="en-US" w:eastAsia="zh-CN"/>
                                  <w14:textFill>
                                    <w14:solidFill>
                                      <w14:schemeClr w14:val="tx1"/>
                                    </w14:solidFill>
                                  </w14:textFill>
                                </w:rPr>
                                <w:t>182.5</w:t>
                              </w:r>
                            </w:p>
                          </w:txbxContent>
                        </v:textbox>
                      </v:rect>
                      <v:rect id="矩形 1621" o:spid="_x0000_s1026" o:spt="1" style="position:absolute;left:1773555;top:1544955;height:297180;width:1337310;"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4aoyvXAAAACQEAAA8AAAAAAAAAAQAg&#10;AAAAIgAAAGRycy9kb3ducmV2LnhtbFBLAQIUABQAAAAIAIdO4kAk9vXBSAIAAIsEAAAOAAAAAAAA&#10;AAEAIAAAACYBAABkcnMvZTJvRG9jLnhtbFBLBQYAAAAABgAGAFkBAADgBQAAAAA=&#10;">
                        <v:fill on="t" focussize="0,0"/>
                        <v:stroke color="#000000" miterlimit="8" joinstyle="miter"/>
                        <v:imagedata o:title=""/>
                        <o:lock v:ext="edit" aspectratio="f"/>
                        <v:textbox>
                          <w:txbxContent>
                            <w:p>
                              <w:pPr>
                                <w:jc w:val="center"/>
                                <w:rPr>
                                  <w:szCs w:val="21"/>
                                </w:rPr>
                              </w:pPr>
                              <w:r>
                                <w:rPr>
                                  <w:rFonts w:hint="eastAsia"/>
                                  <w:szCs w:val="21"/>
                                </w:rPr>
                                <w:t>门诊患者用水</w:t>
                              </w:r>
                            </w:p>
                          </w:txbxContent>
                        </v:textbox>
                      </v:rect>
                      <v:line id="直线 1622" o:spid="_x0000_s1026" o:spt="20" style="position:absolute;left:2271395;top:1440815;flip:y;height:99060;width:114300;" filled="f" stroked="t" coordsize="21600,21600" o:gfxdata="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2WEOQtcAAAAJAQAA&#10;DwAAAAAAAAABACAAAAAiAAAAZHJzL2Rvd25yZXYueG1sUEsBAhQAFAAAAAgAh07iQGCnBjwaAgAA&#10;CAQAAA4AAAAAAAAAAQAgAAAAJgEAAGRycy9lMm9Eb2MueG1sUEsFBgAAAAAGAAYAWQEAALIFAAAA&#10;AA==&#10;">
                        <v:fill on="f" focussize="0,0"/>
                        <v:stroke color="#000000" joinstyle="round" dashstyle="dashDot" endarrow="block"/>
                        <v:imagedata o:title=""/>
                        <o:lock v:ext="edit" aspectratio="f"/>
                      </v:line>
                      <v:line id="直线 1623" o:spid="_x0000_s1026" o:spt="20" style="position:absolute;left:3117215;top:1705610;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7FZm2gAAAAkBAAAPAAAAAAAAAAEAIAAAACIAAABk&#10;cnMvZG93bnJldi54bWxQSwECFAAUAAAACACHTuJAesqZhgQCAADhAwAADgAAAAAAAAABACAAAAAp&#10;AQAAZHJzL2Uyb0RvYy54bWxQSwUGAAAAAAYABgBZAQAAnwUAAAAA&#10;">
                        <v:fill on="f" focussize="0,0"/>
                        <v:stroke color="#000000" joinstyle="round" endarrow="block"/>
                        <v:imagedata o:title=""/>
                        <o:lock v:ext="edit" aspectratio="f"/>
                      </v:line>
                      <v:rect id="矩形 1624" o:spid="_x0000_s1026" o:spt="1" style="position:absolute;left:1902460;top:1831975;height:297180;width:800100;"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qE3Nk2QAA&#10;AAkBAAAPAAAAAAAAAAEAIAAAACIAAABkcnMvZG93bnJldi54bWxQSwECFAAUAAAACACHTuJAljhr&#10;fh0CAAAYBAAADgAAAAAAAAABACAAAAAoAQAAZHJzL2Uyb0RvYy54bWxQSwUGAAAAAAYABgBZAQAA&#10;twUAAAAA&#10;">
                        <v:fill on="f" focussize="0,0"/>
                        <v:stroke on="f"/>
                        <v:imagedata o:title=""/>
                        <o:lock v:ext="edit" aspectratio="f"/>
                        <v:textbox>
                          <w:txbxContent>
                            <w:p>
                              <w:pPr>
                                <w:jc w:val="right"/>
                                <w:rPr>
                                  <w:rFonts w:hint="default" w:eastAsia="宋体"/>
                                  <w:szCs w:val="21"/>
                                  <w:lang w:val="en-US" w:eastAsia="zh-CN"/>
                                </w:rPr>
                              </w:pPr>
                              <w:r>
                                <w:rPr>
                                  <w:rFonts w:hint="eastAsia"/>
                                  <w:szCs w:val="21"/>
                                  <w:lang w:val="en-US" w:eastAsia="zh-CN"/>
                                </w:rPr>
                                <w:t>127.75</w:t>
                              </w:r>
                            </w:p>
                          </w:txbxContent>
                        </v:textbox>
                      </v:rect>
                      <v:rect id="矩形 1625" o:spid="_x0000_s1026" o:spt="1" style="position:absolute;left:1788160;top:2170430;height:297180;width:1337310;"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GqMr1wAAAAkBAAAPAAAAAAAAAAEAIAAAACIA&#10;AABkcnMvZG93bnJldi54bWxQSwECFAAUAAAACACHTuJAE4K2kUMCAACLBAAADgAAAAAAAAABACAA&#10;AAAmAQAAZHJzL2Uyb0RvYy54bWxQSwUGAAAAAAYABgBZAQAA2wUAAAAA&#10;">
                        <v:fill on="t" focussize="0,0"/>
                        <v:stroke color="#000000" miterlimit="8" joinstyle="miter"/>
                        <v:imagedata o:title=""/>
                        <o:lock v:ext="edit" aspectratio="f"/>
                        <v:textbox>
                          <w:txbxContent>
                            <w:p>
                              <w:pPr>
                                <w:jc w:val="center"/>
                                <w:rPr>
                                  <w:szCs w:val="21"/>
                                </w:rPr>
                              </w:pPr>
                              <w:r>
                                <w:rPr>
                                  <w:rFonts w:hint="eastAsia"/>
                                  <w:szCs w:val="21"/>
                                </w:rPr>
                                <w:t>医护人员生活用水</w:t>
                              </w:r>
                            </w:p>
                          </w:txbxContent>
                        </v:textbox>
                      </v:rect>
                      <v:line id="直线 1626" o:spid="_x0000_s1026" o:spt="20" style="position:absolute;left:2279650;top:2059940;flip:y;height:99060;width:114300;" filled="f" stroked="t" coordsize="21600,21600" o:gfxdata="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2WEOQtcAAAAJAQAADwAA&#10;AAAAAAABACAAAAAiAAAAZHJzL2Rvd25yZXYueG1sUEsBAhQAFAAAAAgAh07iQNtQ94kXAgAACAQA&#10;AA4AAAAAAAAAAQAgAAAAJgEAAGRycy9lMm9Eb2MueG1sUEsFBgAAAAAGAAYAWQEAAK8FAAAAAA==&#10;">
                        <v:fill on="f" focussize="0,0"/>
                        <v:stroke color="#000000" joinstyle="round" dashstyle="dashDot" endarrow="block"/>
                        <v:imagedata o:title=""/>
                        <o:lock v:ext="edit" aspectratio="f"/>
                      </v:line>
                      <v:line id="直线 1627" o:spid="_x0000_s1026" o:spt="20" style="position:absolute;left:3125470;top:2324735;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uxWZtoAAAAJAQAADwAAAAAAAAABACAAAAAiAAAA&#10;ZHJzL2Rvd25yZXYueG1sUEsBAhQAFAAAAAgAh07iQFhsmS4FAgAA4QMAAA4AAAAAAAAAAQAgAAAA&#10;KQEAAGRycy9lMm9Eb2MueG1sUEsFBgAAAAAGAAYAWQEAAKAFAAAAAA==&#10;">
                        <v:fill on="f" focussize="0,0"/>
                        <v:stroke color="#000000" joinstyle="round" endarrow="block"/>
                        <v:imagedata o:title=""/>
                        <o:lock v:ext="edit" aspectratio="f"/>
                      </v:line>
                      <v:line id="直线 1638" o:spid="_x0000_s1026" o:spt="20" style="position:absolute;left:3586480;top:493395;flip:x;height:1823720;width:12065;" filled="f" stroked="t" coordsize="21600,21600" o:gfxdata="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1QW7D1wAAAAkBAAAPAAAAAAAAAAEAIAAAACIAAABkcnMvZG93bnJldi54bWxQSwEC&#10;FAAUAAAACACHTuJAudOe1vUBAAC/AwAADgAAAAAAAAABACAAAAAmAQAAZHJzL2Uyb0RvYy54bWxQ&#10;SwUGAAAAAAYABgBZAQAAjQUAAAAA&#10;">
                        <v:fill on="f" focussize="0,0"/>
                        <v:stroke color="#000000" joinstyle="round"/>
                        <v:imagedata o:title=""/>
                        <o:lock v:ext="edit" aspectratio="f"/>
                      </v:line>
                      <v:line id="直线 1639" o:spid="_x0000_s1026" o:spt="20" style="position:absolute;left:3615690;top:1706245;height:635;width:48133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7FZm2gAAAAkBAAAPAAAAAAAAAAEAIAAAACIAAABk&#10;cnMvZG93bnJldi54bWxQSwECFAAUAAAACACHTuJAKvMwsAQCAADhAwAADgAAAAAAAAABACAAAAAp&#10;AQAAZHJzL2Uyb0RvYy54bWxQSwUGAAAAAAYABgBZAQAAnwUAAAAA&#10;">
                        <v:fill on="f" focussize="0,0"/>
                        <v:stroke color="#000000" joinstyle="round" endarrow="block"/>
                        <v:imagedata o:title=""/>
                        <o:lock v:ext="edit" aspectratio="f"/>
                      </v:line>
                      <v:rect id="矩形 619" o:spid="_x0000_s1026" o:spt="1" style="position:absolute;left:4097020;top:908685;height:1151255;width:1014095;"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4aoyvXAAAACQEAAA8AAAAA&#10;AAAAAQAgAAAAIgAAAGRycy9kb3ducmV2LnhtbFBLAQIUABQAAAAIAIdO4kD/gyPCTgIAAJgEAAAO&#10;AAAAAAAAAAEAIAAAACYBAABkcnMvZTJvRG9jLnhtbFBLBQYAAAAABgAGAFkBAADmBQAAAAA=&#10;">
                        <v:fill on="t" focussize="0,0"/>
                        <v:stroke color="#000000" miterlimit="8" joinstyle="miter"/>
                        <v:imagedata o:title=""/>
                        <o:lock v:ext="edit" aspectratio="f"/>
                        <v:textbox>
                          <w:txbxContent>
                            <w:p>
                              <w:pPr>
                                <w:ind w:left="-105" w:leftChars="-50" w:right="-105" w:rightChars="-50"/>
                                <w:jc w:val="center"/>
                                <w:rPr>
                                  <w:rFonts w:hint="default" w:eastAsia="宋体"/>
                                  <w:sz w:val="21"/>
                                  <w:szCs w:val="21"/>
                                  <w:lang w:val="en-US" w:eastAsia="zh-CN"/>
                                </w:rPr>
                              </w:pPr>
                              <w:r>
                                <w:rPr>
                                  <w:rFonts w:hint="eastAsia"/>
                                  <w:sz w:val="21"/>
                                  <w:szCs w:val="21"/>
                                </w:rPr>
                                <w:t>化</w:t>
                              </w:r>
                              <w:r>
                                <w:rPr>
                                  <w:sz w:val="21"/>
                                  <w:szCs w:val="21"/>
                                </w:rPr>
                                <w:t>采用</w:t>
                              </w:r>
                              <w:r>
                                <w:rPr>
                                  <w:rFonts w:hint="eastAsia"/>
                                  <w:sz w:val="21"/>
                                  <w:szCs w:val="21"/>
                                </w:rPr>
                                <w:t>“</w:t>
                              </w:r>
                              <w:r>
                                <w:rPr>
                                  <w:rFonts w:hint="eastAsia"/>
                                  <w:sz w:val="21"/>
                                  <w:szCs w:val="21"/>
                                  <w:lang w:val="en-US" w:eastAsia="zh-CN"/>
                                </w:rPr>
                                <w:t>化粪池</w:t>
                              </w:r>
                              <w:r>
                                <w:rPr>
                                  <w:sz w:val="21"/>
                                  <w:szCs w:val="21"/>
                                </w:rPr>
                                <w:t>+调节池+</w:t>
                              </w:r>
                              <w:r>
                                <w:rPr>
                                  <w:rFonts w:hint="eastAsia"/>
                                  <w:sz w:val="21"/>
                                  <w:szCs w:val="21"/>
                                  <w:lang w:val="en-US" w:eastAsia="zh-CN"/>
                                </w:rPr>
                                <w:t>厌氧</w:t>
                              </w:r>
                              <w:r>
                                <w:rPr>
                                  <w:sz w:val="21"/>
                                  <w:szCs w:val="21"/>
                                </w:rPr>
                                <w:t>池+</w:t>
                              </w:r>
                              <w:r>
                                <w:rPr>
                                  <w:rFonts w:hint="eastAsia"/>
                                  <w:sz w:val="21"/>
                                  <w:szCs w:val="21"/>
                                  <w:lang w:val="en-US" w:eastAsia="zh-CN"/>
                                </w:rPr>
                                <w:t>生</w:t>
                              </w:r>
                              <w:r>
                                <w:rPr>
                                  <w:sz w:val="21"/>
                                  <w:szCs w:val="21"/>
                                </w:rPr>
                                <w:t>化池+</w:t>
                              </w:r>
                              <w:r>
                                <w:rPr>
                                  <w:rFonts w:hint="eastAsia"/>
                                  <w:sz w:val="21"/>
                                  <w:szCs w:val="21"/>
                                </w:rPr>
                                <w:t>沉淀</w:t>
                              </w:r>
                              <w:r>
                                <w:rPr>
                                  <w:sz w:val="21"/>
                                  <w:szCs w:val="21"/>
                                </w:rPr>
                                <w:t>池+</w:t>
                              </w:r>
                              <w:r>
                                <w:rPr>
                                  <w:rFonts w:hint="eastAsia"/>
                                  <w:sz w:val="21"/>
                                  <w:szCs w:val="21"/>
                                  <w:lang w:val="en-US" w:eastAsia="zh-CN"/>
                                </w:rPr>
                                <w:t>MBR膜池+清水消毒池+清水池”</w:t>
                              </w:r>
                            </w:p>
                          </w:txbxContent>
                        </v:textbox>
                      </v:rect>
                      <v:rect id="矩形 620" o:spid="_x0000_s1026" o:spt="1" style="position:absolute;left:3917315;top:2247265;height:294005;width:1209675;"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GqMr1wAAAAkBAAAPAAAA&#10;AAAAAAEAIAAAACIAAABkcnMvZG93bnJldi54bWxQSwECFAAUAAAACACHTuJAzcquXk8CAACYBAAA&#10;DgAAAAAAAAABACAAAAAmAQAAZHJzL2Uyb0RvYy54bWxQSwUGAAAAAAYABgBZAQAA5wUAAAAA&#10;">
                        <v:fill on="t" focussize="0,0"/>
                        <v:stroke color="#000000" miterlimit="8" joinstyle="miter"/>
                        <v:imagedata o:title=""/>
                        <o:lock v:ext="edit" aspectratio="f"/>
                        <v:textbox>
                          <w:txbxContent>
                            <w:p>
                              <w:pPr>
                                <w:jc w:val="center"/>
                                <w:rPr>
                                  <w:rFonts w:hint="default" w:eastAsia="宋体"/>
                                  <w:szCs w:val="21"/>
                                  <w:lang w:val="en-US" w:eastAsia="zh-CN"/>
                                </w:rPr>
                              </w:pPr>
                              <w:r>
                                <w:rPr>
                                  <w:rFonts w:hint="eastAsia"/>
                                  <w:szCs w:val="21"/>
                                  <w:lang w:val="en-US" w:eastAsia="zh-CN"/>
                                </w:rPr>
                                <w:t>市政下水管网</w:t>
                              </w:r>
                            </w:p>
                          </w:txbxContent>
                        </v:textbox>
                      </v:rect>
                      <v:shape id="自选图形 640" o:spid="_x0000_s1026" o:spt="32" type="#_x0000_t32" style="position:absolute;left:4563745;top:2057400;flip:x;height:185420;width:5080;" filled="f" stroked="t" coordsize="21600,21600" o:gfxdata="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DaoJF2QAAAAkBAAAPAAAAAAAAAAEAIAAAACIAAABkcnMvZG93bnJldi54bWxQSwECFAAUAAAA&#10;CACHTuJAu5ZSoyYCAAANBAAADgAAAAAAAAABACAAAAAoAQAAZHJzL2Uyb0RvYy54bWxQSwUGAAAA&#10;AAYABgBZAQAAwAUAAAAA&#10;">
                        <v:fill on="f" focussize="0,0"/>
                        <v:stroke color="#000000" joinstyle="round" endarrow="block"/>
                        <v:imagedata o:title=""/>
                        <o:lock v:ext="edit" aspectratio="f"/>
                      </v:shape>
                      <v:rect id="矩形 1645" o:spid="_x0000_s1026" o:spt="1" style="position:absolute;left:3044825;top:250190;height:297180;width:642620;"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hNzZNkAAAAJ&#10;AQAADwAAAAAAAAABACAAAAAiAAAAZHJzL2Rvd25yZXYueG1sUEsBAhQAFAAAAAgAh07iQBuVtEwb&#10;AgAAFwQAAA4AAAAAAAAAAQAgAAAAKAEAAGRycy9lMm9Eb2MueG1sUEsFBgAAAAAGAAYAWQEAALUF&#10;AA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12264</w:t>
                              </w:r>
                            </w:p>
                          </w:txbxContent>
                        </v:textbox>
                      </v:rect>
                      <v:rect id="矩形 1646" o:spid="_x0000_s1026" o:spt="1" style="position:absolute;left:3065145;top:864870;height:297180;width:55435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oTc2TZAAAA&#10;CQEAAA8AAAAAAAAAAQAgAAAAIgAAAGRycy9kb3ducmV2LnhtbFBLAQIUABQAAAAIAIdO4kAjy2HM&#10;HAIAABcEAAAOAAAAAAAAAAEAIAAAACgBAABkcnMvZTJvRG9jLnhtbFBLBQYAAAAABgAGAFkBAAC2&#10;BQA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876</w:t>
                              </w:r>
                            </w:p>
                          </w:txbxContent>
                        </v:textbox>
                      </v:rect>
                      <v:rect id="矩形 1647" o:spid="_x0000_s1026" o:spt="1" style="position:absolute;left:3077210;top:1471295;height:297180;width:55435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KhNzZNkA&#10;AAAJAQAADwAAAAAAAAABACAAAAAiAAAAZHJzL2Rvd25yZXYueG1sUEsBAhQAFAAAAAgAh07iQOyu&#10;D4QeAgAAGAQAAA4AAAAAAAAAAQAgAAAAKAEAAGRycy9lMm9Eb2MueG1sUEsFBgAAAAAGAAYAWQEA&#10;ALgFAAAAAA==&#10;">
                        <v:fill on="f" focussize="0,0"/>
                        <v:stroke on="f"/>
                        <v:imagedata o:title=""/>
                        <o:lock v:ext="edit" aspectratio="f"/>
                        <v:textbox>
                          <w:txbxContent>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730</w:t>
                              </w:r>
                            </w:p>
                          </w:txbxContent>
                        </v:textbox>
                      </v:rect>
                      <v:rect id="矩形 1648" o:spid="_x0000_s1026" o:spt="1" style="position:absolute;left:3077210;top:2087245;height:297180;width:55435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oTc2TZ&#10;AAAACQEAAA8AAAAAAAAAAQAgAAAAIgAAAGRycy9kb3ducmV2LnhtbFBLAQIUABQAAAAIAIdO4kCG&#10;3LlvHwIAABgEAAAOAAAAAAAAAAEAIAAAACgBAABkcnMvZTJvRG9jLnhtbFBLBQYAAAAABgAGAFkB&#10;AAC5BQA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511</w:t>
                              </w:r>
                            </w:p>
                          </w:txbxContent>
                        </v:textbox>
                      </v:rect>
                      <v:rect id="矩形 1650" o:spid="_x0000_s1026" o:spt="1" style="position:absolute;left:3521075;top:1483995;height:297180;width:64706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CoTc2TZAAAA&#10;CQEAAA8AAAAAAAAAAQAgAAAAIgAAAGRycy9kb3ducmV2LnhtbFBLAQIUABQAAAAIAIdO4kB0n+kP&#10;HAIAABgEAAAOAAAAAAAAAAEAIAAAACgBAABkcnMvZTJvRG9jLnhtbFBLBQYAAAAABgAGAFkBAAC2&#10;BQAAAAA=&#10;">
                        <v:fill on="f" focussize="0,0"/>
                        <v:stroke on="f"/>
                        <v:imagedata o:title=""/>
                        <o:lock v:ext="edit" aspectratio="f"/>
                        <v:textbox>
                          <w:txbxContent>
                            <w:p>
                              <w:pPr>
                                <w:jc w:val="center"/>
                                <w:rPr>
                                  <w:rFonts w:hint="default" w:eastAsia="宋体"/>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14381</w:t>
                              </w:r>
                            </w:p>
                          </w:txbxContent>
                        </v:textbox>
                      </v:rect>
                      <v:line id="直线 1605" o:spid="_x0000_s1026" o:spt="20" style="position:absolute;left:1270635;top:2768600;flip:y;height:5715;width:517525;" filled="f" stroked="t" coordsize="21600,21600" o:gfxdata="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s4/bdoAAAAJAQAADwAAAAAAAAABACAAAAAiAAAA&#10;ZHJzL2Rvd25yZXYueG1sUEsBAhQAFAAAAAgAh07iQNSDExIFAgAA6gMAAA4AAAAAAAAAAQAgAAAA&#10;KQEAAGRycy9lMm9Eb2MueG1sUEsFBgAAAAAGAAYAWQEAAKAFAAAAAA==&#10;">
                        <v:fill on="f" focussize="0,0"/>
                        <v:stroke color="#000000" joinstyle="round" endarrow="block"/>
                        <v:imagedata o:title=""/>
                        <o:lock v:ext="edit" aspectratio="f"/>
                      </v:line>
                      <v:rect id="矩形 620" o:spid="_x0000_s1026" o:spt="1" style="position:absolute;left:1798955;top:2613025;height:294005;width:751840;" fillcolor="#FFFFFF" filled="t" stroked="t" coordsize="21600,21600" o:gfxdata="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hqjK9cAAAAJAQAADwAAAAAAAAABACAA&#10;AAAiAAAAZHJzL2Rvd25yZXYueG1sUEsBAhQAFAAAAAgAh07iQIf//HFHAgAAlgQAAA4AAAAAAAAA&#10;AQAgAAAAJgEAAGRycy9lMm9Eb2MueG1sUEsFBgAAAAAGAAYAWQEAAN8FAAAAAA==&#10;">
                        <v:fill on="t" focussize="0,0"/>
                        <v:stroke color="#000000" miterlimit="8" joinstyle="miter"/>
                        <v:imagedata o:title=""/>
                        <o:lock v:ext="edit" aspectratio="f"/>
                        <v:textbox>
                          <w:txbxContent>
                            <w:p>
                              <w:pPr>
                                <w:jc w:val="center"/>
                                <w:rPr>
                                  <w:rFonts w:hint="default" w:eastAsia="宋体"/>
                                  <w:szCs w:val="21"/>
                                  <w:lang w:val="en-US" w:eastAsia="zh-CN"/>
                                </w:rPr>
                              </w:pPr>
                              <w:r>
                                <w:rPr>
                                  <w:rFonts w:hint="eastAsia"/>
                                  <w:szCs w:val="21"/>
                                  <w:lang w:val="en-US" w:eastAsia="zh-CN"/>
                                </w:rPr>
                                <w:t>绿化用水</w:t>
                              </w:r>
                            </w:p>
                          </w:txbxContent>
                        </v:textbox>
                      </v:rect>
                      <v:rect id="矩形 1567" o:spid="_x0000_s1026" o:spt="1" style="position:absolute;left:1132205;top:2517775;height:297180;width:71564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hNzZNkAAAAJ&#10;AQAADwAAAAAAAAABACAAAAAiAAAAZHJzL2Rvd25yZXYueG1sUEsBAhQAFAAAAAgAh07iQPdfsq8b&#10;AgAAFwQAAA4AAAAAAAAAAQAgAAAAKAEAAGRycy9lMm9Eb2MueG1sUEsFBgAAAAAGAAYAWQEAALUF&#10;AA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540</w:t>
                              </w:r>
                            </w:p>
                          </w:txbxContent>
                        </v:textbox>
                      </v:rect>
                      <v:line id="直线 1605" o:spid="_x0000_s1026" o:spt="20" style="position:absolute;left:2543810;top:2765425;height:1270;width:271780;" filled="f" stroked="t" coordsize="21600,21600" o:gfxdata="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uxWZtoAAAAJAQAADwAAAAAAAAABACAAAAAiAAAAZHJz&#10;L2Rvd25yZXYueG1sUEsBAhQAFAAAAAgAh07iQFJr+isCAgAA4QMAAA4AAAAAAAAAAQAgAAAAKQEA&#10;AGRycy9lMm9Eb2MueG1sUEsFBgAAAAAGAAYAWQEAAJ0FAAAAAA==&#10;">
                        <v:fill on="f" focussize="0,0"/>
                        <v:stroke color="#000000" joinstyle="round" endarrow="block"/>
                        <v:imagedata o:title=""/>
                        <o:lock v:ext="edit" aspectratio="f"/>
                      </v:line>
                      <v:rect id="矩形 1567" o:spid="_x0000_s1026" o:spt="1" style="position:absolute;left:2725420;top:2613025;height:297180;width:715645;" filled="f" stroked="f" coordsize="21600,21600" o:gfxdata="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hNzZNkAAAAJ&#10;AQAADwAAAAAAAAABACAAAAAiAAAAZHJzL2Rvd25yZXYueG1sUEsBAhQAFAAAAAgAh07iQE+xeJIb&#10;AgAAFwQAAA4AAAAAAAAAAQAgAAAAKAEAAGRycy9lMm9Eb2MueG1sUEsFBgAAAAAGAAYAWQEAALUF&#10;AAAAAA==&#10;">
                        <v:fill on="f" focussize="0,0"/>
                        <v:stroke on="f"/>
                        <v:imagedata o:title=""/>
                        <o:lock v:ext="edit" aspectratio="f"/>
                        <v:textbox>
                          <w:txbxContent>
                            <w:p>
                              <w:pPr>
                                <w:jc w:val="center"/>
                                <w:rPr>
                                  <w:rFonts w:hint="default" w:eastAsia="宋体"/>
                                  <w:szCs w:val="21"/>
                                  <w:lang w:val="en-US" w:eastAsia="zh-CN"/>
                                </w:rPr>
                              </w:pPr>
                              <w:r>
                                <w:rPr>
                                  <w:rFonts w:hint="eastAsia"/>
                                  <w:szCs w:val="21"/>
                                  <w:lang w:val="en-US" w:eastAsia="zh-CN"/>
                                </w:rPr>
                                <w:t>绿化带</w:t>
                              </w:r>
                            </w:p>
                          </w:txbxContent>
                        </v:textbox>
                      </v:rect>
                    </v:group>
                  </w:pict>
                </mc:Fallback>
              </mc:AlternateContent>
            </w:r>
          </w:p>
          <w:p>
            <w:pPr>
              <w:pStyle w:val="60"/>
              <w:spacing w:before="100" w:beforeAutospacing="1" w:line="240" w:lineRule="auto"/>
              <w:ind w:firstLine="480"/>
              <w:jc w:val="center"/>
              <w:rPr>
                <w:rFonts w:hint="eastAsia" w:hAnsi="Times New Roman" w:eastAsia="黑体"/>
                <w:b w:val="0"/>
                <w:bCs w:val="0"/>
                <w:color w:val="FF0000"/>
                <w:szCs w:val="24"/>
              </w:rPr>
            </w:pPr>
          </w:p>
          <w:p>
            <w:pPr>
              <w:pStyle w:val="60"/>
              <w:spacing w:before="100" w:beforeAutospacing="1" w:line="240" w:lineRule="auto"/>
              <w:ind w:firstLine="480"/>
              <w:jc w:val="center"/>
              <w:rPr>
                <w:rFonts w:hint="eastAsia" w:hAnsi="Times New Roman" w:eastAsia="黑体"/>
                <w:b w:val="0"/>
                <w:bCs w:val="0"/>
                <w:color w:val="FF0000"/>
                <w:szCs w:val="24"/>
              </w:rPr>
            </w:pPr>
          </w:p>
          <w:p>
            <w:pPr>
              <w:pStyle w:val="60"/>
              <w:spacing w:before="100" w:beforeAutospacing="1" w:line="240" w:lineRule="auto"/>
              <w:ind w:firstLine="480"/>
              <w:jc w:val="center"/>
              <w:rPr>
                <w:rFonts w:hint="eastAsia" w:hAnsi="Times New Roman" w:eastAsia="黑体"/>
                <w:b w:val="0"/>
                <w:bCs w:val="0"/>
                <w:color w:val="FF0000"/>
                <w:szCs w:val="24"/>
              </w:rPr>
            </w:pPr>
          </w:p>
          <w:p>
            <w:pPr>
              <w:pStyle w:val="60"/>
              <w:spacing w:before="100" w:beforeAutospacing="1" w:line="240" w:lineRule="auto"/>
              <w:ind w:firstLine="480"/>
              <w:jc w:val="center"/>
              <w:rPr>
                <w:rFonts w:hint="eastAsia" w:hAnsi="Times New Roman" w:eastAsia="黑体"/>
                <w:b w:val="0"/>
                <w:bCs w:val="0"/>
                <w:color w:val="FF0000"/>
                <w:szCs w:val="24"/>
              </w:rPr>
            </w:pPr>
          </w:p>
          <w:p>
            <w:pPr>
              <w:pStyle w:val="60"/>
              <w:spacing w:before="100" w:beforeAutospacing="1" w:line="240" w:lineRule="auto"/>
              <w:ind w:firstLine="480"/>
              <w:jc w:val="center"/>
              <w:rPr>
                <w:rFonts w:hint="eastAsia" w:hAnsi="Times New Roman" w:eastAsia="黑体"/>
                <w:b w:val="0"/>
                <w:bCs w:val="0"/>
                <w:color w:val="FF0000"/>
                <w:szCs w:val="24"/>
              </w:rPr>
            </w:pPr>
          </w:p>
          <w:p>
            <w:pPr>
              <w:pStyle w:val="60"/>
              <w:spacing w:before="100" w:beforeAutospacing="1" w:line="240" w:lineRule="auto"/>
              <w:ind w:firstLine="480"/>
              <w:jc w:val="center"/>
              <w:rPr>
                <w:rFonts w:hint="eastAsia" w:hAnsi="Times New Roman" w:eastAsia="黑体"/>
                <w:b w:val="0"/>
                <w:bCs w:val="0"/>
                <w:color w:val="FF0000"/>
                <w:szCs w:val="24"/>
              </w:rPr>
            </w:pPr>
          </w:p>
          <w:p>
            <w:pPr>
              <w:pStyle w:val="60"/>
              <w:spacing w:before="100" w:beforeAutospacing="1" w:line="240" w:lineRule="auto"/>
              <w:ind w:firstLine="480"/>
              <w:jc w:val="center"/>
              <w:rPr>
                <w:rFonts w:hint="eastAsia" w:hAnsi="Times New Roman" w:eastAsia="黑体"/>
                <w:b w:val="0"/>
                <w:bCs w:val="0"/>
                <w:color w:val="000000" w:themeColor="text1"/>
                <w:szCs w:val="24"/>
                <w14:textFill>
                  <w14:solidFill>
                    <w14:schemeClr w14:val="tx1"/>
                  </w14:solidFill>
                </w14:textFill>
              </w:rPr>
            </w:pPr>
            <w:r>
              <mc:AlternateContent>
                <mc:Choice Requires="wps">
                  <w:drawing>
                    <wp:anchor distT="0" distB="0" distL="114300" distR="114300" simplePos="0" relativeHeight="251687936" behindDoc="0" locked="0" layoutInCell="1" allowOverlap="1">
                      <wp:simplePos x="0" y="0"/>
                      <wp:positionH relativeFrom="column">
                        <wp:posOffset>4584700</wp:posOffset>
                      </wp:positionH>
                      <wp:positionV relativeFrom="paragraph">
                        <wp:posOffset>171450</wp:posOffset>
                      </wp:positionV>
                      <wp:extent cx="0" cy="193040"/>
                      <wp:effectExtent l="38100" t="0" r="38100" b="16510"/>
                      <wp:wrapNone/>
                      <wp:docPr id="6" name="自选图形 640"/>
                      <wp:cNvGraphicFramePr/>
                      <a:graphic xmlns:a="http://schemas.openxmlformats.org/drawingml/2006/main">
                        <a:graphicData uri="http://schemas.microsoft.com/office/word/2010/wordprocessingShape">
                          <wps:wsp>
                            <wps:cNvCnPr>
                              <a:cxnSpLocks noChangeShapeType="1"/>
                            </wps:cNvCnPr>
                            <wps:spPr bwMode="auto">
                              <a:xfrm>
                                <a:off x="0" y="0"/>
                                <a:ext cx="0" cy="193040"/>
                              </a:xfrm>
                              <a:prstGeom prst="straightConnector1">
                                <a:avLst/>
                              </a:prstGeom>
                              <a:noFill/>
                              <a:ln w="9525">
                                <a:solidFill>
                                  <a:srgbClr val="000000"/>
                                </a:solidFill>
                                <a:round/>
                                <a:tailEnd type="triangle" w="med" len="med"/>
                              </a:ln>
                              <a:effectLst/>
                            </wps:spPr>
                            <wps:bodyPr/>
                          </wps:wsp>
                        </a:graphicData>
                      </a:graphic>
                    </wp:anchor>
                  </w:drawing>
                </mc:Choice>
                <mc:Fallback>
                  <w:pict>
                    <v:shape id="自选图形 640" o:spid="_x0000_s1026" o:spt="32" type="#_x0000_t32" style="position:absolute;left:0pt;margin-left:361pt;margin-top:13.5pt;height:15.2pt;width:0pt;z-index:251687936;mso-width-relative:page;mso-height-relative:page;" filled="f" stroked="t" coordsize="21600,21600" o:gfxdata="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aTAxZ2AAAAAkBAAAPAAAAAAAAAAEAIAAA&#10;ACIAAABkcnMvZG93bnJldi54bWxQSwECFAAUAAAACACHTuJA6QTdfAwCAADyAwAADgAAAAAAAAAB&#10;ACAAAAAnAQAAZHJzL2Uyb0RvYy54bWxQSwUGAAAAAAYABgBZAQAApQUAAAAA&#10;">
                      <v:fill on="f" focussize="0,0"/>
                      <v:stroke color="#000000" joinstyle="round" endarrow="block"/>
                      <v:imagedata o:title=""/>
                      <o:lock v:ext="edit" aspectratio="f"/>
                    </v:shape>
                  </w:pict>
                </mc:Fallback>
              </mc:AlternateContent>
            </w:r>
          </w:p>
          <w:p>
            <w:pPr>
              <w:pStyle w:val="60"/>
              <w:spacing w:before="100" w:beforeAutospacing="1" w:line="240" w:lineRule="auto"/>
              <w:ind w:firstLine="480"/>
              <w:jc w:val="center"/>
              <w:rPr>
                <w:rFonts w:hint="eastAsia" w:hAnsi="Times New Roman" w:eastAsia="黑体"/>
                <w:b w:val="0"/>
                <w:bCs w:val="0"/>
                <w:color w:val="000000" w:themeColor="text1"/>
                <w:szCs w:val="24"/>
                <w14:textFill>
                  <w14:solidFill>
                    <w14:schemeClr w14:val="tx1"/>
                  </w14:solidFill>
                </w14:textFill>
              </w:rPr>
            </w:pPr>
            <w:r>
              <mc:AlternateContent>
                <mc:Choice Requires="wps">
                  <w:drawing>
                    <wp:anchor distT="0" distB="0" distL="114300" distR="114300" simplePos="0" relativeHeight="251688960" behindDoc="0" locked="0" layoutInCell="1" allowOverlap="1">
                      <wp:simplePos x="0" y="0"/>
                      <wp:positionH relativeFrom="column">
                        <wp:posOffset>3665220</wp:posOffset>
                      </wp:positionH>
                      <wp:positionV relativeFrom="paragraph">
                        <wp:posOffset>635</wp:posOffset>
                      </wp:positionV>
                      <wp:extent cx="1463675" cy="294005"/>
                      <wp:effectExtent l="5080" t="4445" r="17145" b="6350"/>
                      <wp:wrapNone/>
                      <wp:docPr id="7" name="矩形 620"/>
                      <wp:cNvGraphicFramePr/>
                      <a:graphic xmlns:a="http://schemas.openxmlformats.org/drawingml/2006/main">
                        <a:graphicData uri="http://schemas.microsoft.com/office/word/2010/wordprocessingShape">
                          <wps:wsp>
                            <wps:cNvSpPr>
                              <a:spLocks noChangeArrowheads="1"/>
                            </wps:cNvSpPr>
                            <wps:spPr bwMode="auto">
                              <a:xfrm>
                                <a:off x="0" y="0"/>
                                <a:ext cx="1463675" cy="294005"/>
                              </a:xfrm>
                              <a:prstGeom prst="rect">
                                <a:avLst/>
                              </a:prstGeom>
                              <a:solidFill>
                                <a:srgbClr val="FFFFFF"/>
                              </a:solidFill>
                              <a:ln w="9525">
                                <a:solidFill>
                                  <a:srgbClr val="000000"/>
                                </a:solidFill>
                                <a:miter lim="800000"/>
                              </a:ln>
                              <a:effectLst/>
                            </wps:spPr>
                            <wps:txbx>
                              <w:txbxContent>
                                <w:p>
                                  <w:pPr>
                                    <w:jc w:val="center"/>
                                    <w:rPr>
                                      <w:rFonts w:hint="default" w:eastAsia="宋体"/>
                                      <w:szCs w:val="21"/>
                                      <w:lang w:val="en-US" w:eastAsia="zh-CN"/>
                                    </w:rPr>
                                  </w:pPr>
                                  <w:r>
                                    <w:rPr>
                                      <w:rFonts w:hint="eastAsia"/>
                                      <w:szCs w:val="21"/>
                                      <w:lang w:val="en-US" w:eastAsia="zh-CN"/>
                                    </w:rPr>
                                    <w:t>玛纳斯县污水处理厂</w:t>
                                  </w:r>
                                </w:p>
                              </w:txbxContent>
                            </wps:txbx>
                            <wps:bodyPr rot="0" vert="horz" wrap="square" lIns="91440" tIns="45720" rIns="91440" bIns="45720" anchor="t" anchorCtr="0" upright="1">
                              <a:noAutofit/>
                            </wps:bodyPr>
                          </wps:wsp>
                        </a:graphicData>
                      </a:graphic>
                    </wp:anchor>
                  </w:drawing>
                </mc:Choice>
                <mc:Fallback>
                  <w:pict>
                    <v:rect id="矩形 620" o:spid="_x0000_s1026" o:spt="1" style="position:absolute;left:0pt;margin-left:288.6pt;margin-top:0.05pt;height:23.15pt;width:115.25pt;z-index:251688960;mso-width-relative:page;mso-height-relative:page;" fillcolor="#FFFFFF" filled="t" stroked="t" coordsize="21600,21600" o:gfxdata="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&#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9uSUXVAAAABwEAAA8AAAAAAAAAAQAgAAAAIgAAAGRy&#10;cy9kb3ducmV2LnhtbFBLAQIUABQAAAAIAIdO4kBKvtHxQQIAAIoEAAAOAAAAAAAAAAEAIAAAACQB&#10;AABkcnMvZTJvRG9jLnhtbFBLBQYAAAAABgAGAFkBAADXBQAAAAA=&#10;">
                      <v:fill on="t" focussize="0,0"/>
                      <v:stroke color="#000000" miterlimit="8" joinstyle="miter"/>
                      <v:imagedata o:title=""/>
                      <o:lock v:ext="edit" aspectratio="f"/>
                      <v:textbox>
                        <w:txbxContent>
                          <w:p>
                            <w:pPr>
                              <w:jc w:val="center"/>
                              <w:rPr>
                                <w:rFonts w:hint="default" w:eastAsia="宋体"/>
                                <w:szCs w:val="21"/>
                                <w:lang w:val="en-US" w:eastAsia="zh-CN"/>
                              </w:rPr>
                            </w:pPr>
                            <w:r>
                              <w:rPr>
                                <w:rFonts w:hint="eastAsia"/>
                                <w:szCs w:val="21"/>
                                <w:lang w:val="en-US" w:eastAsia="zh-CN"/>
                              </w:rPr>
                              <w:t>玛纳斯县污水处理厂</w:t>
                            </w:r>
                          </w:p>
                        </w:txbxContent>
                      </v:textbox>
                    </v:rect>
                  </w:pict>
                </mc:Fallback>
              </mc:AlternateContent>
            </w:r>
          </w:p>
          <w:p>
            <w:pPr>
              <w:pStyle w:val="60"/>
              <w:spacing w:before="100" w:beforeAutospacing="1" w:line="240" w:lineRule="auto"/>
              <w:ind w:firstLine="480"/>
              <w:jc w:val="center"/>
              <w:rPr>
                <w:rFonts w:hint="eastAsia" w:hAnsi="宋体"/>
                <w:kern w:val="0"/>
                <w:sz w:val="24"/>
                <w:lang w:val="en-US" w:eastAsia="zh-CN"/>
              </w:rPr>
            </w:pPr>
            <w:r>
              <w:rPr>
                <w:rFonts w:hint="eastAsia" w:hAnsi="Times New Roman" w:eastAsia="黑体"/>
                <w:b w:val="0"/>
                <w:bCs w:val="0"/>
                <w:color w:val="000000" w:themeColor="text1"/>
                <w:szCs w:val="24"/>
                <w14:textFill>
                  <w14:solidFill>
                    <w14:schemeClr w14:val="tx1"/>
                  </w14:solidFill>
                </w14:textFill>
              </w:rPr>
              <w:t xml:space="preserve">图2-1 </w:t>
            </w:r>
            <w:r>
              <w:rPr>
                <w:rFonts w:hAnsi="Times New Roman" w:eastAsia="黑体"/>
                <w:b w:val="0"/>
                <w:bCs w:val="0"/>
                <w:color w:val="000000" w:themeColor="text1"/>
                <w:szCs w:val="24"/>
                <w14:textFill>
                  <w14:solidFill>
                    <w14:schemeClr w14:val="tx1"/>
                  </w14:solidFill>
                </w14:textFill>
              </w:rPr>
              <w:t xml:space="preserve">   </w:t>
            </w:r>
            <w:r>
              <w:rPr>
                <w:rFonts w:hint="eastAsia" w:hAnsi="Times New Roman" w:eastAsia="黑体"/>
                <w:b w:val="0"/>
                <w:bCs w:val="0"/>
                <w:color w:val="000000" w:themeColor="text1"/>
                <w:szCs w:val="24"/>
                <w14:textFill>
                  <w14:solidFill>
                    <w14:schemeClr w14:val="tx1"/>
                  </w14:solidFill>
                </w14:textFill>
              </w:rPr>
              <w:t>项目水平衡图（m</w:t>
            </w:r>
            <w:r>
              <w:rPr>
                <w:rFonts w:hint="eastAsia" w:hAnsi="Times New Roman" w:eastAsia="黑体"/>
                <w:b w:val="0"/>
                <w:bCs w:val="0"/>
                <w:color w:val="000000" w:themeColor="text1"/>
                <w:szCs w:val="24"/>
                <w:vertAlign w:val="superscript"/>
                <w14:textFill>
                  <w14:solidFill>
                    <w14:schemeClr w14:val="tx1"/>
                  </w14:solidFill>
                </w14:textFill>
              </w:rPr>
              <w:t>3</w:t>
            </w:r>
            <w:r>
              <w:rPr>
                <w:rFonts w:hint="eastAsia" w:hAnsi="Times New Roman" w:eastAsia="黑体"/>
                <w:b w:val="0"/>
                <w:bCs w:val="0"/>
                <w:color w:val="000000" w:themeColor="text1"/>
                <w:szCs w:val="24"/>
                <w14:textFill>
                  <w14:solidFill>
                    <w14:schemeClr w14:val="tx1"/>
                  </w14:solidFill>
                </w14:textFill>
              </w:rPr>
              <w:t>/a）</w:t>
            </w:r>
          </w:p>
          <w:p>
            <w:pPr>
              <w:numPr>
                <w:ilvl w:val="0"/>
                <w:numId w:val="2"/>
              </w:numPr>
              <w:adjustRightInd w:val="0"/>
              <w:snapToGrid w:val="0"/>
              <w:spacing w:line="520" w:lineRule="exact"/>
              <w:ind w:firstLine="480" w:firstLineChars="200"/>
              <w:rPr>
                <w:rFonts w:hint="eastAsia" w:hAnsi="宋体"/>
                <w:kern w:val="0"/>
                <w:sz w:val="24"/>
                <w:lang w:val="en-US" w:eastAsia="zh-CN"/>
              </w:rPr>
            </w:pPr>
            <w:r>
              <w:rPr>
                <w:rFonts w:hAnsi="宋体"/>
                <w:kern w:val="0"/>
                <w:sz w:val="24"/>
              </w:rPr>
              <w:t>供</w:t>
            </w:r>
            <w:r>
              <w:rPr>
                <w:rFonts w:hint="eastAsia" w:hAnsi="宋体"/>
                <w:kern w:val="0"/>
                <w:sz w:val="24"/>
                <w:lang w:val="en-US" w:eastAsia="zh-CN"/>
              </w:rPr>
              <w:t>暖</w:t>
            </w:r>
          </w:p>
          <w:p>
            <w:pPr>
              <w:pStyle w:val="2"/>
              <w:keepNext w:val="0"/>
              <w:keepLines w:val="0"/>
              <w:pageBreakBefore w:val="0"/>
              <w:widowControl w:val="0"/>
              <w:numPr>
                <w:ilvl w:val="0"/>
                <w:numId w:val="0"/>
              </w:numPr>
              <w:kinsoku/>
              <w:wordWrap/>
              <w:overflowPunct/>
              <w:topLinePunct w:val="0"/>
              <w:autoSpaceDE w:val="0"/>
              <w:autoSpaceDN w:val="0"/>
              <w:bidi w:val="0"/>
              <w:adjustRightInd w:val="0"/>
              <w:snapToGrid/>
              <w:spacing w:line="520" w:lineRule="exact"/>
              <w:ind w:firstLine="480" w:firstLineChars="200"/>
              <w:textAlignment w:val="auto"/>
              <w:rPr>
                <w:rFonts w:hint="default"/>
                <w:lang w:val="en-US" w:eastAsia="zh-CN"/>
              </w:rPr>
            </w:pPr>
            <w:r>
              <w:rPr>
                <w:rFonts w:hint="eastAsia"/>
                <w:lang w:val="en-US" w:eastAsia="zh-CN"/>
              </w:rPr>
              <w:t>本项目冬季供暖由玛纳斯县市政供热管网供给，可以满足本项目冬季采暖。</w:t>
            </w:r>
          </w:p>
          <w:p>
            <w:pPr>
              <w:adjustRightInd w:val="0"/>
              <w:snapToGrid w:val="0"/>
              <w:spacing w:line="520" w:lineRule="exact"/>
              <w:ind w:firstLine="482" w:firstLineChars="200"/>
              <w:rPr>
                <w:sz w:val="24"/>
              </w:rPr>
            </w:pPr>
            <w:r>
              <w:rPr>
                <w:rFonts w:hint="eastAsia"/>
                <w:b/>
                <w:bCs/>
                <w:sz w:val="24"/>
              </w:rPr>
              <w:t>8</w:t>
            </w:r>
            <w:r>
              <w:rPr>
                <w:rFonts w:hint="eastAsia"/>
                <w:b/>
                <w:bCs/>
                <w:sz w:val="24"/>
                <w:lang w:val="en-US" w:eastAsia="zh-CN"/>
              </w:rPr>
              <w:t>.</w:t>
            </w:r>
            <w:r>
              <w:rPr>
                <w:b/>
                <w:bCs/>
                <w:sz w:val="24"/>
              </w:rPr>
              <w:t>劳动定员及工作制度</w:t>
            </w:r>
          </w:p>
          <w:p>
            <w:pPr>
              <w:adjustRightInd w:val="0"/>
              <w:snapToGrid w:val="0"/>
              <w:spacing w:line="520" w:lineRule="exact"/>
              <w:ind w:firstLine="480" w:firstLineChars="200"/>
              <w:rPr>
                <w:rFonts w:hint="eastAsia" w:ascii="Times New Roman" w:hAnsi="Times New Roman" w:eastAsia="宋体"/>
                <w:color w:val="000000" w:themeColor="text1"/>
                <w:sz w:val="24"/>
                <w:lang w:eastAsia="zh-CN"/>
                <w14:textFill>
                  <w14:solidFill>
                    <w14:schemeClr w14:val="tx1"/>
                  </w14:solidFill>
                </w14:textFill>
              </w:rPr>
            </w:pPr>
            <w:r>
              <w:rPr>
                <w:rFonts w:hint="eastAsia" w:cs="Times New Roman"/>
                <w:color w:val="000000" w:themeColor="text1"/>
                <w:kern w:val="2"/>
                <w:sz w:val="24"/>
                <w:szCs w:val="24"/>
                <w:lang w:val="en-US" w:eastAsia="zh-CN" w:bidi="ar-SA"/>
                <w14:textFill>
                  <w14:solidFill>
                    <w14:schemeClr w14:val="tx1"/>
                  </w14:solidFill>
                </w14:textFill>
              </w:rPr>
              <w:t>本</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项目</w:t>
            </w:r>
            <w:r>
              <w:rPr>
                <w:rFonts w:hint="eastAsia" w:cs="Times New Roman"/>
                <w:color w:val="000000" w:themeColor="text1"/>
                <w:kern w:val="2"/>
                <w:sz w:val="24"/>
                <w:szCs w:val="24"/>
                <w:lang w:val="en-US" w:eastAsia="zh-CN" w:bidi="ar-SA"/>
                <w14:textFill>
                  <w14:solidFill>
                    <w14:schemeClr w14:val="tx1"/>
                  </w14:solidFill>
                </w14:textFill>
              </w:rPr>
              <w:t>医务劳动</w:t>
            </w:r>
            <w:r>
              <w:rPr>
                <w:rFonts w:hint="eastAsia" w:ascii="Times New Roman" w:hAnsi="Times New Roman"/>
                <w:color w:val="000000" w:themeColor="text1"/>
                <w:sz w:val="24"/>
                <w14:textFill>
                  <w14:solidFill>
                    <w14:schemeClr w14:val="tx1"/>
                  </w14:solidFill>
                </w14:textFill>
              </w:rPr>
              <w:t>定员</w:t>
            </w:r>
            <w:r>
              <w:rPr>
                <w:rFonts w:hint="eastAsia" w:ascii="Times New Roman" w:hAnsi="Times New Roman"/>
                <w:color w:val="000000" w:themeColor="text1"/>
                <w:sz w:val="24"/>
                <w:lang w:val="en-US" w:eastAsia="zh-CN"/>
                <w14:textFill>
                  <w14:solidFill>
                    <w14:schemeClr w14:val="tx1"/>
                  </w14:solidFill>
                </w14:textFill>
              </w:rPr>
              <w:t>均为</w:t>
            </w:r>
            <w:r>
              <w:rPr>
                <w:rFonts w:hint="eastAsia"/>
                <w:color w:val="000000" w:themeColor="text1"/>
                <w:sz w:val="24"/>
                <w:lang w:val="en-US" w:eastAsia="zh-CN"/>
                <w14:textFill>
                  <w14:solidFill>
                    <w14:schemeClr w14:val="tx1"/>
                  </w14:solidFill>
                </w14:textFill>
              </w:rPr>
              <w:t>70</w:t>
            </w:r>
            <w:r>
              <w:rPr>
                <w:rFonts w:ascii="Times New Roman" w:hAnsi="Times New Roman"/>
                <w:color w:val="000000" w:themeColor="text1"/>
                <w:sz w:val="24"/>
                <w14:textFill>
                  <w14:solidFill>
                    <w14:schemeClr w14:val="tx1"/>
                  </w14:solidFill>
                </w14:textFill>
              </w:rPr>
              <w:t>人，年工作时间为</w:t>
            </w:r>
            <w:r>
              <w:rPr>
                <w:rFonts w:hint="eastAsia" w:ascii="Times New Roman" w:hAnsi="Times New Roman"/>
                <w:color w:val="000000" w:themeColor="text1"/>
                <w:sz w:val="24"/>
                <w:lang w:val="en-US" w:eastAsia="zh-CN"/>
                <w14:textFill>
                  <w14:solidFill>
                    <w14:schemeClr w14:val="tx1"/>
                  </w14:solidFill>
                </w14:textFill>
              </w:rPr>
              <w:t>365</w:t>
            </w:r>
            <w:r>
              <w:rPr>
                <w:rFonts w:ascii="Times New Roman" w:hAnsi="Times New Roman"/>
                <w:color w:val="000000" w:themeColor="text1"/>
                <w:sz w:val="24"/>
                <w14:textFill>
                  <w14:solidFill>
                    <w14:schemeClr w14:val="tx1"/>
                  </w14:solidFill>
                </w14:textFill>
              </w:rPr>
              <w:t>天</w:t>
            </w:r>
            <w:r>
              <w:rPr>
                <w:rFonts w:hint="eastAsia"/>
                <w:color w:val="000000" w:themeColor="text1"/>
                <w:sz w:val="24"/>
                <w:lang w:eastAsia="zh-CN"/>
                <w14:textFill>
                  <w14:solidFill>
                    <w14:schemeClr w14:val="tx1"/>
                  </w14:solidFill>
                </w14:textFill>
              </w:rPr>
              <w:t>。</w:t>
            </w:r>
          </w:p>
          <w:p>
            <w:pPr>
              <w:adjustRightInd w:val="0"/>
              <w:snapToGrid w:val="0"/>
              <w:spacing w:line="520" w:lineRule="exact"/>
              <w:ind w:firstLine="482" w:firstLineChars="200"/>
              <w:rPr>
                <w:sz w:val="24"/>
              </w:rPr>
            </w:pPr>
            <w:r>
              <w:rPr>
                <w:rFonts w:hint="eastAsia"/>
                <w:b/>
                <w:bCs/>
                <w:sz w:val="24"/>
              </w:rPr>
              <w:t>9</w:t>
            </w:r>
            <w:r>
              <w:rPr>
                <w:rFonts w:hint="eastAsia"/>
                <w:b/>
                <w:bCs/>
                <w:sz w:val="24"/>
                <w:lang w:val="en-US" w:eastAsia="zh-CN"/>
              </w:rPr>
              <w:t>.</w:t>
            </w:r>
            <w:r>
              <w:rPr>
                <w:b/>
                <w:bCs/>
                <w:sz w:val="24"/>
              </w:rPr>
              <w:t>项目平面布置</w:t>
            </w:r>
          </w:p>
          <w:p>
            <w:pPr>
              <w:adjustRightInd w:val="0"/>
              <w:snapToGrid w:val="0"/>
              <w:spacing w:line="520" w:lineRule="exact"/>
              <w:ind w:firstLine="480" w:firstLineChars="200"/>
              <w:rPr>
                <w:rFonts w:hint="default" w:eastAsia="宋体"/>
                <w:bCs/>
                <w:sz w:val="24"/>
                <w:lang w:val="en-US" w:eastAsia="zh-CN" w:bidi="en-US"/>
              </w:rPr>
            </w:pPr>
            <w:r>
              <w:rPr>
                <w:bCs/>
                <w:sz w:val="24"/>
                <w:lang w:bidi="en-US"/>
              </w:rPr>
              <w:t>总图布置设计规整紧凑，符合</w:t>
            </w:r>
            <w:r>
              <w:rPr>
                <w:rFonts w:hint="eastAsia"/>
                <w:bCs/>
                <w:sz w:val="24"/>
                <w:lang w:bidi="en-US"/>
              </w:rPr>
              <w:t>国家颁布的现行的有关设计规范、规定及技术标准，按照联合集中，紧凑合理，留有发展用地的原则进行布置。从项目平面布置分析，本项目总图布置充分考虑了当地的气象条件，紧密结合了生产流程，因地制宜，使新建设施紧凑布置，少占地；考虑了公用工程的配套便利性，项目平面布置合理。</w:t>
            </w:r>
            <w:r>
              <w:rPr>
                <w:rFonts w:hint="eastAsia"/>
                <w:bCs/>
                <w:sz w:val="24"/>
                <w:lang w:val="en-US" w:eastAsia="zh-CN" w:bidi="en-US"/>
              </w:rPr>
              <w:t>中医医院平面布置图见图2-2。</w:t>
            </w:r>
          </w:p>
          <w:p>
            <w:pPr>
              <w:pStyle w:val="2"/>
              <w:rPr>
                <w:rFonts w:hint="eastAsia"/>
                <w:bCs/>
                <w:sz w:val="24"/>
                <w:lang w:bidi="en-US"/>
              </w:rPr>
            </w:pPr>
          </w:p>
          <w:p>
            <w:pPr>
              <w:pStyle w:val="4"/>
              <w:rPr>
                <w:rFonts w:hint="eastAsia"/>
                <w:bCs/>
                <w:sz w:val="24"/>
                <w:lang w:bidi="en-US"/>
              </w:rPr>
            </w:pPr>
          </w:p>
          <w:p>
            <w:pPr>
              <w:pStyle w:val="2"/>
              <w:rPr>
                <w:rFonts w:hint="eastAsia"/>
                <w:sz w:val="24"/>
              </w:rPr>
            </w:pPr>
          </w:p>
          <w:p>
            <w:pPr>
              <w:pStyle w:val="9"/>
              <w:ind w:firstLine="420"/>
            </w:pPr>
          </w:p>
          <w:p>
            <w:pPr>
              <w:pStyle w:val="9"/>
              <w:ind w:firstLine="420"/>
            </w:pPr>
          </w:p>
          <w:p>
            <w:pPr>
              <w:pStyle w:val="9"/>
              <w:ind w:firstLine="420"/>
            </w:pPr>
          </w:p>
          <w:p>
            <w:pPr>
              <w:pStyle w:val="9"/>
              <w:ind w:firstLine="420"/>
            </w:pPr>
          </w:p>
          <w:p>
            <w:pPr>
              <w:pStyle w:val="9"/>
              <w:ind w:firstLine="420"/>
            </w:pPr>
            <w:r>
              <w:drawing>
                <wp:anchor distT="0" distB="0" distL="114300" distR="114300" simplePos="0" relativeHeight="251672576" behindDoc="0" locked="0" layoutInCell="1" allowOverlap="1">
                  <wp:simplePos x="0" y="0"/>
                  <wp:positionH relativeFrom="column">
                    <wp:posOffset>18415</wp:posOffset>
                  </wp:positionH>
                  <wp:positionV relativeFrom="paragraph">
                    <wp:posOffset>96520</wp:posOffset>
                  </wp:positionV>
                  <wp:extent cx="5130165" cy="3152140"/>
                  <wp:effectExtent l="9525" t="9525" r="22860" b="19685"/>
                  <wp:wrapNone/>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5"/>
                          <a:stretch>
                            <a:fillRect/>
                          </a:stretch>
                        </pic:blipFill>
                        <pic:spPr>
                          <a:xfrm>
                            <a:off x="0" y="0"/>
                            <a:ext cx="5130165" cy="3152140"/>
                          </a:xfrm>
                          <a:prstGeom prst="rect">
                            <a:avLst/>
                          </a:prstGeom>
                          <a:noFill/>
                          <a:ln w="9525" cmpd="sng">
                            <a:solidFill>
                              <a:schemeClr val="tx1"/>
                            </a:solidFill>
                            <a:prstDash val="solid"/>
                          </a:ln>
                        </pic:spPr>
                      </pic:pic>
                    </a:graphicData>
                  </a:graphic>
                </wp:anchor>
              </w:drawing>
            </w:r>
            <w:r>
              <w:drawing>
                <wp:anchor distT="0" distB="0" distL="114300" distR="114300" simplePos="0" relativeHeight="251661312" behindDoc="0" locked="0" layoutInCell="1" allowOverlap="1">
                  <wp:simplePos x="0" y="0"/>
                  <wp:positionH relativeFrom="column">
                    <wp:posOffset>7655560</wp:posOffset>
                  </wp:positionH>
                  <wp:positionV relativeFrom="paragraph">
                    <wp:posOffset>-3593465</wp:posOffset>
                  </wp:positionV>
                  <wp:extent cx="948055" cy="931545"/>
                  <wp:effectExtent l="0" t="0" r="4445" b="1905"/>
                  <wp:wrapNone/>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6"/>
                          <a:stretch>
                            <a:fillRect/>
                          </a:stretch>
                        </pic:blipFill>
                        <pic:spPr>
                          <a:xfrm>
                            <a:off x="0" y="0"/>
                            <a:ext cx="948055" cy="931545"/>
                          </a:xfrm>
                          <a:prstGeom prst="rect">
                            <a:avLst/>
                          </a:prstGeom>
                          <a:noFill/>
                          <a:ln>
                            <a:noFill/>
                          </a:ln>
                        </pic:spPr>
                      </pic:pic>
                    </a:graphicData>
                  </a:graphic>
                </wp:anchor>
              </w:drawing>
            </w: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420"/>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r>
              <w:rPr>
                <w:rFonts w:hint="eastAsia" w:ascii="黑体" w:hAnsi="黑体" w:eastAsia="黑体"/>
                <w:color w:val="000000" w:themeColor="text1"/>
                <w:sz w:val="24"/>
                <w14:textFill>
                  <w14:solidFill>
                    <w14:schemeClr w14:val="tx1"/>
                  </w14:solidFill>
                </w14:textFill>
              </w:rPr>
              <w:t>图</w:t>
            </w:r>
            <w:r>
              <w:rPr>
                <w:rFonts w:hint="default" w:ascii="Times New Roman" w:hAnsi="Times New Roman" w:eastAsia="黑体" w:cs="Times New Roman"/>
                <w:color w:val="000000" w:themeColor="text1"/>
                <w:sz w:val="24"/>
                <w14:textFill>
                  <w14:solidFill>
                    <w14:schemeClr w14:val="tx1"/>
                  </w14:solidFill>
                </w14:textFill>
              </w:rPr>
              <w:t>2-2</w:t>
            </w:r>
            <w:r>
              <w:rPr>
                <w:rFonts w:hint="eastAsia" w:ascii="黑体" w:hAnsi="黑体" w:eastAsia="黑体"/>
                <w:color w:val="000000" w:themeColor="text1"/>
                <w:sz w:val="24"/>
                <w14:textFill>
                  <w14:solidFill>
                    <w14:schemeClr w14:val="tx1"/>
                  </w14:solidFill>
                </w14:textFill>
              </w:rPr>
              <w:t xml:space="preserve">    </w:t>
            </w:r>
            <w:r>
              <w:rPr>
                <w:rFonts w:hint="eastAsia" w:ascii="黑体" w:hAnsi="黑体" w:eastAsia="黑体"/>
                <w:color w:val="000000" w:themeColor="text1"/>
                <w:sz w:val="24"/>
                <w:lang w:val="en-US" w:eastAsia="zh-CN"/>
                <w14:textFill>
                  <w14:solidFill>
                    <w14:schemeClr w14:val="tx1"/>
                  </w14:solidFill>
                </w14:textFill>
              </w:rPr>
              <w:t>玛纳斯县中医医院</w:t>
            </w:r>
            <w:r>
              <w:rPr>
                <w:rFonts w:hint="eastAsia" w:ascii="黑体" w:hAnsi="黑体" w:eastAsia="黑体"/>
                <w:color w:val="000000" w:themeColor="text1"/>
                <w:sz w:val="24"/>
                <w14:textFill>
                  <w14:solidFill>
                    <w14:schemeClr w14:val="tx1"/>
                  </w14:solidFill>
                </w14:textFill>
              </w:rPr>
              <w:t>平面布置图</w:t>
            </w: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center"/>
              <w:rPr>
                <w:rFonts w:hint="eastAsia" w:ascii="黑体" w:hAnsi="黑体" w:eastAsia="黑体"/>
                <w:color w:val="000000" w:themeColor="text1"/>
                <w:sz w:val="24"/>
                <w14:textFill>
                  <w14:solidFill>
                    <w14:schemeClr w14:val="tx1"/>
                  </w14:solidFill>
                </w14:textFill>
              </w:rPr>
            </w:pPr>
          </w:p>
          <w:p>
            <w:pPr>
              <w:pStyle w:val="9"/>
              <w:ind w:firstLine="0" w:firstLineChars="0"/>
              <w:jc w:val="both"/>
              <w:rPr>
                <w:rFonts w:hint="eastAsia" w:ascii="黑体" w:hAnsi="黑体" w:eastAsia="黑体"/>
                <w:color w:val="000000" w:themeColor="text1"/>
                <w:sz w:val="24"/>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51" w:hRule="atLeast"/>
          <w:jc w:val="center"/>
        </w:trPr>
        <w:tc>
          <w:tcPr>
            <w:tcW w:w="471" w:type="dxa"/>
            <w:vAlign w:val="center"/>
          </w:tcPr>
          <w:p>
            <w:pPr>
              <w:pStyle w:val="24"/>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工艺流程和产排污环节</w:t>
            </w:r>
          </w:p>
        </w:tc>
        <w:tc>
          <w:tcPr>
            <w:tcW w:w="8353" w:type="dxa"/>
          </w:tcPr>
          <w:p>
            <w:pPr>
              <w:numPr>
                <w:ilvl w:val="0"/>
                <w:numId w:val="3"/>
              </w:numPr>
              <w:adjustRightInd w:val="0"/>
              <w:snapToGrid w:val="0"/>
              <w:spacing w:line="520" w:lineRule="exact"/>
              <w:ind w:firstLine="482" w:firstLineChars="200"/>
              <w:rPr>
                <w:b/>
                <w:bCs/>
                <w:sz w:val="24"/>
              </w:rPr>
            </w:pPr>
            <w:r>
              <w:rPr>
                <w:b/>
                <w:bCs/>
                <w:sz w:val="24"/>
              </w:rPr>
              <w:t>施工期</w:t>
            </w:r>
          </w:p>
          <w:p>
            <w:pPr>
              <w:numPr>
                <w:ilvl w:val="0"/>
                <w:numId w:val="0"/>
              </w:numPr>
              <w:adjustRightInd w:val="0"/>
              <w:snapToGrid w:val="0"/>
              <w:spacing w:line="520" w:lineRule="exact"/>
              <w:ind w:firstLine="482" w:firstLineChars="200"/>
              <w:rPr>
                <w:rFonts w:hint="eastAsia" w:eastAsia="宋体"/>
                <w:b/>
                <w:bCs/>
                <w:sz w:val="24"/>
                <w:lang w:val="en-US" w:eastAsia="zh-CN"/>
              </w:rPr>
            </w:pPr>
            <w:r>
              <w:rPr>
                <w:rFonts w:hint="eastAsia"/>
                <w:b/>
                <w:bCs/>
                <w:sz w:val="24"/>
                <w:lang w:val="en-US" w:eastAsia="zh-CN"/>
              </w:rPr>
              <w:t>1.1施工期工艺流程</w:t>
            </w:r>
          </w:p>
          <w:p>
            <w:pPr>
              <w:spacing w:line="520" w:lineRule="exact"/>
              <w:ind w:firstLine="480" w:firstLineChars="200"/>
              <w:rPr>
                <w:bCs/>
                <w:sz w:val="24"/>
              </w:rPr>
            </w:pPr>
            <w:r>
              <w:rPr>
                <w:bCs/>
                <w:sz w:val="24"/>
              </w:rPr>
              <w:t>施工期间的环境污染因素主要为废水、扬尘、固废、噪声等</w:t>
            </w:r>
            <w:r>
              <w:rPr>
                <w:rFonts w:hint="eastAsia"/>
                <w:bCs/>
                <w:sz w:val="24"/>
                <w:lang w:eastAsia="zh-CN"/>
              </w:rPr>
              <w:t>，</w:t>
            </w:r>
            <w:r>
              <w:rPr>
                <w:rFonts w:hint="eastAsia"/>
                <w:bCs/>
                <w:sz w:val="24"/>
                <w:lang w:val="en-US" w:eastAsia="zh-CN"/>
              </w:rPr>
              <w:t>施工工艺简述如下</w:t>
            </w:r>
            <w:r>
              <w:rPr>
                <w:bCs/>
                <w:sz w:val="24"/>
              </w:rPr>
              <w:t>：</w:t>
            </w:r>
          </w:p>
          <w:p>
            <w:pPr>
              <w:spacing w:line="520" w:lineRule="exact"/>
              <w:ind w:firstLine="480" w:firstLineChars="200"/>
              <w:rPr>
                <w:bCs/>
                <w:sz w:val="24"/>
              </w:rPr>
            </w:pPr>
            <w:r>
              <w:rPr>
                <w:rFonts w:hint="eastAsia"/>
                <w:bCs/>
                <w:sz w:val="24"/>
                <w:lang w:eastAsia="zh-CN"/>
              </w:rPr>
              <w:t>（</w:t>
            </w:r>
            <w:r>
              <w:rPr>
                <w:rFonts w:hint="eastAsia"/>
                <w:bCs/>
                <w:sz w:val="24"/>
                <w:lang w:val="en-US" w:eastAsia="zh-CN"/>
              </w:rPr>
              <w:t>1</w:t>
            </w:r>
            <w:r>
              <w:rPr>
                <w:rFonts w:hint="eastAsia"/>
                <w:bCs/>
                <w:sz w:val="24"/>
                <w:lang w:eastAsia="zh-CN"/>
              </w:rPr>
              <w:t>）</w:t>
            </w:r>
            <w:r>
              <w:rPr>
                <w:bCs/>
                <w:sz w:val="24"/>
              </w:rPr>
              <w:t>场地平整及施工</w:t>
            </w:r>
            <w:r>
              <w:rPr>
                <w:rFonts w:hint="eastAsia"/>
                <w:bCs/>
                <w:sz w:val="24"/>
                <w:lang w:val="en-US" w:eastAsia="zh-CN"/>
              </w:rPr>
              <w:t>:</w:t>
            </w:r>
            <w:r>
              <w:rPr>
                <w:bCs/>
                <w:sz w:val="24"/>
              </w:rPr>
              <w:t>建筑物区域先采用推土机剥离表土，运往临时存放区存放；然后采用推土机按设计推平。</w:t>
            </w:r>
          </w:p>
          <w:p>
            <w:pPr>
              <w:spacing w:line="520" w:lineRule="exact"/>
              <w:ind w:firstLine="480" w:firstLineChars="200"/>
              <w:rPr>
                <w:bCs/>
                <w:sz w:val="24"/>
              </w:rPr>
            </w:pPr>
            <w:r>
              <w:rPr>
                <w:rFonts w:hint="eastAsia"/>
                <w:bCs/>
                <w:sz w:val="24"/>
                <w:lang w:eastAsia="zh-CN"/>
              </w:rPr>
              <w:t>（</w:t>
            </w:r>
            <w:r>
              <w:rPr>
                <w:rFonts w:hint="eastAsia"/>
                <w:bCs/>
                <w:sz w:val="24"/>
                <w:lang w:val="en-US" w:eastAsia="zh-CN"/>
              </w:rPr>
              <w:t>2</w:t>
            </w:r>
            <w:r>
              <w:rPr>
                <w:rFonts w:hint="eastAsia"/>
                <w:bCs/>
                <w:sz w:val="24"/>
                <w:lang w:eastAsia="zh-CN"/>
              </w:rPr>
              <w:t>）</w:t>
            </w:r>
            <w:r>
              <w:rPr>
                <w:bCs/>
                <w:sz w:val="24"/>
              </w:rPr>
              <w:t>基坑开挖</w:t>
            </w:r>
            <w:r>
              <w:rPr>
                <w:rFonts w:hint="eastAsia"/>
                <w:bCs/>
                <w:sz w:val="24"/>
                <w:lang w:val="en-US" w:eastAsia="zh-CN"/>
              </w:rPr>
              <w:t>:</w:t>
            </w:r>
            <w:r>
              <w:rPr>
                <w:bCs/>
                <w:sz w:val="24"/>
              </w:rPr>
              <w:t>采用单斗挖掘机，并辅以人工开挖，土石方就近堆放于基坑两侧，待基础施工后用于回填并压实。</w:t>
            </w:r>
          </w:p>
          <w:p>
            <w:pPr>
              <w:spacing w:line="520" w:lineRule="exact"/>
              <w:ind w:firstLine="480" w:firstLineChars="200"/>
              <w:rPr>
                <w:bCs/>
                <w:sz w:val="24"/>
              </w:rPr>
            </w:pPr>
            <w:r>
              <w:rPr>
                <w:rFonts w:hint="eastAsia"/>
                <w:bCs/>
                <w:sz w:val="24"/>
                <w:lang w:eastAsia="zh-CN"/>
              </w:rPr>
              <w:t>（</w:t>
            </w:r>
            <w:r>
              <w:rPr>
                <w:rFonts w:hint="eastAsia"/>
                <w:bCs/>
                <w:sz w:val="24"/>
                <w:lang w:val="en-US" w:eastAsia="zh-CN"/>
              </w:rPr>
              <w:t>3</w:t>
            </w:r>
            <w:r>
              <w:rPr>
                <w:rFonts w:hint="eastAsia"/>
                <w:bCs/>
                <w:sz w:val="24"/>
                <w:lang w:eastAsia="zh-CN"/>
              </w:rPr>
              <w:t>）</w:t>
            </w:r>
            <w:r>
              <w:rPr>
                <w:bCs/>
                <w:sz w:val="24"/>
              </w:rPr>
              <w:t>挖方边坡</w:t>
            </w:r>
            <w:r>
              <w:rPr>
                <w:rFonts w:hint="eastAsia"/>
                <w:bCs/>
                <w:sz w:val="24"/>
                <w:lang w:val="en-US" w:eastAsia="zh-CN"/>
              </w:rPr>
              <w:t>:</w:t>
            </w:r>
            <w:r>
              <w:rPr>
                <w:bCs/>
                <w:sz w:val="24"/>
              </w:rPr>
              <w:t>为确保边坡的稳定性和防护达到预期效果，由人工自上而下修整边坡，边开挖边防护。设置挡土墙地段需间隔开挖，间隔施工，以免造成边坡失稳。</w:t>
            </w:r>
          </w:p>
          <w:p>
            <w:pPr>
              <w:spacing w:line="520" w:lineRule="exact"/>
              <w:ind w:firstLine="480" w:firstLineChars="200"/>
              <w:rPr>
                <w:bCs/>
                <w:sz w:val="24"/>
              </w:rPr>
            </w:pPr>
            <w:r>
              <w:rPr>
                <w:rFonts w:hint="eastAsia"/>
                <w:bCs/>
                <w:sz w:val="24"/>
                <w:lang w:eastAsia="zh-CN"/>
              </w:rPr>
              <w:t>（</w:t>
            </w:r>
            <w:r>
              <w:rPr>
                <w:rFonts w:hint="eastAsia"/>
                <w:bCs/>
                <w:sz w:val="24"/>
                <w:lang w:val="en-US" w:eastAsia="zh-CN"/>
              </w:rPr>
              <w:t>4</w:t>
            </w:r>
            <w:r>
              <w:rPr>
                <w:rFonts w:hint="eastAsia"/>
                <w:bCs/>
                <w:sz w:val="24"/>
                <w:lang w:eastAsia="zh-CN"/>
              </w:rPr>
              <w:t>）</w:t>
            </w:r>
            <w:r>
              <w:rPr>
                <w:bCs/>
                <w:sz w:val="24"/>
              </w:rPr>
              <w:t>填方区域</w:t>
            </w:r>
            <w:r>
              <w:rPr>
                <w:rFonts w:hint="eastAsia"/>
                <w:bCs/>
                <w:sz w:val="24"/>
                <w:lang w:val="en-US" w:eastAsia="zh-CN"/>
              </w:rPr>
              <w:t>:</w:t>
            </w:r>
            <w:r>
              <w:rPr>
                <w:bCs/>
                <w:sz w:val="24"/>
              </w:rPr>
              <w:t>严格控制填土速度，分层填筑碾压，保证压实度。</w:t>
            </w:r>
          </w:p>
          <w:p>
            <w:pPr>
              <w:spacing w:line="520" w:lineRule="exact"/>
              <w:ind w:firstLine="480" w:firstLineChars="200"/>
              <w:rPr>
                <w:bCs/>
                <w:sz w:val="24"/>
              </w:rPr>
            </w:pPr>
            <w:r>
              <w:rPr>
                <w:rFonts w:hint="eastAsia"/>
                <w:bCs/>
                <w:sz w:val="24"/>
                <w:lang w:eastAsia="zh-CN"/>
              </w:rPr>
              <w:t>（</w:t>
            </w:r>
            <w:r>
              <w:rPr>
                <w:rFonts w:hint="eastAsia"/>
                <w:bCs/>
                <w:sz w:val="24"/>
                <w:lang w:val="en-US" w:eastAsia="zh-CN"/>
              </w:rPr>
              <w:t>5</w:t>
            </w:r>
            <w:r>
              <w:rPr>
                <w:rFonts w:hint="eastAsia"/>
                <w:bCs/>
                <w:sz w:val="24"/>
                <w:lang w:eastAsia="zh-CN"/>
              </w:rPr>
              <w:t>）</w:t>
            </w:r>
            <w:r>
              <w:rPr>
                <w:bCs/>
                <w:sz w:val="24"/>
              </w:rPr>
              <w:t>剥离表土临时存放区下方应根据现场情况设置临时拦渣墙。区内表土经多年熟化作用，有机质含量高，是良好的绿化用土壤，将严格管理，存放于指定存放地，后期用于绿化区域的表土回填，倒土时应从低处往高处堆砌。</w:t>
            </w:r>
          </w:p>
          <w:p>
            <w:pPr>
              <w:spacing w:line="520" w:lineRule="exact"/>
              <w:ind w:firstLine="480" w:firstLineChars="200"/>
              <w:rPr>
                <w:bCs/>
                <w:sz w:val="24"/>
              </w:rPr>
            </w:pPr>
            <w:r>
              <w:rPr>
                <w:bCs/>
                <w:sz w:val="24"/>
              </w:rPr>
              <w:t>项目在装修阶段产生的建筑垃圾</w:t>
            </w:r>
            <w:r>
              <w:rPr>
                <w:rFonts w:hint="eastAsia"/>
                <w:bCs/>
                <w:sz w:val="24"/>
                <w:lang w:eastAsia="zh-CN"/>
              </w:rPr>
              <w:t>，</w:t>
            </w:r>
            <w:r>
              <w:rPr>
                <w:rFonts w:hint="eastAsia"/>
                <w:bCs/>
                <w:sz w:val="24"/>
                <w:lang w:val="en-US" w:eastAsia="zh-CN"/>
              </w:rPr>
              <w:t>集中</w:t>
            </w:r>
            <w:r>
              <w:rPr>
                <w:bCs/>
                <w:sz w:val="24"/>
              </w:rPr>
              <w:t>收集后由市政环卫部门清运到指定处理场进行处理。</w:t>
            </w:r>
          </w:p>
          <w:p>
            <w:pPr>
              <w:spacing w:line="520" w:lineRule="exact"/>
              <w:ind w:firstLine="480" w:firstLineChars="200"/>
              <w:rPr>
                <w:bCs/>
                <w:sz w:val="24"/>
              </w:rPr>
            </w:pPr>
            <w:r>
              <w:rPr>
                <w:bCs/>
                <w:sz w:val="24"/>
              </w:rPr>
              <w:t>施工期工艺流程</w:t>
            </w:r>
            <w:r>
              <w:rPr>
                <w:rFonts w:hint="eastAsia"/>
                <w:bCs/>
                <w:sz w:val="24"/>
                <w:lang w:val="en-US" w:eastAsia="zh-CN"/>
              </w:rPr>
              <w:t>见图2-3</w:t>
            </w:r>
            <w:r>
              <w:rPr>
                <w:bCs/>
                <w:sz w:val="24"/>
              </w:rPr>
              <w:t>。</w:t>
            </w: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pStyle w:val="2"/>
              <w:rPr>
                <w:bCs/>
                <w:sz w:val="24"/>
              </w:rPr>
            </w:pPr>
            <w:r>
              <w:drawing>
                <wp:anchor distT="0" distB="0" distL="114300" distR="114300" simplePos="0" relativeHeight="251663360" behindDoc="0" locked="0" layoutInCell="1" allowOverlap="1">
                  <wp:simplePos x="0" y="0"/>
                  <wp:positionH relativeFrom="column">
                    <wp:posOffset>42545</wp:posOffset>
                  </wp:positionH>
                  <wp:positionV relativeFrom="paragraph">
                    <wp:posOffset>86995</wp:posOffset>
                  </wp:positionV>
                  <wp:extent cx="5152390" cy="4553585"/>
                  <wp:effectExtent l="9525" t="9525" r="19685" b="27940"/>
                  <wp:wrapNone/>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152390" cy="4553585"/>
                          </a:xfrm>
                          <a:prstGeom prst="rect">
                            <a:avLst/>
                          </a:prstGeom>
                          <a:noFill/>
                          <a:ln w="3175" cmpd="sng">
                            <a:solidFill>
                              <a:schemeClr val="tx1"/>
                            </a:solidFill>
                            <a:prstDash val="solid"/>
                          </a:ln>
                          <a:effectLst/>
                        </pic:spPr>
                      </pic:pic>
                    </a:graphicData>
                  </a:graphic>
                </wp:anchor>
              </w:drawing>
            </w: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rPr>
                <w:bCs/>
                <w:sz w:val="24"/>
              </w:rPr>
            </w:pPr>
          </w:p>
          <w:p>
            <w:pPr>
              <w:rPr>
                <w:bCs/>
                <w:sz w:val="24"/>
              </w:rPr>
            </w:pPr>
          </w:p>
          <w:p>
            <w:pPr>
              <w:pStyle w:val="2"/>
            </w:pPr>
          </w:p>
          <w:p>
            <w:pPr>
              <w:spacing w:line="520" w:lineRule="exact"/>
              <w:ind w:firstLine="480" w:firstLineChars="200"/>
              <w:rPr>
                <w:bCs/>
                <w:sz w:val="24"/>
              </w:rPr>
            </w:pPr>
          </w:p>
          <w:p>
            <w:pPr>
              <w:spacing w:line="520" w:lineRule="exact"/>
              <w:ind w:firstLine="480" w:firstLineChars="200"/>
              <w:rPr>
                <w:bCs/>
                <w:sz w:val="24"/>
              </w:rPr>
            </w:pPr>
          </w:p>
          <w:p>
            <w:pPr>
              <w:adjustRightInd w:val="0"/>
              <w:snapToGrid w:val="0"/>
              <w:spacing w:line="500" w:lineRule="exact"/>
              <w:ind w:firstLine="2160" w:firstLineChars="900"/>
              <w:rPr>
                <w:rFonts w:eastAsia="黑体"/>
                <w:color w:val="000000"/>
                <w:sz w:val="24"/>
              </w:rPr>
            </w:pPr>
            <w:r>
              <w:rPr>
                <w:rFonts w:eastAsia="黑体"/>
                <w:bCs/>
                <w:color w:val="000000"/>
                <w:sz w:val="24"/>
                <w:szCs w:val="26"/>
              </w:rPr>
              <w:t>图</w:t>
            </w:r>
            <w:r>
              <w:rPr>
                <w:rFonts w:hint="eastAsia" w:eastAsia="黑体"/>
                <w:bCs/>
                <w:color w:val="000000"/>
                <w:sz w:val="24"/>
                <w:szCs w:val="26"/>
                <w:lang w:val="en-US" w:eastAsia="zh-CN"/>
              </w:rPr>
              <w:t>2-3</w:t>
            </w:r>
            <w:r>
              <w:rPr>
                <w:rFonts w:eastAsia="黑体"/>
                <w:bCs/>
                <w:color w:val="000000"/>
                <w:sz w:val="24"/>
                <w:szCs w:val="26"/>
              </w:rPr>
              <w:t xml:space="preserve">    施工流程及产污环节图</w:t>
            </w:r>
          </w:p>
          <w:p>
            <w:pPr>
              <w:keepNext w:val="0"/>
              <w:keepLines w:val="0"/>
              <w:pageBreakBefore w:val="0"/>
              <w:widowControl w:val="0"/>
              <w:kinsoku/>
              <w:wordWrap/>
              <w:overflowPunct/>
              <w:autoSpaceDE/>
              <w:autoSpaceDN/>
              <w:bidi w:val="0"/>
              <w:adjustRightInd w:val="0"/>
              <w:snapToGrid w:val="0"/>
              <w:spacing w:line="520" w:lineRule="exact"/>
              <w:ind w:firstLine="482" w:firstLineChars="200"/>
              <w:textAlignment w:val="auto"/>
              <w:rPr>
                <w:b/>
                <w:bCs/>
                <w:snapToGrid w:val="0"/>
                <w:kern w:val="0"/>
                <w:sz w:val="24"/>
                <w:szCs w:val="24"/>
              </w:rPr>
            </w:pPr>
            <w:r>
              <w:rPr>
                <w:rFonts w:hint="eastAsia"/>
                <w:b/>
                <w:bCs/>
                <w:sz w:val="24"/>
                <w:lang w:val="en-US" w:eastAsia="zh-CN"/>
              </w:rPr>
              <w:t>1.2</w:t>
            </w:r>
            <w:r>
              <w:rPr>
                <w:b/>
                <w:bCs/>
                <w:snapToGrid w:val="0"/>
                <w:kern w:val="0"/>
                <w:sz w:val="24"/>
                <w:szCs w:val="24"/>
              </w:rPr>
              <w:t>施工期主要污染工序及污染因子</w:t>
            </w:r>
          </w:p>
          <w:p>
            <w:pPr>
              <w:keepNext w:val="0"/>
              <w:keepLines w:val="0"/>
              <w:pageBreakBefore w:val="0"/>
              <w:widowControl w:val="0"/>
              <w:kinsoku/>
              <w:wordWrap/>
              <w:overflowPunct/>
              <w:topLinePunct/>
              <w:autoSpaceDE/>
              <w:autoSpaceDN/>
              <w:bidi w:val="0"/>
              <w:adjustRightInd w:val="0"/>
              <w:snapToGrid w:val="0"/>
              <w:spacing w:line="520" w:lineRule="exact"/>
              <w:ind w:firstLine="480" w:firstLineChars="200"/>
              <w:textAlignment w:val="auto"/>
              <w:rPr>
                <w:bCs/>
                <w:snapToGrid w:val="0"/>
                <w:kern w:val="0"/>
                <w:sz w:val="24"/>
                <w:szCs w:val="24"/>
              </w:rPr>
            </w:pPr>
            <w:r>
              <w:rPr>
                <w:rFonts w:hint="eastAsia"/>
                <w:snapToGrid w:val="0"/>
                <w:kern w:val="0"/>
                <w:sz w:val="24"/>
                <w:szCs w:val="24"/>
                <w:lang w:val="en-US" w:eastAsia="zh-CN"/>
              </w:rPr>
              <w:t>本</w:t>
            </w:r>
            <w:r>
              <w:rPr>
                <w:snapToGrid w:val="0"/>
                <w:kern w:val="0"/>
                <w:sz w:val="24"/>
                <w:szCs w:val="24"/>
              </w:rPr>
              <w:t>项目施工期主要污染源分析如表</w:t>
            </w:r>
            <w:r>
              <w:rPr>
                <w:rFonts w:hint="eastAsia"/>
                <w:snapToGrid w:val="0"/>
                <w:kern w:val="0"/>
                <w:sz w:val="24"/>
                <w:szCs w:val="24"/>
                <w:lang w:val="en-US" w:eastAsia="zh-CN"/>
              </w:rPr>
              <w:t>2-5</w:t>
            </w:r>
            <w:r>
              <w:rPr>
                <w:snapToGrid w:val="0"/>
                <w:kern w:val="0"/>
                <w:sz w:val="24"/>
                <w:szCs w:val="24"/>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eastAsia"/>
                <w:b/>
                <w:snapToGrid w:val="0"/>
                <w:kern w:val="0"/>
                <w:sz w:val="24"/>
                <w:szCs w:val="24"/>
              </w:rPr>
            </w:pPr>
            <w:r>
              <w:rPr>
                <w:rFonts w:hint="eastAsia"/>
                <w:b/>
                <w:snapToGrid w:val="0"/>
                <w:kern w:val="0"/>
                <w:sz w:val="24"/>
                <w:szCs w:val="24"/>
              </w:rPr>
              <w:t>表</w:t>
            </w:r>
            <w:r>
              <w:rPr>
                <w:rFonts w:hint="eastAsia"/>
                <w:b/>
                <w:snapToGrid w:val="0"/>
                <w:kern w:val="0"/>
                <w:sz w:val="24"/>
                <w:szCs w:val="24"/>
                <w:lang w:val="en-US" w:eastAsia="zh-CN"/>
              </w:rPr>
              <w:t>2-5</w:t>
            </w:r>
            <w:r>
              <w:rPr>
                <w:rFonts w:hint="eastAsia"/>
                <w:b/>
                <w:snapToGrid w:val="0"/>
                <w:kern w:val="0"/>
                <w:sz w:val="24"/>
                <w:szCs w:val="24"/>
              </w:rPr>
              <w:t xml:space="preserve">    施工期主要污染工序一览表</w:t>
            </w:r>
          </w:p>
          <w:tbl>
            <w:tblPr>
              <w:tblStyle w:val="28"/>
              <w:tblW w:w="4998" w:type="pct"/>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1629"/>
              <w:gridCol w:w="1876"/>
              <w:gridCol w:w="3526"/>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678" w:type="pct"/>
                  <w:vAlign w:val="center"/>
                </w:tcPr>
                <w:p>
                  <w:pPr>
                    <w:jc w:val="center"/>
                    <w:rPr>
                      <w:sz w:val="21"/>
                      <w:szCs w:val="21"/>
                    </w:rPr>
                  </w:pPr>
                  <w:r>
                    <w:rPr>
                      <w:sz w:val="21"/>
                      <w:szCs w:val="21"/>
                    </w:rPr>
                    <w:t>污染类别</w:t>
                  </w:r>
                </w:p>
              </w:tc>
              <w:tc>
                <w:tcPr>
                  <w:tcW w:w="1001" w:type="pct"/>
                  <w:vAlign w:val="center"/>
                </w:tcPr>
                <w:p>
                  <w:pPr>
                    <w:jc w:val="center"/>
                    <w:rPr>
                      <w:sz w:val="21"/>
                      <w:szCs w:val="21"/>
                    </w:rPr>
                  </w:pPr>
                  <w:r>
                    <w:rPr>
                      <w:sz w:val="21"/>
                      <w:szCs w:val="21"/>
                    </w:rPr>
                    <w:t>污染源名称</w:t>
                  </w:r>
                </w:p>
              </w:tc>
              <w:tc>
                <w:tcPr>
                  <w:tcW w:w="1153" w:type="pct"/>
                  <w:vAlign w:val="center"/>
                </w:tcPr>
                <w:p>
                  <w:pPr>
                    <w:jc w:val="center"/>
                    <w:rPr>
                      <w:sz w:val="21"/>
                      <w:szCs w:val="21"/>
                    </w:rPr>
                  </w:pPr>
                  <w:r>
                    <w:rPr>
                      <w:sz w:val="21"/>
                      <w:szCs w:val="21"/>
                    </w:rPr>
                    <w:t>产生工序</w:t>
                  </w:r>
                </w:p>
              </w:tc>
              <w:tc>
                <w:tcPr>
                  <w:tcW w:w="2167" w:type="pct"/>
                  <w:vAlign w:val="center"/>
                </w:tcPr>
                <w:p>
                  <w:pPr>
                    <w:jc w:val="center"/>
                    <w:rPr>
                      <w:sz w:val="21"/>
                      <w:szCs w:val="21"/>
                    </w:rPr>
                  </w:pPr>
                  <w:r>
                    <w:rPr>
                      <w:sz w:val="21"/>
                      <w:szCs w:val="21"/>
                    </w:rPr>
                    <w:t>主要污染因子</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8" w:type="pct"/>
                  <w:vMerge w:val="restart"/>
                  <w:vAlign w:val="center"/>
                </w:tcPr>
                <w:p>
                  <w:pPr>
                    <w:jc w:val="center"/>
                    <w:rPr>
                      <w:sz w:val="21"/>
                      <w:szCs w:val="21"/>
                    </w:rPr>
                  </w:pPr>
                  <w:r>
                    <w:rPr>
                      <w:sz w:val="21"/>
                      <w:szCs w:val="21"/>
                    </w:rPr>
                    <w:t>废气</w:t>
                  </w:r>
                </w:p>
              </w:tc>
              <w:tc>
                <w:tcPr>
                  <w:tcW w:w="1001" w:type="pct"/>
                  <w:vAlign w:val="center"/>
                </w:tcPr>
                <w:p>
                  <w:pPr>
                    <w:jc w:val="center"/>
                    <w:rPr>
                      <w:sz w:val="21"/>
                      <w:szCs w:val="21"/>
                    </w:rPr>
                  </w:pPr>
                  <w:r>
                    <w:rPr>
                      <w:sz w:val="21"/>
                      <w:szCs w:val="21"/>
                    </w:rPr>
                    <w:t>堆场、施工场地</w:t>
                  </w:r>
                </w:p>
              </w:tc>
              <w:tc>
                <w:tcPr>
                  <w:tcW w:w="1153" w:type="pct"/>
                  <w:vAlign w:val="center"/>
                </w:tcPr>
                <w:p>
                  <w:pPr>
                    <w:jc w:val="center"/>
                    <w:rPr>
                      <w:sz w:val="21"/>
                      <w:szCs w:val="21"/>
                    </w:rPr>
                  </w:pPr>
                  <w:r>
                    <w:rPr>
                      <w:sz w:val="21"/>
                      <w:szCs w:val="21"/>
                    </w:rPr>
                    <w:t>施工过程、建筑物拆除</w:t>
                  </w:r>
                </w:p>
              </w:tc>
              <w:tc>
                <w:tcPr>
                  <w:tcW w:w="2167" w:type="pct"/>
                  <w:vAlign w:val="center"/>
                </w:tcPr>
                <w:p>
                  <w:pPr>
                    <w:jc w:val="center"/>
                    <w:rPr>
                      <w:sz w:val="21"/>
                      <w:szCs w:val="21"/>
                    </w:rPr>
                  </w:pPr>
                  <w:r>
                    <w:rPr>
                      <w:sz w:val="21"/>
                      <w:szCs w:val="21"/>
                    </w:rPr>
                    <w:t>粉尘</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678" w:type="pct"/>
                  <w:vMerge w:val="continue"/>
                  <w:vAlign w:val="center"/>
                </w:tcPr>
                <w:p>
                  <w:pPr>
                    <w:jc w:val="center"/>
                    <w:rPr>
                      <w:sz w:val="21"/>
                      <w:szCs w:val="21"/>
                    </w:rPr>
                  </w:pPr>
                </w:p>
              </w:tc>
              <w:tc>
                <w:tcPr>
                  <w:tcW w:w="1001" w:type="pct"/>
                  <w:vAlign w:val="center"/>
                </w:tcPr>
                <w:p>
                  <w:pPr>
                    <w:jc w:val="center"/>
                    <w:rPr>
                      <w:sz w:val="21"/>
                      <w:szCs w:val="21"/>
                    </w:rPr>
                  </w:pPr>
                  <w:r>
                    <w:rPr>
                      <w:sz w:val="21"/>
                      <w:szCs w:val="21"/>
                    </w:rPr>
                    <w:t>机械动力设备</w:t>
                  </w:r>
                </w:p>
              </w:tc>
              <w:tc>
                <w:tcPr>
                  <w:tcW w:w="1153" w:type="pct"/>
                  <w:vAlign w:val="center"/>
                </w:tcPr>
                <w:p>
                  <w:pPr>
                    <w:jc w:val="center"/>
                    <w:rPr>
                      <w:sz w:val="21"/>
                      <w:szCs w:val="21"/>
                    </w:rPr>
                  </w:pPr>
                  <w:r>
                    <w:rPr>
                      <w:sz w:val="21"/>
                      <w:szCs w:val="21"/>
                    </w:rPr>
                    <w:t>机械设备运行</w:t>
                  </w:r>
                </w:p>
              </w:tc>
              <w:tc>
                <w:tcPr>
                  <w:tcW w:w="2167" w:type="pct"/>
                  <w:vAlign w:val="center"/>
                </w:tcPr>
                <w:p>
                  <w:pPr>
                    <w:jc w:val="center"/>
                    <w:rPr>
                      <w:sz w:val="21"/>
                      <w:szCs w:val="21"/>
                    </w:rPr>
                  </w:pPr>
                  <w:r>
                    <w:rPr>
                      <w:sz w:val="21"/>
                      <w:szCs w:val="21"/>
                    </w:rPr>
                    <w:t>尾气</w:t>
                  </w:r>
                  <w:r>
                    <w:rPr>
                      <w:rFonts w:hint="eastAsia"/>
                      <w:sz w:val="21"/>
                      <w:szCs w:val="21"/>
                      <w:lang w:eastAsia="zh-CN"/>
                    </w:rPr>
                    <w:t>（</w:t>
                  </w:r>
                  <w:r>
                    <w:rPr>
                      <w:sz w:val="21"/>
                      <w:szCs w:val="21"/>
                    </w:rPr>
                    <w:t>SO</w:t>
                  </w:r>
                  <w:r>
                    <w:rPr>
                      <w:sz w:val="21"/>
                      <w:szCs w:val="21"/>
                      <w:vertAlign w:val="subscript"/>
                    </w:rPr>
                    <w:t>2</w:t>
                  </w:r>
                  <w:r>
                    <w:rPr>
                      <w:sz w:val="21"/>
                      <w:szCs w:val="21"/>
                    </w:rPr>
                    <w:t>、颗粒物、总烃、CO、NO</w:t>
                  </w:r>
                  <w:r>
                    <w:rPr>
                      <w:sz w:val="21"/>
                      <w:szCs w:val="21"/>
                      <w:vertAlign w:val="subscript"/>
                    </w:rPr>
                    <w:t>x</w:t>
                  </w:r>
                  <w:r>
                    <w:rPr>
                      <w:rFonts w:hint="eastAsia"/>
                      <w:sz w:val="21"/>
                      <w:szCs w:val="21"/>
                      <w:lang w:eastAsia="zh-CN"/>
                    </w:rPr>
                    <w:t>）</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678" w:type="pct"/>
                  <w:vMerge w:val="restart"/>
                  <w:vAlign w:val="center"/>
                </w:tcPr>
                <w:p>
                  <w:pPr>
                    <w:jc w:val="center"/>
                    <w:rPr>
                      <w:sz w:val="21"/>
                      <w:szCs w:val="21"/>
                    </w:rPr>
                  </w:pPr>
                  <w:r>
                    <w:rPr>
                      <w:sz w:val="21"/>
                      <w:szCs w:val="21"/>
                    </w:rPr>
                    <w:t>废水</w:t>
                  </w:r>
                </w:p>
              </w:tc>
              <w:tc>
                <w:tcPr>
                  <w:tcW w:w="1001" w:type="pct"/>
                  <w:vAlign w:val="center"/>
                </w:tcPr>
                <w:p>
                  <w:pPr>
                    <w:jc w:val="center"/>
                    <w:rPr>
                      <w:sz w:val="21"/>
                      <w:szCs w:val="21"/>
                    </w:rPr>
                  </w:pPr>
                  <w:r>
                    <w:rPr>
                      <w:sz w:val="21"/>
                      <w:szCs w:val="21"/>
                    </w:rPr>
                    <w:t>施工废水</w:t>
                  </w:r>
                </w:p>
              </w:tc>
              <w:tc>
                <w:tcPr>
                  <w:tcW w:w="1153" w:type="pct"/>
                  <w:vAlign w:val="center"/>
                </w:tcPr>
                <w:p>
                  <w:pPr>
                    <w:jc w:val="center"/>
                    <w:rPr>
                      <w:sz w:val="21"/>
                      <w:szCs w:val="21"/>
                    </w:rPr>
                  </w:pPr>
                  <w:r>
                    <w:rPr>
                      <w:sz w:val="21"/>
                      <w:szCs w:val="21"/>
                    </w:rPr>
                    <w:t>施工作业过程</w:t>
                  </w:r>
                </w:p>
              </w:tc>
              <w:tc>
                <w:tcPr>
                  <w:tcW w:w="2167" w:type="pct"/>
                  <w:vAlign w:val="center"/>
                </w:tcPr>
                <w:p>
                  <w:pPr>
                    <w:jc w:val="center"/>
                    <w:rPr>
                      <w:sz w:val="21"/>
                      <w:szCs w:val="21"/>
                    </w:rPr>
                  </w:pPr>
                  <w:r>
                    <w:rPr>
                      <w:sz w:val="21"/>
                      <w:szCs w:val="21"/>
                    </w:rPr>
                    <w:t>SS</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78" w:type="pct"/>
                  <w:vMerge w:val="continue"/>
                  <w:vAlign w:val="center"/>
                </w:tcPr>
                <w:p>
                  <w:pPr>
                    <w:jc w:val="center"/>
                    <w:rPr>
                      <w:sz w:val="21"/>
                      <w:szCs w:val="21"/>
                    </w:rPr>
                  </w:pPr>
                </w:p>
              </w:tc>
              <w:tc>
                <w:tcPr>
                  <w:tcW w:w="1001" w:type="pct"/>
                  <w:vAlign w:val="center"/>
                </w:tcPr>
                <w:p>
                  <w:pPr>
                    <w:jc w:val="center"/>
                    <w:rPr>
                      <w:sz w:val="21"/>
                      <w:szCs w:val="21"/>
                    </w:rPr>
                  </w:pPr>
                  <w:r>
                    <w:rPr>
                      <w:sz w:val="21"/>
                      <w:szCs w:val="21"/>
                    </w:rPr>
                    <w:t>生活污水</w:t>
                  </w:r>
                </w:p>
              </w:tc>
              <w:tc>
                <w:tcPr>
                  <w:tcW w:w="1153" w:type="pct"/>
                  <w:vAlign w:val="center"/>
                </w:tcPr>
                <w:p>
                  <w:pPr>
                    <w:jc w:val="center"/>
                    <w:rPr>
                      <w:sz w:val="21"/>
                      <w:szCs w:val="21"/>
                    </w:rPr>
                  </w:pPr>
                  <w:r>
                    <w:rPr>
                      <w:sz w:val="21"/>
                      <w:szCs w:val="21"/>
                    </w:rPr>
                    <w:t>施工人员生活</w:t>
                  </w:r>
                </w:p>
              </w:tc>
              <w:tc>
                <w:tcPr>
                  <w:tcW w:w="2167" w:type="pct"/>
                  <w:vAlign w:val="center"/>
                </w:tcPr>
                <w:p>
                  <w:pPr>
                    <w:jc w:val="center"/>
                    <w:rPr>
                      <w:sz w:val="21"/>
                      <w:szCs w:val="21"/>
                    </w:rPr>
                  </w:pPr>
                  <w:r>
                    <w:rPr>
                      <w:sz w:val="21"/>
                      <w:szCs w:val="21"/>
                    </w:rPr>
                    <w:t>SS、COD</w:t>
                  </w:r>
                  <w:r>
                    <w:rPr>
                      <w:sz w:val="21"/>
                      <w:szCs w:val="21"/>
                      <w:vertAlign w:val="subscript"/>
                    </w:rPr>
                    <w:t>Cr</w:t>
                  </w:r>
                  <w:r>
                    <w:rPr>
                      <w:sz w:val="21"/>
                      <w:szCs w:val="21"/>
                    </w:rPr>
                    <w:t>、BOD</w:t>
                  </w:r>
                  <w:r>
                    <w:rPr>
                      <w:sz w:val="21"/>
                      <w:szCs w:val="21"/>
                      <w:vertAlign w:val="subscript"/>
                    </w:rPr>
                    <w:t>5</w:t>
                  </w:r>
                  <w:r>
                    <w:rPr>
                      <w:sz w:val="21"/>
                      <w:szCs w:val="21"/>
                    </w:rPr>
                    <w:t>、NH</w:t>
                  </w:r>
                  <w:r>
                    <w:rPr>
                      <w:sz w:val="21"/>
                      <w:szCs w:val="21"/>
                      <w:vertAlign w:val="subscript"/>
                    </w:rPr>
                    <w:t>3</w:t>
                  </w:r>
                  <w:r>
                    <w:rPr>
                      <w:sz w:val="21"/>
                      <w:szCs w:val="21"/>
                    </w:rPr>
                    <w:t>-N</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78" w:type="pct"/>
                  <w:vMerge w:val="restart"/>
                  <w:vAlign w:val="center"/>
                </w:tcPr>
                <w:p>
                  <w:pPr>
                    <w:jc w:val="center"/>
                    <w:rPr>
                      <w:sz w:val="21"/>
                      <w:szCs w:val="21"/>
                    </w:rPr>
                  </w:pPr>
                  <w:r>
                    <w:rPr>
                      <w:sz w:val="21"/>
                      <w:szCs w:val="21"/>
                    </w:rPr>
                    <w:t>噪声</w:t>
                  </w:r>
                </w:p>
              </w:tc>
              <w:tc>
                <w:tcPr>
                  <w:tcW w:w="1001" w:type="pct"/>
                  <w:vAlign w:val="center"/>
                </w:tcPr>
                <w:p>
                  <w:pPr>
                    <w:jc w:val="center"/>
                    <w:rPr>
                      <w:sz w:val="21"/>
                      <w:szCs w:val="21"/>
                    </w:rPr>
                  </w:pPr>
                  <w:r>
                    <w:rPr>
                      <w:sz w:val="21"/>
                      <w:szCs w:val="21"/>
                    </w:rPr>
                    <w:t>施工设备</w:t>
                  </w:r>
                </w:p>
              </w:tc>
              <w:tc>
                <w:tcPr>
                  <w:tcW w:w="1153" w:type="pct"/>
                  <w:vAlign w:val="center"/>
                </w:tcPr>
                <w:p>
                  <w:pPr>
                    <w:jc w:val="center"/>
                    <w:rPr>
                      <w:sz w:val="21"/>
                      <w:szCs w:val="21"/>
                    </w:rPr>
                  </w:pPr>
                  <w:r>
                    <w:rPr>
                      <w:sz w:val="21"/>
                      <w:szCs w:val="21"/>
                    </w:rPr>
                    <w:t>施工设备运行</w:t>
                  </w:r>
                </w:p>
              </w:tc>
              <w:tc>
                <w:tcPr>
                  <w:tcW w:w="2167" w:type="pct"/>
                  <w:vAlign w:val="center"/>
                </w:tcPr>
                <w:p>
                  <w:pPr>
                    <w:jc w:val="center"/>
                    <w:rPr>
                      <w:sz w:val="21"/>
                      <w:szCs w:val="21"/>
                    </w:rPr>
                  </w:pPr>
                  <w:r>
                    <w:rPr>
                      <w:sz w:val="21"/>
                      <w:szCs w:val="21"/>
                    </w:rPr>
                    <w:t>机械噪声</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78" w:type="pct"/>
                  <w:vMerge w:val="continue"/>
                  <w:vAlign w:val="center"/>
                </w:tcPr>
                <w:p>
                  <w:pPr>
                    <w:jc w:val="center"/>
                    <w:rPr>
                      <w:sz w:val="21"/>
                      <w:szCs w:val="21"/>
                    </w:rPr>
                  </w:pPr>
                </w:p>
              </w:tc>
              <w:tc>
                <w:tcPr>
                  <w:tcW w:w="1001" w:type="pct"/>
                  <w:vAlign w:val="center"/>
                </w:tcPr>
                <w:p>
                  <w:pPr>
                    <w:jc w:val="center"/>
                    <w:rPr>
                      <w:sz w:val="21"/>
                      <w:szCs w:val="21"/>
                    </w:rPr>
                  </w:pPr>
                  <w:r>
                    <w:rPr>
                      <w:sz w:val="21"/>
                      <w:szCs w:val="21"/>
                    </w:rPr>
                    <w:t>运输车辆</w:t>
                  </w:r>
                </w:p>
              </w:tc>
              <w:tc>
                <w:tcPr>
                  <w:tcW w:w="1153" w:type="pct"/>
                  <w:vAlign w:val="center"/>
                </w:tcPr>
                <w:p>
                  <w:pPr>
                    <w:jc w:val="center"/>
                    <w:rPr>
                      <w:sz w:val="21"/>
                      <w:szCs w:val="21"/>
                    </w:rPr>
                  </w:pPr>
                  <w:r>
                    <w:rPr>
                      <w:sz w:val="21"/>
                      <w:szCs w:val="21"/>
                    </w:rPr>
                    <w:t>运输车辆行驶</w:t>
                  </w:r>
                </w:p>
              </w:tc>
              <w:tc>
                <w:tcPr>
                  <w:tcW w:w="2167" w:type="pct"/>
                  <w:vAlign w:val="center"/>
                </w:tcPr>
                <w:p>
                  <w:pPr>
                    <w:jc w:val="center"/>
                    <w:rPr>
                      <w:sz w:val="21"/>
                      <w:szCs w:val="21"/>
                    </w:rPr>
                  </w:pPr>
                  <w:r>
                    <w:rPr>
                      <w:sz w:val="21"/>
                      <w:szCs w:val="21"/>
                    </w:rPr>
                    <w:t>交通噪声</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78" w:type="pct"/>
                  <w:vMerge w:val="continue"/>
                  <w:vAlign w:val="center"/>
                </w:tcPr>
                <w:p>
                  <w:pPr>
                    <w:jc w:val="center"/>
                    <w:rPr>
                      <w:sz w:val="21"/>
                      <w:szCs w:val="21"/>
                    </w:rPr>
                  </w:pPr>
                </w:p>
              </w:tc>
              <w:tc>
                <w:tcPr>
                  <w:tcW w:w="1001" w:type="pct"/>
                  <w:vAlign w:val="center"/>
                </w:tcPr>
                <w:p>
                  <w:pPr>
                    <w:jc w:val="center"/>
                    <w:rPr>
                      <w:sz w:val="21"/>
                      <w:szCs w:val="21"/>
                    </w:rPr>
                  </w:pPr>
                  <w:r>
                    <w:rPr>
                      <w:sz w:val="21"/>
                      <w:szCs w:val="21"/>
                    </w:rPr>
                    <w:t>施工人员</w:t>
                  </w:r>
                </w:p>
              </w:tc>
              <w:tc>
                <w:tcPr>
                  <w:tcW w:w="1153" w:type="pct"/>
                  <w:vAlign w:val="center"/>
                </w:tcPr>
                <w:p>
                  <w:pPr>
                    <w:jc w:val="center"/>
                    <w:rPr>
                      <w:sz w:val="21"/>
                      <w:szCs w:val="21"/>
                    </w:rPr>
                  </w:pPr>
                  <w:r>
                    <w:rPr>
                      <w:sz w:val="21"/>
                      <w:szCs w:val="21"/>
                    </w:rPr>
                    <w:t>人员施工、生活</w:t>
                  </w:r>
                </w:p>
              </w:tc>
              <w:tc>
                <w:tcPr>
                  <w:tcW w:w="2167" w:type="pct"/>
                  <w:vAlign w:val="center"/>
                </w:tcPr>
                <w:p>
                  <w:pPr>
                    <w:jc w:val="center"/>
                    <w:rPr>
                      <w:sz w:val="21"/>
                      <w:szCs w:val="21"/>
                    </w:rPr>
                  </w:pPr>
                  <w:r>
                    <w:rPr>
                      <w:sz w:val="21"/>
                      <w:szCs w:val="21"/>
                    </w:rPr>
                    <w:t>生活噪声</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678" w:type="pct"/>
                  <w:vMerge w:val="restart"/>
                  <w:vAlign w:val="center"/>
                </w:tcPr>
                <w:p>
                  <w:pPr>
                    <w:jc w:val="center"/>
                    <w:rPr>
                      <w:sz w:val="21"/>
                      <w:szCs w:val="21"/>
                    </w:rPr>
                  </w:pPr>
                  <w:r>
                    <w:rPr>
                      <w:sz w:val="21"/>
                      <w:szCs w:val="21"/>
                    </w:rPr>
                    <w:t>固体废物</w:t>
                  </w:r>
                </w:p>
              </w:tc>
              <w:tc>
                <w:tcPr>
                  <w:tcW w:w="1001" w:type="pct"/>
                  <w:vAlign w:val="center"/>
                </w:tcPr>
                <w:p>
                  <w:pPr>
                    <w:jc w:val="center"/>
                    <w:rPr>
                      <w:sz w:val="21"/>
                      <w:szCs w:val="21"/>
                    </w:rPr>
                  </w:pPr>
                  <w:r>
                    <w:rPr>
                      <w:sz w:val="21"/>
                      <w:szCs w:val="21"/>
                    </w:rPr>
                    <w:t>建筑垃圾</w:t>
                  </w:r>
                </w:p>
              </w:tc>
              <w:tc>
                <w:tcPr>
                  <w:tcW w:w="1153" w:type="pct"/>
                  <w:vAlign w:val="center"/>
                </w:tcPr>
                <w:p>
                  <w:pPr>
                    <w:jc w:val="center"/>
                    <w:rPr>
                      <w:sz w:val="21"/>
                      <w:szCs w:val="21"/>
                    </w:rPr>
                  </w:pPr>
                  <w:r>
                    <w:rPr>
                      <w:sz w:val="21"/>
                      <w:szCs w:val="21"/>
                    </w:rPr>
                    <w:t>施工过程</w:t>
                  </w:r>
                </w:p>
              </w:tc>
              <w:tc>
                <w:tcPr>
                  <w:tcW w:w="2167" w:type="pct"/>
                  <w:vAlign w:val="center"/>
                </w:tcPr>
                <w:p>
                  <w:pPr>
                    <w:jc w:val="center"/>
                    <w:rPr>
                      <w:sz w:val="21"/>
                      <w:szCs w:val="21"/>
                    </w:rPr>
                  </w:pPr>
                  <w:r>
                    <w:rPr>
                      <w:sz w:val="21"/>
                      <w:szCs w:val="21"/>
                    </w:rPr>
                    <w:t>土石方、建材等建筑垃圾</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78" w:type="pct"/>
                  <w:vMerge w:val="continue"/>
                  <w:vAlign w:val="center"/>
                </w:tcPr>
                <w:p>
                  <w:pPr>
                    <w:jc w:val="center"/>
                    <w:rPr>
                      <w:sz w:val="21"/>
                      <w:szCs w:val="21"/>
                    </w:rPr>
                  </w:pPr>
                </w:p>
              </w:tc>
              <w:tc>
                <w:tcPr>
                  <w:tcW w:w="1001" w:type="pct"/>
                  <w:vAlign w:val="center"/>
                </w:tcPr>
                <w:p>
                  <w:pPr>
                    <w:jc w:val="center"/>
                    <w:rPr>
                      <w:sz w:val="21"/>
                      <w:szCs w:val="21"/>
                    </w:rPr>
                  </w:pPr>
                  <w:r>
                    <w:rPr>
                      <w:sz w:val="21"/>
                      <w:szCs w:val="21"/>
                    </w:rPr>
                    <w:t>生活固废</w:t>
                  </w:r>
                </w:p>
              </w:tc>
              <w:tc>
                <w:tcPr>
                  <w:tcW w:w="1153" w:type="pct"/>
                  <w:vAlign w:val="center"/>
                </w:tcPr>
                <w:p>
                  <w:pPr>
                    <w:jc w:val="center"/>
                    <w:rPr>
                      <w:sz w:val="21"/>
                      <w:szCs w:val="21"/>
                    </w:rPr>
                  </w:pPr>
                  <w:r>
                    <w:rPr>
                      <w:sz w:val="21"/>
                      <w:szCs w:val="21"/>
                    </w:rPr>
                    <w:t>施工人员生活</w:t>
                  </w:r>
                </w:p>
              </w:tc>
              <w:tc>
                <w:tcPr>
                  <w:tcW w:w="2167" w:type="pct"/>
                  <w:vAlign w:val="center"/>
                </w:tcPr>
                <w:p>
                  <w:pPr>
                    <w:jc w:val="center"/>
                    <w:rPr>
                      <w:sz w:val="21"/>
                      <w:szCs w:val="21"/>
                    </w:rPr>
                  </w:pPr>
                  <w:r>
                    <w:rPr>
                      <w:sz w:val="21"/>
                      <w:szCs w:val="21"/>
                    </w:rPr>
                    <w:t>生活垃圾</w:t>
                  </w:r>
                </w:p>
              </w:tc>
            </w:tr>
          </w:tbl>
          <w:p>
            <w:pPr>
              <w:adjustRightInd w:val="0"/>
              <w:snapToGrid w:val="0"/>
              <w:spacing w:line="520" w:lineRule="exact"/>
              <w:ind w:firstLine="482" w:firstLineChars="200"/>
              <w:rPr>
                <w:b/>
                <w:bCs/>
                <w:sz w:val="24"/>
              </w:rPr>
            </w:pPr>
            <w:r>
              <w:rPr>
                <w:b/>
                <w:bCs/>
                <w:sz w:val="24"/>
              </w:rPr>
              <w:t>2</w:t>
            </w:r>
            <w:r>
              <w:rPr>
                <w:rFonts w:hint="eastAsia"/>
                <w:b/>
                <w:bCs/>
                <w:sz w:val="24"/>
                <w:lang w:eastAsia="zh-CN"/>
              </w:rPr>
              <w:t>.</w:t>
            </w:r>
            <w:r>
              <w:rPr>
                <w:b/>
                <w:bCs/>
                <w:sz w:val="24"/>
              </w:rPr>
              <w:t>运营期</w:t>
            </w:r>
          </w:p>
          <w:p>
            <w:pPr>
              <w:pStyle w:val="64"/>
              <w:ind w:firstLine="482"/>
              <w:rPr>
                <w:b/>
                <w:bCs/>
              </w:rPr>
            </w:pPr>
            <w:r>
              <w:rPr>
                <w:rFonts w:hint="eastAsia"/>
                <w:b/>
                <w:bCs/>
              </w:rPr>
              <w:t>2</w:t>
            </w:r>
            <w:r>
              <w:rPr>
                <w:b/>
                <w:bCs/>
              </w:rPr>
              <w:t>.1</w:t>
            </w:r>
            <w:r>
              <w:rPr>
                <w:rFonts w:hint="eastAsia"/>
                <w:b/>
                <w:bCs/>
              </w:rPr>
              <w:t>运营期工艺流程</w:t>
            </w:r>
          </w:p>
          <w:p>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rFonts w:hint="default" w:eastAsia="宋体"/>
                <w:bCs/>
                <w:sz w:val="24"/>
                <w:lang w:val="en-US" w:eastAsia="zh-CN"/>
              </w:rPr>
            </w:pPr>
            <w:r>
              <w:rPr>
                <w:rFonts w:hint="eastAsia"/>
                <w:bCs/>
                <w:sz w:val="24"/>
                <w:lang w:val="en-US" w:eastAsia="zh-CN"/>
              </w:rPr>
              <w:t>本项目运营期工艺流程如下：</w:t>
            </w:r>
          </w:p>
          <w:p>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bCs/>
                <w:sz w:val="24"/>
              </w:rPr>
            </w:pPr>
            <w:r>
              <w:rPr>
                <w:bCs/>
                <w:sz w:val="24"/>
              </w:rPr>
              <w:t>（1）检验、诊断</w:t>
            </w:r>
          </w:p>
          <w:p>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bCs/>
                <w:sz w:val="24"/>
              </w:rPr>
            </w:pPr>
            <w:r>
              <w:rPr>
                <w:bCs/>
                <w:sz w:val="24"/>
              </w:rPr>
              <w:t>针对病人陈述的患病部位进行检查，包括观察患病部位，询问患者病情，触摸患处，必要时可采样化验，该过程会产生医疗废物和废水。</w:t>
            </w:r>
          </w:p>
          <w:p>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bCs/>
                <w:sz w:val="24"/>
              </w:rPr>
            </w:pPr>
            <w:r>
              <w:rPr>
                <w:bCs/>
                <w:sz w:val="24"/>
              </w:rPr>
              <w:t>（2）治疗、住院</w:t>
            </w:r>
          </w:p>
          <w:p>
            <w:pPr>
              <w:keepNext w:val="0"/>
              <w:keepLines w:val="0"/>
              <w:pageBreakBefore w:val="0"/>
              <w:widowControl w:val="0"/>
              <w:kinsoku/>
              <w:wordWrap/>
              <w:overflowPunct/>
              <w:topLinePunct w:val="0"/>
              <w:bidi w:val="0"/>
              <w:adjustRightInd w:val="0"/>
              <w:snapToGrid w:val="0"/>
              <w:spacing w:line="520" w:lineRule="exact"/>
              <w:ind w:firstLine="480" w:firstLineChars="200"/>
              <w:textAlignment w:val="auto"/>
              <w:rPr>
                <w:bCs/>
                <w:sz w:val="24"/>
              </w:rPr>
            </w:pPr>
            <w:r>
              <w:rPr>
                <w:bCs/>
                <w:sz w:val="24"/>
              </w:rPr>
              <w:t>根据患者病情后，由医生开具处方、配药，该过程产生噪声、医疗废水和医疗废物。</w:t>
            </w:r>
          </w:p>
          <w:p>
            <w:pPr>
              <w:pStyle w:val="2"/>
              <w:keepNext w:val="0"/>
              <w:keepLines w:val="0"/>
              <w:pageBreakBefore w:val="0"/>
              <w:widowControl w:val="0"/>
              <w:kinsoku/>
              <w:wordWrap/>
              <w:overflowPunct/>
              <w:topLinePunct w:val="0"/>
              <w:bidi w:val="0"/>
              <w:spacing w:line="520" w:lineRule="exact"/>
              <w:ind w:firstLine="480" w:firstLineChars="200"/>
              <w:textAlignment w:val="auto"/>
              <w:rPr>
                <w:rFonts w:hint="default" w:ascii="Times New Roman" w:hAnsi="Times New Roman" w:eastAsia="宋体"/>
                <w:bCs/>
                <w:sz w:val="24"/>
                <w:lang w:val="en-US" w:eastAsia="zh-CN"/>
              </w:rPr>
            </w:pPr>
            <w:r>
              <w:rPr>
                <w:rFonts w:hint="eastAsia" w:ascii="Times New Roman" w:hAnsi="Times New Roman"/>
                <w:bCs/>
                <w:sz w:val="24"/>
                <w:lang w:val="en-US" w:eastAsia="zh-CN"/>
              </w:rPr>
              <w:t>工艺流程见图2-4</w:t>
            </w:r>
            <w:r>
              <w:rPr>
                <w:rFonts w:hint="eastAsia" w:ascii="Times New Roman"/>
                <w:bCs/>
                <w:sz w:val="24"/>
                <w:lang w:val="en-US" w:eastAsia="zh-CN"/>
              </w:rPr>
              <w:t>。</w:t>
            </w:r>
          </w:p>
          <w:p>
            <w:pPr>
              <w:rPr>
                <w:rFonts w:eastAsia="黑体"/>
                <w:bCs/>
                <w:sz w:val="24"/>
              </w:rPr>
            </w:pPr>
            <w:r>
              <w:drawing>
                <wp:anchor distT="0" distB="0" distL="114300" distR="114300" simplePos="0" relativeHeight="251667456" behindDoc="0" locked="0" layoutInCell="1" allowOverlap="1">
                  <wp:simplePos x="0" y="0"/>
                  <wp:positionH relativeFrom="column">
                    <wp:posOffset>0</wp:posOffset>
                  </wp:positionH>
                  <wp:positionV relativeFrom="paragraph">
                    <wp:posOffset>29210</wp:posOffset>
                  </wp:positionV>
                  <wp:extent cx="5165090" cy="2390140"/>
                  <wp:effectExtent l="9525" t="9525" r="26035" b="19685"/>
                  <wp:wrapNone/>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18"/>
                          <a:stretch>
                            <a:fillRect/>
                          </a:stretch>
                        </pic:blipFill>
                        <pic:spPr>
                          <a:xfrm>
                            <a:off x="0" y="0"/>
                            <a:ext cx="5165090" cy="2390140"/>
                          </a:xfrm>
                          <a:prstGeom prst="rect">
                            <a:avLst/>
                          </a:prstGeom>
                          <a:noFill/>
                          <a:ln w="3175" cmpd="sng">
                            <a:solidFill>
                              <a:schemeClr val="tx1"/>
                            </a:solidFill>
                            <a:prstDash val="solid"/>
                          </a:ln>
                        </pic:spPr>
                      </pic:pic>
                    </a:graphicData>
                  </a:graphic>
                </wp:anchor>
              </w:drawing>
            </w:r>
          </w:p>
          <w:p>
            <w:pPr>
              <w:rPr>
                <w:rFonts w:eastAsia="黑体"/>
                <w:bCs/>
                <w:sz w:val="24"/>
              </w:rPr>
            </w:pPr>
          </w:p>
          <w:p/>
          <w:p>
            <w:pPr>
              <w:pStyle w:val="2"/>
            </w:pPr>
          </w:p>
          <w:p/>
          <w:p>
            <w:pPr>
              <w:pStyle w:val="2"/>
            </w:pPr>
          </w:p>
          <w:p/>
          <w:p>
            <w:pPr>
              <w:pStyle w:val="2"/>
            </w:pPr>
          </w:p>
          <w:p/>
          <w:p>
            <w:pPr>
              <w:pStyle w:val="2"/>
            </w:pPr>
          </w:p>
          <w:p/>
          <w:p>
            <w:pPr>
              <w:pStyle w:val="2"/>
            </w:pPr>
          </w:p>
          <w:p/>
          <w:p>
            <w:pPr>
              <w:ind w:firstLine="482"/>
              <w:jc w:val="center"/>
              <w:rPr>
                <w:rFonts w:eastAsia="黑体"/>
                <w:bCs/>
                <w:sz w:val="24"/>
              </w:rPr>
            </w:pPr>
          </w:p>
          <w:p>
            <w:pPr>
              <w:ind w:firstLine="482"/>
              <w:jc w:val="center"/>
              <w:rPr>
                <w:rFonts w:eastAsia="黑体"/>
                <w:bCs/>
                <w:color w:val="FF0000"/>
                <w:sz w:val="24"/>
              </w:rPr>
            </w:pPr>
            <w:r>
              <w:rPr>
                <w:rFonts w:eastAsia="黑体"/>
                <w:bCs/>
                <w:color w:val="000000" w:themeColor="text1"/>
                <w:sz w:val="24"/>
                <w14:textFill>
                  <w14:solidFill>
                    <w14:schemeClr w14:val="tx1"/>
                  </w14:solidFill>
                </w14:textFill>
              </w:rPr>
              <w:t>图</w:t>
            </w:r>
            <w:r>
              <w:rPr>
                <w:rFonts w:hint="eastAsia" w:eastAsia="黑体"/>
                <w:bCs/>
                <w:color w:val="000000" w:themeColor="text1"/>
                <w:sz w:val="24"/>
                <w:lang w:val="en-US" w:eastAsia="zh-CN"/>
                <w14:textFill>
                  <w14:solidFill>
                    <w14:schemeClr w14:val="tx1"/>
                  </w14:solidFill>
                </w14:textFill>
              </w:rPr>
              <w:t>2-4</w:t>
            </w:r>
            <w:r>
              <w:rPr>
                <w:rFonts w:eastAsia="黑体"/>
                <w:bCs/>
                <w:color w:val="000000" w:themeColor="text1"/>
                <w:sz w:val="24"/>
                <w14:textFill>
                  <w14:solidFill>
                    <w14:schemeClr w14:val="tx1"/>
                  </w14:solidFill>
                </w14:textFill>
              </w:rPr>
              <w:t xml:space="preserve">   </w:t>
            </w:r>
            <w:r>
              <w:rPr>
                <w:rFonts w:hint="eastAsia" w:eastAsia="黑体"/>
                <w:bCs/>
                <w:color w:val="000000" w:themeColor="text1"/>
                <w:sz w:val="24"/>
                <w:lang w:val="en-US" w:eastAsia="zh-CN"/>
                <w14:textFill>
                  <w14:solidFill>
                    <w14:schemeClr w14:val="tx1"/>
                  </w14:solidFill>
                </w14:textFill>
              </w:rPr>
              <w:t xml:space="preserve"> </w:t>
            </w:r>
            <w:r>
              <w:rPr>
                <w:rFonts w:eastAsia="黑体"/>
                <w:bCs/>
                <w:color w:val="000000" w:themeColor="text1"/>
                <w:sz w:val="24"/>
                <w14:textFill>
                  <w14:solidFill>
                    <w14:schemeClr w14:val="tx1"/>
                  </w14:solidFill>
                </w14:textFill>
              </w:rPr>
              <w:t>运营期工艺流程及产污示意图</w:t>
            </w:r>
          </w:p>
          <w:p>
            <w:pPr>
              <w:overflowPunct w:val="0"/>
              <w:adjustRightInd w:val="0"/>
              <w:snapToGrid w:val="0"/>
              <w:spacing w:beforeLines="50" w:line="360" w:lineRule="auto"/>
              <w:ind w:firstLine="482" w:firstLineChars="200"/>
              <w:rPr>
                <w:b/>
                <w:snapToGrid w:val="0"/>
                <w:kern w:val="0"/>
                <w:sz w:val="24"/>
                <w:szCs w:val="24"/>
              </w:rPr>
            </w:pPr>
            <w:r>
              <w:rPr>
                <w:b/>
                <w:snapToGrid w:val="0"/>
                <w:kern w:val="0"/>
                <w:sz w:val="24"/>
                <w:szCs w:val="24"/>
              </w:rPr>
              <w:t>2</w:t>
            </w:r>
            <w:r>
              <w:rPr>
                <w:rFonts w:hint="eastAsia"/>
                <w:b/>
                <w:snapToGrid w:val="0"/>
                <w:kern w:val="0"/>
                <w:sz w:val="24"/>
                <w:szCs w:val="24"/>
                <w:lang w:val="en-US" w:eastAsia="zh-CN"/>
              </w:rPr>
              <w:t>.2</w:t>
            </w:r>
            <w:r>
              <w:rPr>
                <w:b/>
                <w:snapToGrid w:val="0"/>
                <w:kern w:val="0"/>
                <w:sz w:val="24"/>
                <w:szCs w:val="24"/>
              </w:rPr>
              <w:t>运营期主要污染工序及污染因子</w:t>
            </w:r>
          </w:p>
          <w:p>
            <w:pPr>
              <w:topLinePunct/>
              <w:adjustRightInd w:val="0"/>
              <w:snapToGrid w:val="0"/>
              <w:spacing w:line="360" w:lineRule="auto"/>
              <w:ind w:firstLine="480" w:firstLineChars="200"/>
              <w:rPr>
                <w:snapToGrid w:val="0"/>
                <w:kern w:val="0"/>
                <w:sz w:val="24"/>
                <w:szCs w:val="24"/>
              </w:rPr>
            </w:pPr>
            <w:r>
              <w:rPr>
                <w:snapToGrid w:val="0"/>
                <w:kern w:val="0"/>
                <w:sz w:val="24"/>
                <w:szCs w:val="24"/>
              </w:rPr>
              <w:t>项目运营期主要污染源分析</w:t>
            </w:r>
            <w:r>
              <w:rPr>
                <w:rFonts w:hint="eastAsia"/>
                <w:snapToGrid w:val="0"/>
                <w:kern w:val="0"/>
                <w:sz w:val="24"/>
                <w:szCs w:val="24"/>
                <w:lang w:val="en-US" w:eastAsia="zh-CN"/>
              </w:rPr>
              <w:t>见</w:t>
            </w:r>
            <w:r>
              <w:rPr>
                <w:snapToGrid w:val="0"/>
                <w:kern w:val="0"/>
                <w:sz w:val="24"/>
                <w:szCs w:val="24"/>
              </w:rPr>
              <w:t>表</w:t>
            </w:r>
            <w:r>
              <w:rPr>
                <w:rFonts w:hint="eastAsia"/>
                <w:snapToGrid w:val="0"/>
                <w:kern w:val="0"/>
                <w:sz w:val="24"/>
                <w:szCs w:val="24"/>
                <w:lang w:val="en-US" w:eastAsia="zh-CN"/>
              </w:rPr>
              <w:t>2-6</w:t>
            </w:r>
            <w:r>
              <w:rPr>
                <w:snapToGrid w:val="0"/>
                <w:kern w:val="0"/>
                <w:sz w:val="24"/>
                <w:szCs w:val="24"/>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eastAsia"/>
                <w:b/>
                <w:snapToGrid w:val="0"/>
                <w:kern w:val="0"/>
                <w:sz w:val="24"/>
                <w:szCs w:val="24"/>
              </w:rPr>
            </w:pPr>
            <w:r>
              <w:rPr>
                <w:rFonts w:hint="eastAsia"/>
                <w:b/>
                <w:snapToGrid w:val="0"/>
                <w:kern w:val="0"/>
                <w:sz w:val="24"/>
                <w:szCs w:val="24"/>
              </w:rPr>
              <w:t>表</w:t>
            </w:r>
            <w:r>
              <w:rPr>
                <w:rFonts w:hint="eastAsia"/>
                <w:b/>
                <w:snapToGrid w:val="0"/>
                <w:kern w:val="0"/>
                <w:sz w:val="24"/>
                <w:szCs w:val="24"/>
                <w:lang w:val="en-US" w:eastAsia="zh-CN"/>
              </w:rPr>
              <w:t>2-6</w:t>
            </w:r>
            <w:r>
              <w:rPr>
                <w:rFonts w:hint="eastAsia"/>
                <w:b/>
                <w:snapToGrid w:val="0"/>
                <w:kern w:val="0"/>
                <w:sz w:val="24"/>
                <w:szCs w:val="24"/>
              </w:rPr>
              <w:t xml:space="preserve">    运营期主要污染工序及污染因子一览表</w:t>
            </w:r>
          </w:p>
          <w:tbl>
            <w:tblPr>
              <w:tblStyle w:val="28"/>
              <w:tblW w:w="4998"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88"/>
              <w:gridCol w:w="1845"/>
              <w:gridCol w:w="2514"/>
              <w:gridCol w:w="2787"/>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7" w:hRule="atLeast"/>
                <w:jc w:val="center"/>
              </w:trPr>
              <w:tc>
                <w:tcPr>
                  <w:tcW w:w="607" w:type="pct"/>
                  <w:vAlign w:val="center"/>
                </w:tcPr>
                <w:p>
                  <w:pPr>
                    <w:adjustRightInd w:val="0"/>
                    <w:snapToGrid w:val="0"/>
                    <w:ind w:left="-105" w:leftChars="-50" w:right="-105" w:rightChars="-50"/>
                    <w:jc w:val="center"/>
                    <w:rPr>
                      <w:szCs w:val="21"/>
                    </w:rPr>
                  </w:pPr>
                  <w:r>
                    <w:rPr>
                      <w:szCs w:val="21"/>
                    </w:rPr>
                    <w:t>排放类别</w:t>
                  </w:r>
                </w:p>
              </w:tc>
              <w:tc>
                <w:tcPr>
                  <w:tcW w:w="1134" w:type="pct"/>
                  <w:vAlign w:val="center"/>
                </w:tcPr>
                <w:p>
                  <w:pPr>
                    <w:adjustRightInd w:val="0"/>
                    <w:snapToGrid w:val="0"/>
                    <w:ind w:left="-105" w:leftChars="-50" w:right="-105" w:rightChars="-50"/>
                    <w:jc w:val="center"/>
                    <w:rPr>
                      <w:szCs w:val="21"/>
                    </w:rPr>
                  </w:pPr>
                  <w:r>
                    <w:rPr>
                      <w:szCs w:val="21"/>
                    </w:rPr>
                    <w:t>污染源</w:t>
                  </w:r>
                </w:p>
              </w:tc>
              <w:tc>
                <w:tcPr>
                  <w:tcW w:w="1545" w:type="pct"/>
                  <w:vAlign w:val="center"/>
                </w:tcPr>
                <w:p>
                  <w:pPr>
                    <w:adjustRightInd w:val="0"/>
                    <w:snapToGrid w:val="0"/>
                    <w:ind w:left="-105" w:leftChars="-50" w:right="-105" w:rightChars="-50"/>
                    <w:jc w:val="center"/>
                    <w:rPr>
                      <w:szCs w:val="21"/>
                    </w:rPr>
                  </w:pPr>
                  <w:r>
                    <w:rPr>
                      <w:szCs w:val="21"/>
                    </w:rPr>
                    <w:t>污染工序</w:t>
                  </w:r>
                </w:p>
              </w:tc>
              <w:tc>
                <w:tcPr>
                  <w:tcW w:w="1713" w:type="pct"/>
                  <w:vAlign w:val="center"/>
                </w:tcPr>
                <w:p>
                  <w:pPr>
                    <w:adjustRightInd w:val="0"/>
                    <w:snapToGrid w:val="0"/>
                    <w:ind w:left="-105" w:leftChars="-50" w:right="-105" w:rightChars="-50"/>
                    <w:jc w:val="center"/>
                    <w:rPr>
                      <w:szCs w:val="21"/>
                    </w:rPr>
                  </w:pPr>
                  <w:r>
                    <w:rPr>
                      <w:szCs w:val="21"/>
                    </w:rPr>
                    <w:t>污染因子</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7" w:hRule="atLeast"/>
                <w:jc w:val="center"/>
              </w:trPr>
              <w:tc>
                <w:tcPr>
                  <w:tcW w:w="607" w:type="pct"/>
                  <w:vAlign w:val="center"/>
                </w:tcPr>
                <w:p>
                  <w:pPr>
                    <w:adjustRightInd w:val="0"/>
                    <w:snapToGrid w:val="0"/>
                    <w:ind w:left="-105" w:leftChars="-50" w:right="-105" w:rightChars="-50"/>
                    <w:jc w:val="center"/>
                    <w:rPr>
                      <w:rFonts w:hint="eastAsia" w:eastAsia="宋体"/>
                      <w:szCs w:val="21"/>
                      <w:lang w:val="en-US" w:eastAsia="zh-CN"/>
                    </w:rPr>
                  </w:pPr>
                  <w:r>
                    <w:rPr>
                      <w:rFonts w:hint="eastAsia"/>
                      <w:szCs w:val="21"/>
                      <w:lang w:val="en-US" w:eastAsia="zh-CN"/>
                    </w:rPr>
                    <w:t>废气</w:t>
                  </w:r>
                </w:p>
              </w:tc>
              <w:tc>
                <w:tcPr>
                  <w:tcW w:w="1134" w:type="pct"/>
                  <w:vAlign w:val="center"/>
                </w:tcPr>
                <w:p>
                  <w:pPr>
                    <w:jc w:val="center"/>
                    <w:rPr>
                      <w:szCs w:val="21"/>
                    </w:rPr>
                  </w:pPr>
                  <w:r>
                    <w:rPr>
                      <w:rFonts w:hint="eastAsia"/>
                      <w:szCs w:val="21"/>
                    </w:rPr>
                    <w:t>污水处理站</w:t>
                  </w:r>
                </w:p>
              </w:tc>
              <w:tc>
                <w:tcPr>
                  <w:tcW w:w="1545" w:type="pct"/>
                  <w:vAlign w:val="center"/>
                </w:tcPr>
                <w:p>
                  <w:pPr>
                    <w:jc w:val="center"/>
                    <w:rPr>
                      <w:rFonts w:hint="default" w:eastAsia="宋体"/>
                      <w:szCs w:val="21"/>
                      <w:lang w:val="en-US" w:eastAsia="zh-CN"/>
                    </w:rPr>
                  </w:pPr>
                  <w:r>
                    <w:rPr>
                      <w:rFonts w:hint="eastAsia"/>
                      <w:szCs w:val="21"/>
                      <w:lang w:val="en-US" w:eastAsia="zh-CN"/>
                    </w:rPr>
                    <w:t>污水处理</w:t>
                  </w:r>
                </w:p>
              </w:tc>
              <w:tc>
                <w:tcPr>
                  <w:tcW w:w="1713" w:type="pct"/>
                  <w:vAlign w:val="center"/>
                </w:tcPr>
                <w:p>
                  <w:pPr>
                    <w:jc w:val="center"/>
                    <w:rPr>
                      <w:szCs w:val="21"/>
                    </w:rPr>
                  </w:pPr>
                  <w:r>
                    <w:rPr>
                      <w:rFonts w:hint="eastAsia"/>
                      <w:szCs w:val="21"/>
                    </w:rPr>
                    <w:t>H</w:t>
                  </w:r>
                  <w:r>
                    <w:rPr>
                      <w:rFonts w:hint="eastAsia"/>
                      <w:szCs w:val="21"/>
                      <w:vertAlign w:val="subscript"/>
                    </w:rPr>
                    <w:t>2</w:t>
                  </w:r>
                  <w:r>
                    <w:rPr>
                      <w:rFonts w:hint="eastAsia"/>
                      <w:szCs w:val="21"/>
                    </w:rPr>
                    <w:t>S、NH</w:t>
                  </w:r>
                  <w:r>
                    <w:rPr>
                      <w:rFonts w:hint="eastAsia"/>
                      <w:szCs w:val="21"/>
                      <w:vertAlign w:val="subscript"/>
                    </w:rPr>
                    <w:t>3</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07" w:type="pct"/>
                  <w:vMerge w:val="restart"/>
                  <w:vAlign w:val="center"/>
                </w:tcPr>
                <w:p>
                  <w:pPr>
                    <w:adjustRightInd w:val="0"/>
                    <w:snapToGrid w:val="0"/>
                    <w:ind w:left="-105" w:leftChars="-50" w:right="-105" w:rightChars="-50"/>
                    <w:jc w:val="center"/>
                    <w:rPr>
                      <w:szCs w:val="21"/>
                    </w:rPr>
                  </w:pPr>
                  <w:r>
                    <w:rPr>
                      <w:szCs w:val="21"/>
                    </w:rPr>
                    <w:t>废水</w:t>
                  </w:r>
                </w:p>
              </w:tc>
              <w:tc>
                <w:tcPr>
                  <w:tcW w:w="1134" w:type="pct"/>
                  <w:vMerge w:val="restart"/>
                  <w:vAlign w:val="center"/>
                </w:tcPr>
                <w:p>
                  <w:pPr>
                    <w:adjustRightInd w:val="0"/>
                    <w:snapToGrid w:val="0"/>
                    <w:ind w:left="-105" w:leftChars="-50" w:right="-105" w:rightChars="-50"/>
                    <w:jc w:val="center"/>
                    <w:rPr>
                      <w:szCs w:val="21"/>
                    </w:rPr>
                  </w:pPr>
                  <w:r>
                    <w:rPr>
                      <w:szCs w:val="21"/>
                    </w:rPr>
                    <w:t>医疗废水</w:t>
                  </w:r>
                </w:p>
              </w:tc>
              <w:tc>
                <w:tcPr>
                  <w:tcW w:w="1545" w:type="pct"/>
                  <w:vAlign w:val="center"/>
                </w:tcPr>
                <w:p>
                  <w:pPr>
                    <w:jc w:val="center"/>
                    <w:rPr>
                      <w:rFonts w:hint="default" w:eastAsia="宋体"/>
                      <w:szCs w:val="21"/>
                      <w:lang w:val="en-US" w:eastAsia="zh-CN"/>
                    </w:rPr>
                  </w:pPr>
                  <w:r>
                    <w:rPr>
                      <w:szCs w:val="21"/>
                    </w:rPr>
                    <w:t>检查</w:t>
                  </w:r>
                  <w:r>
                    <w:rPr>
                      <w:rFonts w:hint="eastAsia"/>
                      <w:szCs w:val="21"/>
                      <w:lang w:eastAsia="zh-CN"/>
                    </w:rPr>
                    <w:t>、</w:t>
                  </w:r>
                  <w:r>
                    <w:rPr>
                      <w:szCs w:val="21"/>
                    </w:rPr>
                    <w:t>化验</w:t>
                  </w:r>
                </w:p>
              </w:tc>
              <w:tc>
                <w:tcPr>
                  <w:tcW w:w="1713" w:type="pct"/>
                  <w:vMerge w:val="restart"/>
                  <w:vAlign w:val="center"/>
                </w:tcPr>
                <w:p>
                  <w:pPr>
                    <w:adjustRightInd w:val="0"/>
                    <w:snapToGrid w:val="0"/>
                    <w:ind w:left="-105" w:leftChars="-50" w:right="-105" w:rightChars="-50"/>
                    <w:jc w:val="center"/>
                    <w:rPr>
                      <w:szCs w:val="21"/>
                    </w:rPr>
                  </w:pPr>
                  <w:r>
                    <w:rPr>
                      <w:szCs w:val="21"/>
                    </w:rPr>
                    <w:t>COD</w:t>
                  </w:r>
                  <w:r>
                    <w:rPr>
                      <w:szCs w:val="21"/>
                      <w:vertAlign w:val="subscript"/>
                    </w:rPr>
                    <w:t>Cr</w:t>
                  </w:r>
                  <w:r>
                    <w:rPr>
                      <w:szCs w:val="21"/>
                    </w:rPr>
                    <w:t>、BOD</w:t>
                  </w:r>
                  <w:r>
                    <w:rPr>
                      <w:szCs w:val="21"/>
                      <w:vertAlign w:val="subscript"/>
                    </w:rPr>
                    <w:t>5</w:t>
                  </w:r>
                  <w:r>
                    <w:rPr>
                      <w:szCs w:val="21"/>
                    </w:rPr>
                    <w:t>、NH</w:t>
                  </w:r>
                  <w:r>
                    <w:rPr>
                      <w:szCs w:val="21"/>
                      <w:vertAlign w:val="subscript"/>
                    </w:rPr>
                    <w:t>3</w:t>
                  </w:r>
                  <w:r>
                    <w:rPr>
                      <w:szCs w:val="21"/>
                    </w:rPr>
                    <w:t>-N、</w:t>
                  </w:r>
                </w:p>
                <w:p>
                  <w:pPr>
                    <w:adjustRightInd w:val="0"/>
                    <w:snapToGrid w:val="0"/>
                    <w:ind w:left="-105" w:leftChars="-50" w:right="-105" w:rightChars="-50"/>
                    <w:jc w:val="center"/>
                    <w:rPr>
                      <w:rFonts w:hint="eastAsia" w:eastAsia="宋体"/>
                      <w:szCs w:val="21"/>
                      <w:lang w:val="en-US" w:eastAsia="zh-CN"/>
                    </w:rPr>
                  </w:pPr>
                  <w:r>
                    <w:rPr>
                      <w:szCs w:val="21"/>
                    </w:rPr>
                    <w:t>SS、粪大肠菌群、余氯</w:t>
                  </w:r>
                  <w:r>
                    <w:rPr>
                      <w:rFonts w:hint="eastAsia"/>
                      <w:szCs w:val="21"/>
                      <w:lang w:val="en-US" w:eastAsia="zh-CN"/>
                    </w:rPr>
                    <w:t>等</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07" w:type="pct"/>
                  <w:vMerge w:val="continue"/>
                  <w:vAlign w:val="center"/>
                </w:tcPr>
                <w:p>
                  <w:pPr>
                    <w:adjustRightInd w:val="0"/>
                    <w:snapToGrid w:val="0"/>
                    <w:ind w:left="-105" w:leftChars="-50" w:right="-105" w:rightChars="-50"/>
                    <w:jc w:val="center"/>
                    <w:rPr>
                      <w:szCs w:val="21"/>
                    </w:rPr>
                  </w:pPr>
                </w:p>
              </w:tc>
              <w:tc>
                <w:tcPr>
                  <w:tcW w:w="1134" w:type="pct"/>
                  <w:vMerge w:val="continue"/>
                  <w:vAlign w:val="center"/>
                </w:tcPr>
                <w:p>
                  <w:pPr>
                    <w:adjustRightInd w:val="0"/>
                    <w:snapToGrid w:val="0"/>
                    <w:ind w:left="-105" w:leftChars="-50" w:right="-105" w:rightChars="-50"/>
                    <w:jc w:val="center"/>
                    <w:rPr>
                      <w:szCs w:val="21"/>
                    </w:rPr>
                  </w:pPr>
                </w:p>
              </w:tc>
              <w:tc>
                <w:tcPr>
                  <w:tcW w:w="1545" w:type="pct"/>
                  <w:vAlign w:val="center"/>
                </w:tcPr>
                <w:p>
                  <w:pPr>
                    <w:jc w:val="center"/>
                    <w:rPr>
                      <w:szCs w:val="21"/>
                    </w:rPr>
                  </w:pPr>
                  <w:r>
                    <w:rPr>
                      <w:rFonts w:hint="eastAsia"/>
                      <w:szCs w:val="21"/>
                    </w:rPr>
                    <w:t>病房</w:t>
                  </w:r>
                </w:p>
              </w:tc>
              <w:tc>
                <w:tcPr>
                  <w:tcW w:w="1713" w:type="pct"/>
                  <w:vMerge w:val="continue"/>
                  <w:vAlign w:val="center"/>
                </w:tcPr>
                <w:p>
                  <w:pPr>
                    <w:adjustRightInd w:val="0"/>
                    <w:snapToGrid w:val="0"/>
                    <w:ind w:left="-105" w:leftChars="-50" w:right="-105" w:rightChars="-50"/>
                    <w:jc w:val="center"/>
                    <w:rPr>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607" w:type="pct"/>
                  <w:vMerge w:val="continue"/>
                  <w:vAlign w:val="center"/>
                </w:tcPr>
                <w:p>
                  <w:pPr>
                    <w:adjustRightInd w:val="0"/>
                    <w:snapToGrid w:val="0"/>
                    <w:ind w:left="-105" w:leftChars="-50" w:right="-105" w:rightChars="-50"/>
                    <w:jc w:val="center"/>
                    <w:rPr>
                      <w:szCs w:val="21"/>
                    </w:rPr>
                  </w:pPr>
                </w:p>
              </w:tc>
              <w:tc>
                <w:tcPr>
                  <w:tcW w:w="1134" w:type="pct"/>
                  <w:vMerge w:val="continue"/>
                  <w:vAlign w:val="center"/>
                </w:tcPr>
                <w:p>
                  <w:pPr>
                    <w:adjustRightInd w:val="0"/>
                    <w:snapToGrid w:val="0"/>
                    <w:ind w:left="-105" w:leftChars="-50" w:right="-105" w:rightChars="-50"/>
                    <w:jc w:val="center"/>
                    <w:rPr>
                      <w:szCs w:val="21"/>
                    </w:rPr>
                  </w:pPr>
                </w:p>
              </w:tc>
              <w:tc>
                <w:tcPr>
                  <w:tcW w:w="1545" w:type="pct"/>
                  <w:vAlign w:val="center"/>
                </w:tcPr>
                <w:p>
                  <w:pPr>
                    <w:jc w:val="center"/>
                    <w:rPr>
                      <w:szCs w:val="21"/>
                    </w:rPr>
                  </w:pPr>
                  <w:r>
                    <w:rPr>
                      <w:szCs w:val="21"/>
                    </w:rPr>
                    <w:t>门诊治疗</w:t>
                  </w:r>
                </w:p>
              </w:tc>
              <w:tc>
                <w:tcPr>
                  <w:tcW w:w="1713" w:type="pct"/>
                  <w:vMerge w:val="continue"/>
                  <w:vAlign w:val="center"/>
                </w:tcPr>
                <w:p>
                  <w:pPr>
                    <w:adjustRightInd w:val="0"/>
                    <w:snapToGrid w:val="0"/>
                    <w:ind w:left="-105" w:leftChars="-50" w:right="-105" w:rightChars="-50"/>
                    <w:jc w:val="center"/>
                    <w:rPr>
                      <w:szCs w:val="21"/>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607" w:type="pct"/>
                  <w:vMerge w:val="continue"/>
                  <w:vAlign w:val="center"/>
                </w:tcPr>
                <w:p>
                  <w:pPr>
                    <w:adjustRightInd w:val="0"/>
                    <w:snapToGrid w:val="0"/>
                    <w:ind w:left="-105" w:leftChars="-50" w:right="-105" w:rightChars="-50"/>
                    <w:jc w:val="center"/>
                    <w:rPr>
                      <w:szCs w:val="21"/>
                    </w:rPr>
                  </w:pPr>
                </w:p>
              </w:tc>
              <w:tc>
                <w:tcPr>
                  <w:tcW w:w="1134" w:type="pct"/>
                  <w:vAlign w:val="center"/>
                </w:tcPr>
                <w:p>
                  <w:pPr>
                    <w:adjustRightInd w:val="0"/>
                    <w:snapToGrid w:val="0"/>
                    <w:ind w:left="-105" w:leftChars="-50" w:right="-105" w:rightChars="-50"/>
                    <w:jc w:val="center"/>
                    <w:rPr>
                      <w:szCs w:val="21"/>
                    </w:rPr>
                  </w:pPr>
                  <w:r>
                    <w:rPr>
                      <w:szCs w:val="21"/>
                    </w:rPr>
                    <w:t>生活污水</w:t>
                  </w:r>
                </w:p>
              </w:tc>
              <w:tc>
                <w:tcPr>
                  <w:tcW w:w="1545" w:type="pct"/>
                  <w:vAlign w:val="center"/>
                </w:tcPr>
                <w:p>
                  <w:pPr>
                    <w:adjustRightInd w:val="0"/>
                    <w:snapToGrid w:val="0"/>
                    <w:ind w:left="-105" w:leftChars="-50" w:right="-105" w:rightChars="-50"/>
                    <w:jc w:val="center"/>
                    <w:rPr>
                      <w:szCs w:val="21"/>
                    </w:rPr>
                  </w:pPr>
                  <w:r>
                    <w:rPr>
                      <w:szCs w:val="21"/>
                    </w:rPr>
                    <w:t>医护人员办公、生活</w:t>
                  </w:r>
                </w:p>
              </w:tc>
              <w:tc>
                <w:tcPr>
                  <w:tcW w:w="1713" w:type="pct"/>
                  <w:vAlign w:val="center"/>
                </w:tcPr>
                <w:p>
                  <w:pPr>
                    <w:adjustRightInd w:val="0"/>
                    <w:snapToGrid w:val="0"/>
                    <w:ind w:left="-105" w:leftChars="-50" w:right="-105" w:rightChars="-50"/>
                    <w:jc w:val="center"/>
                    <w:rPr>
                      <w:szCs w:val="21"/>
                    </w:rPr>
                  </w:pPr>
                  <w:r>
                    <w:rPr>
                      <w:szCs w:val="21"/>
                    </w:rPr>
                    <w:t>COD</w:t>
                  </w:r>
                  <w:r>
                    <w:rPr>
                      <w:szCs w:val="21"/>
                      <w:vertAlign w:val="subscript"/>
                    </w:rPr>
                    <w:t>Cr</w:t>
                  </w:r>
                  <w:r>
                    <w:rPr>
                      <w:szCs w:val="21"/>
                    </w:rPr>
                    <w:t>、BOD</w:t>
                  </w:r>
                  <w:r>
                    <w:rPr>
                      <w:szCs w:val="21"/>
                      <w:vertAlign w:val="subscript"/>
                    </w:rPr>
                    <w:t>5</w:t>
                  </w:r>
                  <w:r>
                    <w:rPr>
                      <w:szCs w:val="21"/>
                    </w:rPr>
                    <w:t>、SS、NH</w:t>
                  </w:r>
                  <w:r>
                    <w:rPr>
                      <w:szCs w:val="21"/>
                      <w:vertAlign w:val="subscript"/>
                    </w:rPr>
                    <w:t>3</w:t>
                  </w:r>
                  <w:r>
                    <w:rPr>
                      <w:szCs w:val="21"/>
                    </w:rPr>
                    <w:t>-N</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607" w:type="pct"/>
                  <w:vAlign w:val="center"/>
                </w:tcPr>
                <w:p>
                  <w:pPr>
                    <w:adjustRightInd w:val="0"/>
                    <w:snapToGrid w:val="0"/>
                    <w:ind w:left="-105" w:leftChars="-50" w:right="-105" w:rightChars="-50"/>
                    <w:jc w:val="center"/>
                    <w:rPr>
                      <w:szCs w:val="21"/>
                    </w:rPr>
                  </w:pPr>
                  <w:r>
                    <w:rPr>
                      <w:szCs w:val="21"/>
                    </w:rPr>
                    <w:t>噪声</w:t>
                  </w:r>
                </w:p>
              </w:tc>
              <w:tc>
                <w:tcPr>
                  <w:tcW w:w="1134" w:type="pct"/>
                  <w:vAlign w:val="center"/>
                </w:tcPr>
                <w:p>
                  <w:pPr>
                    <w:adjustRightInd w:val="0"/>
                    <w:snapToGrid w:val="0"/>
                    <w:ind w:left="-105" w:leftChars="-50" w:right="-105" w:rightChars="-50"/>
                    <w:jc w:val="center"/>
                    <w:rPr>
                      <w:szCs w:val="21"/>
                    </w:rPr>
                  </w:pPr>
                  <w:r>
                    <w:rPr>
                      <w:szCs w:val="21"/>
                    </w:rPr>
                    <w:t>设备、人群</w:t>
                  </w:r>
                </w:p>
              </w:tc>
              <w:tc>
                <w:tcPr>
                  <w:tcW w:w="1545" w:type="pct"/>
                  <w:vAlign w:val="center"/>
                </w:tcPr>
                <w:p>
                  <w:pPr>
                    <w:adjustRightInd w:val="0"/>
                    <w:snapToGrid w:val="0"/>
                    <w:ind w:left="-105" w:leftChars="-50" w:right="-105" w:rightChars="-50"/>
                    <w:jc w:val="center"/>
                    <w:rPr>
                      <w:szCs w:val="21"/>
                    </w:rPr>
                  </w:pPr>
                  <w:r>
                    <w:rPr>
                      <w:szCs w:val="21"/>
                    </w:rPr>
                    <w:t>设备及人员活动</w:t>
                  </w:r>
                </w:p>
              </w:tc>
              <w:tc>
                <w:tcPr>
                  <w:tcW w:w="1713" w:type="pct"/>
                  <w:vAlign w:val="center"/>
                </w:tcPr>
                <w:p>
                  <w:pPr>
                    <w:adjustRightInd w:val="0"/>
                    <w:snapToGrid w:val="0"/>
                    <w:ind w:left="-105" w:leftChars="-50" w:right="-105" w:rightChars="-50"/>
                    <w:jc w:val="center"/>
                    <w:rPr>
                      <w:szCs w:val="21"/>
                    </w:rPr>
                  </w:pPr>
                  <w:r>
                    <w:rPr>
                      <w:szCs w:val="21"/>
                    </w:rPr>
                    <w:t>设备噪声、社会生活噪声</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607" w:type="pct"/>
                  <w:vMerge w:val="restart"/>
                  <w:vAlign w:val="center"/>
                </w:tcPr>
                <w:p>
                  <w:pPr>
                    <w:adjustRightInd w:val="0"/>
                    <w:snapToGrid w:val="0"/>
                    <w:ind w:left="-105" w:leftChars="-50" w:right="-105" w:rightChars="-50"/>
                    <w:jc w:val="center"/>
                    <w:rPr>
                      <w:szCs w:val="21"/>
                    </w:rPr>
                  </w:pPr>
                  <w:r>
                    <w:rPr>
                      <w:szCs w:val="21"/>
                    </w:rPr>
                    <w:t>固废</w:t>
                  </w:r>
                </w:p>
              </w:tc>
              <w:tc>
                <w:tcPr>
                  <w:tcW w:w="1134" w:type="pct"/>
                  <w:vAlign w:val="center"/>
                </w:tcPr>
                <w:p>
                  <w:pPr>
                    <w:adjustRightInd w:val="0"/>
                    <w:snapToGrid w:val="0"/>
                    <w:ind w:left="-105" w:leftChars="-50" w:right="-105" w:rightChars="-50"/>
                    <w:jc w:val="center"/>
                    <w:rPr>
                      <w:szCs w:val="21"/>
                    </w:rPr>
                  </w:pPr>
                  <w:r>
                    <w:rPr>
                      <w:rFonts w:hint="eastAsia"/>
                      <w:szCs w:val="21"/>
                    </w:rPr>
                    <w:t>医疗</w:t>
                  </w:r>
                  <w:r>
                    <w:rPr>
                      <w:szCs w:val="21"/>
                    </w:rPr>
                    <w:t>服务</w:t>
                  </w:r>
                </w:p>
              </w:tc>
              <w:tc>
                <w:tcPr>
                  <w:tcW w:w="1545" w:type="pct"/>
                  <w:vAlign w:val="center"/>
                </w:tcPr>
                <w:p>
                  <w:pPr>
                    <w:jc w:val="center"/>
                    <w:rPr>
                      <w:rFonts w:hint="default" w:eastAsia="宋体"/>
                      <w:szCs w:val="21"/>
                      <w:lang w:val="en-US" w:eastAsia="zh-CN"/>
                    </w:rPr>
                  </w:pPr>
                  <w:r>
                    <w:rPr>
                      <w:szCs w:val="21"/>
                    </w:rPr>
                    <w:t>检查化验</w:t>
                  </w:r>
                </w:p>
              </w:tc>
              <w:tc>
                <w:tcPr>
                  <w:tcW w:w="1713" w:type="pct"/>
                  <w:vAlign w:val="center"/>
                </w:tcPr>
                <w:p>
                  <w:pPr>
                    <w:jc w:val="center"/>
                    <w:rPr>
                      <w:szCs w:val="21"/>
                    </w:rPr>
                  </w:pPr>
                  <w:r>
                    <w:rPr>
                      <w:szCs w:val="21"/>
                    </w:rPr>
                    <w:t>医疗废物</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607" w:type="pct"/>
                  <w:vMerge w:val="continue"/>
                  <w:vAlign w:val="center"/>
                </w:tcPr>
                <w:p>
                  <w:pPr>
                    <w:adjustRightInd w:val="0"/>
                    <w:snapToGrid w:val="0"/>
                    <w:ind w:left="-105" w:leftChars="-50" w:right="-105" w:rightChars="-50"/>
                    <w:jc w:val="center"/>
                    <w:rPr>
                      <w:szCs w:val="21"/>
                    </w:rPr>
                  </w:pPr>
                </w:p>
              </w:tc>
              <w:tc>
                <w:tcPr>
                  <w:tcW w:w="1134" w:type="pct"/>
                  <w:vAlign w:val="center"/>
                </w:tcPr>
                <w:p>
                  <w:pPr>
                    <w:adjustRightInd w:val="0"/>
                    <w:snapToGrid w:val="0"/>
                    <w:ind w:left="-105" w:leftChars="-50" w:right="-105" w:rightChars="-50"/>
                    <w:jc w:val="center"/>
                    <w:rPr>
                      <w:rFonts w:hint="default" w:eastAsia="宋体"/>
                      <w:szCs w:val="21"/>
                      <w:lang w:val="en-US" w:eastAsia="zh-CN"/>
                    </w:rPr>
                  </w:pPr>
                  <w:r>
                    <w:rPr>
                      <w:rFonts w:hint="eastAsia"/>
                      <w:szCs w:val="21"/>
                      <w:lang w:val="en-US" w:eastAsia="zh-CN"/>
                    </w:rPr>
                    <w:t>生活垃圾</w:t>
                  </w:r>
                </w:p>
              </w:tc>
              <w:tc>
                <w:tcPr>
                  <w:tcW w:w="1545" w:type="pct"/>
                  <w:vAlign w:val="center"/>
                </w:tcPr>
                <w:p>
                  <w:pPr>
                    <w:jc w:val="center"/>
                    <w:rPr>
                      <w:rFonts w:hint="eastAsia" w:eastAsia="宋体"/>
                      <w:szCs w:val="21"/>
                      <w:lang w:val="en-US" w:eastAsia="zh-CN"/>
                    </w:rPr>
                  </w:pPr>
                  <w:r>
                    <w:rPr>
                      <w:szCs w:val="21"/>
                    </w:rPr>
                    <w:t>医护人员办公、生活</w:t>
                  </w:r>
                  <w:r>
                    <w:rPr>
                      <w:rFonts w:hint="eastAsia"/>
                      <w:szCs w:val="21"/>
                      <w:lang w:val="en-US" w:eastAsia="zh-CN"/>
                    </w:rPr>
                    <w:t>及病患住院</w:t>
                  </w:r>
                </w:p>
              </w:tc>
              <w:tc>
                <w:tcPr>
                  <w:tcW w:w="1713" w:type="pct"/>
                  <w:vAlign w:val="center"/>
                </w:tcPr>
                <w:p>
                  <w:pPr>
                    <w:jc w:val="center"/>
                    <w:rPr>
                      <w:szCs w:val="21"/>
                    </w:rPr>
                  </w:pPr>
                  <w:r>
                    <w:rPr>
                      <w:rFonts w:hint="eastAsia"/>
                      <w:szCs w:val="21"/>
                      <w:lang w:val="en-US" w:eastAsia="zh-CN"/>
                    </w:rPr>
                    <w:t>生活垃圾</w:t>
                  </w:r>
                </w:p>
              </w:tc>
            </w:tr>
          </w:tbl>
          <w:p>
            <w:pPr>
              <w:pStyle w:val="27"/>
              <w:ind w:left="0" w:leftChars="0"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71" w:type="dxa"/>
            <w:vAlign w:val="center"/>
          </w:tcPr>
          <w:p>
            <w:pPr>
              <w:pStyle w:val="24"/>
              <w:adjustRightInd w:val="0"/>
              <w:snapToGrid w:val="0"/>
              <w:spacing w:before="0" w:beforeAutospacing="0" w:after="0" w:afterAutospacing="0"/>
              <w:jc w:val="center"/>
              <w:rPr>
                <w:rFonts w:ascii="Times New Roman" w:hAnsi="Times New Roman"/>
                <w:bCs/>
                <w:kern w:val="2"/>
                <w:szCs w:val="24"/>
              </w:rPr>
            </w:pPr>
            <w:r>
              <w:rPr>
                <w:rFonts w:ascii="Times New Roman" w:hAnsi="Times New Roman"/>
                <w:bCs/>
                <w:kern w:val="2"/>
                <w:szCs w:val="24"/>
              </w:rPr>
              <w:t>与项目有关的原有环境污染问题</w:t>
            </w:r>
          </w:p>
        </w:tc>
        <w:tc>
          <w:tcPr>
            <w:tcW w:w="8353" w:type="dxa"/>
          </w:tcPr>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2"/>
              </w:rPr>
            </w:pPr>
            <w:r>
              <w:rPr>
                <w:rFonts w:hint="eastAsia" w:cs="Times New Roman"/>
                <w:sz w:val="24"/>
                <w:szCs w:val="22"/>
                <w:lang w:val="en-US" w:eastAsia="zh-CN"/>
              </w:rPr>
              <w:t>（1）</w:t>
            </w:r>
            <w:r>
              <w:rPr>
                <w:rFonts w:hint="eastAsia" w:ascii="Times New Roman" w:hAnsi="Times New Roman" w:cs="Times New Roman"/>
                <w:sz w:val="24"/>
                <w:szCs w:val="22"/>
                <w:lang w:val="en-US" w:eastAsia="zh-CN"/>
              </w:rPr>
              <w:t>玛纳斯县中医</w:t>
            </w:r>
            <w:r>
              <w:rPr>
                <w:rFonts w:hint="default" w:ascii="Times New Roman" w:hAnsi="Times New Roman" w:cs="Times New Roman"/>
                <w:sz w:val="24"/>
                <w:szCs w:val="22"/>
              </w:rPr>
              <w:t>医院现阶段基本情况</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cs="Times New Roman"/>
                <w:color w:val="000000"/>
                <w:kern w:val="0"/>
                <w:sz w:val="24"/>
                <w:szCs w:val="24"/>
                <w:vertAlign w:val="baseline"/>
                <w:lang w:val="en-US" w:eastAsia="zh-CN"/>
              </w:rPr>
            </w:pPr>
            <w:r>
              <w:rPr>
                <w:rFonts w:hint="eastAsia" w:cs="Times New Roman"/>
                <w:color w:val="000000"/>
                <w:kern w:val="0"/>
                <w:sz w:val="24"/>
                <w:szCs w:val="24"/>
                <w:lang w:val="en-US" w:eastAsia="zh-CN"/>
              </w:rPr>
              <w:t>玛纳斯县中医医院始建于1386年，2017年迁建新址</w:t>
            </w:r>
            <w:r>
              <w:rPr>
                <w:rFonts w:hint="eastAsia" w:ascii="Times New Roman" w:hAnsi="Times New Roman" w:cs="Times New Roman"/>
                <w:color w:val="000000"/>
                <w:kern w:val="0"/>
                <w:sz w:val="24"/>
                <w:szCs w:val="24"/>
                <w:lang w:eastAsia="zh-CN"/>
              </w:rPr>
              <w:t>，</w:t>
            </w:r>
            <w:r>
              <w:rPr>
                <w:rFonts w:hint="eastAsia" w:cs="Times New Roman"/>
                <w:color w:val="000000"/>
                <w:kern w:val="0"/>
                <w:sz w:val="24"/>
                <w:szCs w:val="24"/>
                <w:lang w:val="en-US" w:eastAsia="zh-CN"/>
              </w:rPr>
              <w:t>位于中华碧玉园东侧500米处，占地面积53.1亩，业务用房面积11118.28m</w:t>
            </w:r>
            <w:r>
              <w:rPr>
                <w:rFonts w:hint="eastAsia" w:cs="Times New Roman"/>
                <w:color w:val="000000"/>
                <w:kern w:val="0"/>
                <w:sz w:val="24"/>
                <w:szCs w:val="24"/>
                <w:vertAlign w:val="superscript"/>
                <w:lang w:val="en-US" w:eastAsia="zh-CN"/>
              </w:rPr>
              <w:t>2</w:t>
            </w:r>
            <w:r>
              <w:rPr>
                <w:rFonts w:hint="eastAsia" w:cs="Times New Roman"/>
                <w:color w:val="000000"/>
                <w:kern w:val="0"/>
                <w:sz w:val="24"/>
                <w:szCs w:val="24"/>
                <w:vertAlign w:val="baseline"/>
                <w:lang w:val="en-US" w:eastAsia="zh-CN"/>
              </w:rPr>
              <w:t>，</w:t>
            </w:r>
            <w:r>
              <w:rPr>
                <w:rFonts w:hint="eastAsia"/>
                <w:color w:val="auto"/>
                <w:sz w:val="24"/>
                <w:szCs w:val="24"/>
                <w:lang w:val="en-US" w:eastAsia="zh-CN"/>
              </w:rPr>
              <w:t>医院现有职工165人，</w:t>
            </w:r>
            <w:r>
              <w:rPr>
                <w:rFonts w:hint="eastAsia" w:cs="Times New Roman"/>
                <w:color w:val="000000"/>
                <w:kern w:val="0"/>
                <w:sz w:val="24"/>
                <w:szCs w:val="24"/>
                <w:vertAlign w:val="baseline"/>
                <w:lang w:val="en-US" w:eastAsia="zh-CN"/>
              </w:rPr>
              <w:t>医院编制床位99张，实际开放床位150张，是一家集中医医疗、护理、教学、康复、预防保健及中医药文化传播。中西医结合为一体的县级二级甲等中医医院。</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rPr>
            </w:pPr>
            <w:r>
              <w:rPr>
                <w:rFonts w:hint="eastAsia"/>
                <w:color w:val="000000" w:themeColor="text1"/>
                <w:sz w:val="24"/>
                <w:szCs w:val="24"/>
                <w:lang w:val="en-US" w:eastAsia="zh-CN"/>
                <w14:textFill>
                  <w14:solidFill>
                    <w14:schemeClr w14:val="tx1"/>
                  </w14:solidFill>
                </w14:textFill>
              </w:rPr>
              <w:t>医院</w:t>
            </w:r>
            <w:r>
              <w:rPr>
                <w:rFonts w:hint="eastAsia" w:ascii="Times New Roman" w:hAnsi="Times New Roman"/>
                <w:color w:val="000000" w:themeColor="text1"/>
                <w:sz w:val="24"/>
                <w:szCs w:val="24"/>
                <w14:textFill>
                  <w14:solidFill>
                    <w14:schemeClr w14:val="tx1"/>
                  </w14:solidFill>
                </w14:textFill>
              </w:rPr>
              <w:t>南侧</w:t>
            </w:r>
            <w:r>
              <w:rPr>
                <w:rFonts w:hint="eastAsia" w:ascii="Times New Roman" w:hAnsi="Times New Roman"/>
                <w:color w:val="000000" w:themeColor="text1"/>
                <w:sz w:val="24"/>
                <w:szCs w:val="24"/>
                <w:lang w:val="en-US" w:eastAsia="zh-CN"/>
                <w14:textFill>
                  <w14:solidFill>
                    <w14:schemeClr w14:val="tx1"/>
                  </w14:solidFill>
                </w14:textFill>
              </w:rPr>
              <w:t>为乡村道路，</w:t>
            </w:r>
            <w:r>
              <w:rPr>
                <w:rFonts w:hint="eastAsia" w:ascii="Times New Roman" w:hAnsi="Times New Roman"/>
                <w:color w:val="000000" w:themeColor="text1"/>
                <w:sz w:val="24"/>
                <w:szCs w:val="24"/>
                <w14:textFill>
                  <w14:solidFill>
                    <w14:schemeClr w14:val="tx1"/>
                  </w14:solidFill>
                </w14:textFill>
              </w:rPr>
              <w:t>东侧为</w:t>
            </w:r>
            <w:r>
              <w:rPr>
                <w:rFonts w:hint="eastAsia"/>
                <w:color w:val="000000" w:themeColor="text1"/>
                <w:sz w:val="24"/>
                <w:szCs w:val="24"/>
                <w:lang w:val="en-US" w:eastAsia="zh-CN"/>
                <w14:textFill>
                  <w14:solidFill>
                    <w14:schemeClr w14:val="tx1"/>
                  </w14:solidFill>
                </w14:textFill>
              </w:rPr>
              <w:t>乡道隔路为上二工村</w:t>
            </w:r>
            <w:r>
              <w:rPr>
                <w:rFonts w:hint="eastAsia" w:ascii="Times New Roman" w:hAnsi="Times New Roman"/>
                <w:color w:val="000000" w:themeColor="text1"/>
                <w:sz w:val="24"/>
                <w:szCs w:val="24"/>
                <w14:textFill>
                  <w14:solidFill>
                    <w14:schemeClr w14:val="tx1"/>
                  </w14:solidFill>
                </w14:textFill>
              </w:rPr>
              <w:t>，西侧</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南侧</w:t>
            </w:r>
            <w:r>
              <w:rPr>
                <w:rFonts w:hint="eastAsia" w:ascii="Times New Roman" w:hAnsi="Times New Roman"/>
                <w:color w:val="000000" w:themeColor="text1"/>
                <w:sz w:val="24"/>
                <w:szCs w:val="24"/>
                <w14:textFill>
                  <w14:solidFill>
                    <w14:schemeClr w14:val="tx1"/>
                  </w14:solidFill>
                </w14:textFill>
              </w:rPr>
              <w:t>为</w:t>
            </w:r>
            <w:r>
              <w:rPr>
                <w:rFonts w:hint="eastAsia"/>
                <w:color w:val="000000" w:themeColor="text1"/>
                <w:sz w:val="24"/>
                <w:szCs w:val="24"/>
                <w:lang w:val="en-US" w:eastAsia="zh-CN"/>
                <w14:textFill>
                  <w14:solidFill>
                    <w14:schemeClr w14:val="tx1"/>
                  </w14:solidFill>
                </w14:textFill>
              </w:rPr>
              <w:t>林带和葡萄地</w:t>
            </w:r>
            <w:r>
              <w:rPr>
                <w:rFonts w:hint="eastAsia" w:ascii="Times New Roman" w:hAnsi="Times New Roman"/>
                <w:color w:val="000000" w:themeColor="text1"/>
                <w:sz w:val="24"/>
                <w:szCs w:val="24"/>
                <w14:textFill>
                  <w14:solidFill>
                    <w14:schemeClr w14:val="tx1"/>
                  </w14:solidFill>
                </w14:textFill>
              </w:rPr>
              <w:t>，北侧</w:t>
            </w:r>
            <w:r>
              <w:rPr>
                <w:rFonts w:hint="eastAsia"/>
                <w:color w:val="000000" w:themeColor="text1"/>
                <w:sz w:val="24"/>
                <w:szCs w:val="24"/>
                <w:lang w:val="en-US" w:eastAsia="zh-CN"/>
                <w14:textFill>
                  <w14:solidFill>
                    <w14:schemeClr w14:val="tx1"/>
                  </w14:solidFill>
                </w14:textFill>
              </w:rPr>
              <w:t>隔路为上二工村</w:t>
            </w: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auto"/>
                <w:sz w:val="24"/>
                <w:szCs w:val="24"/>
              </w:rPr>
              <w:t>中心地理坐标为：</w:t>
            </w:r>
            <w:r>
              <w:rPr>
                <w:rFonts w:hint="eastAsia" w:ascii="Times New Roman" w:hAnsi="Times New Roman"/>
                <w:color w:val="000000" w:themeColor="text1"/>
                <w:sz w:val="24"/>
                <w:szCs w:val="24"/>
                <w14:textFill>
                  <w14:solidFill>
                    <w14:schemeClr w14:val="tx1"/>
                  </w14:solidFill>
                </w14:textFill>
              </w:rPr>
              <w:t>东经8</w:t>
            </w:r>
            <w:r>
              <w:rPr>
                <w:rFonts w:hint="eastAsia" w:ascii="Times New Roman" w:hAnsi="Times New Roman"/>
                <w:color w:val="000000" w:themeColor="text1"/>
                <w:sz w:val="24"/>
                <w:szCs w:val="24"/>
                <w:lang w:val="en-US" w:eastAsia="zh-CN"/>
                <w14:textFill>
                  <w14:solidFill>
                    <w14:schemeClr w14:val="tx1"/>
                  </w14:solidFill>
                </w14:textFill>
              </w:rPr>
              <w:t>6</w:t>
            </w:r>
            <w:r>
              <w:rPr>
                <w:rFonts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13</w:t>
            </w:r>
            <w:r>
              <w:rPr>
                <w:rFonts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36.13</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，北纬</w:t>
            </w:r>
            <w:r>
              <w:rPr>
                <w:rFonts w:hint="eastAsia"/>
                <w:color w:val="000000" w:themeColor="text1"/>
                <w:sz w:val="24"/>
                <w:szCs w:val="24"/>
                <w:lang w:val="en-US" w:eastAsia="zh-CN"/>
                <w14:textFill>
                  <w14:solidFill>
                    <w14:schemeClr w14:val="tx1"/>
                  </w14:solidFill>
                </w14:textFill>
              </w:rPr>
              <w:t>44</w:t>
            </w:r>
            <w:r>
              <w:rPr>
                <w:rFonts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16</w:t>
            </w:r>
            <w:r>
              <w:rPr>
                <w:rFonts w:ascii="Times New Roman" w:hAnsi="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43.72</w:t>
            </w:r>
            <w:r>
              <w:rPr>
                <w:rFonts w:ascii="Times New Roman" w:hAnsi="Times New Roman"/>
                <w:color w:val="000000" w:themeColor="text1"/>
                <w:sz w:val="24"/>
                <w:szCs w:val="24"/>
                <w14:textFill>
                  <w14:solidFill>
                    <w14:schemeClr w14:val="tx1"/>
                  </w14:solidFill>
                </w14:textFill>
              </w:rPr>
              <w:t>″</w:t>
            </w:r>
            <w:r>
              <w:rPr>
                <w:rFonts w:hint="eastAsia" w:ascii="Times New Roman" w:hAnsi="Times New Roman"/>
                <w:color w:val="auto"/>
                <w:sz w:val="24"/>
                <w:szCs w:val="24"/>
              </w:rPr>
              <w:t>。</w:t>
            </w:r>
            <w:r>
              <w:rPr>
                <w:rFonts w:hint="default" w:ascii="Times New Roman" w:hAnsi="Times New Roman" w:cs="Times New Roman"/>
                <w:sz w:val="24"/>
                <w:szCs w:val="24"/>
              </w:rPr>
              <w:t>项目区原为</w:t>
            </w:r>
            <w:r>
              <w:rPr>
                <w:rFonts w:hint="eastAsia" w:ascii="Times New Roman" w:hAnsi="Times New Roman" w:cs="Times New Roman"/>
                <w:sz w:val="24"/>
                <w:szCs w:val="24"/>
                <w:lang w:val="en-US" w:eastAsia="zh-CN"/>
              </w:rPr>
              <w:t>空地</w:t>
            </w:r>
            <w:r>
              <w:rPr>
                <w:rFonts w:hint="default" w:ascii="Times New Roman" w:hAnsi="Times New Roman" w:cs="Times New Roman"/>
                <w:sz w:val="24"/>
                <w:szCs w:val="24"/>
              </w:rPr>
              <w:t>，无需拆除建筑。</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玛纳斯县中医医院院于2013年编制完成了《玛纳斯县中医医院标准化建设项目环境影响报告书》，原昌吉回族自治州环保局以“昌州环评</w:t>
            </w:r>
            <w:r>
              <w:rPr>
                <w:rFonts w:hint="eastAsia"/>
                <w:b w:val="0"/>
                <w:bCs w:val="0"/>
                <w:color w:val="000000" w:themeColor="text1"/>
                <w:sz w:val="24"/>
                <w14:textFill>
                  <w14:solidFill>
                    <w14:schemeClr w14:val="tx1"/>
                  </w14:solidFill>
                </w14:textFill>
              </w:rPr>
              <w:t>〔</w:t>
            </w:r>
            <w:r>
              <w:rPr>
                <w:b w:val="0"/>
                <w:bCs w:val="0"/>
                <w:color w:val="000000" w:themeColor="text1"/>
                <w:sz w:val="24"/>
                <w14:textFill>
                  <w14:solidFill>
                    <w14:schemeClr w14:val="tx1"/>
                  </w14:solidFill>
                </w14:textFill>
              </w:rPr>
              <w:t>20</w:t>
            </w:r>
            <w:r>
              <w:rPr>
                <w:rFonts w:hint="eastAsia"/>
                <w:b w:val="0"/>
                <w:bCs w:val="0"/>
                <w:color w:val="000000" w:themeColor="text1"/>
                <w:sz w:val="24"/>
                <w:lang w:val="en-US" w:eastAsia="zh-CN"/>
                <w14:textFill>
                  <w14:solidFill>
                    <w14:schemeClr w14:val="tx1"/>
                  </w14:solidFill>
                </w14:textFill>
              </w:rPr>
              <w:t>13</w:t>
            </w:r>
            <w:r>
              <w:rPr>
                <w:rFonts w:hint="eastAsia"/>
                <w:b w:val="0"/>
                <w:bCs w:val="0"/>
                <w:color w:val="000000" w:themeColor="text1"/>
                <w:sz w:val="24"/>
                <w14:textFill>
                  <w14:solidFill>
                    <w14:schemeClr w14:val="tx1"/>
                  </w14:solidFill>
                </w14:textFill>
              </w:rPr>
              <w:t>〕</w:t>
            </w:r>
            <w:r>
              <w:rPr>
                <w:rFonts w:hint="eastAsia"/>
                <w:b w:val="0"/>
                <w:bCs w:val="0"/>
                <w:color w:val="000000" w:themeColor="text1"/>
                <w:sz w:val="24"/>
                <w:lang w:val="en-US" w:eastAsia="zh-CN"/>
                <w14:textFill>
                  <w14:solidFill>
                    <w14:schemeClr w14:val="tx1"/>
                  </w14:solidFill>
                </w14:textFill>
              </w:rPr>
              <w:t>48</w:t>
            </w:r>
            <w:r>
              <w:rPr>
                <w:b w:val="0"/>
                <w:bCs w:val="0"/>
                <w:color w:val="000000" w:themeColor="text1"/>
                <w:sz w:val="24"/>
                <w14:textFill>
                  <w14:solidFill>
                    <w14:schemeClr w14:val="tx1"/>
                  </w14:solidFill>
                </w14:textFill>
              </w:rPr>
              <w:t>号</w:t>
            </w:r>
            <w:r>
              <w:rPr>
                <w:rFonts w:hint="eastAsia" w:cs="Times New Roman"/>
                <w:color w:val="000000" w:themeColor="text1"/>
                <w:sz w:val="24"/>
                <w:szCs w:val="24"/>
                <w:lang w:val="en-US" w:eastAsia="zh-CN"/>
                <w14:textFill>
                  <w14:solidFill>
                    <w14:schemeClr w14:val="tx1"/>
                  </w14:solidFill>
                </w14:textFill>
              </w:rPr>
              <w:t>”对该项目进行批复；因项目名称、建筑面积及选址发生变化（新的选址位置位于原址西北侧约2.5km处）导致与原环评批复内容不符，其建筑内容不变；玛纳斯县中医医院院于2016年4月委托新疆天地源环保科技发展有限公司编制完成了《玛纳斯县中医医院标准化建设项目环境影响报告书变更说明》，（项目名称变更为“玛纳斯县中医医院综合楼建设项目”）；原昌吉回族自治州环保局以“昌州环函</w:t>
            </w:r>
            <w:r>
              <w:rPr>
                <w:rFonts w:hint="eastAsia"/>
                <w:b w:val="0"/>
                <w:bCs w:val="0"/>
                <w:color w:val="000000" w:themeColor="text1"/>
                <w:sz w:val="24"/>
                <w14:textFill>
                  <w14:solidFill>
                    <w14:schemeClr w14:val="tx1"/>
                  </w14:solidFill>
                </w14:textFill>
              </w:rPr>
              <w:t>〔</w:t>
            </w:r>
            <w:r>
              <w:rPr>
                <w:b w:val="0"/>
                <w:bCs w:val="0"/>
                <w:color w:val="000000" w:themeColor="text1"/>
                <w:sz w:val="24"/>
                <w14:textFill>
                  <w14:solidFill>
                    <w14:schemeClr w14:val="tx1"/>
                  </w14:solidFill>
                </w14:textFill>
              </w:rPr>
              <w:t>20</w:t>
            </w:r>
            <w:r>
              <w:rPr>
                <w:rFonts w:hint="eastAsia"/>
                <w:b w:val="0"/>
                <w:bCs w:val="0"/>
                <w:color w:val="000000" w:themeColor="text1"/>
                <w:sz w:val="24"/>
                <w:lang w:val="en-US" w:eastAsia="zh-CN"/>
                <w14:textFill>
                  <w14:solidFill>
                    <w14:schemeClr w14:val="tx1"/>
                  </w14:solidFill>
                </w14:textFill>
              </w:rPr>
              <w:t>16</w:t>
            </w:r>
            <w:r>
              <w:rPr>
                <w:rFonts w:hint="eastAsia"/>
                <w:b w:val="0"/>
                <w:bCs w:val="0"/>
                <w:color w:val="000000" w:themeColor="text1"/>
                <w:sz w:val="24"/>
                <w14:textFill>
                  <w14:solidFill>
                    <w14:schemeClr w14:val="tx1"/>
                  </w14:solidFill>
                </w14:textFill>
              </w:rPr>
              <w:t>〕</w:t>
            </w:r>
            <w:r>
              <w:rPr>
                <w:rFonts w:hint="eastAsia"/>
                <w:b w:val="0"/>
                <w:bCs w:val="0"/>
                <w:color w:val="000000" w:themeColor="text1"/>
                <w:sz w:val="24"/>
                <w:lang w:val="en-US" w:eastAsia="zh-CN"/>
                <w14:textFill>
                  <w14:solidFill>
                    <w14:schemeClr w14:val="tx1"/>
                  </w14:solidFill>
                </w14:textFill>
              </w:rPr>
              <w:t>125</w:t>
            </w:r>
            <w:r>
              <w:rPr>
                <w:b w:val="0"/>
                <w:bCs w:val="0"/>
                <w:color w:val="000000" w:themeColor="text1"/>
                <w:sz w:val="24"/>
                <w14:textFill>
                  <w14:solidFill>
                    <w14:schemeClr w14:val="tx1"/>
                  </w14:solidFill>
                </w14:textFill>
              </w:rPr>
              <w:t>号</w:t>
            </w:r>
            <w:r>
              <w:rPr>
                <w:rFonts w:hint="eastAsia" w:cs="Times New Roman"/>
                <w:color w:val="000000" w:themeColor="text1"/>
                <w:sz w:val="24"/>
                <w:szCs w:val="24"/>
                <w:lang w:val="en-US" w:eastAsia="zh-CN"/>
                <w14:textFill>
                  <w14:solidFill>
                    <w14:schemeClr w14:val="tx1"/>
                  </w14:solidFill>
                </w14:textFill>
              </w:rPr>
              <w:t>”对该项目进行了批复。</w:t>
            </w:r>
          </w:p>
          <w:p>
            <w:pPr>
              <w:keepNext w:val="0"/>
              <w:keepLines w:val="0"/>
              <w:pageBreakBefore w:val="0"/>
              <w:widowControl/>
              <w:tabs>
                <w:tab w:val="left" w:pos="-1800"/>
              </w:tabs>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2020年3月23日，新疆天地鉴职业环境检测评价有限公司对《玛纳斯县中医医院综合楼建设项目》主体工程及环保设施的建设情况进行了竣工环境保护验收工作，并通过了竣工环境保护验收。</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2</w:t>
            </w:r>
            <w:r>
              <w:rPr>
                <w:rFonts w:hint="default" w:ascii="Times New Roman" w:hAnsi="Times New Roman" w:cs="Times New Roman"/>
                <w:sz w:val="24"/>
                <w:szCs w:val="24"/>
              </w:rPr>
              <w:t>）</w:t>
            </w:r>
            <w:r>
              <w:rPr>
                <w:rFonts w:hint="eastAsia" w:cs="Times New Roman"/>
                <w:sz w:val="24"/>
                <w:szCs w:val="24"/>
                <w:lang w:val="en-US" w:eastAsia="zh-CN"/>
              </w:rPr>
              <w:t>中医医院</w:t>
            </w:r>
            <w:r>
              <w:rPr>
                <w:rFonts w:hint="default" w:ascii="Times New Roman" w:hAnsi="Times New Roman" w:cs="Times New Roman"/>
                <w:sz w:val="24"/>
                <w:szCs w:val="24"/>
              </w:rPr>
              <w:t>现有工程主要组成部分</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000000"/>
                <w:sz w:val="24"/>
                <w:szCs w:val="24"/>
              </w:rPr>
              <w:t>具体建设内容详见表</w:t>
            </w:r>
            <w:r>
              <w:rPr>
                <w:rFonts w:hint="eastAsia" w:cs="Times New Roman"/>
                <w:color w:val="auto"/>
                <w:sz w:val="24"/>
                <w:szCs w:val="24"/>
                <w:lang w:val="en-US" w:eastAsia="zh-CN"/>
              </w:rPr>
              <w:t>2-7</w:t>
            </w:r>
            <w:r>
              <w:rPr>
                <w:rFonts w:hint="default" w:ascii="Times New Roman" w:hAnsi="Times New Roman" w:cs="Times New Roman"/>
                <w:color w:val="auto"/>
                <w:sz w:val="24"/>
                <w:szCs w:val="24"/>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kern w:val="0"/>
                <w:sz w:val="24"/>
                <w:szCs w:val="24"/>
              </w:rPr>
            </w:pPr>
            <w:r>
              <w:rPr>
                <w:rFonts w:hint="default" w:ascii="Times New Roman" w:hAnsi="Times New Roman" w:eastAsia="黑体" w:cs="Times New Roman"/>
                <w:b w:val="0"/>
                <w:bCs/>
                <w:snapToGrid w:val="0"/>
                <w:color w:val="auto"/>
                <w:kern w:val="0"/>
                <w:sz w:val="24"/>
                <w:szCs w:val="24"/>
              </w:rPr>
              <w:t>表</w:t>
            </w:r>
            <w:r>
              <w:rPr>
                <w:rFonts w:hint="eastAsia" w:eastAsia="黑体" w:cs="Times New Roman"/>
                <w:b w:val="0"/>
                <w:bCs/>
                <w:snapToGrid w:val="0"/>
                <w:color w:val="auto"/>
                <w:kern w:val="0"/>
                <w:sz w:val="24"/>
                <w:szCs w:val="24"/>
                <w:lang w:val="en-US" w:eastAsia="zh-CN"/>
              </w:rPr>
              <w:t>2-7</w:t>
            </w:r>
            <w:r>
              <w:rPr>
                <w:rFonts w:hint="default" w:ascii="Times New Roman" w:hAnsi="Times New Roman" w:eastAsia="黑体" w:cs="Times New Roman"/>
                <w:b w:val="0"/>
                <w:bCs/>
                <w:snapToGrid w:val="0"/>
                <w:kern w:val="0"/>
                <w:sz w:val="24"/>
                <w:szCs w:val="24"/>
              </w:rPr>
              <w:t xml:space="preserve">    主要建设内容一览表</w:t>
            </w:r>
          </w:p>
          <w:tbl>
            <w:tblPr>
              <w:tblStyle w:val="28"/>
              <w:tblW w:w="81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9"/>
              <w:gridCol w:w="713"/>
              <w:gridCol w:w="5782"/>
              <w:gridCol w:w="11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39" w:type="dxa"/>
                  <w:shd w:val="clear" w:color="auto" w:fill="FFFFFF"/>
                  <w:vAlign w:val="center"/>
                </w:tcPr>
                <w:p>
                  <w:pPr>
                    <w:widowControl/>
                    <w:ind w:left="-105" w:leftChars="-50" w:right="-105" w:rightChars="-50"/>
                    <w:jc w:val="center"/>
                    <w:rPr>
                      <w:rFonts w:hint="default" w:ascii="Times New Roman" w:hAnsi="Times New Roman" w:cs="Times New Roman"/>
                      <w:bCs/>
                      <w:kern w:val="0"/>
                      <w:sz w:val="21"/>
                      <w:szCs w:val="21"/>
                    </w:rPr>
                  </w:pPr>
                  <w:r>
                    <w:rPr>
                      <w:rFonts w:hint="default" w:ascii="Times New Roman" w:hAnsi="Times New Roman" w:cs="Times New Roman"/>
                      <w:bCs/>
                      <w:kern w:val="0"/>
                      <w:sz w:val="21"/>
                      <w:szCs w:val="21"/>
                    </w:rPr>
                    <w:t>工程</w:t>
                  </w:r>
                </w:p>
                <w:p>
                  <w:pPr>
                    <w:widowControl/>
                    <w:ind w:left="-105" w:leftChars="-50" w:right="-105" w:rightChars="-50"/>
                    <w:jc w:val="center"/>
                    <w:rPr>
                      <w:rFonts w:hint="default" w:ascii="Times New Roman" w:hAnsi="Times New Roman" w:cs="Times New Roman"/>
                      <w:bCs/>
                      <w:kern w:val="0"/>
                      <w:sz w:val="21"/>
                      <w:szCs w:val="21"/>
                    </w:rPr>
                  </w:pPr>
                  <w:r>
                    <w:rPr>
                      <w:rFonts w:hint="default" w:ascii="Times New Roman" w:hAnsi="Times New Roman" w:cs="Times New Roman"/>
                      <w:bCs/>
                      <w:kern w:val="0"/>
                      <w:sz w:val="21"/>
                      <w:szCs w:val="21"/>
                    </w:rPr>
                    <w:t>类别</w:t>
                  </w: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bCs/>
                      <w:kern w:val="0"/>
                      <w:sz w:val="21"/>
                      <w:szCs w:val="21"/>
                    </w:rPr>
                  </w:pPr>
                  <w:r>
                    <w:rPr>
                      <w:rFonts w:hint="default" w:ascii="Times New Roman" w:hAnsi="Times New Roman" w:cs="Times New Roman"/>
                      <w:bCs/>
                      <w:kern w:val="0"/>
                      <w:sz w:val="21"/>
                      <w:szCs w:val="21"/>
                    </w:rPr>
                    <w:t>项目</w:t>
                  </w:r>
                </w:p>
                <w:p>
                  <w:pPr>
                    <w:widowControl/>
                    <w:ind w:left="-105" w:leftChars="-50" w:right="-105" w:rightChars="-50"/>
                    <w:jc w:val="center"/>
                    <w:rPr>
                      <w:rFonts w:hint="default" w:ascii="Times New Roman" w:hAnsi="Times New Roman" w:cs="Times New Roman"/>
                      <w:bCs/>
                      <w:kern w:val="0"/>
                      <w:sz w:val="21"/>
                      <w:szCs w:val="21"/>
                    </w:rPr>
                  </w:pPr>
                  <w:r>
                    <w:rPr>
                      <w:rFonts w:hint="default" w:ascii="Times New Roman" w:hAnsi="Times New Roman" w:cs="Times New Roman"/>
                      <w:bCs/>
                      <w:kern w:val="0"/>
                      <w:sz w:val="21"/>
                      <w:szCs w:val="21"/>
                    </w:rPr>
                    <w:t>名称</w:t>
                  </w:r>
                </w:p>
              </w:tc>
              <w:tc>
                <w:tcPr>
                  <w:tcW w:w="5782" w:type="dxa"/>
                  <w:shd w:val="clear" w:color="auto" w:fill="FFFFFF"/>
                  <w:vAlign w:val="center"/>
                </w:tcPr>
                <w:p>
                  <w:pPr>
                    <w:widowControl/>
                    <w:ind w:left="-105" w:leftChars="-50" w:right="-105" w:rightChars="-50"/>
                    <w:jc w:val="center"/>
                    <w:rPr>
                      <w:rFonts w:hint="default" w:ascii="Times New Roman" w:hAnsi="Times New Roman" w:cs="Times New Roman"/>
                      <w:bCs/>
                      <w:kern w:val="0"/>
                      <w:sz w:val="21"/>
                      <w:szCs w:val="21"/>
                    </w:rPr>
                  </w:pPr>
                  <w:r>
                    <w:rPr>
                      <w:rFonts w:hint="default" w:ascii="Times New Roman" w:hAnsi="Times New Roman" w:cs="Times New Roman"/>
                      <w:bCs/>
                      <w:kern w:val="0"/>
                      <w:sz w:val="21"/>
                      <w:szCs w:val="21"/>
                    </w:rPr>
                    <w:t>工程建设内容</w:t>
                  </w:r>
                </w:p>
              </w:tc>
              <w:tc>
                <w:tcPr>
                  <w:tcW w:w="1100" w:type="dxa"/>
                  <w:shd w:val="clear" w:color="auto" w:fill="FFFFFF"/>
                  <w:vAlign w:val="center"/>
                </w:tcPr>
                <w:p>
                  <w:pPr>
                    <w:widowControl/>
                    <w:ind w:left="-105" w:leftChars="-50" w:right="-105" w:rightChars="-50"/>
                    <w:jc w:val="center"/>
                    <w:rPr>
                      <w:rFonts w:hint="default" w:ascii="Times New Roman" w:hAnsi="Times New Roman" w:cs="Times New Roman"/>
                      <w:bCs/>
                      <w:kern w:val="0"/>
                      <w:szCs w:val="18"/>
                    </w:rPr>
                  </w:pPr>
                  <w:r>
                    <w:rPr>
                      <w:rFonts w:hint="default" w:ascii="Times New Roman" w:hAnsi="Times New Roman" w:cs="Times New Roman"/>
                      <w:bCs/>
                      <w:kern w:val="0"/>
                      <w:szCs w:val="18"/>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shd w:val="clear" w:color="auto" w:fill="FFFFFF"/>
                  <w:vAlign w:val="center"/>
                </w:tcPr>
                <w:p>
                  <w:pPr>
                    <w:widowControl/>
                    <w:ind w:left="-105" w:leftChars="-50" w:right="-105" w:rightChars="-50"/>
                    <w:jc w:val="both"/>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主体</w:t>
                  </w:r>
                </w:p>
                <w:p>
                  <w:pPr>
                    <w:widowControl/>
                    <w:ind w:left="-105" w:leftChars="-50" w:right="-105" w:rightChars="-50"/>
                    <w:jc w:val="both"/>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工程</w:t>
                  </w:r>
                </w:p>
              </w:tc>
              <w:tc>
                <w:tcPr>
                  <w:tcW w:w="713" w:type="dxa"/>
                  <w:shd w:val="clear" w:color="auto" w:fill="FFFFFF"/>
                  <w:vAlign w:val="center"/>
                </w:tcPr>
                <w:p>
                  <w:pPr>
                    <w:widowControl/>
                    <w:ind w:left="-57" w:right="-57"/>
                    <w:jc w:val="center"/>
                    <w:rPr>
                      <w:rFonts w:hint="default" w:ascii="Times New Roman" w:hAnsi="Times New Roman" w:eastAsia="宋体" w:cs="Times New Roman"/>
                      <w:color w:val="000000"/>
                      <w:kern w:val="0"/>
                      <w:sz w:val="21"/>
                      <w:szCs w:val="21"/>
                      <w:lang w:val="en-US" w:eastAsia="zh-CN"/>
                    </w:rPr>
                  </w:pPr>
                  <w:r>
                    <w:rPr>
                      <w:rFonts w:hint="default" w:ascii="Times New Roman" w:hAnsi="Times New Roman" w:cs="Times New Roman"/>
                      <w:color w:val="000000"/>
                      <w:sz w:val="21"/>
                      <w:szCs w:val="21"/>
                    </w:rPr>
                    <w:t>门诊楼</w:t>
                  </w:r>
                  <w:r>
                    <w:rPr>
                      <w:rFonts w:hint="eastAsia" w:ascii="Times New Roman" w:hAnsi="Times New Roman" w:cs="Times New Roman"/>
                      <w:color w:val="000000"/>
                      <w:sz w:val="21"/>
                      <w:szCs w:val="21"/>
                      <w:lang w:eastAsia="zh-CN"/>
                    </w:rPr>
                    <w:t>、</w:t>
                  </w:r>
                  <w:r>
                    <w:rPr>
                      <w:rFonts w:hint="eastAsia" w:ascii="Times New Roman" w:hAnsi="Times New Roman" w:cs="Times New Roman"/>
                      <w:color w:val="000000"/>
                      <w:sz w:val="21"/>
                      <w:szCs w:val="21"/>
                      <w:lang w:val="en-US" w:eastAsia="zh-CN"/>
                    </w:rPr>
                    <w:t>住院部</w:t>
                  </w:r>
                </w:p>
              </w:tc>
              <w:tc>
                <w:tcPr>
                  <w:tcW w:w="5782" w:type="dxa"/>
                  <w:shd w:val="clear" w:color="auto" w:fill="FFFFFF"/>
                  <w:vAlign w:val="center"/>
                </w:tcPr>
                <w:p>
                  <w:pPr>
                    <w:widowControl/>
                    <w:ind w:left="-50" w:right="-50"/>
                    <w:rPr>
                      <w:rFonts w:hint="default" w:ascii="Times New Roman" w:hAnsi="Times New Roman" w:cs="Times New Roman"/>
                      <w:color w:val="000000"/>
                      <w:kern w:val="0"/>
                      <w:sz w:val="21"/>
                      <w:szCs w:val="21"/>
                    </w:rPr>
                  </w:pPr>
                  <w:r>
                    <w:rPr>
                      <w:rFonts w:hint="default" w:ascii="Times New Roman" w:hAnsi="Times New Roman" w:cs="Times New Roman"/>
                      <w:color w:val="000000"/>
                      <w:kern w:val="0"/>
                      <w:sz w:val="21"/>
                      <w:szCs w:val="21"/>
                    </w:rPr>
                    <w:t>门诊楼建筑面积为</w:t>
                  </w:r>
                  <w:r>
                    <w:rPr>
                      <w:rFonts w:hint="eastAsia" w:cs="Times New Roman"/>
                      <w:color w:val="000000"/>
                      <w:kern w:val="0"/>
                      <w:sz w:val="21"/>
                      <w:szCs w:val="21"/>
                      <w:lang w:val="en-US" w:eastAsia="zh-CN"/>
                    </w:rPr>
                    <w:t>6193.78</w:t>
                  </w:r>
                  <w:r>
                    <w:rPr>
                      <w:rFonts w:hint="eastAsia" w:cs="Times New Roman"/>
                      <w:color w:val="000000"/>
                      <w:kern w:val="0"/>
                      <w:sz w:val="24"/>
                      <w:szCs w:val="24"/>
                      <w:lang w:val="en-US" w:eastAsia="zh-CN"/>
                    </w:rPr>
                    <w:t>m</w:t>
                  </w:r>
                  <w:r>
                    <w:rPr>
                      <w:rFonts w:hint="eastAsia" w:cs="Times New Roman"/>
                      <w:color w:val="000000"/>
                      <w:kern w:val="0"/>
                      <w:sz w:val="24"/>
                      <w:szCs w:val="24"/>
                      <w:vertAlign w:val="superscript"/>
                      <w:lang w:val="en-US" w:eastAsia="zh-CN"/>
                    </w:rPr>
                    <w:t>2</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地下1层，地上4层</w:t>
                  </w:r>
                  <w:r>
                    <w:rPr>
                      <w:rFonts w:hint="eastAsia" w:cs="Times New Roman"/>
                      <w:color w:val="000000"/>
                      <w:kern w:val="0"/>
                      <w:sz w:val="21"/>
                      <w:szCs w:val="21"/>
                      <w:lang w:eastAsia="zh-CN"/>
                    </w:rPr>
                    <w:t>；</w:t>
                  </w:r>
                  <w:r>
                    <w:rPr>
                      <w:rFonts w:hint="default" w:ascii="Times New Roman" w:hAnsi="Times New Roman" w:cs="Times New Roman"/>
                      <w:color w:val="000000"/>
                      <w:kern w:val="0"/>
                      <w:sz w:val="21"/>
                      <w:szCs w:val="21"/>
                    </w:rPr>
                    <w:t>住院部建筑面积</w:t>
                  </w:r>
                  <w:r>
                    <w:rPr>
                      <w:rFonts w:hint="eastAsia" w:cs="Times New Roman"/>
                      <w:color w:val="000000"/>
                      <w:kern w:val="0"/>
                      <w:sz w:val="21"/>
                      <w:szCs w:val="21"/>
                      <w:lang w:val="en-US" w:eastAsia="zh-CN"/>
                    </w:rPr>
                    <w:t>4602.43</w:t>
                  </w:r>
                  <w:r>
                    <w:rPr>
                      <w:rFonts w:hint="eastAsia" w:cs="Times New Roman"/>
                      <w:color w:val="000000"/>
                      <w:kern w:val="0"/>
                      <w:sz w:val="24"/>
                      <w:szCs w:val="24"/>
                      <w:lang w:val="en-US" w:eastAsia="zh-CN"/>
                    </w:rPr>
                    <w:t>m</w:t>
                  </w:r>
                  <w:r>
                    <w:rPr>
                      <w:rFonts w:hint="eastAsia" w:cs="Times New Roman"/>
                      <w:color w:val="000000"/>
                      <w:kern w:val="0"/>
                      <w:sz w:val="24"/>
                      <w:szCs w:val="24"/>
                      <w:vertAlign w:val="superscript"/>
                      <w:lang w:val="en-US" w:eastAsia="zh-CN"/>
                    </w:rPr>
                    <w:t>2</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地下1层，地上4层</w:t>
                  </w:r>
                  <w:r>
                    <w:rPr>
                      <w:rFonts w:hint="eastAsia" w:cs="Times New Roman"/>
                      <w:color w:val="000000"/>
                      <w:kern w:val="0"/>
                      <w:sz w:val="21"/>
                      <w:szCs w:val="21"/>
                      <w:lang w:eastAsia="zh-CN"/>
                    </w:rPr>
                    <w:t>；</w:t>
                  </w:r>
                  <w:r>
                    <w:rPr>
                      <w:rFonts w:hint="default" w:ascii="Times New Roman" w:hAnsi="Times New Roman" w:cs="Times New Roman"/>
                      <w:color w:val="000000"/>
                      <w:kern w:val="0"/>
                      <w:sz w:val="21"/>
                      <w:szCs w:val="21"/>
                    </w:rPr>
                    <w:t>医院内设置有</w:t>
                  </w:r>
                  <w:r>
                    <w:rPr>
                      <w:rFonts w:hint="eastAsia" w:ascii="Times New Roman" w:hAnsi="Times New Roman" w:cs="Times New Roman"/>
                      <w:color w:val="000000"/>
                      <w:kern w:val="0"/>
                      <w:sz w:val="21"/>
                      <w:szCs w:val="21"/>
                      <w:lang w:eastAsia="zh-CN"/>
                    </w:rPr>
                    <w:t>：</w:t>
                  </w:r>
                  <w:r>
                    <w:rPr>
                      <w:rFonts w:hint="default" w:ascii="Times New Roman" w:hAnsi="Times New Roman" w:cs="Times New Roman"/>
                      <w:color w:val="000000"/>
                      <w:kern w:val="0"/>
                      <w:sz w:val="21"/>
                      <w:szCs w:val="21"/>
                    </w:rPr>
                    <w:t>门诊部、住院部、药房、抢救室、注射室、化验室、手术室、放射科、B超室、心电图室、公共卫生科、妇幼保健科计划免疫科、中医理疗科室等。编制床位数</w:t>
                  </w:r>
                  <w:r>
                    <w:rPr>
                      <w:rFonts w:hint="eastAsia" w:cs="Times New Roman"/>
                      <w:color w:val="000000"/>
                      <w:kern w:val="0"/>
                      <w:sz w:val="21"/>
                      <w:szCs w:val="21"/>
                      <w:lang w:val="en-US" w:eastAsia="zh-CN"/>
                    </w:rPr>
                    <w:t>99</w:t>
                  </w:r>
                  <w:r>
                    <w:rPr>
                      <w:rFonts w:hint="default" w:ascii="Times New Roman" w:hAnsi="Times New Roman" w:cs="Times New Roman"/>
                      <w:color w:val="000000"/>
                      <w:kern w:val="0"/>
                      <w:sz w:val="21"/>
                      <w:szCs w:val="21"/>
                    </w:rPr>
                    <w:t>张</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实际开放150张</w:t>
                  </w:r>
                  <w:r>
                    <w:rPr>
                      <w:rFonts w:hint="default" w:ascii="Times New Roman" w:hAnsi="Times New Roman" w:cs="Times New Roman"/>
                      <w:color w:val="000000"/>
                      <w:kern w:val="0"/>
                      <w:sz w:val="21"/>
                      <w:szCs w:val="21"/>
                    </w:rPr>
                    <w:t>。</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kern w:val="0"/>
                      <w:szCs w:val="18"/>
                      <w:vertAlign w:val="superscript"/>
                      <w:lang w:eastAsia="zh-CN"/>
                    </w:rPr>
                  </w:pPr>
                  <w:r>
                    <w:rPr>
                      <w:rFonts w:hint="eastAsia" w:cs="Times New Roman"/>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539" w:type="dxa"/>
                  <w:shd w:val="clear" w:color="auto" w:fill="FFFFFF"/>
                  <w:vAlign w:val="center"/>
                </w:tcPr>
                <w:p>
                  <w:pPr>
                    <w:widowControl/>
                    <w:ind w:left="-105" w:leftChars="-50" w:right="-105" w:rightChars="-50"/>
                    <w:jc w:val="both"/>
                    <w:rPr>
                      <w:rFonts w:hint="eastAsia" w:ascii="Times New Roman" w:hAnsi="Times New Roman" w:eastAsia="宋体" w:cs="Times New Roman"/>
                      <w:color w:val="000000"/>
                      <w:kern w:val="0"/>
                      <w:sz w:val="21"/>
                      <w:szCs w:val="21"/>
                      <w:lang w:val="en-US" w:eastAsia="zh-CN"/>
                    </w:rPr>
                  </w:pPr>
                  <w:r>
                    <w:rPr>
                      <w:rFonts w:hint="eastAsia" w:cs="Times New Roman"/>
                      <w:color w:val="000000"/>
                      <w:kern w:val="0"/>
                      <w:sz w:val="21"/>
                      <w:szCs w:val="21"/>
                      <w:lang w:val="en-US" w:eastAsia="zh-CN"/>
                    </w:rPr>
                    <w:t>辅助工程</w:t>
                  </w:r>
                </w:p>
              </w:tc>
              <w:tc>
                <w:tcPr>
                  <w:tcW w:w="713" w:type="dxa"/>
                  <w:shd w:val="clear" w:color="auto" w:fill="FFFFFF"/>
                  <w:vAlign w:val="center"/>
                </w:tcPr>
                <w:p>
                  <w:pPr>
                    <w:widowControl/>
                    <w:ind w:left="-57" w:right="-57"/>
                    <w:jc w:val="center"/>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附属楼</w:t>
                  </w:r>
                </w:p>
              </w:tc>
              <w:tc>
                <w:tcPr>
                  <w:tcW w:w="5782" w:type="dxa"/>
                  <w:shd w:val="clear" w:color="auto" w:fill="FFFFFF"/>
                  <w:vAlign w:val="center"/>
                </w:tcPr>
                <w:p>
                  <w:pPr>
                    <w:widowControl/>
                    <w:ind w:left="-50" w:right="-50"/>
                    <w:rPr>
                      <w:rFonts w:hint="default" w:ascii="Times New Roman" w:hAnsi="Times New Roman" w:eastAsia="宋体" w:cs="Times New Roman"/>
                      <w:color w:val="000000"/>
                      <w:kern w:val="0"/>
                      <w:sz w:val="21"/>
                      <w:szCs w:val="21"/>
                      <w:lang w:val="en-US" w:eastAsia="zh-CN"/>
                    </w:rPr>
                  </w:pPr>
                  <w:r>
                    <w:rPr>
                      <w:rFonts w:hint="eastAsia" w:cs="Times New Roman"/>
                      <w:color w:val="000000"/>
                      <w:kern w:val="0"/>
                      <w:sz w:val="21"/>
                      <w:szCs w:val="21"/>
                      <w:lang w:val="en-US" w:eastAsia="zh-CN"/>
                    </w:rPr>
                    <w:t>附属楼建筑</w:t>
                  </w:r>
                  <w:r>
                    <w:rPr>
                      <w:rFonts w:hint="default" w:ascii="Times New Roman" w:hAnsi="Times New Roman" w:cs="Times New Roman"/>
                      <w:color w:val="000000"/>
                      <w:kern w:val="0"/>
                      <w:sz w:val="21"/>
                      <w:szCs w:val="21"/>
                    </w:rPr>
                    <w:t>为</w:t>
                  </w:r>
                  <w:r>
                    <w:rPr>
                      <w:rFonts w:hint="eastAsia" w:cs="Times New Roman"/>
                      <w:color w:val="000000"/>
                      <w:kern w:val="0"/>
                      <w:sz w:val="21"/>
                      <w:szCs w:val="21"/>
                      <w:lang w:val="en-US" w:eastAsia="zh-CN"/>
                    </w:rPr>
                    <w:t>1257</w:t>
                  </w:r>
                  <w:r>
                    <w:rPr>
                      <w:rFonts w:hint="eastAsia" w:cs="Times New Roman"/>
                      <w:color w:val="000000"/>
                      <w:kern w:val="0"/>
                      <w:sz w:val="24"/>
                      <w:szCs w:val="24"/>
                      <w:lang w:val="en-US" w:eastAsia="zh-CN"/>
                    </w:rPr>
                    <w:t>m</w:t>
                  </w:r>
                  <w:r>
                    <w:rPr>
                      <w:rFonts w:hint="eastAsia" w:cs="Times New Roman"/>
                      <w:color w:val="000000"/>
                      <w:kern w:val="0"/>
                      <w:sz w:val="24"/>
                      <w:szCs w:val="24"/>
                      <w:vertAlign w:val="superscript"/>
                      <w:lang w:val="en-US" w:eastAsia="zh-CN"/>
                    </w:rPr>
                    <w:t>2</w:t>
                  </w:r>
                  <w:r>
                    <w:rPr>
                      <w:rFonts w:hint="eastAsia" w:cs="Times New Roman"/>
                      <w:color w:val="000000"/>
                      <w:kern w:val="0"/>
                      <w:sz w:val="21"/>
                      <w:szCs w:val="21"/>
                      <w:lang w:eastAsia="zh-CN"/>
                    </w:rPr>
                    <w:t>，</w:t>
                  </w:r>
                  <w:r>
                    <w:rPr>
                      <w:rFonts w:hint="eastAsia" w:cs="Times New Roman"/>
                      <w:color w:val="000000"/>
                      <w:kern w:val="0"/>
                      <w:sz w:val="21"/>
                      <w:szCs w:val="21"/>
                      <w:lang w:val="en-US" w:eastAsia="zh-CN"/>
                    </w:rPr>
                    <w:t>地下1层，地上2层</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kern w:val="0"/>
                      <w:szCs w:val="18"/>
                      <w:vertAlign w:val="superscript"/>
                      <w:lang w:val="en-US" w:eastAsia="zh-CN"/>
                    </w:rPr>
                  </w:pPr>
                  <w:r>
                    <w:rPr>
                      <w:rFonts w:hint="eastAsia" w:cs="Times New Roman"/>
                      <w:kern w:val="0"/>
                      <w:szCs w:val="18"/>
                      <w:vertAlign w:val="superscript"/>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vMerge w:val="restart"/>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公用</w:t>
                  </w:r>
                </w:p>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工程</w:t>
                  </w: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供水</w:t>
                  </w:r>
                </w:p>
              </w:tc>
              <w:tc>
                <w:tcPr>
                  <w:tcW w:w="5782" w:type="dxa"/>
                  <w:shd w:val="clear" w:color="auto" w:fill="FFFFFF"/>
                  <w:vAlign w:val="center"/>
                </w:tcPr>
                <w:p>
                  <w:pPr>
                    <w:widowControl/>
                    <w:ind w:left="-105" w:leftChars="-50" w:right="-105" w:rightChars="-50"/>
                    <w:jc w:val="left"/>
                    <w:rPr>
                      <w:rFonts w:hint="default" w:ascii="Times New Roman" w:hAnsi="Times New Roman" w:cs="Times New Roman"/>
                      <w:kern w:val="0"/>
                      <w:sz w:val="21"/>
                      <w:szCs w:val="21"/>
                    </w:rPr>
                  </w:pPr>
                  <w:r>
                    <w:rPr>
                      <w:rFonts w:hint="eastAsia" w:cs="Times New Roman"/>
                      <w:kern w:val="0"/>
                      <w:sz w:val="21"/>
                      <w:szCs w:val="21"/>
                      <w:lang w:val="en-US" w:eastAsia="zh-CN"/>
                    </w:rPr>
                    <w:t>玛纳斯县市政</w:t>
                  </w:r>
                  <w:r>
                    <w:rPr>
                      <w:rFonts w:hint="default" w:ascii="Times New Roman" w:hAnsi="Times New Roman" w:cs="Times New Roman"/>
                      <w:kern w:val="0"/>
                      <w:sz w:val="21"/>
                      <w:szCs w:val="21"/>
                    </w:rPr>
                    <w:t>供水系统供给</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kern w:val="0"/>
                      <w:szCs w:val="18"/>
                      <w:lang w:eastAsia="zh-CN"/>
                    </w:rPr>
                  </w:pPr>
                  <w:r>
                    <w:rPr>
                      <w:rFonts w:hint="eastAsia" w:cs="Times New Roman"/>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排水</w:t>
                  </w:r>
                </w:p>
              </w:tc>
              <w:tc>
                <w:tcPr>
                  <w:tcW w:w="5782" w:type="dxa"/>
                  <w:shd w:val="clear" w:color="auto" w:fill="FFFFFF"/>
                  <w:vAlign w:val="center"/>
                </w:tcPr>
                <w:p>
                  <w:pPr>
                    <w:ind w:left="-105" w:leftChars="-50" w:right="-105" w:rightChars="-50"/>
                    <w:jc w:val="left"/>
                    <w:rPr>
                      <w:rFonts w:hint="default" w:ascii="Times New Roman" w:hAnsi="Times New Roman" w:eastAsia="宋体" w:cs="Times New Roman"/>
                      <w:kern w:val="0"/>
                      <w:sz w:val="21"/>
                      <w:szCs w:val="21"/>
                      <w:lang w:val="en-US" w:eastAsia="zh-CN"/>
                    </w:rPr>
                  </w:pPr>
                  <w:r>
                    <w:rPr>
                      <w:rFonts w:hint="default" w:ascii="Times New Roman" w:hAnsi="Times New Roman" w:cs="Times New Roman"/>
                      <w:sz w:val="21"/>
                      <w:szCs w:val="21"/>
                    </w:rPr>
                    <w:t>经排水管道排至</w:t>
                  </w:r>
                  <w:r>
                    <w:rPr>
                      <w:rFonts w:hint="eastAsia"/>
                      <w:sz w:val="21"/>
                      <w:szCs w:val="21"/>
                    </w:rPr>
                    <w:t>“</w:t>
                  </w:r>
                  <w:r>
                    <w:rPr>
                      <w:rFonts w:hint="eastAsia"/>
                      <w:sz w:val="21"/>
                      <w:szCs w:val="21"/>
                      <w:lang w:val="en-US" w:eastAsia="zh-CN"/>
                    </w:rPr>
                    <w:t>化粪池</w:t>
                  </w:r>
                  <w:r>
                    <w:rPr>
                      <w:sz w:val="21"/>
                      <w:szCs w:val="21"/>
                    </w:rPr>
                    <w:t>+调节池+</w:t>
                  </w:r>
                  <w:r>
                    <w:rPr>
                      <w:rFonts w:hint="eastAsia"/>
                      <w:sz w:val="21"/>
                      <w:szCs w:val="21"/>
                      <w:lang w:val="en-US" w:eastAsia="zh-CN"/>
                    </w:rPr>
                    <w:t>厌氧</w:t>
                  </w:r>
                  <w:r>
                    <w:rPr>
                      <w:sz w:val="21"/>
                      <w:szCs w:val="21"/>
                    </w:rPr>
                    <w:t>池+</w:t>
                  </w:r>
                  <w:r>
                    <w:rPr>
                      <w:rFonts w:hint="eastAsia"/>
                      <w:sz w:val="21"/>
                      <w:szCs w:val="21"/>
                      <w:lang w:val="en-US" w:eastAsia="zh-CN"/>
                    </w:rPr>
                    <w:t>生</w:t>
                  </w:r>
                  <w:r>
                    <w:rPr>
                      <w:sz w:val="21"/>
                      <w:szCs w:val="21"/>
                    </w:rPr>
                    <w:t>化池+</w:t>
                  </w:r>
                  <w:r>
                    <w:rPr>
                      <w:rFonts w:hint="eastAsia"/>
                      <w:sz w:val="21"/>
                      <w:szCs w:val="21"/>
                    </w:rPr>
                    <w:t>沉淀</w:t>
                  </w:r>
                  <w:r>
                    <w:rPr>
                      <w:sz w:val="21"/>
                      <w:szCs w:val="21"/>
                    </w:rPr>
                    <w:t>池+</w:t>
                  </w:r>
                  <w:r>
                    <w:rPr>
                      <w:rFonts w:hint="eastAsia"/>
                      <w:sz w:val="21"/>
                      <w:szCs w:val="21"/>
                      <w:lang w:val="en-US" w:eastAsia="zh-CN"/>
                    </w:rPr>
                    <w:t>MBR膜池+清水消毒池+清水池”</w:t>
                  </w:r>
                  <w:r>
                    <w:rPr>
                      <w:rFonts w:hint="eastAsia" w:ascii="Times New Roman" w:hAnsi="Times New Roman" w:cs="Times New Roman"/>
                      <w:sz w:val="21"/>
                      <w:szCs w:val="21"/>
                      <w:lang w:val="en-US" w:eastAsia="zh-CN"/>
                    </w:rPr>
                    <w:t>污水处理设施</w:t>
                  </w:r>
                </w:p>
              </w:tc>
              <w:tc>
                <w:tcPr>
                  <w:tcW w:w="1100" w:type="dxa"/>
                  <w:shd w:val="clear" w:color="auto" w:fill="FFFFFF"/>
                  <w:vAlign w:val="center"/>
                </w:tcPr>
                <w:p>
                  <w:pPr>
                    <w:widowControl/>
                    <w:ind w:left="-105" w:leftChars="-50" w:right="-105" w:rightChars="-50"/>
                    <w:jc w:val="center"/>
                    <w:rPr>
                      <w:rFonts w:hint="default" w:ascii="Times New Roman" w:hAnsi="Times New Roman" w:cs="Times New Roman"/>
                      <w:color w:val="auto"/>
                      <w:kern w:val="0"/>
                      <w:szCs w:val="18"/>
                    </w:rPr>
                  </w:pPr>
                  <w:r>
                    <w:rPr>
                      <w:rFonts w:hint="default" w:ascii="Times New Roman" w:hAnsi="Times New Roman" w:cs="Times New Roman"/>
                      <w:color w:val="auto"/>
                      <w:kern w:val="0"/>
                      <w:szCs w:val="18"/>
                    </w:rPr>
                    <w:t>污水处理站</w:t>
                  </w:r>
                </w:p>
                <w:p>
                  <w:pPr>
                    <w:widowControl/>
                    <w:ind w:left="-105" w:leftChars="-50" w:right="-105" w:rightChars="-50"/>
                    <w:jc w:val="center"/>
                    <w:rPr>
                      <w:rFonts w:hint="default" w:ascii="Times New Roman" w:hAnsi="Times New Roman" w:cs="Times New Roman"/>
                      <w:color w:val="auto"/>
                      <w:kern w:val="0"/>
                      <w:szCs w:val="18"/>
                    </w:rPr>
                  </w:pPr>
                  <w:r>
                    <w:rPr>
                      <w:rFonts w:hint="default" w:ascii="Times New Roman" w:hAnsi="Times New Roman" w:cs="Times New Roman"/>
                      <w:color w:val="auto"/>
                      <w:kern w:val="0"/>
                      <w:szCs w:val="18"/>
                    </w:rPr>
                    <w:t>处理规模</w:t>
                  </w:r>
                </w:p>
                <w:p>
                  <w:pPr>
                    <w:widowControl/>
                    <w:ind w:left="-105" w:leftChars="-50" w:right="-105" w:rightChars="-50"/>
                    <w:jc w:val="center"/>
                    <w:rPr>
                      <w:rFonts w:hint="eastAsia" w:ascii="Times New Roman" w:hAnsi="Times New Roman" w:eastAsia="宋体" w:cs="Times New Roman"/>
                      <w:color w:val="auto"/>
                      <w:kern w:val="0"/>
                      <w:szCs w:val="18"/>
                      <w:lang w:val="en-US" w:eastAsia="zh-CN"/>
                    </w:rPr>
                  </w:pPr>
                  <w:r>
                    <w:rPr>
                      <w:rFonts w:hint="eastAsia" w:cs="Times New Roman"/>
                      <w:color w:val="auto"/>
                      <w:kern w:val="0"/>
                      <w:szCs w:val="18"/>
                      <w:lang w:val="en-US" w:eastAsia="zh-CN"/>
                    </w:rPr>
                    <w:t>300</w:t>
                  </w:r>
                  <w:r>
                    <w:rPr>
                      <w:rFonts w:hint="default" w:ascii="Times New Roman" w:hAnsi="Times New Roman" w:cs="Times New Roman"/>
                      <w:color w:val="auto"/>
                      <w:kern w:val="0"/>
                      <w:szCs w:val="18"/>
                    </w:rPr>
                    <w:t>m</w:t>
                  </w:r>
                  <w:r>
                    <w:rPr>
                      <w:rFonts w:hint="default" w:ascii="Times New Roman" w:hAnsi="Times New Roman" w:cs="Times New Roman"/>
                      <w:color w:val="auto"/>
                      <w:kern w:val="0"/>
                      <w:szCs w:val="18"/>
                      <w:vertAlign w:val="superscript"/>
                    </w:rPr>
                    <w:t>3</w:t>
                  </w:r>
                  <w:r>
                    <w:rPr>
                      <w:rFonts w:hint="default" w:ascii="Times New Roman" w:hAnsi="Times New Roman" w:cs="Times New Roman"/>
                      <w:color w:val="auto"/>
                      <w:kern w:val="0"/>
                      <w:szCs w:val="18"/>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供电</w:t>
                  </w:r>
                </w:p>
              </w:tc>
              <w:tc>
                <w:tcPr>
                  <w:tcW w:w="5782" w:type="dxa"/>
                  <w:shd w:val="clear" w:color="auto" w:fill="FFFFFF"/>
                  <w:vAlign w:val="center"/>
                </w:tcPr>
                <w:p>
                  <w:pPr>
                    <w:widowControl/>
                    <w:ind w:left="-105" w:leftChars="-50" w:right="-105" w:rightChars="-50"/>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接入市政供电电网，采用双回路供电</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color w:val="auto"/>
                      <w:kern w:val="0"/>
                      <w:szCs w:val="18"/>
                      <w:lang w:eastAsia="zh-CN"/>
                    </w:rPr>
                  </w:pPr>
                  <w:r>
                    <w:rPr>
                      <w:rFonts w:hint="eastAsia" w:cs="Times New Roman"/>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供热</w:t>
                  </w:r>
                </w:p>
              </w:tc>
              <w:tc>
                <w:tcPr>
                  <w:tcW w:w="5782" w:type="dxa"/>
                  <w:shd w:val="clear" w:color="auto" w:fill="FFFFFF"/>
                  <w:vAlign w:val="center"/>
                </w:tcPr>
                <w:p>
                  <w:pPr>
                    <w:widowControl/>
                    <w:ind w:left="-105" w:leftChars="-50" w:right="-105" w:rightChars="-50"/>
                    <w:jc w:val="left"/>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市政集中</w:t>
                  </w:r>
                  <w:r>
                    <w:rPr>
                      <w:rFonts w:hint="eastAsia" w:ascii="Times New Roman" w:hAnsi="Times New Roman" w:cs="Times New Roman"/>
                      <w:kern w:val="0"/>
                      <w:sz w:val="21"/>
                      <w:szCs w:val="21"/>
                      <w:lang w:val="en-US" w:eastAsia="zh-CN"/>
                    </w:rPr>
                    <w:t>供热设施</w:t>
                  </w:r>
                  <w:r>
                    <w:rPr>
                      <w:rFonts w:hint="eastAsia" w:cs="Times New Roman"/>
                      <w:kern w:val="0"/>
                      <w:sz w:val="21"/>
                      <w:szCs w:val="21"/>
                      <w:lang w:val="en-US" w:eastAsia="zh-CN"/>
                    </w:rPr>
                    <w:t>供给</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color w:val="auto"/>
                      <w:kern w:val="0"/>
                      <w:szCs w:val="18"/>
                      <w:lang w:eastAsia="zh-CN"/>
                    </w:rPr>
                  </w:pPr>
                  <w:r>
                    <w:rPr>
                      <w:rFonts w:hint="eastAsia" w:cs="Times New Roman"/>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供氧</w:t>
                  </w:r>
                </w:p>
              </w:tc>
              <w:tc>
                <w:tcPr>
                  <w:tcW w:w="5782" w:type="dxa"/>
                  <w:shd w:val="clear" w:color="auto" w:fill="FFFFFF"/>
                  <w:vAlign w:val="center"/>
                </w:tcPr>
                <w:p>
                  <w:pPr>
                    <w:widowControl/>
                    <w:ind w:left="-105" w:leftChars="-50" w:right="-105" w:rightChars="-50"/>
                    <w:jc w:val="left"/>
                    <w:rPr>
                      <w:rFonts w:hint="default" w:cs="Times New Roman"/>
                      <w:kern w:val="0"/>
                      <w:sz w:val="21"/>
                      <w:szCs w:val="21"/>
                      <w:lang w:val="en-US" w:eastAsia="zh-CN"/>
                    </w:rPr>
                  </w:pPr>
                  <w:r>
                    <w:rPr>
                      <w:rFonts w:hint="eastAsia" w:cs="Times New Roman"/>
                      <w:kern w:val="0"/>
                      <w:sz w:val="21"/>
                      <w:szCs w:val="21"/>
                      <w:lang w:val="en-US" w:eastAsia="zh-CN"/>
                    </w:rPr>
                    <w:t>院内供氧站供给</w:t>
                  </w:r>
                </w:p>
              </w:tc>
              <w:tc>
                <w:tcPr>
                  <w:tcW w:w="1100" w:type="dxa"/>
                  <w:shd w:val="clear" w:color="auto" w:fill="FFFFFF"/>
                  <w:vAlign w:val="center"/>
                </w:tcPr>
                <w:p>
                  <w:pPr>
                    <w:widowControl/>
                    <w:ind w:left="-105" w:leftChars="-50" w:right="-105" w:rightChars="-50"/>
                    <w:jc w:val="center"/>
                    <w:rPr>
                      <w:rFonts w:hint="default" w:cs="Times New Roman"/>
                      <w:color w:val="auto"/>
                      <w:kern w:val="0"/>
                      <w:szCs w:val="18"/>
                      <w:lang w:val="en-US" w:eastAsia="zh-CN"/>
                    </w:rPr>
                  </w:pPr>
                  <w:r>
                    <w:rPr>
                      <w:rFonts w:hint="eastAsia" w:cs="Times New Roman"/>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vMerge w:val="restart"/>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环保</w:t>
                  </w:r>
                </w:p>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工程</w:t>
                  </w: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废气</w:t>
                  </w:r>
                </w:p>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治理</w:t>
                  </w:r>
                </w:p>
              </w:tc>
              <w:tc>
                <w:tcPr>
                  <w:tcW w:w="5782" w:type="dxa"/>
                  <w:shd w:val="clear" w:color="auto" w:fill="FFFFFF"/>
                  <w:vAlign w:val="center"/>
                </w:tcPr>
                <w:p>
                  <w:pPr>
                    <w:widowControl/>
                    <w:ind w:left="-105" w:leftChars="-50" w:right="-105" w:rightChars="-50"/>
                    <w:jc w:val="left"/>
                    <w:rPr>
                      <w:rFonts w:hint="default" w:ascii="Times New Roman" w:hAnsi="Times New Roman" w:cs="Times New Roman"/>
                      <w:kern w:val="0"/>
                      <w:sz w:val="21"/>
                      <w:szCs w:val="21"/>
                    </w:rPr>
                  </w:pPr>
                  <w:r>
                    <w:rPr>
                      <w:rFonts w:hint="default" w:ascii="Times New Roman" w:hAnsi="Times New Roman" w:cs="Times New Roman"/>
                      <w:color w:val="000000"/>
                      <w:kern w:val="0"/>
                      <w:sz w:val="21"/>
                      <w:szCs w:val="21"/>
                    </w:rPr>
                    <w:t>污水处理</w:t>
                  </w:r>
                  <w:r>
                    <w:rPr>
                      <w:rFonts w:hint="eastAsia" w:cs="Times New Roman"/>
                      <w:color w:val="000000"/>
                      <w:kern w:val="0"/>
                      <w:sz w:val="21"/>
                      <w:szCs w:val="21"/>
                      <w:lang w:val="en-US" w:eastAsia="zh-CN"/>
                    </w:rPr>
                    <w:t>设施</w:t>
                  </w:r>
                  <w:r>
                    <w:rPr>
                      <w:rFonts w:hint="default" w:ascii="Times New Roman" w:hAnsi="Times New Roman" w:cs="Times New Roman"/>
                      <w:color w:val="000000"/>
                      <w:kern w:val="0"/>
                      <w:sz w:val="21"/>
                      <w:szCs w:val="21"/>
                    </w:rPr>
                    <w:t>位于地下，设备密闭</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color w:val="auto"/>
                      <w:kern w:val="0"/>
                      <w:szCs w:val="18"/>
                      <w:lang w:eastAsia="zh-CN"/>
                    </w:rPr>
                  </w:pPr>
                  <w:r>
                    <w:rPr>
                      <w:rFonts w:hint="eastAsia" w:cs="Times New Roman"/>
                      <w:color w:val="auto"/>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废水</w:t>
                  </w:r>
                </w:p>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治理</w:t>
                  </w:r>
                </w:p>
              </w:tc>
              <w:tc>
                <w:tcPr>
                  <w:tcW w:w="5782" w:type="dxa"/>
                  <w:shd w:val="clear" w:color="auto" w:fill="FFFFFF"/>
                  <w:vAlign w:val="center"/>
                </w:tcPr>
                <w:p>
                  <w:pPr>
                    <w:widowControl/>
                    <w:ind w:left="-105" w:leftChars="-50" w:right="-105" w:rightChars="-50"/>
                    <w:jc w:val="left"/>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rPr>
                    <w:t>医院排水采用不完全分流制，</w:t>
                  </w:r>
                  <w:r>
                    <w:rPr>
                      <w:rFonts w:hint="default" w:ascii="Times New Roman" w:hAnsi="Times New Roman" w:cs="Times New Roman"/>
                      <w:sz w:val="21"/>
                      <w:szCs w:val="21"/>
                    </w:rPr>
                    <w:t>雨水就近排入周边绿地</w:t>
                  </w:r>
                  <w:r>
                    <w:rPr>
                      <w:rFonts w:hint="default" w:ascii="Times New Roman" w:hAnsi="Times New Roman" w:cs="Times New Roman"/>
                      <w:kern w:val="0"/>
                      <w:sz w:val="21"/>
                      <w:szCs w:val="21"/>
                    </w:rPr>
                    <w:t>。各类废水</w:t>
                  </w:r>
                  <w:r>
                    <w:rPr>
                      <w:rFonts w:hint="eastAsia" w:ascii="Times New Roman" w:hAnsi="Times New Roman" w:cs="Times New Roman"/>
                      <w:kern w:val="0"/>
                      <w:sz w:val="21"/>
                      <w:szCs w:val="21"/>
                      <w:lang w:val="en-US" w:eastAsia="zh-CN"/>
                    </w:rPr>
                    <w:t>排入</w:t>
                  </w:r>
                  <w:r>
                    <w:rPr>
                      <w:rFonts w:hint="eastAsia" w:cs="Times New Roman"/>
                      <w:kern w:val="0"/>
                      <w:sz w:val="21"/>
                      <w:szCs w:val="21"/>
                      <w:lang w:val="en-US" w:eastAsia="zh-CN"/>
                    </w:rPr>
                    <w:t>医院</w:t>
                  </w:r>
                  <w:r>
                    <w:rPr>
                      <w:rFonts w:hint="default" w:ascii="Times New Roman" w:hAnsi="Times New Roman" w:cs="Times New Roman"/>
                      <w:kern w:val="0"/>
                      <w:sz w:val="21"/>
                      <w:szCs w:val="21"/>
                    </w:rPr>
                    <w:t>污水处理站进行处理</w:t>
                  </w:r>
                  <w:r>
                    <w:rPr>
                      <w:rFonts w:hint="eastAsia" w:cs="Times New Roman"/>
                      <w:kern w:val="0"/>
                      <w:sz w:val="21"/>
                      <w:szCs w:val="21"/>
                      <w:lang w:eastAsia="zh-CN"/>
                    </w:rPr>
                    <w:t>，</w:t>
                  </w:r>
                  <w:r>
                    <w:rPr>
                      <w:rFonts w:hint="eastAsia" w:cs="Times New Roman"/>
                      <w:kern w:val="0"/>
                      <w:sz w:val="21"/>
                      <w:szCs w:val="21"/>
                      <w:lang w:val="en-US" w:eastAsia="zh-CN"/>
                    </w:rPr>
                    <w:t>出水达到</w:t>
                  </w:r>
                  <w:r>
                    <w:rPr>
                      <w:rFonts w:hint="eastAsia" w:ascii="Times New Roman" w:hAnsi="Times New Roman" w:cs="Times New Roman"/>
                      <w:kern w:val="0"/>
                      <w:sz w:val="21"/>
                      <w:szCs w:val="21"/>
                    </w:rPr>
                    <w:t>《医疗机构水污染物排放标准》（GB18466-2005）表2</w:t>
                  </w:r>
                  <w:r>
                    <w:rPr>
                      <w:rFonts w:hint="eastAsia" w:cs="Times New Roman"/>
                      <w:kern w:val="0"/>
                      <w:sz w:val="21"/>
                      <w:szCs w:val="21"/>
                      <w:lang w:val="en-US" w:eastAsia="zh-CN"/>
                    </w:rPr>
                    <w:t>预处理</w:t>
                  </w:r>
                  <w:r>
                    <w:rPr>
                      <w:rFonts w:hint="eastAsia" w:ascii="Times New Roman" w:hAnsi="Times New Roman" w:cs="Times New Roman"/>
                      <w:kern w:val="0"/>
                      <w:sz w:val="21"/>
                      <w:szCs w:val="21"/>
                    </w:rPr>
                    <w:t>标准要求后</w:t>
                  </w:r>
                  <w:r>
                    <w:rPr>
                      <w:rFonts w:hint="default" w:ascii="Times New Roman" w:hAnsi="Times New Roman" w:cs="Times New Roman"/>
                      <w:kern w:val="0"/>
                      <w:sz w:val="21"/>
                      <w:szCs w:val="21"/>
                    </w:rPr>
                    <w:t>，</w:t>
                  </w:r>
                  <w:r>
                    <w:rPr>
                      <w:rFonts w:hint="eastAsia" w:cs="Times New Roman"/>
                      <w:kern w:val="0"/>
                      <w:sz w:val="21"/>
                      <w:szCs w:val="21"/>
                      <w:lang w:val="en-US" w:eastAsia="zh-CN"/>
                    </w:rPr>
                    <w:t>排入市政下水管网，最终进入玛纳斯县污水处理厂处理</w:t>
                  </w:r>
                </w:p>
              </w:tc>
              <w:tc>
                <w:tcPr>
                  <w:tcW w:w="1100" w:type="dxa"/>
                  <w:shd w:val="clear" w:color="auto" w:fill="FFFFFF"/>
                  <w:vAlign w:val="center"/>
                </w:tcPr>
                <w:p>
                  <w:pPr>
                    <w:widowControl/>
                    <w:ind w:left="-105" w:leftChars="-50" w:right="-105" w:rightChars="-50"/>
                    <w:jc w:val="center"/>
                    <w:rPr>
                      <w:rFonts w:hint="default" w:ascii="Times New Roman" w:hAnsi="Times New Roman" w:cs="Times New Roman"/>
                      <w:color w:val="auto"/>
                      <w:kern w:val="0"/>
                      <w:szCs w:val="18"/>
                    </w:rPr>
                  </w:pPr>
                  <w:r>
                    <w:rPr>
                      <w:rFonts w:hint="default" w:ascii="Times New Roman" w:hAnsi="Times New Roman" w:cs="Times New Roman"/>
                      <w:color w:val="auto"/>
                      <w:kern w:val="0"/>
                      <w:szCs w:val="18"/>
                    </w:rPr>
                    <w:t>污水处理站</w:t>
                  </w:r>
                </w:p>
                <w:p>
                  <w:pPr>
                    <w:widowControl/>
                    <w:ind w:left="-105" w:leftChars="-50" w:right="-105" w:rightChars="-50"/>
                    <w:jc w:val="center"/>
                    <w:rPr>
                      <w:rFonts w:hint="default" w:ascii="Times New Roman" w:hAnsi="Times New Roman" w:cs="Times New Roman"/>
                      <w:color w:val="auto"/>
                      <w:kern w:val="0"/>
                      <w:szCs w:val="18"/>
                    </w:rPr>
                  </w:pPr>
                  <w:r>
                    <w:rPr>
                      <w:rFonts w:hint="default" w:ascii="Times New Roman" w:hAnsi="Times New Roman" w:cs="Times New Roman"/>
                      <w:color w:val="auto"/>
                      <w:kern w:val="0"/>
                      <w:szCs w:val="18"/>
                    </w:rPr>
                    <w:t>处理规模</w:t>
                  </w:r>
                </w:p>
                <w:p>
                  <w:pPr>
                    <w:widowControl/>
                    <w:ind w:left="-105" w:leftChars="-50" w:right="-105" w:rightChars="-50"/>
                    <w:jc w:val="center"/>
                    <w:rPr>
                      <w:rFonts w:hint="default" w:ascii="Times New Roman" w:hAnsi="Times New Roman" w:cs="Times New Roman"/>
                      <w:color w:val="auto"/>
                      <w:kern w:val="0"/>
                      <w:szCs w:val="18"/>
                    </w:rPr>
                  </w:pPr>
                  <w:r>
                    <w:rPr>
                      <w:rFonts w:hint="eastAsia" w:cs="Times New Roman"/>
                      <w:color w:val="auto"/>
                      <w:kern w:val="0"/>
                      <w:szCs w:val="18"/>
                      <w:lang w:val="en-US" w:eastAsia="zh-CN"/>
                    </w:rPr>
                    <w:t>300</w:t>
                  </w:r>
                  <w:r>
                    <w:rPr>
                      <w:rFonts w:hint="default" w:ascii="Times New Roman" w:hAnsi="Times New Roman" w:cs="Times New Roman"/>
                      <w:color w:val="auto"/>
                      <w:kern w:val="0"/>
                      <w:szCs w:val="18"/>
                    </w:rPr>
                    <w:t>m</w:t>
                  </w:r>
                  <w:r>
                    <w:rPr>
                      <w:rFonts w:hint="default" w:ascii="Times New Roman" w:hAnsi="Times New Roman" w:cs="Times New Roman"/>
                      <w:color w:val="auto"/>
                      <w:kern w:val="0"/>
                      <w:szCs w:val="18"/>
                      <w:vertAlign w:val="superscript"/>
                    </w:rPr>
                    <w:t>3</w:t>
                  </w:r>
                  <w:r>
                    <w:rPr>
                      <w:rFonts w:hint="default" w:ascii="Times New Roman" w:hAnsi="Times New Roman" w:cs="Times New Roman"/>
                      <w:color w:val="auto"/>
                      <w:kern w:val="0"/>
                      <w:szCs w:val="18"/>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噪声</w:t>
                  </w:r>
                </w:p>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治理</w:t>
                  </w:r>
                </w:p>
              </w:tc>
              <w:tc>
                <w:tcPr>
                  <w:tcW w:w="5782" w:type="dxa"/>
                  <w:shd w:val="clear" w:color="auto" w:fill="FFFFFF"/>
                  <w:vAlign w:val="center"/>
                </w:tcPr>
                <w:p>
                  <w:pPr>
                    <w:widowControl/>
                    <w:ind w:left="-105" w:leftChars="-50" w:right="-105" w:rightChars="-50"/>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优先选择低噪声产品，消声、减振等措施</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kern w:val="0"/>
                      <w:szCs w:val="18"/>
                      <w:lang w:eastAsia="zh-CN"/>
                    </w:rPr>
                  </w:pPr>
                  <w:r>
                    <w:rPr>
                      <w:rFonts w:hint="eastAsia" w:cs="Times New Roman"/>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固废</w:t>
                  </w:r>
                </w:p>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处置</w:t>
                  </w:r>
                </w:p>
              </w:tc>
              <w:tc>
                <w:tcPr>
                  <w:tcW w:w="5782" w:type="dxa"/>
                  <w:shd w:val="clear" w:color="auto" w:fill="FFFFFF"/>
                  <w:vAlign w:val="center"/>
                </w:tcPr>
                <w:p>
                  <w:pPr>
                    <w:widowControl/>
                    <w:ind w:left="-105" w:leftChars="-50" w:right="-105" w:rightChars="-50"/>
                    <w:jc w:val="left"/>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rPr>
                    <w:t>设医疗废物储存</w:t>
                  </w:r>
                  <w:r>
                    <w:rPr>
                      <w:rFonts w:hint="eastAsia" w:cs="Times New Roman"/>
                      <w:kern w:val="0"/>
                      <w:sz w:val="21"/>
                      <w:szCs w:val="21"/>
                      <w:lang w:val="en-US" w:eastAsia="zh-CN"/>
                    </w:rPr>
                    <w:t>间</w:t>
                  </w:r>
                  <w:r>
                    <w:rPr>
                      <w:rFonts w:hint="default" w:ascii="Times New Roman" w:hAnsi="Times New Roman" w:cs="Times New Roman"/>
                      <w:kern w:val="0"/>
                      <w:sz w:val="21"/>
                      <w:szCs w:val="21"/>
                    </w:rPr>
                    <w:t>，医疗废物</w:t>
                  </w:r>
                  <w:r>
                    <w:rPr>
                      <w:rFonts w:hint="eastAsia" w:ascii="Times New Roman" w:hAnsi="Times New Roman" w:cs="Times New Roman"/>
                      <w:kern w:val="0"/>
                      <w:sz w:val="21"/>
                      <w:szCs w:val="21"/>
                      <w:lang w:val="en-US" w:eastAsia="zh-CN"/>
                    </w:rPr>
                    <w:t>统一收集，</w:t>
                  </w:r>
                  <w:r>
                    <w:rPr>
                      <w:rFonts w:hint="eastAsia" w:cs="Times New Roman"/>
                      <w:kern w:val="0"/>
                      <w:sz w:val="21"/>
                      <w:szCs w:val="21"/>
                      <w:lang w:val="en-US" w:eastAsia="zh-CN"/>
                    </w:rPr>
                    <w:t>交由玛纳斯县西海国有资产投资经营有限公司</w:t>
                  </w:r>
                  <w:r>
                    <w:rPr>
                      <w:rFonts w:hint="eastAsia" w:ascii="Times New Roman" w:hAnsi="Times New Roman" w:cs="Times New Roman"/>
                      <w:kern w:val="0"/>
                      <w:sz w:val="21"/>
                      <w:szCs w:val="21"/>
                      <w:lang w:val="en-US" w:eastAsia="zh-CN"/>
                    </w:rPr>
                    <w:t>处置</w:t>
                  </w:r>
                  <w:r>
                    <w:rPr>
                      <w:rFonts w:hint="default" w:ascii="Times New Roman" w:hAnsi="Times New Roman" w:cs="Times New Roman"/>
                      <w:kern w:val="0"/>
                      <w:sz w:val="21"/>
                      <w:szCs w:val="21"/>
                    </w:rPr>
                    <w:t>；生活垃圾存</w:t>
                  </w:r>
                  <w:r>
                    <w:rPr>
                      <w:rFonts w:hint="eastAsia" w:cs="Times New Roman"/>
                      <w:kern w:val="0"/>
                      <w:sz w:val="21"/>
                      <w:szCs w:val="21"/>
                      <w:lang w:val="en-US" w:eastAsia="zh-CN"/>
                    </w:rPr>
                    <w:t>集中收集后，</w:t>
                  </w:r>
                  <w:r>
                    <w:rPr>
                      <w:rFonts w:hint="default" w:ascii="Times New Roman" w:hAnsi="Times New Roman" w:cs="Times New Roman"/>
                      <w:kern w:val="0"/>
                      <w:sz w:val="21"/>
                      <w:szCs w:val="21"/>
                    </w:rPr>
                    <w:t>由环卫部门</w:t>
                  </w:r>
                  <w:r>
                    <w:rPr>
                      <w:rFonts w:hint="eastAsia" w:cs="Times New Roman"/>
                      <w:kern w:val="0"/>
                      <w:sz w:val="21"/>
                      <w:szCs w:val="21"/>
                      <w:lang w:val="en-US" w:eastAsia="zh-CN"/>
                    </w:rPr>
                    <w:t>清运</w:t>
                  </w:r>
                  <w:r>
                    <w:rPr>
                      <w:rFonts w:hint="default" w:ascii="Times New Roman" w:hAnsi="Times New Roman" w:cs="Times New Roman"/>
                      <w:kern w:val="0"/>
                      <w:sz w:val="21"/>
                      <w:szCs w:val="21"/>
                    </w:rPr>
                    <w:t>处理</w:t>
                  </w:r>
                  <w:r>
                    <w:rPr>
                      <w:rFonts w:hint="eastAsia" w:ascii="Times New Roman" w:hAnsi="Times New Roman" w:cs="Times New Roman"/>
                      <w:kern w:val="0"/>
                      <w:sz w:val="21"/>
                      <w:szCs w:val="21"/>
                      <w:lang w:eastAsia="zh-CN"/>
                    </w:rPr>
                    <w:t>。</w:t>
                  </w:r>
                  <w:r>
                    <w:rPr>
                      <w:rFonts w:hint="eastAsia" w:cs="Times New Roman"/>
                      <w:kern w:val="0"/>
                      <w:sz w:val="21"/>
                      <w:szCs w:val="21"/>
                      <w:lang w:val="en-US" w:eastAsia="zh-CN"/>
                    </w:rPr>
                    <w:t>污泥定期委托有资质单位清掏。</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kern w:val="0"/>
                      <w:szCs w:val="18"/>
                      <w:lang w:eastAsia="zh-CN"/>
                    </w:rPr>
                  </w:pPr>
                  <w:r>
                    <w:rPr>
                      <w:rFonts w:hint="eastAsia" w:cs="Times New Roman"/>
                      <w:kern w:val="0"/>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9" w:type="dxa"/>
                  <w:vMerge w:val="continue"/>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p>
              </w:tc>
              <w:tc>
                <w:tcPr>
                  <w:tcW w:w="713" w:type="dxa"/>
                  <w:shd w:val="clear" w:color="auto" w:fill="FFFFFF"/>
                  <w:vAlign w:val="center"/>
                </w:tcPr>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风险防</w:t>
                  </w:r>
                </w:p>
                <w:p>
                  <w:pPr>
                    <w:widowControl/>
                    <w:ind w:left="-105" w:leftChars="-50" w:right="-105" w:rightChars="-5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渗措施</w:t>
                  </w:r>
                </w:p>
              </w:tc>
              <w:tc>
                <w:tcPr>
                  <w:tcW w:w="5782" w:type="dxa"/>
                  <w:shd w:val="clear" w:color="auto" w:fill="FFFFFF"/>
                  <w:vAlign w:val="center"/>
                </w:tcPr>
                <w:p>
                  <w:pPr>
                    <w:widowControl/>
                    <w:ind w:left="-105" w:leftChars="-50" w:right="-105" w:rightChars="-50"/>
                    <w:jc w:val="left"/>
                    <w:rPr>
                      <w:rFonts w:hint="eastAsia"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rPr>
                    <w:t>医疗废物储存场所、污水处理站需防腐防渗</w:t>
                  </w:r>
                  <w:r>
                    <w:rPr>
                      <w:rFonts w:hint="eastAsia" w:ascii="Times New Roman" w:hAnsi="Times New Roman" w:cs="Times New Roman"/>
                      <w:kern w:val="0"/>
                      <w:sz w:val="21"/>
                      <w:szCs w:val="21"/>
                      <w:lang w:val="en-US" w:eastAsia="zh-CN"/>
                    </w:rPr>
                    <w:t>处理</w:t>
                  </w:r>
                </w:p>
              </w:tc>
              <w:tc>
                <w:tcPr>
                  <w:tcW w:w="1100" w:type="dxa"/>
                  <w:shd w:val="clear" w:color="auto" w:fill="FFFFFF"/>
                  <w:vAlign w:val="center"/>
                </w:tcPr>
                <w:p>
                  <w:pPr>
                    <w:widowControl/>
                    <w:ind w:left="-105" w:leftChars="-50" w:right="-105" w:rightChars="-50"/>
                    <w:jc w:val="center"/>
                    <w:rPr>
                      <w:rFonts w:hint="eastAsia" w:ascii="Times New Roman" w:hAnsi="Times New Roman" w:eastAsia="宋体" w:cs="Times New Roman"/>
                      <w:kern w:val="0"/>
                      <w:szCs w:val="18"/>
                      <w:lang w:eastAsia="zh-CN"/>
                    </w:rPr>
                  </w:pPr>
                  <w:r>
                    <w:rPr>
                      <w:rFonts w:hint="eastAsia" w:cs="Times New Roman"/>
                      <w:kern w:val="0"/>
                      <w:szCs w:val="18"/>
                      <w:lang w:val="en-US" w:eastAsia="zh-CN"/>
                    </w:rPr>
                    <w:t>/</w:t>
                  </w:r>
                </w:p>
              </w:tc>
            </w:tr>
          </w:tbl>
          <w:p>
            <w:pPr>
              <w:keepNext w:val="0"/>
              <w:keepLines w:val="0"/>
              <w:pageBreakBefore w:val="0"/>
              <w:widowControl w:val="0"/>
              <w:numPr>
                <w:ilvl w:val="0"/>
                <w:numId w:val="0"/>
              </w:numPr>
              <w:kinsoku/>
              <w:wordWrap/>
              <w:overflowPunct/>
              <w:autoSpaceDE/>
              <w:autoSpaceDN/>
              <w:bidi w:val="0"/>
              <w:adjustRightInd w:val="0"/>
              <w:snapToGrid w:val="0"/>
              <w:spacing w:line="520" w:lineRule="exact"/>
              <w:ind w:firstLine="480" w:firstLineChars="200"/>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玛纳斯县中医医院现有主要建筑及布置。</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color w:val="auto"/>
                <w:kern w:val="0"/>
                <w:sz w:val="24"/>
                <w:szCs w:val="24"/>
                <w:lang w:val="en-US" w:eastAsia="zh-CN"/>
              </w:rPr>
            </w:pPr>
            <w:r>
              <w:rPr>
                <w:rFonts w:hint="eastAsia" w:ascii="Times New Roman" w:hAnsi="Times New Roman" w:eastAsia="黑体" w:cs="Times New Roman"/>
                <w:b w:val="0"/>
                <w:bCs/>
                <w:snapToGrid w:val="0"/>
                <w:color w:val="auto"/>
                <w:kern w:val="0"/>
                <w:sz w:val="24"/>
                <w:szCs w:val="24"/>
                <w:lang w:val="en-US" w:eastAsia="zh-CN"/>
              </w:rPr>
              <w:t>表2-8    各建筑楼层平面布置</w:t>
            </w:r>
          </w:p>
          <w:tbl>
            <w:tblPr>
              <w:tblStyle w:val="29"/>
              <w:tblW w:w="8137"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1050"/>
              <w:gridCol w:w="584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1241"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建筑名称</w:t>
                  </w: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单元</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使用功能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restart"/>
                  <w:vAlign w:val="center"/>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门诊楼</w:t>
                  </w: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1楼</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门诊大厅、门诊药房、煎药室、草药房、收费处、急诊输液大厅、综合治疗室</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continue"/>
                  <w:vAlign w:val="center"/>
                </w:tcPr>
                <w:p>
                  <w:pPr>
                    <w:pStyle w:val="2"/>
                    <w:jc w:val="center"/>
                    <w:rPr>
                      <w:rFonts w:hint="default" w:ascii="Times New Roman" w:hAnsi="Times New Roman" w:cs="Times New Roman"/>
                      <w:sz w:val="21"/>
                      <w:szCs w:val="21"/>
                      <w:vertAlign w:val="baseline"/>
                      <w:lang w:val="en-US" w:eastAsia="zh-CN"/>
                    </w:rPr>
                  </w:pP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2楼</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检验科、放射科、心电图室、B超室、各诊室</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continue"/>
                  <w:vAlign w:val="center"/>
                </w:tcPr>
                <w:p>
                  <w:pPr>
                    <w:pStyle w:val="2"/>
                    <w:jc w:val="center"/>
                    <w:rPr>
                      <w:rFonts w:hint="default" w:ascii="Times New Roman" w:hAnsi="Times New Roman" w:cs="Times New Roman"/>
                      <w:sz w:val="21"/>
                      <w:szCs w:val="21"/>
                      <w:vertAlign w:val="baseline"/>
                      <w:lang w:val="en-US" w:eastAsia="zh-CN"/>
                    </w:rPr>
                  </w:pP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3楼</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各诊室、康复大厅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restart"/>
                  <w:vAlign w:val="center"/>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住院部</w:t>
                  </w: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1楼</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结算中心、中心药房、治疗室、康复治疗大厅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continue"/>
                  <w:vAlign w:val="center"/>
                </w:tcPr>
                <w:p>
                  <w:pPr>
                    <w:pStyle w:val="2"/>
                    <w:jc w:val="center"/>
                    <w:rPr>
                      <w:rFonts w:hint="default" w:ascii="Times New Roman" w:hAnsi="Times New Roman" w:cs="Times New Roman"/>
                      <w:sz w:val="21"/>
                      <w:szCs w:val="21"/>
                      <w:vertAlign w:val="baseline"/>
                      <w:lang w:val="en-US" w:eastAsia="zh-CN"/>
                    </w:rPr>
                  </w:pP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2楼</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针推科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continue"/>
                  <w:vAlign w:val="center"/>
                </w:tcPr>
                <w:p>
                  <w:pPr>
                    <w:pStyle w:val="2"/>
                    <w:jc w:val="center"/>
                    <w:rPr>
                      <w:rFonts w:hint="default" w:ascii="Times New Roman" w:hAnsi="Times New Roman" w:cs="Times New Roman"/>
                      <w:sz w:val="21"/>
                      <w:szCs w:val="21"/>
                      <w:vertAlign w:val="baseline"/>
                      <w:lang w:val="en-US" w:eastAsia="zh-CN"/>
                    </w:rPr>
                  </w:pP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3楼</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骨伤科、妇科、儿科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continue"/>
                  <w:vAlign w:val="center"/>
                </w:tcPr>
                <w:p>
                  <w:pPr>
                    <w:pStyle w:val="2"/>
                    <w:jc w:val="center"/>
                    <w:rPr>
                      <w:rFonts w:hint="default" w:ascii="Times New Roman" w:hAnsi="Times New Roman" w:cs="Times New Roman"/>
                      <w:sz w:val="21"/>
                      <w:szCs w:val="21"/>
                      <w:vertAlign w:val="baseline"/>
                      <w:lang w:val="en-US" w:eastAsia="zh-CN"/>
                    </w:rPr>
                  </w:pP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4楼</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内科、手术室</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Align w:val="center"/>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附属楼</w:t>
                  </w:r>
                </w:p>
              </w:tc>
              <w:tc>
                <w:tcPr>
                  <w:tcW w:w="1050"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5846" w:type="dxa"/>
                </w:tcPr>
                <w:p>
                  <w:pPr>
                    <w:pStyle w:val="2"/>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职工食堂、职工宿舍、供应室、洗衣房、教学培训室、机房</w:t>
                  </w:r>
                </w:p>
              </w:tc>
            </w:tr>
          </w:tbl>
          <w:p>
            <w:pPr>
              <w:keepNext w:val="0"/>
              <w:keepLines w:val="0"/>
              <w:pageBreakBefore w:val="0"/>
              <w:numPr>
                <w:ilvl w:val="0"/>
                <w:numId w:val="4"/>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2"/>
              </w:rPr>
            </w:pPr>
            <w:r>
              <w:rPr>
                <w:rFonts w:hint="eastAsia" w:cs="Times New Roman"/>
                <w:sz w:val="24"/>
                <w:szCs w:val="22"/>
                <w:lang w:val="en-US" w:eastAsia="zh-CN"/>
              </w:rPr>
              <w:t>中医医院</w:t>
            </w:r>
            <w:r>
              <w:rPr>
                <w:rFonts w:hint="default" w:ascii="Times New Roman" w:hAnsi="Times New Roman" w:cs="Times New Roman"/>
                <w:sz w:val="24"/>
                <w:szCs w:val="22"/>
              </w:rPr>
              <w:t>现有工程污染物排放状况</w:t>
            </w:r>
          </w:p>
          <w:p>
            <w:pPr>
              <w:keepNext w:val="0"/>
              <w:keepLines w:val="0"/>
              <w:pageBreakBefore w:val="0"/>
              <w:widowControl w:val="0"/>
              <w:numPr>
                <w:ilvl w:val="0"/>
                <w:numId w:val="0"/>
              </w:numPr>
              <w:kinsoku/>
              <w:wordWrap/>
              <w:overflowPunct/>
              <w:autoSpaceDE/>
              <w:autoSpaceDN/>
              <w:bidi w:val="0"/>
              <w:adjustRightInd w:val="0"/>
              <w:snapToGrid w:val="0"/>
              <w:spacing w:line="520" w:lineRule="exact"/>
              <w:ind w:firstLine="480" w:firstLineChars="200"/>
              <w:rPr>
                <w:rFonts w:hint="default"/>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2019年5月29</w:t>
            </w:r>
            <w:r>
              <w:rPr>
                <w:rFonts w:hint="default"/>
                <w:color w:val="000000" w:themeColor="text1"/>
                <w:sz w:val="24"/>
                <w:lang w:val="en-US"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30日，</w:t>
            </w:r>
            <w:r>
              <w:rPr>
                <w:rFonts w:hint="default"/>
                <w:color w:val="000000" w:themeColor="text1"/>
                <w:sz w:val="24"/>
                <w:lang w:val="en-US" w:eastAsia="zh-CN"/>
                <w14:textFill>
                  <w14:solidFill>
                    <w14:schemeClr w14:val="tx1"/>
                  </w14:solidFill>
                </w14:textFill>
              </w:rPr>
              <w:t>新疆天地鉴职业环境检测评价有限公司</w:t>
            </w:r>
            <w:r>
              <w:rPr>
                <w:rFonts w:hint="eastAsia"/>
                <w:color w:val="000000" w:themeColor="text1"/>
                <w:sz w:val="24"/>
                <w:lang w:val="en-US" w:eastAsia="zh-CN"/>
                <w14:textFill>
                  <w14:solidFill>
                    <w14:schemeClr w14:val="tx1"/>
                  </w14:solidFill>
                </w14:textFill>
              </w:rPr>
              <w:t>对《</w:t>
            </w:r>
            <w:r>
              <w:rPr>
                <w:rFonts w:hint="default"/>
                <w:color w:val="000000" w:themeColor="text1"/>
                <w:sz w:val="24"/>
                <w:lang w:val="en-US" w:eastAsia="zh-CN"/>
                <w14:textFill>
                  <w14:solidFill>
                    <w14:schemeClr w14:val="tx1"/>
                  </w14:solidFill>
                </w14:textFill>
              </w:rPr>
              <w:t>玛纳斯县中医医院综合业务楼建设项目</w:t>
            </w:r>
            <w:r>
              <w:rPr>
                <w:rFonts w:hint="eastAsia"/>
                <w:color w:val="000000" w:themeColor="text1"/>
                <w:sz w:val="24"/>
                <w:lang w:val="en-US" w:eastAsia="zh-CN"/>
                <w14:textFill>
                  <w14:solidFill>
                    <w14:schemeClr w14:val="tx1"/>
                  </w14:solidFill>
                </w14:textFill>
              </w:rPr>
              <w:t>》进行了竣工环境保护验收现场监测。</w:t>
            </w:r>
            <w:r>
              <w:rPr>
                <w:rFonts w:hint="default"/>
                <w:color w:val="000000" w:themeColor="text1"/>
                <w:sz w:val="24"/>
                <w:lang w:val="en-US" w:eastAsia="zh-CN"/>
                <w14:textFill>
                  <w14:solidFill>
                    <w14:schemeClr w14:val="tx1"/>
                  </w14:solidFill>
                </w14:textFill>
              </w:rPr>
              <w:t>验收期间，各科室和机构正常运营，</w:t>
            </w:r>
            <w:r>
              <w:rPr>
                <w:rFonts w:hint="eastAsia"/>
                <w:color w:val="000000" w:themeColor="text1"/>
                <w:sz w:val="24"/>
                <w:lang w:val="en-US" w:eastAsia="zh-CN"/>
                <w14:textFill>
                  <w14:solidFill>
                    <w14:schemeClr w14:val="tx1"/>
                  </w14:solidFill>
                </w14:textFill>
              </w:rPr>
              <w:t>验收监测期间的</w:t>
            </w:r>
            <w:r>
              <w:rPr>
                <w:rFonts w:hint="default"/>
                <w:color w:val="000000" w:themeColor="text1"/>
                <w:sz w:val="24"/>
                <w:lang w:val="en-US" w:eastAsia="zh-CN"/>
                <w14:textFill>
                  <w14:solidFill>
                    <w14:schemeClr w14:val="tx1"/>
                  </w14:solidFill>
                </w14:textFill>
              </w:rPr>
              <w:t>工况详见表</w:t>
            </w:r>
            <w:r>
              <w:rPr>
                <w:rFonts w:hint="eastAsia"/>
                <w:color w:val="000000" w:themeColor="text1"/>
                <w:sz w:val="24"/>
                <w:lang w:val="en-US" w:eastAsia="zh-CN"/>
                <w14:textFill>
                  <w14:solidFill>
                    <w14:schemeClr w14:val="tx1"/>
                  </w14:solidFill>
                </w14:textFill>
              </w:rPr>
              <w:t>2-9</w:t>
            </w:r>
            <w:r>
              <w:rPr>
                <w:rFonts w:hint="default"/>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color w:val="auto"/>
                <w:kern w:val="0"/>
                <w:sz w:val="24"/>
                <w:szCs w:val="24"/>
                <w:lang w:val="en-US" w:eastAsia="zh-CN"/>
              </w:rPr>
            </w:pPr>
            <w:r>
              <w:rPr>
                <w:rFonts w:hint="default" w:ascii="Times New Roman" w:hAnsi="Times New Roman" w:eastAsia="黑体" w:cs="Times New Roman"/>
                <w:b w:val="0"/>
                <w:bCs/>
                <w:snapToGrid w:val="0"/>
                <w:color w:val="auto"/>
                <w:kern w:val="0"/>
                <w:sz w:val="24"/>
                <w:szCs w:val="24"/>
                <w:lang w:val="en-US" w:eastAsia="zh-CN"/>
              </w:rPr>
              <w:t>表</w:t>
            </w:r>
            <w:r>
              <w:rPr>
                <w:rFonts w:hint="eastAsia" w:ascii="Times New Roman" w:hAnsi="Times New Roman" w:eastAsia="黑体" w:cs="Times New Roman"/>
                <w:b w:val="0"/>
                <w:bCs/>
                <w:snapToGrid w:val="0"/>
                <w:color w:val="auto"/>
                <w:kern w:val="0"/>
                <w:sz w:val="24"/>
                <w:szCs w:val="24"/>
                <w:lang w:val="en-US" w:eastAsia="zh-CN"/>
              </w:rPr>
              <w:t>2-9</w:t>
            </w:r>
            <w:r>
              <w:rPr>
                <w:rFonts w:hint="default" w:ascii="Times New Roman" w:hAnsi="Times New Roman" w:eastAsia="黑体" w:cs="Times New Roman"/>
                <w:b w:val="0"/>
                <w:bCs/>
                <w:snapToGrid w:val="0"/>
                <w:color w:val="auto"/>
                <w:kern w:val="0"/>
                <w:sz w:val="24"/>
                <w:szCs w:val="24"/>
                <w:lang w:val="en-US" w:eastAsia="zh-CN"/>
              </w:rPr>
              <w:t xml:space="preserve">    验收监测期间营运工况统计表</w:t>
            </w:r>
          </w:p>
          <w:tbl>
            <w:tblPr>
              <w:tblStyle w:val="28"/>
              <w:tblW w:w="0" w:type="auto"/>
              <w:tblInd w:w="-29"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6"/>
              <w:gridCol w:w="1394"/>
              <w:gridCol w:w="1841"/>
              <w:gridCol w:w="1593"/>
              <w:gridCol w:w="18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1567" w:type="dxa"/>
                  <w:noWrap w:val="0"/>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类别</w:t>
                  </w:r>
                </w:p>
              </w:tc>
              <w:tc>
                <w:tcPr>
                  <w:tcW w:w="1444" w:type="dxa"/>
                  <w:noWrap w:val="0"/>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eastAsia="zh-CN"/>
                    </w:rPr>
                    <w:t>环评</w:t>
                  </w:r>
                  <w:r>
                    <w:rPr>
                      <w:rFonts w:hint="default" w:ascii="Times New Roman" w:hAnsi="Times New Roman" w:cs="Times New Roman"/>
                      <w:b w:val="0"/>
                      <w:bCs w:val="0"/>
                      <w:sz w:val="21"/>
                      <w:szCs w:val="21"/>
                    </w:rPr>
                    <w:t>设计量</w:t>
                  </w:r>
                </w:p>
              </w:tc>
              <w:tc>
                <w:tcPr>
                  <w:tcW w:w="1879" w:type="dxa"/>
                  <w:noWrap w:val="0"/>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eastAsia="zh-CN"/>
                    </w:rPr>
                    <w:t>统计</w:t>
                  </w:r>
                  <w:r>
                    <w:rPr>
                      <w:rFonts w:hint="default" w:ascii="Times New Roman" w:hAnsi="Times New Roman" w:cs="Times New Roman"/>
                      <w:b w:val="0"/>
                      <w:bCs w:val="0"/>
                      <w:sz w:val="21"/>
                      <w:szCs w:val="21"/>
                    </w:rPr>
                    <w:t>日期</w:t>
                  </w:r>
                </w:p>
              </w:tc>
              <w:tc>
                <w:tcPr>
                  <w:tcW w:w="1694" w:type="dxa"/>
                  <w:noWrap w:val="0"/>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eastAsia="zh-CN"/>
                    </w:rPr>
                    <w:t>每日</w:t>
                  </w:r>
                  <w:r>
                    <w:rPr>
                      <w:rFonts w:hint="default" w:ascii="Times New Roman" w:hAnsi="Times New Roman" w:cs="Times New Roman"/>
                      <w:b w:val="0"/>
                      <w:bCs w:val="0"/>
                      <w:sz w:val="21"/>
                      <w:szCs w:val="21"/>
                    </w:rPr>
                    <w:t>实际量</w:t>
                  </w:r>
                </w:p>
              </w:tc>
              <w:tc>
                <w:tcPr>
                  <w:tcW w:w="1971" w:type="dxa"/>
                  <w:noWrap w:val="0"/>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营运负荷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住院床位数</w:t>
                  </w:r>
                </w:p>
              </w:tc>
              <w:tc>
                <w:tcPr>
                  <w:tcW w:w="1444"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140</w:t>
                  </w:r>
                  <w:r>
                    <w:rPr>
                      <w:rFonts w:hint="default" w:ascii="Times New Roman" w:hAnsi="Times New Roman" w:cs="Times New Roman"/>
                      <w:color w:val="auto"/>
                      <w:sz w:val="21"/>
                      <w:szCs w:val="21"/>
                      <w:highlight w:val="none"/>
                    </w:rPr>
                    <w:t>个</w:t>
                  </w:r>
                </w:p>
              </w:tc>
              <w:tc>
                <w:tcPr>
                  <w:tcW w:w="1879"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2019.1~2019.7</w:t>
                  </w:r>
                </w:p>
              </w:tc>
              <w:tc>
                <w:tcPr>
                  <w:tcW w:w="1694"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99</w:t>
                  </w:r>
                  <w:r>
                    <w:rPr>
                      <w:rFonts w:hint="default" w:ascii="Times New Roman" w:hAnsi="Times New Roman" w:cs="Times New Roman"/>
                      <w:color w:val="auto"/>
                      <w:sz w:val="21"/>
                      <w:szCs w:val="21"/>
                      <w:highlight w:val="none"/>
                    </w:rPr>
                    <w:t>个</w:t>
                  </w:r>
                </w:p>
              </w:tc>
              <w:tc>
                <w:tcPr>
                  <w:tcW w:w="1971"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70.7</w:t>
                  </w:r>
                  <w:r>
                    <w:rPr>
                      <w:rFonts w:hint="default" w:ascii="Times New Roman" w:hAnsi="Times New Roman" w:cs="Times New Roman"/>
                      <w:color w:val="auto"/>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7" w:type="dxa"/>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门诊接诊量</w:t>
                  </w:r>
                </w:p>
              </w:tc>
              <w:tc>
                <w:tcPr>
                  <w:tcW w:w="1444"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74个/d</w:t>
                  </w:r>
                </w:p>
              </w:tc>
              <w:tc>
                <w:tcPr>
                  <w:tcW w:w="1879"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2019.1~2019.7</w:t>
                  </w:r>
                </w:p>
              </w:tc>
              <w:tc>
                <w:tcPr>
                  <w:tcW w:w="1694"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30个</w:t>
                  </w:r>
                </w:p>
              </w:tc>
              <w:tc>
                <w:tcPr>
                  <w:tcW w:w="1971"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67" w:type="dxa"/>
                  <w:noWrap w:val="0"/>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污水处理站</w:t>
                  </w:r>
                </w:p>
              </w:tc>
              <w:tc>
                <w:tcPr>
                  <w:tcW w:w="144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300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/d</w:t>
                  </w:r>
                </w:p>
              </w:tc>
              <w:tc>
                <w:tcPr>
                  <w:tcW w:w="1879"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2019.1~2019.7</w:t>
                  </w:r>
                </w:p>
              </w:tc>
              <w:tc>
                <w:tcPr>
                  <w:tcW w:w="1694"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17</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p>
              </w:tc>
              <w:tc>
                <w:tcPr>
                  <w:tcW w:w="1971"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5.7</w:t>
                  </w:r>
                  <w:r>
                    <w:rPr>
                      <w:rFonts w:hint="default" w:ascii="Times New Roman" w:hAnsi="Times New Roman" w:cs="Times New Roman"/>
                      <w:color w:val="auto"/>
                      <w:sz w:val="21"/>
                      <w:szCs w:val="21"/>
                      <w:highlight w:val="none"/>
                    </w:rPr>
                    <w:t>%</w:t>
                  </w:r>
                </w:p>
              </w:tc>
            </w:tr>
          </w:tbl>
          <w:p>
            <w:pPr>
              <w:adjustRightInd w:val="0"/>
              <w:snapToGrid w:val="0"/>
              <w:spacing w:line="520" w:lineRule="exact"/>
              <w:ind w:firstLine="480" w:firstLineChars="200"/>
              <w:rPr>
                <w:rFonts w:ascii="Times New Roman" w:hAnsi="Times New Roman" w:cs="Times New Roman"/>
                <w:sz w:val="24"/>
              </w:rPr>
            </w:pPr>
            <w:r>
              <w:rPr>
                <w:rFonts w:ascii="Times New Roman" w:hAnsi="Times New Roman" w:cs="Times New Roman"/>
                <w:sz w:val="24"/>
              </w:rPr>
              <w:t>根据《</w:t>
            </w:r>
            <w:r>
              <w:rPr>
                <w:rFonts w:hint="eastAsia" w:cs="Times New Roman"/>
                <w:color w:val="000000" w:themeColor="text1"/>
                <w:sz w:val="24"/>
                <w:szCs w:val="24"/>
                <w:lang w:val="en-US" w:eastAsia="zh-CN"/>
                <w14:textFill>
                  <w14:solidFill>
                    <w14:schemeClr w14:val="tx1"/>
                  </w14:solidFill>
                </w14:textFill>
              </w:rPr>
              <w:t>玛纳斯县中医医院综合楼建设项目</w:t>
            </w:r>
            <w:r>
              <w:rPr>
                <w:rFonts w:ascii="Times New Roman" w:hAnsi="Times New Roman" w:cs="Times New Roman"/>
                <w:sz w:val="24"/>
              </w:rPr>
              <w:t>竣工环境保护验收监测报告》，</w:t>
            </w:r>
            <w:r>
              <w:rPr>
                <w:rFonts w:hint="eastAsia" w:cs="Times New Roman"/>
                <w:sz w:val="24"/>
                <w:lang w:val="en-US" w:eastAsia="zh-CN"/>
              </w:rPr>
              <w:t>玛纳斯县中医医院现有设施</w:t>
            </w:r>
            <w:r>
              <w:rPr>
                <w:rFonts w:ascii="Times New Roman" w:hAnsi="Times New Roman" w:cs="Times New Roman"/>
                <w:sz w:val="24"/>
              </w:rPr>
              <w:t>废水排放量为</w:t>
            </w:r>
            <w:r>
              <w:rPr>
                <w:rFonts w:hint="eastAsia" w:cs="Times New Roman"/>
                <w:sz w:val="24"/>
                <w:lang w:val="en-US" w:eastAsia="zh-CN"/>
              </w:rPr>
              <w:t>6200</w:t>
            </w:r>
            <w:r>
              <w:rPr>
                <w:rFonts w:ascii="Times New Roman" w:hAnsi="Times New Roman" w:cs="Times New Roman"/>
                <w:sz w:val="24"/>
              </w:rPr>
              <w:t>m</w:t>
            </w:r>
            <w:r>
              <w:rPr>
                <w:rFonts w:ascii="Times New Roman" w:hAnsi="Times New Roman" w:cs="Times New Roman"/>
                <w:sz w:val="24"/>
                <w:vertAlign w:val="superscript"/>
              </w:rPr>
              <w:t>3</w:t>
            </w:r>
            <w:r>
              <w:rPr>
                <w:rFonts w:ascii="Times New Roman" w:hAnsi="Times New Roman" w:cs="Times New Roman"/>
                <w:sz w:val="24"/>
              </w:rPr>
              <w:t>/</w:t>
            </w:r>
            <w:r>
              <w:rPr>
                <w:rFonts w:hint="eastAsia" w:cs="Times New Roman"/>
                <w:sz w:val="24"/>
                <w:lang w:val="en-US" w:eastAsia="zh-CN"/>
              </w:rPr>
              <w:t>a</w:t>
            </w:r>
            <w:r>
              <w:rPr>
                <w:rFonts w:ascii="Times New Roman" w:hAnsi="Times New Roman" w:cs="Times New Roman"/>
                <w:sz w:val="24"/>
              </w:rPr>
              <w:t>，</w:t>
            </w:r>
            <w:r>
              <w:rPr>
                <w:rFonts w:hint="eastAsia" w:cs="Times New Roman"/>
                <w:sz w:val="24"/>
                <w:lang w:val="en-US" w:eastAsia="zh-CN"/>
              </w:rPr>
              <w:t>经验收监测，</w:t>
            </w:r>
            <w:r>
              <w:rPr>
                <w:rFonts w:ascii="Times New Roman" w:hAnsi="Times New Roman" w:cs="Times New Roman"/>
                <w:sz w:val="24"/>
              </w:rPr>
              <w:t>污水站出口各监测因子均满足《医疗机构水污染物排放标准》（GB18466-2005）预处理标准限值要求；污水处理站</w:t>
            </w:r>
            <w:r>
              <w:rPr>
                <w:rFonts w:hint="eastAsia" w:cs="Times New Roman"/>
                <w:sz w:val="24"/>
                <w:lang w:val="en-US" w:eastAsia="zh-CN"/>
              </w:rPr>
              <w:t>厂</w:t>
            </w:r>
            <w:r>
              <w:rPr>
                <w:rFonts w:ascii="Times New Roman" w:hAnsi="Times New Roman" w:cs="Times New Roman"/>
                <w:sz w:val="24"/>
              </w:rPr>
              <w:t>界无组织硫化氢和氨满足</w:t>
            </w:r>
            <w:r>
              <w:rPr>
                <w:rFonts w:hint="eastAsia" w:cs="Times New Roman"/>
                <w:sz w:val="24"/>
                <w:lang w:eastAsia="zh-CN"/>
              </w:rPr>
              <w:t>《</w:t>
            </w:r>
            <w:r>
              <w:rPr>
                <w:rFonts w:ascii="Times New Roman" w:hAnsi="Times New Roman" w:cs="Times New Roman"/>
                <w:sz w:val="24"/>
              </w:rPr>
              <w:t>医疗机构水污染物排放标准》（GB18466-2005）</w:t>
            </w:r>
            <w:r>
              <w:rPr>
                <w:rFonts w:hint="eastAsia" w:cs="Times New Roman"/>
                <w:sz w:val="24"/>
                <w:lang w:val="en-US" w:eastAsia="zh-CN"/>
              </w:rPr>
              <w:t>表3浓度限值要求</w:t>
            </w:r>
            <w:r>
              <w:rPr>
                <w:rFonts w:ascii="Times New Roman" w:hAnsi="Times New Roman" w:cs="Times New Roman"/>
                <w:sz w:val="24"/>
              </w:rPr>
              <w:t>；厂界噪声满足《工业企业场界环境噪声排放标准》（GB12348-2008）中</w:t>
            </w:r>
            <w:r>
              <w:rPr>
                <w:rFonts w:hint="eastAsia" w:cs="Times New Roman"/>
                <w:sz w:val="24"/>
                <w:lang w:val="en-US" w:eastAsia="zh-CN"/>
              </w:rPr>
              <w:t>1类和4类</w:t>
            </w:r>
            <w:r>
              <w:rPr>
                <w:rFonts w:ascii="Times New Roman" w:hAnsi="Times New Roman" w:cs="Times New Roman"/>
                <w:sz w:val="24"/>
              </w:rPr>
              <w:t>标准要求。</w:t>
            </w:r>
          </w:p>
          <w:p>
            <w:pPr>
              <w:adjustRightInd w:val="0"/>
              <w:snapToGrid w:val="0"/>
              <w:spacing w:line="520" w:lineRule="exact"/>
              <w:ind w:firstLine="480" w:firstLineChars="200"/>
              <w:rPr>
                <w:rFonts w:ascii="Times New Roman" w:hAnsi="Times New Roman" w:cs="Times New Roman"/>
                <w:sz w:val="24"/>
              </w:rPr>
            </w:pPr>
            <w:r>
              <w:rPr>
                <w:rFonts w:ascii="Times New Roman" w:hAnsi="Times New Roman" w:cs="Times New Roman"/>
                <w:sz w:val="24"/>
              </w:rPr>
              <w:t>医疗垃圾分类收集，暂存于医疗废物暂存间内</w:t>
            </w:r>
            <w:r>
              <w:rPr>
                <w:rStyle w:val="34"/>
                <w:rFonts w:hint="eastAsia" w:cs="Times New Roman"/>
                <w:sz w:val="24"/>
                <w:szCs w:val="24"/>
              </w:rPr>
              <w:t>（位于</w:t>
            </w:r>
            <w:r>
              <w:rPr>
                <w:rStyle w:val="34"/>
                <w:rFonts w:hint="eastAsia" w:cs="Times New Roman"/>
                <w:sz w:val="24"/>
                <w:szCs w:val="24"/>
                <w:lang w:val="en-US" w:eastAsia="zh-CN"/>
              </w:rPr>
              <w:t>玛纳斯县中医医院</w:t>
            </w:r>
            <w:r>
              <w:rPr>
                <w:rStyle w:val="34"/>
                <w:rFonts w:hint="eastAsia" w:cs="Times New Roman"/>
                <w:sz w:val="24"/>
                <w:szCs w:val="24"/>
              </w:rPr>
              <w:t>院内</w:t>
            </w:r>
            <w:r>
              <w:rPr>
                <w:rStyle w:val="34"/>
                <w:rFonts w:hint="eastAsia" w:cs="Times New Roman"/>
                <w:sz w:val="24"/>
                <w:szCs w:val="24"/>
                <w:lang w:val="en-US" w:eastAsia="zh-CN"/>
              </w:rPr>
              <w:t>东</w:t>
            </w:r>
            <w:r>
              <w:rPr>
                <w:rStyle w:val="34"/>
                <w:rFonts w:hint="eastAsia" w:cs="Times New Roman"/>
                <w:sz w:val="24"/>
                <w:szCs w:val="24"/>
              </w:rPr>
              <w:t>侧，面积100m</w:t>
            </w:r>
            <w:r>
              <w:rPr>
                <w:rStyle w:val="34"/>
                <w:rFonts w:hint="eastAsia" w:cs="Times New Roman"/>
                <w:sz w:val="24"/>
                <w:szCs w:val="24"/>
                <w:vertAlign w:val="superscript"/>
              </w:rPr>
              <w:t>2</w:t>
            </w:r>
            <w:r>
              <w:rPr>
                <w:rStyle w:val="34"/>
                <w:rFonts w:hint="eastAsia" w:cs="Times New Roman"/>
                <w:sz w:val="24"/>
                <w:szCs w:val="24"/>
              </w:rPr>
              <w:t>）</w:t>
            </w:r>
            <w:r>
              <w:rPr>
                <w:rFonts w:ascii="Times New Roman" w:hAnsi="Times New Roman" w:cs="Times New Roman"/>
                <w:sz w:val="24"/>
              </w:rPr>
              <w:t>，交由</w:t>
            </w:r>
            <w:r>
              <w:rPr>
                <w:rFonts w:hint="eastAsia" w:cs="Times New Roman"/>
                <w:sz w:val="24"/>
                <w:lang w:val="en-US" w:eastAsia="zh-CN"/>
              </w:rPr>
              <w:t>有资质单位</w:t>
            </w:r>
            <w:r>
              <w:rPr>
                <w:rFonts w:ascii="Times New Roman" w:hAnsi="Times New Roman" w:cs="Times New Roman"/>
                <w:sz w:val="24"/>
              </w:rPr>
              <w:t>处置；</w:t>
            </w:r>
            <w:r>
              <w:rPr>
                <w:rFonts w:hint="eastAsia" w:cs="Times New Roman"/>
                <w:sz w:val="24"/>
                <w:lang w:val="en-US" w:eastAsia="zh-CN"/>
              </w:rPr>
              <w:t>验收监测期间</w:t>
            </w:r>
            <w:r>
              <w:rPr>
                <w:rFonts w:ascii="Times New Roman" w:hAnsi="Times New Roman" w:cs="Times New Roman"/>
                <w:sz w:val="24"/>
              </w:rPr>
              <w:t>污水处理站污泥</w:t>
            </w:r>
            <w:r>
              <w:rPr>
                <w:rFonts w:hint="eastAsia" w:cs="Times New Roman"/>
                <w:sz w:val="24"/>
                <w:lang w:val="en-US" w:eastAsia="zh-CN"/>
              </w:rPr>
              <w:t>尚未产生</w:t>
            </w:r>
            <w:r>
              <w:rPr>
                <w:rFonts w:ascii="Times New Roman" w:hAnsi="Times New Roman" w:cs="Times New Roman"/>
                <w:sz w:val="24"/>
              </w:rPr>
              <w:t>，生活垃圾交由</w:t>
            </w:r>
            <w:r>
              <w:rPr>
                <w:rFonts w:hint="eastAsia" w:cs="Times New Roman"/>
                <w:sz w:val="24"/>
                <w:lang w:val="en-US" w:eastAsia="zh-CN"/>
              </w:rPr>
              <w:t>玛纳斯</w:t>
            </w:r>
            <w:r>
              <w:rPr>
                <w:rFonts w:ascii="Times New Roman" w:hAnsi="Times New Roman" w:cs="Times New Roman"/>
                <w:sz w:val="24"/>
              </w:rPr>
              <w:t>县环卫部门进行处理。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2"/>
              </w:rPr>
            </w:pPr>
            <w:r>
              <w:rPr>
                <w:rFonts w:hint="eastAsia" w:cs="Times New Roman"/>
                <w:sz w:val="24"/>
                <w:szCs w:val="22"/>
                <w:lang w:val="en-US" w:eastAsia="zh-CN"/>
              </w:rPr>
              <w:t>根据</w:t>
            </w:r>
            <w:r>
              <w:rPr>
                <w:rFonts w:ascii="Times New Roman" w:hAnsi="Times New Roman" w:cs="Times New Roman"/>
                <w:sz w:val="24"/>
              </w:rPr>
              <w:t>《</w:t>
            </w:r>
            <w:r>
              <w:rPr>
                <w:rFonts w:hint="eastAsia" w:cs="Times New Roman"/>
                <w:color w:val="000000" w:themeColor="text1"/>
                <w:sz w:val="24"/>
                <w:szCs w:val="24"/>
                <w:lang w:val="en-US" w:eastAsia="zh-CN"/>
                <w14:textFill>
                  <w14:solidFill>
                    <w14:schemeClr w14:val="tx1"/>
                  </w14:solidFill>
                </w14:textFill>
              </w:rPr>
              <w:t>玛纳斯县中医医院综合楼建设项目</w:t>
            </w:r>
            <w:r>
              <w:rPr>
                <w:rFonts w:ascii="Times New Roman" w:hAnsi="Times New Roman" w:cs="Times New Roman"/>
                <w:sz w:val="24"/>
              </w:rPr>
              <w:t>竣工环境保护验收监测报告》</w:t>
            </w:r>
            <w:r>
              <w:rPr>
                <w:rFonts w:hint="eastAsia" w:ascii="Times New Roman" w:hAnsi="Times New Roman" w:cs="Times New Roman"/>
                <w:sz w:val="24"/>
                <w:lang w:val="en-US" w:eastAsia="zh-CN"/>
              </w:rPr>
              <w:t>监测数据核算，</w:t>
            </w:r>
            <w:r>
              <w:rPr>
                <w:rFonts w:hint="default" w:ascii="Times New Roman" w:hAnsi="Times New Roman" w:cs="Times New Roman"/>
                <w:sz w:val="24"/>
                <w:szCs w:val="22"/>
              </w:rPr>
              <w:t>现有工程</w:t>
            </w:r>
            <w:r>
              <w:rPr>
                <w:rFonts w:hint="eastAsia" w:cs="Times New Roman"/>
                <w:sz w:val="24"/>
                <w:szCs w:val="22"/>
                <w:lang w:eastAsia="zh-CN"/>
              </w:rPr>
              <w:t>“</w:t>
            </w:r>
            <w:r>
              <w:rPr>
                <w:rFonts w:hint="default" w:ascii="Times New Roman" w:hAnsi="Times New Roman" w:cs="Times New Roman"/>
                <w:sz w:val="24"/>
                <w:szCs w:val="22"/>
              </w:rPr>
              <w:t>三废</w:t>
            </w:r>
            <w:r>
              <w:rPr>
                <w:rFonts w:hint="eastAsia" w:cs="Times New Roman"/>
                <w:sz w:val="24"/>
                <w:szCs w:val="22"/>
                <w:lang w:eastAsia="zh-CN"/>
              </w:rPr>
              <w:t>”</w:t>
            </w:r>
            <w:r>
              <w:rPr>
                <w:rFonts w:hint="default" w:ascii="Times New Roman" w:hAnsi="Times New Roman" w:cs="Times New Roman"/>
                <w:sz w:val="24"/>
                <w:szCs w:val="22"/>
              </w:rPr>
              <w:t>产排情况见下表</w:t>
            </w:r>
            <w:r>
              <w:rPr>
                <w:rFonts w:hint="eastAsia" w:cs="Times New Roman"/>
                <w:sz w:val="24"/>
                <w:szCs w:val="22"/>
                <w:lang w:val="en-US" w:eastAsia="zh-CN"/>
              </w:rPr>
              <w:t>2-10</w:t>
            </w:r>
            <w:r>
              <w:rPr>
                <w:rFonts w:hint="default" w:ascii="Times New Roman" w:hAnsi="Times New Roman" w:cs="Times New Roman"/>
                <w:sz w:val="24"/>
                <w:szCs w:val="22"/>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pP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表</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2-10</w:t>
            </w: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 xml:space="preserve">    现有工程运行期</w:t>
            </w:r>
            <w:r>
              <w:rPr>
                <w:rFonts w:hint="eastAsia" w:eastAsia="黑体" w:cs="Times New Roman"/>
                <w:b w:val="0"/>
                <w:bCs/>
                <w:snapToGrid w:val="0"/>
                <w:color w:val="000000" w:themeColor="text1"/>
                <w:kern w:val="0"/>
                <w:sz w:val="24"/>
                <w:szCs w:val="24"/>
                <w:lang w:eastAsia="zh-CN"/>
                <w14:textFill>
                  <w14:solidFill>
                    <w14:schemeClr w14:val="tx1"/>
                  </w14:solidFill>
                </w14:textFill>
              </w:rPr>
              <w:t>“</w:t>
            </w: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三废</w:t>
            </w:r>
            <w:r>
              <w:rPr>
                <w:rFonts w:hint="eastAsia" w:eastAsia="黑体" w:cs="Times New Roman"/>
                <w:b w:val="0"/>
                <w:bCs/>
                <w:snapToGrid w:val="0"/>
                <w:color w:val="000000" w:themeColor="text1"/>
                <w:kern w:val="0"/>
                <w:sz w:val="24"/>
                <w:szCs w:val="24"/>
                <w:lang w:eastAsia="zh-CN"/>
                <w14:textFill>
                  <w14:solidFill>
                    <w14:schemeClr w14:val="tx1"/>
                  </w14:solidFill>
                </w14:textFill>
              </w:rPr>
              <w:t>”</w:t>
            </w: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产排情况汇总表</w:t>
            </w:r>
          </w:p>
          <w:tbl>
            <w:tblPr>
              <w:tblStyle w:val="28"/>
              <w:tblW w:w="813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05"/>
              <w:gridCol w:w="1195"/>
              <w:gridCol w:w="1394"/>
              <w:gridCol w:w="2318"/>
              <w:gridCol w:w="231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Align w:val="center"/>
                </w:tcPr>
                <w:p>
                  <w:pPr>
                    <w:jc w:val="center"/>
                    <w:rPr>
                      <w:rFonts w:hint="default" w:ascii="Times New Roman" w:hAnsi="Times New Roman" w:cs="Times New Roman"/>
                      <w:b/>
                      <w:szCs w:val="21"/>
                    </w:rPr>
                  </w:pPr>
                  <w:r>
                    <w:rPr>
                      <w:rFonts w:hint="default" w:ascii="Times New Roman" w:hAnsi="Times New Roman" w:cs="Times New Roman"/>
                      <w:b/>
                      <w:szCs w:val="21"/>
                    </w:rPr>
                    <w:t>类型</w:t>
                  </w:r>
                </w:p>
              </w:tc>
              <w:tc>
                <w:tcPr>
                  <w:tcW w:w="1195" w:type="dxa"/>
                  <w:vAlign w:val="center"/>
                </w:tcPr>
                <w:p>
                  <w:pPr>
                    <w:jc w:val="center"/>
                    <w:rPr>
                      <w:rFonts w:hint="default" w:ascii="Times New Roman" w:hAnsi="Times New Roman" w:cs="Times New Roman"/>
                      <w:b/>
                      <w:szCs w:val="21"/>
                    </w:rPr>
                  </w:pPr>
                  <w:r>
                    <w:rPr>
                      <w:rFonts w:hint="default" w:ascii="Times New Roman" w:hAnsi="Times New Roman" w:cs="Times New Roman"/>
                      <w:b/>
                      <w:szCs w:val="21"/>
                    </w:rPr>
                    <w:t>排放源</w:t>
                  </w:r>
                </w:p>
              </w:tc>
              <w:tc>
                <w:tcPr>
                  <w:tcW w:w="1394" w:type="dxa"/>
                  <w:vAlign w:val="center"/>
                </w:tcPr>
                <w:p>
                  <w:pPr>
                    <w:jc w:val="center"/>
                    <w:rPr>
                      <w:rFonts w:hint="default" w:ascii="Times New Roman" w:hAnsi="Times New Roman" w:cs="Times New Roman"/>
                      <w:b/>
                      <w:szCs w:val="21"/>
                    </w:rPr>
                  </w:pPr>
                  <w:r>
                    <w:rPr>
                      <w:rFonts w:hint="default" w:ascii="Times New Roman" w:hAnsi="Times New Roman" w:cs="Times New Roman"/>
                      <w:b/>
                      <w:szCs w:val="21"/>
                    </w:rPr>
                    <w:t>污染物名称</w:t>
                  </w:r>
                </w:p>
              </w:tc>
              <w:tc>
                <w:tcPr>
                  <w:tcW w:w="2318" w:type="dxa"/>
                  <w:vAlign w:val="center"/>
                </w:tcPr>
                <w:p>
                  <w:pPr>
                    <w:jc w:val="center"/>
                    <w:rPr>
                      <w:rFonts w:hint="default" w:ascii="Times New Roman" w:hAnsi="Times New Roman" w:cs="Times New Roman"/>
                      <w:b/>
                      <w:szCs w:val="21"/>
                    </w:rPr>
                  </w:pPr>
                  <w:r>
                    <w:rPr>
                      <w:rFonts w:hint="default" w:ascii="Times New Roman" w:hAnsi="Times New Roman" w:cs="Times New Roman"/>
                      <w:b/>
                      <w:szCs w:val="21"/>
                    </w:rPr>
                    <w:t>产生浓度及产生量</w:t>
                  </w:r>
                </w:p>
              </w:tc>
              <w:tc>
                <w:tcPr>
                  <w:tcW w:w="2318" w:type="dxa"/>
                  <w:vAlign w:val="center"/>
                </w:tcPr>
                <w:p>
                  <w:pPr>
                    <w:jc w:val="center"/>
                    <w:rPr>
                      <w:rFonts w:hint="default" w:ascii="Times New Roman" w:hAnsi="Times New Roman" w:cs="Times New Roman"/>
                      <w:b/>
                      <w:szCs w:val="21"/>
                    </w:rPr>
                  </w:pPr>
                  <w:r>
                    <w:rPr>
                      <w:rFonts w:hint="default" w:ascii="Times New Roman" w:hAnsi="Times New Roman" w:cs="Times New Roman"/>
                      <w:b/>
                      <w:szCs w:val="21"/>
                    </w:rPr>
                    <w:t>排放浓度及排放量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Merge w:val="restart"/>
                  <w:vAlign w:val="center"/>
                </w:tcPr>
                <w:p>
                  <w:pPr>
                    <w:jc w:val="both"/>
                    <w:rPr>
                      <w:rFonts w:hint="default" w:ascii="Times New Roman" w:hAnsi="Times New Roman" w:cs="Times New Roman"/>
                      <w:szCs w:val="21"/>
                    </w:rPr>
                  </w:pPr>
                  <w:r>
                    <w:rPr>
                      <w:rFonts w:hint="default" w:ascii="Times New Roman" w:hAnsi="Times New Roman" w:cs="Times New Roman"/>
                      <w:szCs w:val="21"/>
                    </w:rPr>
                    <w:t>水污</w:t>
                  </w:r>
                </w:p>
                <w:p>
                  <w:pPr>
                    <w:jc w:val="both"/>
                    <w:rPr>
                      <w:rFonts w:hint="default" w:ascii="Times New Roman" w:hAnsi="Times New Roman" w:cs="Times New Roman"/>
                      <w:szCs w:val="21"/>
                    </w:rPr>
                  </w:pPr>
                  <w:r>
                    <w:rPr>
                      <w:rFonts w:hint="default" w:ascii="Times New Roman" w:hAnsi="Times New Roman" w:cs="Times New Roman"/>
                      <w:szCs w:val="21"/>
                    </w:rPr>
                    <w:t>染物</w:t>
                  </w:r>
                </w:p>
              </w:tc>
              <w:tc>
                <w:tcPr>
                  <w:tcW w:w="1195" w:type="dxa"/>
                  <w:vMerge w:val="restart"/>
                  <w:vAlign w:val="center"/>
                </w:tcPr>
                <w:p>
                  <w:pPr>
                    <w:jc w:val="center"/>
                    <w:rPr>
                      <w:rFonts w:hint="default" w:ascii="Times New Roman" w:hAnsi="Times New Roman" w:cs="Times New Roman"/>
                      <w:szCs w:val="21"/>
                    </w:rPr>
                  </w:pPr>
                  <w:r>
                    <w:rPr>
                      <w:rFonts w:hint="default" w:ascii="Times New Roman" w:hAnsi="Times New Roman" w:cs="Times New Roman"/>
                      <w:szCs w:val="21"/>
                    </w:rPr>
                    <w:t>医院</w:t>
                  </w:r>
                </w:p>
                <w:p>
                  <w:pPr>
                    <w:jc w:val="center"/>
                    <w:rPr>
                      <w:rFonts w:hint="default" w:ascii="Times New Roman" w:hAnsi="Times New Roman" w:cs="Times New Roman"/>
                      <w:szCs w:val="21"/>
                    </w:rPr>
                  </w:pPr>
                  <w:r>
                    <w:rPr>
                      <w:rFonts w:hint="default" w:ascii="Times New Roman" w:hAnsi="Times New Roman" w:cs="Times New Roman"/>
                      <w:szCs w:val="21"/>
                    </w:rPr>
                    <w:t>污水</w:t>
                  </w: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废水量</w:t>
                  </w:r>
                </w:p>
              </w:tc>
              <w:tc>
                <w:tcPr>
                  <w:tcW w:w="2318" w:type="dxa"/>
                  <w:vAlign w:val="center"/>
                </w:tcPr>
                <w:p>
                  <w:pPr>
                    <w:jc w:val="center"/>
                    <w:rPr>
                      <w:rFonts w:hint="default" w:ascii="Times New Roman" w:hAnsi="Times New Roman" w:cs="Times New Roman"/>
                      <w:szCs w:val="21"/>
                    </w:rPr>
                  </w:pPr>
                  <w:r>
                    <w:rPr>
                      <w:rFonts w:hint="eastAsia" w:cs="Times New Roman"/>
                      <w:szCs w:val="21"/>
                      <w:lang w:val="en-US" w:eastAsia="zh-CN"/>
                    </w:rPr>
                    <w:t>6200</w:t>
                  </w:r>
                  <w:r>
                    <w:rPr>
                      <w:rFonts w:hint="default" w:ascii="Times New Roman" w:hAnsi="Times New Roman" w:cs="Times New Roman"/>
                      <w:szCs w:val="21"/>
                    </w:rPr>
                    <w:t>m</w:t>
                  </w:r>
                  <w:r>
                    <w:rPr>
                      <w:rFonts w:hint="default" w:ascii="Times New Roman" w:hAnsi="Times New Roman" w:cs="Times New Roman"/>
                      <w:szCs w:val="21"/>
                      <w:vertAlign w:val="superscript"/>
                    </w:rPr>
                    <w:t>3</w:t>
                  </w:r>
                  <w:r>
                    <w:rPr>
                      <w:rFonts w:hint="default" w:ascii="Times New Roman" w:hAnsi="Times New Roman" w:cs="Times New Roman"/>
                      <w:szCs w:val="21"/>
                    </w:rPr>
                    <w:t>/a</w:t>
                  </w:r>
                </w:p>
              </w:tc>
              <w:tc>
                <w:tcPr>
                  <w:tcW w:w="2318" w:type="dxa"/>
                  <w:vAlign w:val="center"/>
                </w:tcPr>
                <w:p>
                  <w:pPr>
                    <w:jc w:val="center"/>
                    <w:rPr>
                      <w:rFonts w:hint="default" w:ascii="Times New Roman" w:hAnsi="Times New Roman" w:cs="Times New Roman"/>
                      <w:szCs w:val="21"/>
                    </w:rPr>
                  </w:pPr>
                  <w:r>
                    <w:rPr>
                      <w:rFonts w:hint="eastAsia" w:cs="Times New Roman"/>
                      <w:szCs w:val="21"/>
                      <w:lang w:val="en-US" w:eastAsia="zh-CN"/>
                    </w:rPr>
                    <w:t>6200</w:t>
                  </w:r>
                  <w:r>
                    <w:rPr>
                      <w:rFonts w:hint="default" w:ascii="Times New Roman" w:hAnsi="Times New Roman" w:cs="Times New Roman"/>
                      <w:szCs w:val="21"/>
                    </w:rPr>
                    <w:t>m</w:t>
                  </w:r>
                  <w:r>
                    <w:rPr>
                      <w:rFonts w:hint="default" w:ascii="Times New Roman" w:hAnsi="Times New Roman" w:cs="Times New Roman"/>
                      <w:szCs w:val="21"/>
                      <w:vertAlign w:val="superscript"/>
                    </w:rPr>
                    <w:t>3</w:t>
                  </w:r>
                  <w:r>
                    <w:rPr>
                      <w:rFonts w:hint="default" w:ascii="Times New Roman" w:hAnsi="Times New Roman" w:cs="Times New Roman"/>
                      <w:szCs w:val="21"/>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Merge w:val="continue"/>
                  <w:vAlign w:val="center"/>
                </w:tcPr>
                <w:p>
                  <w:pPr>
                    <w:jc w:val="center"/>
                    <w:rPr>
                      <w:rFonts w:hint="default" w:ascii="Times New Roman" w:hAnsi="Times New Roman" w:cs="Times New Roman"/>
                      <w:szCs w:val="21"/>
                    </w:rPr>
                  </w:pPr>
                </w:p>
              </w:tc>
              <w:tc>
                <w:tcPr>
                  <w:tcW w:w="1195" w:type="dxa"/>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COD</w:t>
                  </w:r>
                  <w:r>
                    <w:rPr>
                      <w:rFonts w:hint="default" w:ascii="Times New Roman" w:hAnsi="Times New Roman" w:cs="Times New Roman"/>
                      <w:szCs w:val="21"/>
                      <w:vertAlign w:val="subscript"/>
                    </w:rPr>
                    <w:t>Cr</w:t>
                  </w:r>
                </w:p>
              </w:tc>
              <w:tc>
                <w:tcPr>
                  <w:tcW w:w="2318" w:type="dxa"/>
                  <w:vAlign w:val="center"/>
                </w:tcPr>
                <w:p>
                  <w:pPr>
                    <w:jc w:val="center"/>
                    <w:rPr>
                      <w:rFonts w:hint="default" w:ascii="Times New Roman" w:hAnsi="Times New Roman" w:cs="Times New Roman"/>
                      <w:szCs w:val="21"/>
                    </w:rPr>
                  </w:pPr>
                  <w:r>
                    <w:rPr>
                      <w:rFonts w:hint="eastAsia" w:cs="Times New Roman"/>
                      <w:szCs w:val="21"/>
                      <w:lang w:val="en-US" w:eastAsia="zh-CN"/>
                    </w:rPr>
                    <w:t>550</w:t>
                  </w:r>
                  <w:r>
                    <w:rPr>
                      <w:rFonts w:hint="default" w:ascii="Times New Roman" w:hAnsi="Times New Roman" w:cs="Times New Roman"/>
                      <w:szCs w:val="21"/>
                    </w:rPr>
                    <w:t>mg/L；</w:t>
                  </w:r>
                  <w:r>
                    <w:rPr>
                      <w:rFonts w:hint="eastAsia" w:cs="Times New Roman"/>
                      <w:szCs w:val="21"/>
                      <w:lang w:val="en-US" w:eastAsia="zh-CN"/>
                    </w:rPr>
                    <w:t>3.41</w:t>
                  </w:r>
                  <w:r>
                    <w:rPr>
                      <w:rFonts w:hint="default" w:ascii="Times New Roman" w:hAnsi="Times New Roman" w:cs="Times New Roman"/>
                      <w:szCs w:val="21"/>
                    </w:rPr>
                    <w:t>t/a</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112</w:t>
                  </w:r>
                  <w:r>
                    <w:rPr>
                      <w:rFonts w:hint="default" w:ascii="Times New Roman" w:hAnsi="Times New Roman" w:cs="Times New Roman"/>
                      <w:color w:val="000000" w:themeColor="text1"/>
                      <w:szCs w:val="21"/>
                      <w14:textFill>
                        <w14:solidFill>
                          <w14:schemeClr w14:val="tx1"/>
                        </w14:solidFill>
                      </w14:textFill>
                    </w:rPr>
                    <w:t>mg/L；</w:t>
                  </w:r>
                  <w:r>
                    <w:rPr>
                      <w:rFonts w:hint="eastAsia" w:cs="Times New Roman"/>
                      <w:color w:val="000000" w:themeColor="text1"/>
                      <w:szCs w:val="21"/>
                      <w:lang w:val="en-US" w:eastAsia="zh-CN"/>
                      <w14:textFill>
                        <w14:solidFill>
                          <w14:schemeClr w14:val="tx1"/>
                        </w14:solidFill>
                      </w14:textFill>
                    </w:rPr>
                    <w:t>0.0744</w:t>
                  </w:r>
                  <w:r>
                    <w:rPr>
                      <w:rFonts w:hint="default" w:ascii="Times New Roman" w:hAnsi="Times New Roman" w:cs="Times New Roman"/>
                      <w:color w:val="000000" w:themeColor="text1"/>
                      <w:szCs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Merge w:val="continue"/>
                  <w:vAlign w:val="center"/>
                </w:tcPr>
                <w:p>
                  <w:pPr>
                    <w:jc w:val="center"/>
                    <w:rPr>
                      <w:rFonts w:hint="default" w:ascii="Times New Roman" w:hAnsi="Times New Roman" w:cs="Times New Roman"/>
                      <w:szCs w:val="21"/>
                    </w:rPr>
                  </w:pPr>
                </w:p>
              </w:tc>
              <w:tc>
                <w:tcPr>
                  <w:tcW w:w="1195" w:type="dxa"/>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BOD</w:t>
                  </w:r>
                  <w:r>
                    <w:rPr>
                      <w:rFonts w:hint="default" w:ascii="Times New Roman" w:hAnsi="Times New Roman" w:cs="Times New Roman"/>
                      <w:szCs w:val="21"/>
                      <w:vertAlign w:val="subscript"/>
                    </w:rPr>
                    <w:t>5</w:t>
                  </w:r>
                </w:p>
              </w:tc>
              <w:tc>
                <w:tcPr>
                  <w:tcW w:w="2318"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150mg/L；</w:t>
                  </w:r>
                  <w:r>
                    <w:rPr>
                      <w:rFonts w:hint="eastAsia" w:cs="Times New Roman"/>
                      <w:szCs w:val="21"/>
                      <w:lang w:val="en-US" w:eastAsia="zh-CN"/>
                    </w:rPr>
                    <w:t>0.93</w:t>
                  </w:r>
                  <w:r>
                    <w:rPr>
                      <w:rFonts w:hint="default" w:ascii="Times New Roman" w:hAnsi="Times New Roman" w:cs="Times New Roman"/>
                      <w:szCs w:val="21"/>
                    </w:rPr>
                    <w:t>t/a</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58</w:t>
                  </w:r>
                  <w:r>
                    <w:rPr>
                      <w:rFonts w:hint="default" w:ascii="Times New Roman" w:hAnsi="Times New Roman" w:cs="Times New Roman"/>
                      <w:color w:val="000000" w:themeColor="text1"/>
                      <w:szCs w:val="21"/>
                      <w14:textFill>
                        <w14:solidFill>
                          <w14:schemeClr w14:val="tx1"/>
                        </w14:solidFill>
                      </w14:textFill>
                    </w:rPr>
                    <w:t>mg/L；</w:t>
                  </w:r>
                  <w:r>
                    <w:rPr>
                      <w:rFonts w:hint="eastAsia" w:cs="Times New Roman"/>
                      <w:color w:val="000000" w:themeColor="text1"/>
                      <w:szCs w:val="21"/>
                      <w:lang w:val="en-US" w:eastAsia="zh-CN"/>
                      <w14:textFill>
                        <w14:solidFill>
                          <w14:schemeClr w14:val="tx1"/>
                        </w14:solidFill>
                      </w14:textFill>
                    </w:rPr>
                    <w:t>0.360</w:t>
                  </w:r>
                  <w:r>
                    <w:rPr>
                      <w:rFonts w:hint="default" w:ascii="Times New Roman" w:hAnsi="Times New Roman" w:cs="Times New Roman"/>
                      <w:color w:val="000000" w:themeColor="text1"/>
                      <w:szCs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Merge w:val="continue"/>
                  <w:vAlign w:val="center"/>
                </w:tcPr>
                <w:p>
                  <w:pPr>
                    <w:jc w:val="center"/>
                    <w:rPr>
                      <w:rFonts w:hint="default" w:ascii="Times New Roman" w:hAnsi="Times New Roman" w:cs="Times New Roman"/>
                      <w:szCs w:val="21"/>
                    </w:rPr>
                  </w:pPr>
                </w:p>
              </w:tc>
              <w:tc>
                <w:tcPr>
                  <w:tcW w:w="1195" w:type="dxa"/>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SS</w:t>
                  </w:r>
                </w:p>
              </w:tc>
              <w:tc>
                <w:tcPr>
                  <w:tcW w:w="2318"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200mg/L；</w:t>
                  </w:r>
                  <w:r>
                    <w:rPr>
                      <w:rFonts w:hint="eastAsia" w:cs="Times New Roman"/>
                      <w:szCs w:val="21"/>
                      <w:lang w:val="en-US" w:eastAsia="zh-CN"/>
                    </w:rPr>
                    <w:t>1.24</w:t>
                  </w:r>
                  <w:r>
                    <w:rPr>
                      <w:rFonts w:hint="default" w:ascii="Times New Roman" w:hAnsi="Times New Roman" w:cs="Times New Roman"/>
                      <w:szCs w:val="21"/>
                    </w:rPr>
                    <w:t>t/a</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4</w:t>
                  </w:r>
                  <w:r>
                    <w:rPr>
                      <w:rFonts w:hint="default" w:ascii="Times New Roman" w:hAnsi="Times New Roman" w:cs="Times New Roman"/>
                      <w:color w:val="000000" w:themeColor="text1"/>
                      <w:szCs w:val="21"/>
                      <w14:textFill>
                        <w14:solidFill>
                          <w14:schemeClr w14:val="tx1"/>
                        </w14:solidFill>
                      </w14:textFill>
                    </w:rPr>
                    <w:t>mg/L；</w:t>
                  </w:r>
                  <w:r>
                    <w:rPr>
                      <w:rFonts w:hint="eastAsia" w:cs="Times New Roman"/>
                      <w:color w:val="000000" w:themeColor="text1"/>
                      <w:szCs w:val="21"/>
                      <w:lang w:val="en-US" w:eastAsia="zh-CN"/>
                      <w14:textFill>
                        <w14:solidFill>
                          <w14:schemeClr w14:val="tx1"/>
                        </w14:solidFill>
                      </w14:textFill>
                    </w:rPr>
                    <w:t>0.0248</w:t>
                  </w:r>
                  <w:r>
                    <w:rPr>
                      <w:rFonts w:hint="default" w:ascii="Times New Roman" w:hAnsi="Times New Roman" w:cs="Times New Roman"/>
                      <w:color w:val="000000" w:themeColor="text1"/>
                      <w:szCs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Merge w:val="continue"/>
                  <w:vAlign w:val="center"/>
                </w:tcPr>
                <w:p>
                  <w:pPr>
                    <w:jc w:val="center"/>
                    <w:rPr>
                      <w:rFonts w:hint="default" w:ascii="Times New Roman" w:hAnsi="Times New Roman" w:cs="Times New Roman"/>
                      <w:szCs w:val="21"/>
                    </w:rPr>
                  </w:pPr>
                </w:p>
              </w:tc>
              <w:tc>
                <w:tcPr>
                  <w:tcW w:w="1195" w:type="dxa"/>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氨氮</w:t>
                  </w:r>
                </w:p>
              </w:tc>
              <w:tc>
                <w:tcPr>
                  <w:tcW w:w="2318"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3</w:t>
                  </w:r>
                  <w:r>
                    <w:rPr>
                      <w:rFonts w:hint="eastAsia" w:cs="Times New Roman"/>
                      <w:szCs w:val="21"/>
                      <w:lang w:val="en-US" w:eastAsia="zh-CN"/>
                    </w:rPr>
                    <w:t>0</w:t>
                  </w:r>
                  <w:r>
                    <w:rPr>
                      <w:rFonts w:hint="default" w:ascii="Times New Roman" w:hAnsi="Times New Roman" w:cs="Times New Roman"/>
                      <w:szCs w:val="21"/>
                    </w:rPr>
                    <w:t>mg/L；</w:t>
                  </w:r>
                  <w:r>
                    <w:rPr>
                      <w:rFonts w:hint="eastAsia" w:cs="Times New Roman"/>
                      <w:szCs w:val="21"/>
                      <w:lang w:val="en-US" w:eastAsia="zh-CN"/>
                    </w:rPr>
                    <w:t>0.732</w:t>
                  </w:r>
                  <w:r>
                    <w:rPr>
                      <w:rFonts w:hint="default" w:ascii="Times New Roman" w:hAnsi="Times New Roman" w:cs="Times New Roman"/>
                      <w:szCs w:val="21"/>
                    </w:rPr>
                    <w:t>t/a</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0.02</w:t>
                  </w:r>
                  <w:r>
                    <w:rPr>
                      <w:rFonts w:hint="default" w:ascii="Times New Roman" w:hAnsi="Times New Roman" w:cs="Times New Roman"/>
                      <w:color w:val="000000" w:themeColor="text1"/>
                      <w:szCs w:val="21"/>
                      <w14:textFill>
                        <w14:solidFill>
                          <w14:schemeClr w14:val="tx1"/>
                        </w14:solidFill>
                      </w14:textFill>
                    </w:rPr>
                    <w:t>mg/L；</w:t>
                  </w:r>
                  <w:r>
                    <w:rPr>
                      <w:rFonts w:hint="eastAsia" w:cs="Times New Roman"/>
                      <w:color w:val="000000" w:themeColor="text1"/>
                      <w:szCs w:val="21"/>
                      <w:lang w:val="en-US" w:eastAsia="zh-CN"/>
                      <w14:textFill>
                        <w14:solidFill>
                          <w14:schemeClr w14:val="tx1"/>
                        </w14:solidFill>
                      </w14:textFill>
                    </w:rPr>
                    <w:t>0.366</w:t>
                  </w:r>
                  <w:r>
                    <w:rPr>
                      <w:rFonts w:hint="default" w:ascii="Times New Roman" w:hAnsi="Times New Roman" w:cs="Times New Roman"/>
                      <w:color w:val="000000" w:themeColor="text1"/>
                      <w:szCs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Merge w:val="continue"/>
                  <w:vAlign w:val="center"/>
                </w:tcPr>
                <w:p>
                  <w:pPr>
                    <w:jc w:val="center"/>
                    <w:rPr>
                      <w:rFonts w:hint="default" w:ascii="Times New Roman" w:hAnsi="Times New Roman" w:cs="Times New Roman"/>
                      <w:szCs w:val="21"/>
                    </w:rPr>
                  </w:pPr>
                </w:p>
              </w:tc>
              <w:tc>
                <w:tcPr>
                  <w:tcW w:w="1195" w:type="dxa"/>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粪大肠菌群</w:t>
                  </w:r>
                </w:p>
              </w:tc>
              <w:tc>
                <w:tcPr>
                  <w:tcW w:w="2318"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1.7×10</w:t>
                  </w:r>
                  <w:r>
                    <w:rPr>
                      <w:rFonts w:hint="default" w:ascii="Times New Roman" w:hAnsi="Times New Roman" w:cs="Times New Roman"/>
                      <w:szCs w:val="21"/>
                      <w:vertAlign w:val="superscript"/>
                    </w:rPr>
                    <w:t>12</w:t>
                  </w:r>
                  <w:r>
                    <w:rPr>
                      <w:rFonts w:hint="default" w:ascii="Times New Roman" w:hAnsi="Times New Roman" w:cs="Times New Roman"/>
                      <w:szCs w:val="21"/>
                    </w:rPr>
                    <w:t>个/a</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630</w:t>
                  </w:r>
                  <w:r>
                    <w:rPr>
                      <w:rFonts w:hint="default" w:ascii="Times New Roman" w:hAnsi="Times New Roman" w:cs="Times New Roman"/>
                      <w:color w:val="000000" w:themeColor="text1"/>
                      <w:szCs w:val="21"/>
                      <w:lang w:val="en-US" w:eastAsia="zh-CN"/>
                      <w14:textFill>
                        <w14:solidFill>
                          <w14:schemeClr w14:val="tx1"/>
                        </w14:solidFill>
                      </w14:textFill>
                    </w:rPr>
                    <w:t>MPN/L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05" w:type="dxa"/>
                  <w:vMerge w:val="continue"/>
                  <w:vAlign w:val="center"/>
                </w:tcPr>
                <w:p>
                  <w:pPr>
                    <w:jc w:val="center"/>
                    <w:rPr>
                      <w:rFonts w:hint="default" w:ascii="Times New Roman" w:hAnsi="Times New Roman" w:cs="Times New Roman"/>
                      <w:szCs w:val="21"/>
                    </w:rPr>
                  </w:pPr>
                </w:p>
              </w:tc>
              <w:tc>
                <w:tcPr>
                  <w:tcW w:w="1195" w:type="dxa"/>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余氯</w:t>
                  </w:r>
                </w:p>
              </w:tc>
              <w:tc>
                <w:tcPr>
                  <w:tcW w:w="2318"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0.02</w:t>
                  </w:r>
                  <w:r>
                    <w:rPr>
                      <w:rFonts w:hint="default" w:ascii="Times New Roman" w:hAnsi="Times New Roman" w:cs="Times New Roman"/>
                      <w:color w:val="000000" w:themeColor="text1"/>
                      <w:szCs w:val="21"/>
                      <w14:textFill>
                        <w14:solidFill>
                          <w14:schemeClr w14:val="tx1"/>
                        </w14:solidFill>
                      </w14:textFill>
                    </w:rPr>
                    <w:t>mg/L；</w:t>
                  </w:r>
                  <w:r>
                    <w:rPr>
                      <w:rFonts w:hint="eastAsia" w:cs="Times New Roman"/>
                      <w:color w:val="000000" w:themeColor="text1"/>
                      <w:szCs w:val="21"/>
                      <w:lang w:val="en-US" w:eastAsia="zh-CN"/>
                      <w14:textFill>
                        <w14:solidFill>
                          <w14:schemeClr w14:val="tx1"/>
                        </w14:solidFill>
                      </w14:textFill>
                    </w:rPr>
                    <w:t>0.00012</w:t>
                  </w:r>
                  <w:r>
                    <w:rPr>
                      <w:rFonts w:hint="default" w:ascii="Times New Roman" w:hAnsi="Times New Roman" w:cs="Times New Roman"/>
                      <w:color w:val="000000" w:themeColor="text1"/>
                      <w:szCs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00" w:type="dxa"/>
                  <w:gridSpan w:val="2"/>
                  <w:vMerge w:val="restart"/>
                  <w:vAlign w:val="center"/>
                </w:tcPr>
                <w:p>
                  <w:pPr>
                    <w:jc w:val="center"/>
                    <w:rPr>
                      <w:rFonts w:hint="default" w:ascii="Times New Roman" w:hAnsi="Times New Roman" w:cs="Times New Roman"/>
                      <w:szCs w:val="21"/>
                    </w:rPr>
                  </w:pPr>
                  <w:r>
                    <w:rPr>
                      <w:rFonts w:hint="default" w:ascii="Times New Roman" w:hAnsi="Times New Roman" w:cs="Times New Roman"/>
                      <w:szCs w:val="21"/>
                    </w:rPr>
                    <w:t>固废</w:t>
                  </w: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医疗废物</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4.25</w:t>
                  </w:r>
                  <w:r>
                    <w:rPr>
                      <w:rFonts w:hint="default" w:ascii="Times New Roman" w:hAnsi="Times New Roman" w:cs="Times New Roman"/>
                      <w:color w:val="000000" w:themeColor="text1"/>
                      <w:szCs w:val="21"/>
                      <w14:textFill>
                        <w14:solidFill>
                          <w14:schemeClr w14:val="tx1"/>
                        </w14:solidFill>
                      </w14:textFill>
                    </w:rPr>
                    <w:t>t/a</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5" w:hRule="atLeast"/>
                <w:jc w:val="center"/>
              </w:trPr>
              <w:tc>
                <w:tcPr>
                  <w:tcW w:w="2100" w:type="dxa"/>
                  <w:gridSpan w:val="2"/>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污泥（干基）</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w:t>
                  </w:r>
                </w:p>
              </w:tc>
              <w:tc>
                <w:tcPr>
                  <w:tcW w:w="2318" w:type="dxa"/>
                  <w:vAlign w:val="center"/>
                </w:tcPr>
                <w:p>
                  <w:pPr>
                    <w:jc w:val="center"/>
                    <w:rPr>
                      <w:rFonts w:hint="default" w:ascii="Times New Roman" w:hAnsi="Times New Roman" w:cs="Times New Roman"/>
                      <w:color w:val="000000" w:themeColor="text1"/>
                      <w:szCs w:val="21"/>
                      <w14:textFill>
                        <w14:solidFill>
                          <w14:schemeClr w14:val="tx1"/>
                        </w14:solidFill>
                      </w14:textFill>
                    </w:rPr>
                  </w:pPr>
                  <w:r>
                    <w:rPr>
                      <w:rFonts w:hint="eastAsia" w:cs="Times New Roman"/>
                      <w:color w:val="000000" w:themeColor="text1"/>
                      <w:szCs w:val="21"/>
                      <w:lang w:val="en-US" w:eastAsia="zh-CN"/>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00" w:type="dxa"/>
                  <w:gridSpan w:val="2"/>
                  <w:vMerge w:val="continue"/>
                  <w:vAlign w:val="center"/>
                </w:tcPr>
                <w:p>
                  <w:pPr>
                    <w:jc w:val="center"/>
                    <w:rPr>
                      <w:rFonts w:hint="default" w:ascii="Times New Roman" w:hAnsi="Times New Roman" w:cs="Times New Roman"/>
                      <w:szCs w:val="21"/>
                    </w:rPr>
                  </w:pPr>
                </w:p>
              </w:tc>
              <w:tc>
                <w:tcPr>
                  <w:tcW w:w="13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生活垃圾</w:t>
                  </w:r>
                </w:p>
              </w:tc>
              <w:tc>
                <w:tcPr>
                  <w:tcW w:w="2318" w:type="dxa"/>
                  <w:vAlign w:val="center"/>
                </w:tcPr>
                <w:p>
                  <w:pPr>
                    <w:jc w:val="center"/>
                    <w:rPr>
                      <w:rFonts w:hint="default" w:ascii="Times New Roman" w:hAnsi="Times New Roman" w:cs="Times New Roman"/>
                      <w:szCs w:val="21"/>
                    </w:rPr>
                  </w:pPr>
                  <w:r>
                    <w:rPr>
                      <w:rFonts w:hint="eastAsia" w:cs="Times New Roman"/>
                      <w:szCs w:val="21"/>
                      <w:lang w:val="en-US" w:eastAsia="zh-CN"/>
                    </w:rPr>
                    <w:t>100</w:t>
                  </w:r>
                  <w:r>
                    <w:rPr>
                      <w:rFonts w:hint="default" w:ascii="Times New Roman" w:hAnsi="Times New Roman" w:cs="Times New Roman"/>
                      <w:szCs w:val="21"/>
                    </w:rPr>
                    <w:t>t/a</w:t>
                  </w:r>
                </w:p>
              </w:tc>
              <w:tc>
                <w:tcPr>
                  <w:tcW w:w="2318" w:type="dxa"/>
                  <w:vAlign w:val="center"/>
                </w:tcPr>
                <w:p>
                  <w:pPr>
                    <w:jc w:val="center"/>
                    <w:rPr>
                      <w:rFonts w:hint="default" w:ascii="Times New Roman" w:hAnsi="Times New Roman" w:cs="Times New Roman"/>
                      <w:szCs w:val="21"/>
                    </w:rPr>
                  </w:pPr>
                  <w:r>
                    <w:rPr>
                      <w:rFonts w:hint="eastAsia" w:cs="Times New Roman"/>
                      <w:szCs w:val="21"/>
                      <w:lang w:val="en-US" w:eastAsia="zh-CN"/>
                    </w:rPr>
                    <w:t>0</w:t>
                  </w:r>
                </w:p>
              </w:tc>
            </w:tr>
          </w:tbl>
          <w:p>
            <w:pPr>
              <w:spacing w:line="520" w:lineRule="exact"/>
              <w:ind w:firstLine="480" w:firstLineChars="200"/>
              <w:rPr>
                <w:rFonts w:hint="default" w:ascii="Times New Roman" w:hAnsi="Times New Roman" w:cs="Times New Roman"/>
                <w:b w:val="0"/>
                <w:bCs/>
                <w:sz w:val="24"/>
              </w:rPr>
            </w:pPr>
            <w:bookmarkStart w:id="8" w:name="_Toc425505298"/>
            <w:bookmarkStart w:id="9" w:name="_Toc511041892"/>
            <w:bookmarkStart w:id="10" w:name="_Toc17767"/>
            <w:r>
              <w:rPr>
                <w:rFonts w:hint="eastAsia" w:cs="Times New Roman"/>
                <w:b w:val="0"/>
                <w:bCs/>
                <w:sz w:val="24"/>
                <w:lang w:eastAsia="zh-CN"/>
              </w:rPr>
              <w:t>（</w:t>
            </w:r>
            <w:r>
              <w:rPr>
                <w:rFonts w:hint="eastAsia" w:cs="Times New Roman"/>
                <w:b w:val="0"/>
                <w:bCs/>
                <w:sz w:val="24"/>
                <w:lang w:val="en-US" w:eastAsia="zh-CN"/>
              </w:rPr>
              <w:t>4</w:t>
            </w:r>
            <w:r>
              <w:rPr>
                <w:rFonts w:hint="eastAsia" w:cs="Times New Roman"/>
                <w:b w:val="0"/>
                <w:bCs/>
                <w:sz w:val="24"/>
                <w:lang w:eastAsia="zh-CN"/>
              </w:rPr>
              <w:t>）</w:t>
            </w:r>
            <w:r>
              <w:rPr>
                <w:rFonts w:hint="eastAsia" w:cs="Times New Roman"/>
                <w:b w:val="0"/>
                <w:bCs/>
                <w:sz w:val="24"/>
                <w:lang w:val="en-US" w:eastAsia="zh-CN"/>
              </w:rPr>
              <w:t>玛纳斯县中医医院现有</w:t>
            </w:r>
            <w:r>
              <w:rPr>
                <w:rFonts w:hint="default" w:ascii="Times New Roman" w:hAnsi="Times New Roman" w:cs="Times New Roman"/>
                <w:b w:val="0"/>
                <w:bCs/>
                <w:sz w:val="24"/>
              </w:rPr>
              <w:t>遗留环境问题</w:t>
            </w:r>
          </w:p>
          <w:p>
            <w:pPr>
              <w:pStyle w:val="39"/>
              <w:keepNext w:val="0"/>
              <w:keepLines w:val="0"/>
              <w:pageBreakBefore w:val="0"/>
              <w:widowControl/>
              <w:kinsoku/>
              <w:wordWrap/>
              <w:overflowPunct/>
              <w:topLinePunct w:val="0"/>
              <w:autoSpaceDE/>
              <w:autoSpaceDN/>
              <w:bidi w:val="0"/>
              <w:adjustRightInd/>
              <w:snapToGrid/>
              <w:spacing w:line="520" w:lineRule="exact"/>
              <w:ind w:left="0" w:firstLine="480" w:firstLineChars="200"/>
              <w:jc w:val="both"/>
              <w:textAlignment w:val="auto"/>
              <w:rPr>
                <w:rFonts w:hint="default" w:ascii="Times New Roman" w:hAnsi="Times New Roman" w:eastAsia="宋体" w:cs="Times New Roman"/>
                <w:bCs/>
                <w:sz w:val="24"/>
                <w:szCs w:val="24"/>
              </w:rPr>
            </w:pPr>
            <w:r>
              <w:rPr>
                <w:rFonts w:hint="eastAsia" w:ascii="Times New Roman" w:hAnsi="Times New Roman" w:cs="Times New Roman"/>
                <w:bCs/>
                <w:sz w:val="24"/>
                <w:szCs w:val="24"/>
                <w:lang w:val="en-US" w:eastAsia="zh-CN"/>
              </w:rPr>
              <w:t>中医医院</w:t>
            </w:r>
            <w:r>
              <w:rPr>
                <w:rFonts w:hint="default" w:ascii="Times New Roman" w:hAnsi="Times New Roman" w:eastAsia="宋体" w:cs="Times New Roman"/>
                <w:bCs/>
                <w:sz w:val="24"/>
                <w:szCs w:val="24"/>
              </w:rPr>
              <w:t>现有的</w:t>
            </w:r>
            <w:r>
              <w:rPr>
                <w:rFonts w:hint="eastAsia" w:ascii="Times New Roman" w:hAnsi="Times New Roman" w:cs="Times New Roman"/>
                <w:bCs/>
                <w:sz w:val="24"/>
                <w:szCs w:val="24"/>
                <w:lang w:val="en-US" w:eastAsia="zh-CN"/>
              </w:rPr>
              <w:t>污水处理设施未安装恶臭气体收集处理设施，恶臭气体为无组织排放</w:t>
            </w:r>
            <w:r>
              <w:rPr>
                <w:rFonts w:hint="default" w:ascii="Times New Roman" w:hAnsi="Times New Roman" w:eastAsia="宋体" w:cs="Times New Roman"/>
                <w:bCs/>
                <w:sz w:val="24"/>
                <w:szCs w:val="24"/>
              </w:rPr>
              <w:t>。</w:t>
            </w:r>
          </w:p>
          <w:p>
            <w:pPr>
              <w:spacing w:line="520" w:lineRule="exact"/>
              <w:ind w:firstLine="480" w:firstLineChars="200"/>
              <w:rPr>
                <w:rFonts w:hint="default" w:ascii="Times New Roman" w:hAnsi="Times New Roman" w:cs="Times New Roman"/>
                <w:b w:val="0"/>
                <w:bCs/>
                <w:sz w:val="24"/>
              </w:rPr>
            </w:pPr>
            <w:r>
              <w:rPr>
                <w:rFonts w:hint="eastAsia" w:cs="Times New Roman"/>
                <w:b w:val="0"/>
                <w:bCs/>
                <w:sz w:val="24"/>
                <w:lang w:eastAsia="zh-CN"/>
              </w:rPr>
              <w:t>（</w:t>
            </w:r>
            <w:r>
              <w:rPr>
                <w:rFonts w:hint="eastAsia" w:cs="Times New Roman"/>
                <w:b w:val="0"/>
                <w:bCs/>
                <w:sz w:val="24"/>
                <w:lang w:val="en-US" w:eastAsia="zh-CN"/>
              </w:rPr>
              <w:t>5</w:t>
            </w:r>
            <w:r>
              <w:rPr>
                <w:rFonts w:hint="eastAsia" w:cs="Times New Roman"/>
                <w:b w:val="0"/>
                <w:bCs/>
                <w:sz w:val="24"/>
                <w:lang w:eastAsia="zh-CN"/>
              </w:rPr>
              <w:t>）</w:t>
            </w:r>
            <w:r>
              <w:rPr>
                <w:rFonts w:hint="eastAsia" w:cs="Times New Roman"/>
                <w:b w:val="0"/>
                <w:bCs/>
                <w:sz w:val="24"/>
                <w:lang w:val="en-US" w:eastAsia="zh-CN"/>
              </w:rPr>
              <w:t>现</w:t>
            </w:r>
            <w:r>
              <w:rPr>
                <w:rFonts w:hint="default" w:ascii="Times New Roman" w:hAnsi="Times New Roman" w:cs="Times New Roman"/>
                <w:b w:val="0"/>
                <w:bCs/>
                <w:sz w:val="24"/>
              </w:rPr>
              <w:t>有遗留环境问题的解决措施</w:t>
            </w:r>
          </w:p>
          <w:p>
            <w:pPr>
              <w:pStyle w:val="39"/>
              <w:widowControl/>
              <w:spacing w:line="520" w:lineRule="exact"/>
              <w:ind w:firstLine="480" w:firstLineChars="200"/>
              <w:jc w:val="both"/>
              <w:rPr>
                <w:rFonts w:hint="eastAsia" w:ascii="Times New Roman" w:hAnsi="Times New Roman" w:cs="Times New Roman"/>
                <w:bCs/>
                <w:sz w:val="24"/>
                <w:szCs w:val="24"/>
                <w:lang w:val="en-US" w:eastAsia="zh-CN"/>
              </w:rPr>
            </w:pPr>
            <w:r>
              <w:rPr>
                <w:rFonts w:hint="eastAsia" w:ascii="Times New Roman" w:hAnsi="Times New Roman" w:cs="Times New Roman"/>
                <w:bCs/>
                <w:sz w:val="24"/>
                <w:szCs w:val="24"/>
                <w:lang w:val="en-US" w:eastAsia="zh-CN"/>
              </w:rPr>
              <w:t>中医医院院污水处理站产生的恶臭气体由收集系统收集后经生物除臭装置，经处理后氨、硫化氢的排放浓度应满足</w:t>
            </w:r>
            <w:r>
              <w:rPr>
                <w:rFonts w:ascii="Times New Roman" w:hAnsi="Times New Roman"/>
                <w:bCs/>
                <w:sz w:val="24"/>
                <w:szCs w:val="21"/>
              </w:rPr>
              <w:t>《恶臭污染物排放标准》（</w:t>
            </w:r>
            <w:r>
              <w:rPr>
                <w:rFonts w:hint="default" w:ascii="Times New Roman" w:hAnsi="Times New Roman" w:cs="Times New Roman"/>
                <w:bCs/>
                <w:sz w:val="24"/>
                <w:szCs w:val="21"/>
              </w:rPr>
              <w:t>GB14554-1993</w:t>
            </w:r>
            <w:r>
              <w:rPr>
                <w:rFonts w:ascii="Times New Roman" w:hAnsi="Times New Roman"/>
                <w:bCs/>
                <w:sz w:val="24"/>
                <w:szCs w:val="21"/>
              </w:rPr>
              <w:t>）表</w:t>
            </w:r>
            <w:r>
              <w:rPr>
                <w:rFonts w:hint="eastAsia" w:ascii="Times New Roman" w:cs="Times New Roman"/>
                <w:bCs/>
                <w:color w:val="000000" w:themeColor="text1"/>
                <w:sz w:val="24"/>
                <w:szCs w:val="21"/>
                <w:lang w:val="en-US" w:eastAsia="zh-CN"/>
                <w14:textFill>
                  <w14:solidFill>
                    <w14:schemeClr w14:val="tx1"/>
                  </w14:solidFill>
                </w14:textFill>
              </w:rPr>
              <w:t>2</w:t>
            </w:r>
            <w:r>
              <w:rPr>
                <w:rFonts w:ascii="Times New Roman" w:hAnsi="Times New Roman"/>
                <w:bCs/>
                <w:sz w:val="24"/>
                <w:szCs w:val="21"/>
              </w:rPr>
              <w:t>中污染物排放标准限值</w:t>
            </w:r>
            <w:r>
              <w:rPr>
                <w:rFonts w:hint="eastAsia" w:ascii="Times New Roman" w:hAnsi="Times New Roman"/>
                <w:bCs/>
                <w:sz w:val="24"/>
                <w:szCs w:val="21"/>
                <w:lang w:eastAsia="zh-CN"/>
              </w:rPr>
              <w:t>，</w:t>
            </w:r>
            <w:r>
              <w:rPr>
                <w:rFonts w:hint="eastAsia" w:ascii="Times New Roman" w:hAnsi="Times New Roman"/>
                <w:bCs/>
                <w:sz w:val="24"/>
                <w:szCs w:val="21"/>
                <w:lang w:val="en-US" w:eastAsia="zh-CN"/>
              </w:rPr>
              <w:t>再</w:t>
            </w:r>
            <w:r>
              <w:rPr>
                <w:rFonts w:ascii="Times New Roman" w:hAnsi="Times New Roman"/>
                <w:color w:val="000000" w:themeColor="text1"/>
                <w:sz w:val="24"/>
                <w14:textFill>
                  <w14:solidFill>
                    <w14:schemeClr w14:val="tx1"/>
                  </w14:solidFill>
                </w14:textFill>
              </w:rPr>
              <w:t>经15m排气筒排放</w:t>
            </w:r>
            <w:r>
              <w:rPr>
                <w:rFonts w:hint="eastAsia" w:ascii="Times New Roman" w:hAnsi="Times New Roman" w:cs="Times New Roman"/>
                <w:bCs/>
                <w:sz w:val="24"/>
                <w:szCs w:val="24"/>
                <w:lang w:val="en-US" w:eastAsia="zh-CN"/>
              </w:rPr>
              <w:t>。</w:t>
            </w:r>
          </w:p>
          <w:bookmarkEnd w:id="8"/>
          <w:bookmarkEnd w:id="9"/>
          <w:bookmarkEnd w:id="10"/>
          <w:p>
            <w:pPr>
              <w:adjustRightInd w:val="0"/>
              <w:snapToGrid w:val="0"/>
              <w:spacing w:line="520" w:lineRule="exact"/>
              <w:ind w:firstLine="420" w:firstLineChars="200"/>
              <w:rPr>
                <w:rFonts w:hint="eastAsia"/>
              </w:rPr>
            </w:pPr>
          </w:p>
          <w:p>
            <w:pPr>
              <w:pStyle w:val="27"/>
            </w:pPr>
          </w:p>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
            <w:pPr>
              <w:pStyle w:val="2"/>
            </w:pPr>
          </w:p>
          <w:p>
            <w:pPr>
              <w:pStyle w:val="4"/>
            </w:pPr>
          </w:p>
          <w:p>
            <w:pPr>
              <w:rPr>
                <w:rFonts w:hint="eastAsia" w:eastAsia="宋体"/>
                <w:lang w:eastAsia="zh-CN"/>
              </w:rPr>
            </w:pPr>
          </w:p>
        </w:tc>
      </w:tr>
    </w:tbl>
    <w:p>
      <w:pPr>
        <w:pStyle w:val="24"/>
        <w:jc w:val="center"/>
        <w:rPr>
          <w:rFonts w:ascii="黑体" w:hAnsi="黑体" w:eastAsia="黑体"/>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4"/>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8"/>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7"/>
        <w:gridCol w:w="833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657" w:type="dxa"/>
            <w:vAlign w:val="center"/>
          </w:tcPr>
          <w:p>
            <w:pPr>
              <w:adjustRightInd w:val="0"/>
              <w:snapToGrid w:val="0"/>
              <w:jc w:val="center"/>
              <w:rPr>
                <w:rFonts w:ascii="宋体" w:hAnsi="宋体" w:cs="宋体"/>
                <w:kern w:val="0"/>
                <w:sz w:val="24"/>
              </w:rPr>
            </w:pPr>
            <w:r>
              <w:rPr>
                <w:rFonts w:hint="eastAsia" w:ascii="宋体" w:hAnsi="宋体" w:cs="宋体"/>
                <w:kern w:val="0"/>
                <w:sz w:val="24"/>
              </w:rPr>
              <w:t>区域</w:t>
            </w:r>
          </w:p>
          <w:p>
            <w:pPr>
              <w:adjustRightInd w:val="0"/>
              <w:snapToGrid w:val="0"/>
              <w:jc w:val="center"/>
              <w:rPr>
                <w:rFonts w:ascii="宋体" w:hAnsi="宋体" w:cs="宋体"/>
                <w:kern w:val="0"/>
                <w:sz w:val="24"/>
              </w:rPr>
            </w:pPr>
            <w:r>
              <w:rPr>
                <w:rFonts w:hint="eastAsia" w:ascii="宋体" w:hAnsi="宋体" w:cs="宋体"/>
                <w:kern w:val="0"/>
                <w:sz w:val="24"/>
              </w:rPr>
              <w:t>环境</w:t>
            </w:r>
          </w:p>
          <w:p>
            <w:pPr>
              <w:adjustRightInd w:val="0"/>
              <w:snapToGrid w:val="0"/>
              <w:jc w:val="center"/>
              <w:rPr>
                <w:rFonts w:ascii="宋体" w:hAnsi="宋体" w:cs="宋体"/>
                <w:kern w:val="0"/>
                <w:sz w:val="24"/>
              </w:rPr>
            </w:pPr>
            <w:r>
              <w:rPr>
                <w:rFonts w:hint="eastAsia" w:ascii="宋体" w:hAnsi="宋体" w:cs="宋体"/>
                <w:kern w:val="0"/>
                <w:sz w:val="24"/>
              </w:rPr>
              <w:t>质量</w:t>
            </w:r>
          </w:p>
          <w:p>
            <w:pPr>
              <w:adjustRightInd w:val="0"/>
              <w:snapToGrid w:val="0"/>
              <w:jc w:val="center"/>
              <w:rPr>
                <w:rFonts w:ascii="宋体" w:hAnsi="宋体" w:cs="宋体"/>
                <w:kern w:val="0"/>
                <w:sz w:val="24"/>
              </w:rPr>
            </w:pPr>
            <w:r>
              <w:rPr>
                <w:rFonts w:hint="eastAsia" w:ascii="宋体" w:hAnsi="宋体" w:cs="宋体"/>
                <w:kern w:val="0"/>
                <w:sz w:val="24"/>
              </w:rPr>
              <w:t>现状</w:t>
            </w:r>
          </w:p>
        </w:tc>
        <w:tc>
          <w:tcPr>
            <w:tcW w:w="8333" w:type="dxa"/>
            <w:vAlign w:val="center"/>
          </w:tcPr>
          <w:p>
            <w:pPr>
              <w:numPr>
                <w:ilvl w:val="0"/>
                <w:numId w:val="0"/>
              </w:numPr>
              <w:autoSpaceDE w:val="0"/>
              <w:autoSpaceDN w:val="0"/>
              <w:adjustRightInd w:val="0"/>
              <w:snapToGrid w:val="0"/>
              <w:spacing w:line="520" w:lineRule="exact"/>
              <w:ind w:left="422" w:leftChars="0"/>
              <w:rPr>
                <w:b/>
                <w:bCs/>
                <w:sz w:val="24"/>
              </w:rPr>
            </w:pPr>
            <w:r>
              <w:rPr>
                <w:rFonts w:hint="eastAsia"/>
                <w:b/>
                <w:bCs/>
                <w:sz w:val="24"/>
                <w:lang w:val="en-US" w:eastAsia="zh-CN"/>
              </w:rPr>
              <w:t>1.</w:t>
            </w:r>
            <w:r>
              <w:rPr>
                <w:b/>
                <w:bCs/>
                <w:sz w:val="24"/>
              </w:rPr>
              <w:t>大气环境</w:t>
            </w:r>
          </w:p>
          <w:p>
            <w:pPr>
              <w:numPr>
                <w:ilvl w:val="0"/>
                <w:numId w:val="0"/>
              </w:numPr>
              <w:autoSpaceDE w:val="0"/>
              <w:autoSpaceDN w:val="0"/>
              <w:adjustRightInd w:val="0"/>
              <w:snapToGrid w:val="0"/>
              <w:spacing w:line="520" w:lineRule="exact"/>
              <w:ind w:left="422" w:leftChars="0"/>
              <w:rPr>
                <w:rFonts w:hint="eastAsia"/>
                <w:b/>
                <w:bCs/>
                <w:sz w:val="24"/>
                <w:lang w:val="en-US" w:eastAsia="zh-CN"/>
              </w:rPr>
            </w:pPr>
            <w:r>
              <w:rPr>
                <w:rFonts w:hint="eastAsia"/>
                <w:b/>
                <w:bCs/>
                <w:sz w:val="24"/>
                <w:lang w:val="en-US" w:eastAsia="zh-CN"/>
              </w:rPr>
              <w:t>1.1基本污染物监测及评价</w:t>
            </w:r>
          </w:p>
          <w:p>
            <w:pPr>
              <w:keepNext w:val="0"/>
              <w:keepLines w:val="0"/>
              <w:pageBreakBefore w:val="0"/>
              <w:widowControl/>
              <w:kinsoku/>
              <w:wordWrap/>
              <w:overflowPunct/>
              <w:topLinePunct w:val="0"/>
              <w:autoSpaceDE/>
              <w:autoSpaceDN/>
              <w:bidi w:val="0"/>
              <w:adjustRightInd w:val="0"/>
              <w:snapToGrid w:val="0"/>
              <w:spacing w:line="520" w:lineRule="exact"/>
              <w:ind w:firstLine="480" w:firstLineChars="200"/>
              <w:jc w:val="both"/>
              <w:textAlignment w:val="auto"/>
              <w:rPr>
                <w:sz w:val="24"/>
              </w:rPr>
            </w:pPr>
            <w:r>
              <w:rPr>
                <w:rFonts w:hint="eastAsia"/>
                <w:sz w:val="24"/>
              </w:rPr>
              <w:t>本项目位于</w:t>
            </w:r>
            <w:r>
              <w:rPr>
                <w:rFonts w:hint="eastAsia" w:cs="Times New Roman"/>
                <w:color w:val="auto"/>
                <w:sz w:val="24"/>
                <w:lang w:val="en-US" w:eastAsia="zh-CN"/>
              </w:rPr>
              <w:t>玛纳斯县</w:t>
            </w:r>
            <w:r>
              <w:rPr>
                <w:rFonts w:hint="eastAsia" w:ascii="Times New Roman" w:hAnsi="Times New Roman" w:eastAsia="宋体" w:cs="Times New Roman"/>
                <w:color w:val="auto"/>
                <w:sz w:val="24"/>
                <w:lang w:val="en-US" w:eastAsia="zh-CN"/>
              </w:rPr>
              <w:t>，</w:t>
            </w:r>
            <w:r>
              <w:rPr>
                <w:sz w:val="24"/>
              </w:rPr>
              <w:t>根据《环境影响评价技术导则大气环境》（HJ2.2-2018），可直接采用国家或地方生态环保主管部门公开发布的评价基准年环境质量公告或环境质量报告中的数据或结论。</w:t>
            </w:r>
          </w:p>
          <w:p>
            <w:pPr>
              <w:pStyle w:val="12"/>
              <w:keepNext w:val="0"/>
              <w:keepLines w:val="0"/>
              <w:pageBreakBefore w:val="0"/>
              <w:kinsoku/>
              <w:wordWrap/>
              <w:overflowPunct/>
              <w:topLinePunct w:val="0"/>
              <w:autoSpaceDE/>
              <w:autoSpaceDN/>
              <w:bidi w:val="0"/>
              <w:spacing w:line="520" w:lineRule="exact"/>
              <w:ind w:firstLine="480" w:firstLineChars="200"/>
              <w:jc w:val="both"/>
              <w:textAlignment w:val="auto"/>
              <w:rPr>
                <w:rFonts w:hint="default" w:eastAsia="宋体"/>
                <w:color w:val="FF0000"/>
                <w:sz w:val="24"/>
                <w:lang w:val="en-US" w:eastAsia="zh-CN"/>
              </w:rPr>
            </w:pPr>
            <w:r>
              <w:rPr>
                <w:rFonts w:hint="eastAsia"/>
                <w:sz w:val="24"/>
              </w:rPr>
              <w:t>为了解本项目区环境空</w:t>
            </w:r>
            <w:r>
              <w:rPr>
                <w:sz w:val="24"/>
              </w:rPr>
              <w:t>气质量现状，本次环评引用</w:t>
            </w:r>
            <w:r>
              <w:rPr>
                <w:rFonts w:hint="eastAsia"/>
                <w:sz w:val="24"/>
                <w:lang w:val="en-US" w:eastAsia="zh-CN"/>
              </w:rPr>
              <w:t>中华人民共和国生态环境部环境工程评估中心发布的“环境空气质量模型技术支持服务系统”达标区判定中的数据，</w:t>
            </w:r>
            <w:r>
              <w:rPr>
                <w:rFonts w:hint="eastAsia"/>
                <w:color w:val="000000" w:themeColor="text1"/>
                <w:sz w:val="24"/>
                <w:lang w:val="en-US" w:eastAsia="zh-CN"/>
                <w14:textFill>
                  <w14:solidFill>
                    <w14:schemeClr w14:val="tx1"/>
                  </w14:solidFill>
                </w14:textFill>
              </w:rPr>
              <w:t>选用</w:t>
            </w:r>
            <w:r>
              <w:rPr>
                <w:rFonts w:hint="eastAsia"/>
                <w:color w:val="000000" w:themeColor="text1"/>
                <w14:textFill>
                  <w14:solidFill>
                    <w14:schemeClr w14:val="tx1"/>
                  </w14:solidFill>
                </w14:textFill>
              </w:rPr>
              <w:t>距离</w:t>
            </w:r>
            <w:r>
              <w:rPr>
                <w:rFonts w:hint="eastAsia"/>
                <w:color w:val="000000" w:themeColor="text1"/>
                <w:lang w:val="en-US" w:eastAsia="zh-CN"/>
                <w14:textFill>
                  <w14:solidFill>
                    <w14:schemeClr w14:val="tx1"/>
                  </w14:solidFill>
                </w14:textFill>
              </w:rPr>
              <w:t>本</w:t>
            </w:r>
            <w:r>
              <w:rPr>
                <w:rFonts w:hint="eastAsia"/>
                <w:color w:val="000000" w:themeColor="text1"/>
                <w14:textFill>
                  <w14:solidFill>
                    <w14:schemeClr w14:val="tx1"/>
                  </w14:solidFill>
                </w14:textFill>
              </w:rPr>
              <w:t>项目最近的</w:t>
            </w:r>
            <w:r>
              <w:rPr>
                <w:rFonts w:hint="eastAsia"/>
                <w:color w:val="000000" w:themeColor="text1"/>
                <w:lang w:val="en-US" w:eastAsia="zh-CN"/>
                <w14:textFill>
                  <w14:solidFill>
                    <w14:schemeClr w14:val="tx1"/>
                  </w14:solidFill>
                </w14:textFill>
              </w:rPr>
              <w:t>石河子市</w:t>
            </w:r>
            <w:r>
              <w:rPr>
                <w:rFonts w:hint="eastAsia"/>
                <w:color w:val="000000" w:themeColor="text1"/>
                <w14:textFill>
                  <w14:solidFill>
                    <w14:schemeClr w14:val="tx1"/>
                  </w14:solidFill>
                </w14:textFill>
              </w:rPr>
              <w:t>站点</w:t>
            </w:r>
            <w:r>
              <w:rPr>
                <w:color w:val="000000" w:themeColor="text1"/>
                <w14:textFill>
                  <w14:solidFill>
                    <w14:schemeClr w14:val="tx1"/>
                  </w14:solidFill>
                </w14:textFill>
              </w:rPr>
              <w:t>2020</w:t>
            </w:r>
            <w:r>
              <w:rPr>
                <w:rFonts w:hint="eastAsia"/>
                <w:color w:val="000000" w:themeColor="text1"/>
                <w14:textFill>
                  <w14:solidFill>
                    <w14:schemeClr w14:val="tx1"/>
                  </w14:solidFill>
                </w14:textFill>
              </w:rPr>
              <w:t>年环境空气质量监测数据判定本项目区环境质量情况，该站点位于本项目</w:t>
            </w:r>
            <w:r>
              <w:rPr>
                <w:rFonts w:hint="eastAsia"/>
                <w:color w:val="000000" w:themeColor="text1"/>
                <w:lang w:val="en-US" w:eastAsia="zh-CN"/>
                <w14:textFill>
                  <w14:solidFill>
                    <w14:schemeClr w14:val="tx1"/>
                  </w14:solidFill>
                </w14:textFill>
              </w:rPr>
              <w:t>西</w:t>
            </w:r>
            <w:r>
              <w:rPr>
                <w:rFonts w:hint="eastAsia"/>
                <w:color w:val="000000" w:themeColor="text1"/>
                <w14:textFill>
                  <w14:solidFill>
                    <w14:schemeClr w14:val="tx1"/>
                  </w14:solidFill>
                </w14:textFill>
              </w:rPr>
              <w:t>侧，距离本项目约</w:t>
            </w:r>
            <w:r>
              <w:rPr>
                <w:rFonts w:hint="eastAsia"/>
                <w:color w:val="000000" w:themeColor="text1"/>
                <w:lang w:val="en-US" w:eastAsia="zh-CN"/>
                <w14:textFill>
                  <w14:solidFill>
                    <w14:schemeClr w14:val="tx1"/>
                  </w14:solidFill>
                </w14:textFill>
              </w:rPr>
              <w:t>12</w:t>
            </w:r>
            <w:r>
              <w:rPr>
                <w:rFonts w:hint="eastAsia"/>
                <w:color w:val="000000" w:themeColor="text1"/>
                <w14:textFill>
                  <w14:solidFill>
                    <w14:schemeClr w14:val="tx1"/>
                  </w14:solidFill>
                </w14:textFill>
              </w:rPr>
              <w:t>km。</w:t>
            </w:r>
            <w:r>
              <w:rPr>
                <w:rFonts w:hint="eastAsia"/>
                <w:color w:val="000000" w:themeColor="text1"/>
                <w:sz w:val="24"/>
                <w:lang w:val="en-US" w:eastAsia="zh-CN"/>
                <w14:textFill>
                  <w14:solidFill>
                    <w14:schemeClr w14:val="tx1"/>
                  </w14:solidFill>
                </w14:textFill>
              </w:rPr>
              <w:t>具体环境质量数据及评价结果见3-1。</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kern w:val="0"/>
                <w:sz w:val="24"/>
                <w:szCs w:val="24"/>
              </w:rPr>
            </w:pPr>
            <w:bookmarkStart w:id="11" w:name="OLE_LINK1"/>
            <w:r>
              <w:rPr>
                <w:rFonts w:hint="default" w:ascii="Times New Roman" w:hAnsi="Times New Roman" w:eastAsia="黑体" w:cs="Times New Roman"/>
                <w:b w:val="0"/>
                <w:bCs/>
                <w:snapToGrid w:val="0"/>
                <w:kern w:val="0"/>
                <w:sz w:val="24"/>
                <w:szCs w:val="24"/>
              </w:rPr>
              <w:t>表</w:t>
            </w:r>
            <w:r>
              <w:rPr>
                <w:rFonts w:hint="eastAsia" w:ascii="Times New Roman" w:hAnsi="Times New Roman" w:eastAsia="黑体" w:cs="Times New Roman"/>
                <w:b w:val="0"/>
                <w:bCs/>
                <w:snapToGrid w:val="0"/>
                <w:kern w:val="0"/>
                <w:sz w:val="24"/>
                <w:szCs w:val="24"/>
              </w:rPr>
              <w:t>3-</w:t>
            </w:r>
            <w:r>
              <w:rPr>
                <w:rFonts w:hint="eastAsia" w:ascii="Times New Roman" w:hAnsi="Times New Roman" w:eastAsia="黑体" w:cs="Times New Roman"/>
                <w:b w:val="0"/>
                <w:bCs/>
                <w:snapToGrid w:val="0"/>
                <w:kern w:val="0"/>
                <w:sz w:val="24"/>
                <w:szCs w:val="24"/>
                <w:lang w:val="en-US" w:eastAsia="zh-CN"/>
              </w:rPr>
              <w:t>1</w:t>
            </w:r>
            <w:r>
              <w:rPr>
                <w:rFonts w:hint="default" w:ascii="Times New Roman" w:hAnsi="Times New Roman" w:eastAsia="黑体" w:cs="Times New Roman"/>
                <w:b w:val="0"/>
                <w:bCs/>
                <w:snapToGrid w:val="0"/>
                <w:kern w:val="0"/>
                <w:sz w:val="24"/>
                <w:szCs w:val="24"/>
              </w:rPr>
              <w:t xml:space="preserve"> </w:t>
            </w:r>
            <w:r>
              <w:rPr>
                <w:rFonts w:hint="eastAsia" w:ascii="Times New Roman" w:hAnsi="Times New Roman" w:eastAsia="黑体" w:cs="Times New Roman"/>
                <w:b w:val="0"/>
                <w:bCs/>
                <w:snapToGrid w:val="0"/>
                <w:kern w:val="0"/>
                <w:sz w:val="24"/>
                <w:szCs w:val="24"/>
              </w:rPr>
              <w:t xml:space="preserve">  </w:t>
            </w:r>
            <w:r>
              <w:rPr>
                <w:rFonts w:hint="eastAsia" w:eastAsia="黑体" w:cs="Times New Roman"/>
                <w:b w:val="0"/>
                <w:bCs/>
                <w:snapToGrid w:val="0"/>
                <w:kern w:val="0"/>
                <w:sz w:val="24"/>
                <w:szCs w:val="24"/>
                <w:lang w:val="en-US" w:eastAsia="zh-CN"/>
              </w:rPr>
              <w:t>石河子</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市</w:t>
            </w:r>
            <w:r>
              <w:rPr>
                <w:rFonts w:hint="default" w:ascii="Times New Roman" w:hAnsi="Times New Roman" w:eastAsia="黑体" w:cs="Times New Roman"/>
                <w:b w:val="0"/>
                <w:bCs/>
                <w:snapToGrid w:val="0"/>
                <w:kern w:val="0"/>
                <w:sz w:val="24"/>
                <w:szCs w:val="24"/>
              </w:rPr>
              <w:t>空气质量监测及评价结果  单位：mg/m</w:t>
            </w:r>
            <w:r>
              <w:rPr>
                <w:rFonts w:hint="default" w:ascii="Times New Roman" w:hAnsi="Times New Roman" w:eastAsia="黑体" w:cs="Times New Roman"/>
                <w:b w:val="0"/>
                <w:bCs/>
                <w:snapToGrid w:val="0"/>
                <w:kern w:val="0"/>
                <w:sz w:val="24"/>
                <w:szCs w:val="24"/>
                <w:vertAlign w:val="superscript"/>
              </w:rPr>
              <w:t>3</w:t>
            </w:r>
            <w:bookmarkEnd w:id="11"/>
          </w:p>
          <w:tbl>
            <w:tblPr>
              <w:tblStyle w:val="28"/>
              <w:tblW w:w="797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00"/>
              <w:gridCol w:w="796"/>
              <w:gridCol w:w="2193"/>
              <w:gridCol w:w="865"/>
              <w:gridCol w:w="897"/>
              <w:gridCol w:w="1336"/>
              <w:gridCol w:w="108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55" w:hRule="atLeast"/>
                <w:jc w:val="center"/>
              </w:trPr>
              <w:tc>
                <w:tcPr>
                  <w:tcW w:w="800"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796"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2193"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平均时间</w:t>
                  </w:r>
                </w:p>
              </w:tc>
              <w:tc>
                <w:tcPr>
                  <w:tcW w:w="865"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标准值</w:t>
                  </w:r>
                </w:p>
              </w:tc>
              <w:tc>
                <w:tcPr>
                  <w:tcW w:w="897"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监测值</w:t>
                  </w:r>
                </w:p>
              </w:tc>
              <w:tc>
                <w:tcPr>
                  <w:tcW w:w="1336"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占标率（%）</w:t>
                  </w:r>
                </w:p>
              </w:tc>
              <w:tc>
                <w:tcPr>
                  <w:tcW w:w="1085"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796"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SO</w:t>
                  </w:r>
                  <w:r>
                    <w:rPr>
                      <w:color w:val="000000" w:themeColor="text1"/>
                      <w:szCs w:val="21"/>
                      <w:vertAlign w:val="subscript"/>
                      <w14:textFill>
                        <w14:solidFill>
                          <w14:schemeClr w14:val="tx1"/>
                        </w14:solidFill>
                      </w14:textFill>
                    </w:rPr>
                    <w:t>2</w:t>
                  </w:r>
                </w:p>
              </w:tc>
              <w:tc>
                <w:tcPr>
                  <w:tcW w:w="2193"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vAlign w:val="center"/>
                </w:tcPr>
                <w:p>
                  <w:pPr>
                    <w:pStyle w:val="58"/>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10</w:t>
                  </w:r>
                </w:p>
              </w:tc>
              <w:tc>
                <w:tcPr>
                  <w:tcW w:w="897" w:type="dxa"/>
                  <w:vAlign w:val="center"/>
                </w:tcPr>
                <w:p>
                  <w:pPr>
                    <w:pStyle w:val="58"/>
                    <w:rPr>
                      <w:rFonts w:hint="eastAsia" w:eastAsia="宋体"/>
                      <w:color w:val="000000" w:themeColor="text1"/>
                      <w:szCs w:val="21"/>
                      <w:lang w:eastAsia="zh-CN"/>
                      <w14:textFill>
                        <w14:solidFill>
                          <w14:schemeClr w14:val="tx1"/>
                        </w14:solidFill>
                      </w14:textFill>
                    </w:rPr>
                  </w:pPr>
                  <w:r>
                    <w:rPr>
                      <w:color w:val="000000" w:themeColor="text1"/>
                      <w14:textFill>
                        <w14:solidFill>
                          <w14:schemeClr w14:val="tx1"/>
                        </w14:solidFill>
                      </w14:textFill>
                    </w:rPr>
                    <w:t>60</w:t>
                  </w:r>
                </w:p>
              </w:tc>
              <w:tc>
                <w:tcPr>
                  <w:tcW w:w="1336" w:type="dxa"/>
                  <w:vAlign w:val="center"/>
                </w:tcPr>
                <w:p>
                  <w:pPr>
                    <w:pStyle w:val="58"/>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16.6</w:t>
                  </w:r>
                </w:p>
              </w:tc>
              <w:tc>
                <w:tcPr>
                  <w:tcW w:w="1085"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796"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2</w:t>
                  </w:r>
                </w:p>
              </w:tc>
              <w:tc>
                <w:tcPr>
                  <w:tcW w:w="2193"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vAlign w:val="center"/>
                </w:tcPr>
                <w:p>
                  <w:pPr>
                    <w:pStyle w:val="58"/>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33</w:t>
                  </w:r>
                </w:p>
              </w:tc>
              <w:tc>
                <w:tcPr>
                  <w:tcW w:w="897" w:type="dxa"/>
                  <w:vAlign w:val="center"/>
                </w:tcPr>
                <w:p>
                  <w:pPr>
                    <w:pStyle w:val="58"/>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40</w:t>
                  </w:r>
                </w:p>
              </w:tc>
              <w:tc>
                <w:tcPr>
                  <w:tcW w:w="1336" w:type="dxa"/>
                  <w:vAlign w:val="center"/>
                </w:tcPr>
                <w:p>
                  <w:pPr>
                    <w:pStyle w:val="58"/>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82.5</w:t>
                  </w:r>
                </w:p>
              </w:tc>
              <w:tc>
                <w:tcPr>
                  <w:tcW w:w="1085"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796"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color w:val="000000" w:themeColor="text1"/>
                      <w:szCs w:val="21"/>
                      <w:vertAlign w:val="subscript"/>
                      <w14:textFill>
                        <w14:solidFill>
                          <w14:schemeClr w14:val="tx1"/>
                        </w14:solidFill>
                      </w14:textFill>
                    </w:rPr>
                    <w:t>10</w:t>
                  </w:r>
                </w:p>
              </w:tc>
              <w:tc>
                <w:tcPr>
                  <w:tcW w:w="2193"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vAlign w:val="center"/>
                </w:tcPr>
                <w:p>
                  <w:pPr>
                    <w:pStyle w:val="58"/>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91</w:t>
                  </w:r>
                </w:p>
              </w:tc>
              <w:tc>
                <w:tcPr>
                  <w:tcW w:w="897" w:type="dxa"/>
                  <w:vAlign w:val="center"/>
                </w:tcPr>
                <w:p>
                  <w:pPr>
                    <w:pStyle w:val="58"/>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70</w:t>
                  </w:r>
                </w:p>
              </w:tc>
              <w:tc>
                <w:tcPr>
                  <w:tcW w:w="1336" w:type="dxa"/>
                  <w:vAlign w:val="center"/>
                </w:tcPr>
                <w:p>
                  <w:pPr>
                    <w:pStyle w:val="58"/>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130</w:t>
                  </w:r>
                </w:p>
              </w:tc>
              <w:tc>
                <w:tcPr>
                  <w:tcW w:w="1085" w:type="dxa"/>
                  <w:vAlign w:val="center"/>
                </w:tcPr>
                <w:p>
                  <w:pPr>
                    <w:adjustRightInd w:val="0"/>
                    <w:snapToGrid w:val="0"/>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不</w:t>
                  </w: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796" w:type="dxa"/>
                  <w:vAlign w:val="center"/>
                </w:tcPr>
                <w:p>
                  <w:pPr>
                    <w:adjustRightInd w:val="0"/>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PM</w:t>
                  </w:r>
                  <w:r>
                    <w:rPr>
                      <w:color w:val="000000" w:themeColor="text1"/>
                      <w:kern w:val="0"/>
                      <w:szCs w:val="21"/>
                      <w:vertAlign w:val="subscript"/>
                      <w14:textFill>
                        <w14:solidFill>
                          <w14:schemeClr w14:val="tx1"/>
                        </w14:solidFill>
                      </w14:textFill>
                    </w:rPr>
                    <w:t>2.5</w:t>
                  </w:r>
                </w:p>
              </w:tc>
              <w:tc>
                <w:tcPr>
                  <w:tcW w:w="2193"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年平均</w:t>
                  </w:r>
                </w:p>
              </w:tc>
              <w:tc>
                <w:tcPr>
                  <w:tcW w:w="865" w:type="dxa"/>
                  <w:vAlign w:val="center"/>
                </w:tcPr>
                <w:p>
                  <w:pPr>
                    <w:pStyle w:val="58"/>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56</w:t>
                  </w:r>
                </w:p>
              </w:tc>
              <w:tc>
                <w:tcPr>
                  <w:tcW w:w="897" w:type="dxa"/>
                  <w:vAlign w:val="center"/>
                </w:tcPr>
                <w:p>
                  <w:pPr>
                    <w:pStyle w:val="58"/>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35</w:t>
                  </w:r>
                </w:p>
              </w:tc>
              <w:tc>
                <w:tcPr>
                  <w:tcW w:w="1336" w:type="dxa"/>
                  <w:vAlign w:val="center"/>
                </w:tcPr>
                <w:p>
                  <w:pPr>
                    <w:pStyle w:val="58"/>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160</w:t>
                  </w:r>
                </w:p>
              </w:tc>
              <w:tc>
                <w:tcPr>
                  <w:tcW w:w="1085" w:type="dxa"/>
                  <w:vAlign w:val="center"/>
                </w:tcPr>
                <w:p>
                  <w:pPr>
                    <w:adjustRightInd w:val="0"/>
                    <w:snapToGrid w:val="0"/>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不</w:t>
                  </w: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796" w:type="dxa"/>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CO</w:t>
                  </w:r>
                </w:p>
              </w:tc>
              <w:tc>
                <w:tcPr>
                  <w:tcW w:w="2193"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95百分位24小时平均</w:t>
                  </w:r>
                </w:p>
              </w:tc>
              <w:tc>
                <w:tcPr>
                  <w:tcW w:w="865" w:type="dxa"/>
                  <w:vAlign w:val="center"/>
                </w:tcPr>
                <w:p>
                  <w:pPr>
                    <w:pStyle w:val="58"/>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2200</w:t>
                  </w:r>
                </w:p>
              </w:tc>
              <w:tc>
                <w:tcPr>
                  <w:tcW w:w="897" w:type="dxa"/>
                  <w:vAlign w:val="center"/>
                </w:tcPr>
                <w:p>
                  <w:pPr>
                    <w:pStyle w:val="58"/>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4000</w:t>
                  </w:r>
                </w:p>
              </w:tc>
              <w:tc>
                <w:tcPr>
                  <w:tcW w:w="1336" w:type="dxa"/>
                  <w:vAlign w:val="center"/>
                </w:tcPr>
                <w:p>
                  <w:pPr>
                    <w:pStyle w:val="58"/>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55</w:t>
                  </w:r>
                </w:p>
              </w:tc>
              <w:tc>
                <w:tcPr>
                  <w:tcW w:w="1085"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15" w:hRule="atLeast"/>
                <w:jc w:val="center"/>
              </w:trPr>
              <w:tc>
                <w:tcPr>
                  <w:tcW w:w="800"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796" w:type="dxa"/>
                  <w:vAlign w:val="center"/>
                </w:tcPr>
                <w:p>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O</w:t>
                  </w:r>
                  <w:r>
                    <w:rPr>
                      <w:color w:val="000000" w:themeColor="text1"/>
                      <w:kern w:val="0"/>
                      <w:szCs w:val="21"/>
                      <w:vertAlign w:val="subscript"/>
                      <w14:textFill>
                        <w14:solidFill>
                          <w14:schemeClr w14:val="tx1"/>
                        </w14:solidFill>
                      </w14:textFill>
                    </w:rPr>
                    <w:t>3</w:t>
                  </w:r>
                </w:p>
              </w:tc>
              <w:tc>
                <w:tcPr>
                  <w:tcW w:w="2193"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90百分位</w:t>
                  </w:r>
                  <w:r>
                    <w:rPr>
                      <w:color w:val="000000" w:themeColor="text1"/>
                      <w:szCs w:val="21"/>
                      <w14:textFill>
                        <w14:solidFill>
                          <w14:schemeClr w14:val="tx1"/>
                        </w14:solidFill>
                      </w14:textFill>
                    </w:rPr>
                    <w:cr/>
                  </w:r>
                  <w:r>
                    <w:rPr>
                      <w:color w:val="000000" w:themeColor="text1"/>
                      <w:szCs w:val="21"/>
                      <w14:textFill>
                        <w14:solidFill>
                          <w14:schemeClr w14:val="tx1"/>
                        </w14:solidFill>
                      </w14:textFill>
                    </w:rPr>
                    <w:t>小时平均</w:t>
                  </w:r>
                </w:p>
              </w:tc>
              <w:tc>
                <w:tcPr>
                  <w:tcW w:w="865" w:type="dxa"/>
                  <w:vAlign w:val="center"/>
                </w:tcPr>
                <w:p>
                  <w:pPr>
                    <w:pStyle w:val="58"/>
                    <w:rPr>
                      <w:color w:val="000000" w:themeColor="text1"/>
                      <w:szCs w:val="21"/>
                      <w14:textFill>
                        <w14:solidFill>
                          <w14:schemeClr w14:val="tx1"/>
                        </w14:solidFill>
                      </w14:textFill>
                    </w:rPr>
                  </w:pPr>
                  <w:r>
                    <w:rPr>
                      <w:rFonts w:hint="eastAsia"/>
                      <w:color w:val="000000" w:themeColor="text1"/>
                      <w:lang w:val="en-US" w:eastAsia="zh-CN"/>
                      <w14:textFill>
                        <w14:solidFill>
                          <w14:schemeClr w14:val="tx1"/>
                        </w14:solidFill>
                      </w14:textFill>
                    </w:rPr>
                    <w:t>129</w:t>
                  </w:r>
                </w:p>
              </w:tc>
              <w:tc>
                <w:tcPr>
                  <w:tcW w:w="897" w:type="dxa"/>
                  <w:vAlign w:val="center"/>
                </w:tcPr>
                <w:p>
                  <w:pPr>
                    <w:pStyle w:val="58"/>
                    <w:rPr>
                      <w:rFonts w:hint="default" w:eastAsia="宋体"/>
                      <w:color w:val="000000" w:themeColor="text1"/>
                      <w:szCs w:val="21"/>
                      <w:lang w:val="en-US" w:eastAsia="zh-CN"/>
                      <w14:textFill>
                        <w14:solidFill>
                          <w14:schemeClr w14:val="tx1"/>
                        </w14:solidFill>
                      </w14:textFill>
                    </w:rPr>
                  </w:pPr>
                  <w:r>
                    <w:rPr>
                      <w:color w:val="000000" w:themeColor="text1"/>
                      <w14:textFill>
                        <w14:solidFill>
                          <w14:schemeClr w14:val="tx1"/>
                        </w14:solidFill>
                      </w14:textFill>
                    </w:rPr>
                    <w:t>160</w:t>
                  </w:r>
                </w:p>
              </w:tc>
              <w:tc>
                <w:tcPr>
                  <w:tcW w:w="1336" w:type="dxa"/>
                  <w:vAlign w:val="center"/>
                </w:tcPr>
                <w:p>
                  <w:pPr>
                    <w:pStyle w:val="58"/>
                    <w:rPr>
                      <w:rFonts w:hint="default" w:eastAsia="宋体"/>
                      <w:color w:val="000000" w:themeColor="text1"/>
                      <w:szCs w:val="2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80.6</w:t>
                  </w:r>
                </w:p>
              </w:tc>
              <w:tc>
                <w:tcPr>
                  <w:tcW w:w="1085" w:type="dxa"/>
                  <w:vAlign w:val="center"/>
                </w:tcPr>
                <w:p>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达标</w:t>
                  </w:r>
                </w:p>
              </w:tc>
            </w:tr>
          </w:tbl>
          <w:p>
            <w:pPr>
              <w:autoSpaceDE w:val="0"/>
              <w:autoSpaceDN w:val="0"/>
              <w:adjustRightInd w:val="0"/>
              <w:spacing w:line="520" w:lineRule="exact"/>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根据《环境空气质量模型技术支持服务系统》数据显示</w:t>
            </w:r>
            <w:r>
              <w:rPr>
                <w:rFonts w:hint="eastAsia" w:cs="Times New Roman"/>
                <w:color w:val="000000" w:themeColor="text1"/>
                <w:sz w:val="24"/>
                <w:szCs w:val="24"/>
                <w:lang w:val="en-US" w:eastAsia="zh-CN"/>
                <w14:textFill>
                  <w14:solidFill>
                    <w14:schemeClr w14:val="tx1"/>
                  </w14:solidFill>
                </w14:textFill>
              </w:rPr>
              <w:t>石河子</w:t>
            </w:r>
            <w:r>
              <w:rPr>
                <w:rFonts w:hint="default" w:ascii="Times New Roman" w:hAnsi="Times New Roman" w:cs="Times New Roman"/>
                <w:color w:val="000000" w:themeColor="text1"/>
                <w:sz w:val="24"/>
                <w:szCs w:val="24"/>
                <w14:textFill>
                  <w14:solidFill>
                    <w14:schemeClr w14:val="tx1"/>
                  </w14:solidFill>
                </w14:textFill>
              </w:rPr>
              <w:t>市202</w:t>
            </w:r>
            <w:r>
              <w:rPr>
                <w:rFonts w:hint="default" w:ascii="Times New Roman" w:hAnsi="Times New Roman" w:cs="Times New Roman"/>
                <w:color w:val="000000" w:themeColor="text1"/>
                <w:sz w:val="24"/>
                <w:szCs w:val="24"/>
                <w:lang w:val="en-US" w:eastAsia="zh-CN"/>
                <w14:textFill>
                  <w14:solidFill>
                    <w14:schemeClr w14:val="tx1"/>
                  </w14:solidFill>
                </w14:textFill>
              </w:rPr>
              <w:t>0</w:t>
            </w:r>
            <w:r>
              <w:rPr>
                <w:rFonts w:hint="default" w:ascii="Times New Roman" w:hAnsi="Times New Roman" w:cs="Times New Roman"/>
                <w:color w:val="000000" w:themeColor="text1"/>
                <w:sz w:val="24"/>
                <w:szCs w:val="24"/>
                <w14:textFill>
                  <w14:solidFill>
                    <w14:schemeClr w14:val="tx1"/>
                  </w14:solidFill>
                </w14:textFill>
              </w:rPr>
              <w:t>年SO</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、NO</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2.5</w:t>
            </w:r>
            <w:r>
              <w:rPr>
                <w:rFonts w:hint="default" w:ascii="Times New Roman" w:hAnsi="Times New Roman" w:cs="Times New Roman"/>
                <w:color w:val="000000" w:themeColor="text1"/>
                <w:sz w:val="24"/>
                <w:szCs w:val="24"/>
                <w14:textFill>
                  <w14:solidFill>
                    <w14:schemeClr w14:val="tx1"/>
                  </w14:solidFill>
                </w14:textFill>
              </w:rPr>
              <w:t>年均浓度分别为</w:t>
            </w:r>
            <w:r>
              <w:rPr>
                <w:rFonts w:hint="default" w:ascii="Times New Roman" w:hAnsi="Times New Roman" w:cs="Times New Roman"/>
                <w:color w:val="000000" w:themeColor="text1"/>
                <w:sz w:val="24"/>
                <w:szCs w:val="24"/>
                <w:lang w:val="en-US" w:eastAsia="zh-CN"/>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33</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91</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56</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；CO24小时平均第95百分位数为</w:t>
            </w:r>
            <w:r>
              <w:rPr>
                <w:rFonts w:hint="default" w:ascii="Times New Roman" w:hAnsi="Times New Roman" w:cs="Times New Roman"/>
                <w:color w:val="000000" w:themeColor="text1"/>
                <w:sz w:val="24"/>
                <w:szCs w:val="24"/>
                <w:lang w:val="en-US" w:eastAsia="zh-CN"/>
                <w14:textFill>
                  <w14:solidFill>
                    <w14:schemeClr w14:val="tx1"/>
                  </w14:solidFill>
                </w14:textFill>
              </w:rPr>
              <w:t>2.2</w:t>
            </w:r>
            <w:r>
              <w:rPr>
                <w:rFonts w:hint="default" w:ascii="Times New Roman" w:hAnsi="Times New Roman" w:cs="Times New Roman"/>
                <w:color w:val="000000" w:themeColor="text1"/>
                <w:sz w:val="24"/>
                <w:szCs w:val="24"/>
                <w14:textFill>
                  <w14:solidFill>
                    <w14:schemeClr w14:val="tx1"/>
                  </w14:solidFill>
                </w14:textFill>
              </w:rPr>
              <w:t>mg/m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，O</w:t>
            </w:r>
            <w:r>
              <w:rPr>
                <w:rFonts w:hint="default" w:ascii="Times New Roman" w:hAnsi="Times New Roman" w:cs="Times New Roman"/>
                <w:color w:val="000000" w:themeColor="text1"/>
                <w:sz w:val="24"/>
                <w:szCs w:val="24"/>
                <w:vertAlign w:val="sub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日最大8小时平均第90百分位数为</w:t>
            </w:r>
            <w:r>
              <w:rPr>
                <w:rFonts w:hint="default" w:ascii="Times New Roman" w:hAnsi="Times New Roman" w:cs="Times New Roman"/>
                <w:color w:val="000000" w:themeColor="text1"/>
                <w:sz w:val="24"/>
                <w:szCs w:val="24"/>
                <w:lang w:val="en-US" w:eastAsia="zh-CN"/>
                <w14:textFill>
                  <w14:solidFill>
                    <w14:schemeClr w14:val="tx1"/>
                  </w14:solidFill>
                </w14:textFill>
              </w:rPr>
              <w:t>129</w:t>
            </w:r>
            <w:r>
              <w:rPr>
                <w:rFonts w:hint="default" w:ascii="Times New Roman" w:hAnsi="Times New Roman" w:cs="Times New Roman"/>
                <w:color w:val="000000" w:themeColor="text1"/>
                <w:sz w:val="24"/>
                <w:szCs w:val="24"/>
                <w14:textFill>
                  <w14:solidFill>
                    <w14:schemeClr w14:val="tx1"/>
                  </w14:solidFill>
                </w14:textFill>
              </w:rPr>
              <w:t>ug/m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、PM</w:t>
            </w:r>
            <w:r>
              <w:rPr>
                <w:rFonts w:hint="default" w:ascii="Times New Roman" w:hAnsi="Times New Roman" w:cs="Times New Roman"/>
                <w:color w:val="000000" w:themeColor="text1"/>
                <w:sz w:val="24"/>
                <w:szCs w:val="24"/>
                <w:vertAlign w:val="subscript"/>
                <w14:textFill>
                  <w14:solidFill>
                    <w14:schemeClr w14:val="tx1"/>
                  </w14:solidFill>
                </w14:textFill>
              </w:rPr>
              <w:t>2.5</w:t>
            </w:r>
            <w:r>
              <w:rPr>
                <w:rFonts w:hint="default" w:ascii="Times New Roman" w:hAnsi="Times New Roman" w:cs="Times New Roman"/>
                <w:color w:val="000000" w:themeColor="text1"/>
                <w:sz w:val="24"/>
                <w:szCs w:val="24"/>
                <w14:textFill>
                  <w14:solidFill>
                    <w14:schemeClr w14:val="tx1"/>
                  </w14:solidFill>
                </w14:textFill>
              </w:rPr>
              <w:t>超过《环境空气质量标准》（GB3095-2012）中二级标准限值</w:t>
            </w:r>
            <w:r>
              <w:rPr>
                <w:rFonts w:hint="eastAsia" w:cs="Times New Roman"/>
                <w:color w:val="000000" w:themeColor="text1"/>
                <w:sz w:val="24"/>
                <w:szCs w:val="24"/>
                <w:lang w:val="en-US" w:eastAsia="zh-CN"/>
                <w14:textFill>
                  <w14:solidFill>
                    <w14:schemeClr w14:val="tx1"/>
                  </w14:solidFill>
                </w14:textFill>
              </w:rPr>
              <w:t>要求</w:t>
            </w:r>
            <w:r>
              <w:rPr>
                <w:rFonts w:hint="default" w:ascii="Times New Roman" w:hAnsi="Times New Roman" w:cs="Times New Roman"/>
                <w:color w:val="000000" w:themeColor="text1"/>
                <w:sz w:val="24"/>
                <w:szCs w:val="24"/>
                <w14:textFill>
                  <w14:solidFill>
                    <w14:schemeClr w14:val="tx1"/>
                  </w14:solidFill>
                </w14:textFill>
              </w:rPr>
              <w:t>。因此，项目所在区为不达标区。</w:t>
            </w:r>
          </w:p>
          <w:p>
            <w:pPr>
              <w:spacing w:line="520" w:lineRule="exact"/>
              <w:ind w:right="63" w:rightChars="30" w:firstLine="482" w:firstLineChars="200"/>
              <w:contextualSpacing/>
              <w:rPr>
                <w:rFonts w:ascii="宋体" w:hAnsi="宋体"/>
                <w:b/>
                <w:snapToGrid w:val="0"/>
                <w:kern w:val="0"/>
                <w:sz w:val="24"/>
              </w:rPr>
            </w:pPr>
            <w:r>
              <w:rPr>
                <w:rFonts w:hint="eastAsia" w:ascii="Times New Roman" w:hAnsi="Times New Roman"/>
                <w:b/>
                <w:snapToGrid w:val="0"/>
                <w:kern w:val="0"/>
                <w:sz w:val="24"/>
              </w:rPr>
              <w:t>1.</w:t>
            </w:r>
            <w:r>
              <w:rPr>
                <w:rFonts w:hint="eastAsia"/>
                <w:b/>
                <w:snapToGrid w:val="0"/>
                <w:kern w:val="0"/>
                <w:sz w:val="24"/>
                <w:lang w:val="en-US" w:eastAsia="zh-CN"/>
              </w:rPr>
              <w:t>2</w:t>
            </w:r>
            <w:r>
              <w:rPr>
                <w:rFonts w:hint="eastAsia" w:ascii="宋体" w:hAnsi="宋体"/>
                <w:b/>
                <w:snapToGrid w:val="0"/>
                <w:kern w:val="0"/>
                <w:sz w:val="24"/>
              </w:rPr>
              <w:t>补充监测污染物</w:t>
            </w:r>
          </w:p>
          <w:p>
            <w:pPr>
              <w:spacing w:line="520" w:lineRule="exact"/>
              <w:ind w:left="63" w:leftChars="30" w:right="63" w:rightChars="30" w:firstLine="480" w:firstLineChars="200"/>
              <w:contextualSpacing/>
              <w:rPr>
                <w:rFonts w:ascii="宋体" w:hAnsi="宋体"/>
                <w:color w:val="000000"/>
                <w:sz w:val="24"/>
              </w:rPr>
            </w:pPr>
            <w:r>
              <w:rPr>
                <w:rFonts w:hint="eastAsia" w:ascii="宋体" w:hAnsi="宋体"/>
                <w:snapToGrid w:val="0"/>
                <w:color w:val="000000"/>
                <w:kern w:val="0"/>
                <w:sz w:val="24"/>
              </w:rPr>
              <w:t>本项目特征因子</w:t>
            </w:r>
            <w:r>
              <w:rPr>
                <w:rFonts w:hint="eastAsia" w:ascii="宋体" w:hAnsi="宋体"/>
                <w:snapToGrid w:val="0"/>
                <w:color w:val="000000"/>
                <w:kern w:val="0"/>
                <w:sz w:val="24"/>
                <w:lang w:val="en-US" w:eastAsia="zh-CN"/>
              </w:rPr>
              <w:t>为氨、硫化氢</w:t>
            </w:r>
            <w:r>
              <w:rPr>
                <w:rFonts w:hint="eastAsia" w:ascii="宋体" w:hAnsi="宋体"/>
                <w:snapToGrid w:val="0"/>
                <w:color w:val="000000"/>
                <w:kern w:val="0"/>
                <w:sz w:val="24"/>
              </w:rPr>
              <w:t>，委</w:t>
            </w:r>
            <w:r>
              <w:rPr>
                <w:rFonts w:hint="eastAsia" w:ascii="宋体" w:hAnsi="宋体"/>
                <w:snapToGrid w:val="0"/>
                <w:color w:val="000000" w:themeColor="text1"/>
                <w:kern w:val="0"/>
                <w:sz w:val="24"/>
                <w14:textFill>
                  <w14:solidFill>
                    <w14:schemeClr w14:val="tx1"/>
                  </w14:solidFill>
                </w14:textFill>
              </w:rPr>
              <w:t>托</w:t>
            </w:r>
            <w:r>
              <w:rPr>
                <w:rFonts w:ascii="宋体" w:hAnsi="宋体"/>
                <w:color w:val="000000" w:themeColor="text1"/>
                <w:sz w:val="24"/>
                <w14:textFill>
                  <w14:solidFill>
                    <w14:schemeClr w14:val="tx1"/>
                  </w14:solidFill>
                </w14:textFill>
              </w:rPr>
              <w:t>新疆</w:t>
            </w:r>
            <w:r>
              <w:rPr>
                <w:rFonts w:hint="eastAsia" w:ascii="宋体" w:hAnsi="宋体"/>
                <w:color w:val="000000" w:themeColor="text1"/>
                <w:sz w:val="24"/>
                <w14:textFill>
                  <w14:solidFill>
                    <w14:schemeClr w14:val="tx1"/>
                  </w14:solidFill>
                </w14:textFill>
              </w:rPr>
              <w:t>环疆绿源环保科技有限公司</w:t>
            </w:r>
            <w:r>
              <w:rPr>
                <w:rFonts w:ascii="宋体" w:hAnsi="宋体"/>
                <w:color w:val="000000"/>
                <w:sz w:val="24"/>
              </w:rPr>
              <w:t>对项目区域</w:t>
            </w:r>
            <w:r>
              <w:rPr>
                <w:rFonts w:hint="eastAsia" w:ascii="宋体" w:hAnsi="宋体"/>
                <w:color w:val="000000"/>
                <w:sz w:val="24"/>
              </w:rPr>
              <w:t>现状</w:t>
            </w:r>
            <w:r>
              <w:rPr>
                <w:rFonts w:ascii="宋体" w:hAnsi="宋体"/>
                <w:color w:val="000000"/>
                <w:sz w:val="24"/>
              </w:rPr>
              <w:t>进行监测。</w:t>
            </w:r>
          </w:p>
          <w:p>
            <w:pPr>
              <w:topLinePunct/>
              <w:spacing w:line="520" w:lineRule="exact"/>
              <w:ind w:right="63" w:rightChars="30" w:firstLine="480" w:firstLineChars="200"/>
              <w:contextualSpacing/>
              <w:rPr>
                <w:rFonts w:ascii="宋体" w:hAnsi="宋体"/>
                <w:snapToGrid w:val="0"/>
                <w:color w:val="000000"/>
                <w:kern w:val="0"/>
                <w:sz w:val="24"/>
              </w:rPr>
            </w:pPr>
            <w:r>
              <w:rPr>
                <w:rFonts w:hint="eastAsia" w:ascii="宋体" w:hAnsi="宋体"/>
                <w:snapToGrid w:val="0"/>
                <w:color w:val="000000" w:themeColor="text1"/>
                <w:kern w:val="0"/>
                <w:sz w:val="24"/>
                <w14:textFill>
                  <w14:solidFill>
                    <w14:schemeClr w14:val="tx1"/>
                  </w14:solidFill>
                </w14:textFill>
              </w:rPr>
              <w:t>采样时间为</w:t>
            </w:r>
            <w:r>
              <w:rPr>
                <w:rFonts w:ascii="Times New Roman" w:hAnsi="Times New Roman"/>
                <w:color w:val="000000" w:themeColor="text1"/>
                <w:sz w:val="24"/>
                <w14:textFill>
                  <w14:solidFill>
                    <w14:schemeClr w14:val="tx1"/>
                  </w14:solidFill>
                </w14:textFill>
              </w:rPr>
              <w:t>202</w:t>
            </w:r>
            <w:r>
              <w:rPr>
                <w:rFonts w:hint="eastAsia"/>
                <w:color w:val="000000" w:themeColor="text1"/>
                <w:sz w:val="24"/>
                <w:lang w:val="en-US" w:eastAsia="zh-CN"/>
                <w14:textFill>
                  <w14:solidFill>
                    <w14:schemeClr w14:val="tx1"/>
                  </w14:solidFill>
                </w14:textFill>
              </w:rPr>
              <w:t>2</w:t>
            </w:r>
            <w:r>
              <w:rPr>
                <w:rFonts w:ascii="宋体" w:hAnsi="宋体"/>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2</w:t>
            </w:r>
            <w:r>
              <w:rPr>
                <w:rFonts w:ascii="宋体" w:hAnsi="宋体"/>
                <w:color w:val="000000" w:themeColor="text1"/>
                <w:sz w:val="24"/>
                <w14:textFill>
                  <w14:solidFill>
                    <w14:schemeClr w14:val="tx1"/>
                  </w14:solidFill>
                </w14:textFill>
              </w:rPr>
              <w:t>月</w:t>
            </w:r>
            <w:r>
              <w:rPr>
                <w:rFonts w:hint="eastAsia"/>
                <w:color w:val="000000" w:themeColor="text1"/>
                <w:sz w:val="24"/>
                <w:lang w:val="en-US" w:eastAsia="zh-CN"/>
                <w14:textFill>
                  <w14:solidFill>
                    <w14:schemeClr w14:val="tx1"/>
                  </w14:solidFill>
                </w14:textFill>
              </w:rPr>
              <w:t>19</w:t>
            </w:r>
            <w:r>
              <w:rPr>
                <w:rFonts w:ascii="宋体" w:hAnsi="宋体"/>
                <w:color w:val="000000" w:themeColor="text1"/>
                <w:sz w:val="24"/>
                <w14:textFill>
                  <w14:solidFill>
                    <w14:schemeClr w14:val="tx1"/>
                  </w14:solidFill>
                </w14:textFill>
              </w:rPr>
              <w:t>日</w:t>
            </w:r>
            <w:r>
              <w:rPr>
                <w:rFonts w:hint="eastAsia" w:ascii="宋体" w:hAnsi="宋体" w:cs="宋体"/>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ascii="宋体" w:hAnsi="宋体"/>
                <w:color w:val="000000" w:themeColor="text1"/>
                <w:sz w:val="24"/>
                <w14:textFill>
                  <w14:solidFill>
                    <w14:schemeClr w14:val="tx1"/>
                  </w14:solidFill>
                </w14:textFill>
              </w:rPr>
              <w:t>月</w:t>
            </w:r>
            <w:r>
              <w:rPr>
                <w:rFonts w:hint="eastAsia"/>
                <w:color w:val="000000" w:themeColor="text1"/>
                <w:sz w:val="24"/>
                <w:lang w:val="en-US" w:eastAsia="zh-CN"/>
                <w14:textFill>
                  <w14:solidFill>
                    <w14:schemeClr w14:val="tx1"/>
                  </w14:solidFill>
                </w14:textFill>
              </w:rPr>
              <w:t>21</w:t>
            </w:r>
            <w:r>
              <w:rPr>
                <w:rFonts w:ascii="宋体" w:hAnsi="宋体"/>
                <w:color w:val="000000" w:themeColor="text1"/>
                <w:sz w:val="24"/>
                <w14:textFill>
                  <w14:solidFill>
                    <w14:schemeClr w14:val="tx1"/>
                  </w14:solidFill>
                </w14:textFill>
              </w:rPr>
              <w:t>日</w:t>
            </w:r>
            <w:r>
              <w:rPr>
                <w:rFonts w:ascii="宋体" w:hAnsi="宋体"/>
                <w:snapToGrid w:val="0"/>
                <w:color w:val="000000" w:themeColor="text1"/>
                <w:kern w:val="0"/>
                <w:sz w:val="24"/>
                <w14:textFill>
                  <w14:solidFill>
                    <w14:schemeClr w14:val="tx1"/>
                  </w14:solidFill>
                </w14:textFill>
              </w:rPr>
              <w:t>，</w:t>
            </w:r>
            <w:r>
              <w:rPr>
                <w:rFonts w:hint="eastAsia" w:ascii="宋体" w:hAnsi="宋体"/>
                <w:snapToGrid w:val="0"/>
                <w:color w:val="000000" w:themeColor="text1"/>
                <w:kern w:val="0"/>
                <w:sz w:val="24"/>
                <w14:textFill>
                  <w14:solidFill>
                    <w14:schemeClr w14:val="tx1"/>
                  </w14:solidFill>
                </w14:textFill>
              </w:rPr>
              <w:t>每天采样</w:t>
            </w:r>
            <w:r>
              <w:rPr>
                <w:rFonts w:ascii="Times New Roman" w:hAnsi="Times New Roman"/>
                <w:snapToGrid w:val="0"/>
                <w:color w:val="000000" w:themeColor="text1"/>
                <w:kern w:val="0"/>
                <w:sz w:val="24"/>
                <w14:textFill>
                  <w14:solidFill>
                    <w14:schemeClr w14:val="tx1"/>
                  </w14:solidFill>
                </w14:textFill>
              </w:rPr>
              <w:t>4</w:t>
            </w:r>
            <w:r>
              <w:rPr>
                <w:rFonts w:hint="eastAsia" w:ascii="宋体" w:hAnsi="宋体"/>
                <w:snapToGrid w:val="0"/>
                <w:color w:val="000000" w:themeColor="text1"/>
                <w:kern w:val="0"/>
                <w:sz w:val="24"/>
                <w14:textFill>
                  <w14:solidFill>
                    <w14:schemeClr w14:val="tx1"/>
                  </w14:solidFill>
                </w14:textFill>
              </w:rPr>
              <w:t>次，统计小</w:t>
            </w:r>
            <w:r>
              <w:rPr>
                <w:rFonts w:hint="eastAsia" w:ascii="宋体" w:hAnsi="宋体"/>
                <w:snapToGrid w:val="0"/>
                <w:color w:val="000000"/>
                <w:kern w:val="0"/>
                <w:sz w:val="24"/>
              </w:rPr>
              <w:t>时均值。</w:t>
            </w:r>
          </w:p>
          <w:p>
            <w:pPr>
              <w:topLinePunct/>
              <w:spacing w:line="520" w:lineRule="exact"/>
              <w:ind w:right="63" w:rightChars="30" w:firstLine="482" w:firstLineChars="200"/>
              <w:contextualSpacing/>
              <w:rPr>
                <w:rFonts w:hint="eastAsia" w:ascii="宋体" w:hAnsi="宋体"/>
                <w:b/>
                <w:snapToGrid w:val="0"/>
                <w:kern w:val="0"/>
                <w:sz w:val="24"/>
              </w:rPr>
            </w:pPr>
            <w:r>
              <w:rPr>
                <w:rFonts w:hint="eastAsia" w:ascii="Times New Roman" w:hAnsi="Times New Roman"/>
                <w:b/>
                <w:snapToGrid w:val="0"/>
                <w:kern w:val="0"/>
                <w:sz w:val="24"/>
              </w:rPr>
              <w:t>1.</w:t>
            </w:r>
            <w:r>
              <w:rPr>
                <w:rFonts w:hint="eastAsia" w:ascii="Times New Roman" w:hAnsi="Times New Roman"/>
                <w:b/>
                <w:snapToGrid w:val="0"/>
                <w:kern w:val="0"/>
                <w:sz w:val="24"/>
                <w:lang w:val="en-US" w:eastAsia="zh-CN"/>
              </w:rPr>
              <w:t>4</w:t>
            </w:r>
            <w:r>
              <w:rPr>
                <w:rFonts w:ascii="宋体" w:hAnsi="宋体"/>
                <w:b/>
                <w:snapToGrid w:val="0"/>
                <w:kern w:val="0"/>
                <w:sz w:val="24"/>
              </w:rPr>
              <w:t>监测分析方法</w:t>
            </w:r>
          </w:p>
          <w:p>
            <w:pPr>
              <w:spacing w:line="520" w:lineRule="exact"/>
              <w:ind w:firstLine="480" w:firstLineChars="200"/>
              <w:rPr>
                <w:rFonts w:hint="default" w:ascii="Times New Roman" w:hAnsi="Times New Roman" w:cs="Times New Roman"/>
                <w:color w:val="000000"/>
                <w:sz w:val="24"/>
                <w:szCs w:val="24"/>
              </w:rPr>
            </w:pPr>
            <w:bookmarkStart w:id="12" w:name="_Hlk44691307"/>
            <w:r>
              <w:rPr>
                <w:rFonts w:hint="default" w:ascii="Times New Roman" w:hAnsi="Times New Roman" w:cs="Times New Roman"/>
                <w:color w:val="000000" w:themeColor="text1"/>
                <w:sz w:val="24"/>
                <w:szCs w:val="24"/>
                <w14:textFill>
                  <w14:solidFill>
                    <w14:schemeClr w14:val="tx1"/>
                  </w14:solidFill>
                </w14:textFill>
              </w:rPr>
              <w:t>采样方法按国家环保局颁发的《环境监测技术规范》执行；</w:t>
            </w:r>
            <w:bookmarkEnd w:id="12"/>
            <w:r>
              <w:rPr>
                <w:rFonts w:hint="default" w:ascii="Times New Roman" w:hAnsi="Times New Roman" w:cs="Times New Roman"/>
                <w:color w:val="000000" w:themeColor="text1"/>
                <w:sz w:val="24"/>
                <w:szCs w:val="24"/>
                <w14:textFill>
                  <w14:solidFill>
                    <w14:schemeClr w14:val="tx1"/>
                  </w14:solidFill>
                </w14:textFill>
              </w:rPr>
              <w:t>分析方法按</w:t>
            </w:r>
            <w:r>
              <w:rPr>
                <w:rFonts w:hint="default" w:ascii="Times New Roman" w:hAnsi="Times New Roman" w:eastAsia="宋体" w:cs="Times New Roman"/>
                <w:snapToGrid w:val="0"/>
                <w:color w:val="000000" w:themeColor="text1"/>
                <w:kern w:val="2"/>
                <w:sz w:val="24"/>
                <w:szCs w:val="24"/>
                <w:lang w:val="en-US" w:eastAsia="zh-CN" w:bidi="ar-SA"/>
                <w14:textFill>
                  <w14:solidFill>
                    <w14:schemeClr w14:val="tx1"/>
                  </w14:solidFill>
                </w14:textFill>
              </w:rPr>
              <w:t>《环境空气和废气 氨的测定 纳氏试剂分光光度法》</w:t>
            </w:r>
            <w:r>
              <w:rPr>
                <w:rFonts w:hint="default" w:ascii="Times New Roman" w:hAnsi="Times New Roman" w:cs="Times New Roman"/>
                <w:color w:val="000000" w:themeColor="text1"/>
                <w:sz w:val="24"/>
                <w:szCs w:val="24"/>
                <w14:textFill>
                  <w14:solidFill>
                    <w14:schemeClr w14:val="tx1"/>
                  </w14:solidFill>
                </w14:textFill>
              </w:rPr>
              <w:t>（HJ533-2009）</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snapToGrid w:val="0"/>
                <w:color w:val="000000" w:themeColor="text1"/>
                <w:kern w:val="2"/>
                <w:sz w:val="24"/>
                <w:szCs w:val="24"/>
                <w:lang w:val="en-US" w:eastAsia="zh-CN" w:bidi="ar-SA"/>
                <w14:textFill>
                  <w14:solidFill>
                    <w14:schemeClr w14:val="tx1"/>
                  </w14:solidFill>
                </w14:textFill>
              </w:rPr>
              <w:t>《居住区大气中硫化氢卫生检验标准方法 亚甲蓝分光光度法》</w:t>
            </w:r>
            <w:r>
              <w:rPr>
                <w:rFonts w:hint="default" w:ascii="Times New Roman" w:hAnsi="Times New Roman" w:cs="Times New Roman"/>
                <w:color w:val="000000" w:themeColor="text1"/>
                <w:sz w:val="24"/>
                <w:szCs w:val="24"/>
                <w14:textFill>
                  <w14:solidFill>
                    <w14:schemeClr w14:val="tx1"/>
                  </w14:solidFill>
                </w14:textFill>
              </w:rPr>
              <w:t>（GB11742-1989）中的要求进行。详</w:t>
            </w:r>
            <w:r>
              <w:rPr>
                <w:rFonts w:hint="default" w:ascii="Times New Roman" w:hAnsi="Times New Roman" w:cs="Times New Roman"/>
                <w:color w:val="000000"/>
                <w:sz w:val="24"/>
                <w:szCs w:val="24"/>
              </w:rPr>
              <w:t>见表</w:t>
            </w:r>
            <w:r>
              <w:rPr>
                <w:rFonts w:hint="default" w:ascii="Times New Roman" w:hAnsi="Times New Roman" w:cs="Times New Roman"/>
                <w:color w:val="000000"/>
                <w:sz w:val="24"/>
                <w:szCs w:val="24"/>
                <w:lang w:val="en-US" w:eastAsia="zh-CN"/>
              </w:rPr>
              <w:t>3-2</w:t>
            </w:r>
            <w:r>
              <w:rPr>
                <w:rFonts w:hint="default" w:ascii="Times New Roman" w:hAnsi="Times New Roman" w:cs="Times New Roman"/>
                <w:color w:val="000000"/>
                <w:sz w:val="24"/>
                <w:szCs w:val="24"/>
              </w:rPr>
              <w:t>。</w:t>
            </w:r>
          </w:p>
          <w:p>
            <w:pPr>
              <w:ind w:left="63" w:leftChars="30" w:right="63" w:rightChars="30" w:firstLine="480" w:firstLineChars="200"/>
              <w:jc w:val="center"/>
              <w:rPr>
                <w:rFonts w:ascii="黑体" w:hAnsi="黑体" w:eastAsia="黑体"/>
                <w:sz w:val="24"/>
                <w:szCs w:val="24"/>
              </w:rPr>
            </w:pPr>
            <w:r>
              <w:rPr>
                <w:rFonts w:hint="eastAsia" w:ascii="黑体" w:hAnsi="黑体" w:eastAsia="黑体"/>
                <w:sz w:val="24"/>
                <w:szCs w:val="24"/>
              </w:rPr>
              <w:t>表</w:t>
            </w:r>
            <w:r>
              <w:rPr>
                <w:rFonts w:hint="eastAsia" w:eastAsia="黑体"/>
                <w:sz w:val="24"/>
                <w:szCs w:val="24"/>
                <w:lang w:val="en-US" w:eastAsia="zh-CN"/>
              </w:rPr>
              <w:t>3-2</w:t>
            </w:r>
            <w:r>
              <w:rPr>
                <w:rFonts w:hint="eastAsia" w:ascii="黑体" w:hAnsi="黑体" w:eastAsia="黑体"/>
                <w:sz w:val="24"/>
                <w:szCs w:val="24"/>
              </w:rPr>
              <w:t xml:space="preserve">  监测分析统计表</w:t>
            </w:r>
          </w:p>
          <w:tbl>
            <w:tblPr>
              <w:tblStyle w:val="28"/>
              <w:tblW w:w="827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2261"/>
              <w:gridCol w:w="1588"/>
              <w:gridCol w:w="2051"/>
              <w:gridCol w:w="12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exact"/>
              </w:trPr>
              <w:tc>
                <w:tcPr>
                  <w:tcW w:w="1125" w:type="dxa"/>
                  <w:noWrap w:val="0"/>
                  <w:vAlign w:val="center"/>
                </w:tcPr>
                <w:p>
                  <w:pPr>
                    <w:pStyle w:val="39"/>
                    <w:spacing w:after="0"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监测项目</w:t>
                  </w:r>
                </w:p>
              </w:tc>
              <w:tc>
                <w:tcPr>
                  <w:tcW w:w="2261" w:type="dxa"/>
                  <w:noWrap w:val="0"/>
                  <w:vAlign w:val="center"/>
                </w:tcPr>
                <w:p>
                  <w:pPr>
                    <w:pStyle w:val="39"/>
                    <w:spacing w:after="0"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分析方法</w:t>
                  </w:r>
                </w:p>
              </w:tc>
              <w:tc>
                <w:tcPr>
                  <w:tcW w:w="1588" w:type="dxa"/>
                  <w:noWrap w:val="0"/>
                  <w:vAlign w:val="center"/>
                </w:tcPr>
                <w:p>
                  <w:pPr>
                    <w:pStyle w:val="39"/>
                    <w:spacing w:after="0"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方法依据</w:t>
                  </w:r>
                </w:p>
              </w:tc>
              <w:tc>
                <w:tcPr>
                  <w:tcW w:w="2051" w:type="dxa"/>
                  <w:noWrap w:val="0"/>
                  <w:vAlign w:val="center"/>
                </w:tcPr>
                <w:p>
                  <w:pPr>
                    <w:pStyle w:val="39"/>
                    <w:spacing w:after="0"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仪器设备</w:t>
                  </w:r>
                </w:p>
              </w:tc>
              <w:tc>
                <w:tcPr>
                  <w:tcW w:w="1254" w:type="dxa"/>
                  <w:noWrap w:val="0"/>
                  <w:vAlign w:val="center"/>
                </w:tcPr>
                <w:p>
                  <w:pPr>
                    <w:pStyle w:val="39"/>
                    <w:spacing w:after="0"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5" w:hRule="exact"/>
              </w:trPr>
              <w:tc>
                <w:tcPr>
                  <w:tcW w:w="1125" w:type="dxa"/>
                  <w:noWrap w:val="0"/>
                  <w:vAlign w:val="center"/>
                </w:tcPr>
                <w:p>
                  <w:pPr>
                    <w:pStyle w:val="39"/>
                    <w:spacing w:after="0" w:line="240" w:lineRule="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氨</w:t>
                  </w:r>
                </w:p>
              </w:tc>
              <w:tc>
                <w:tcPr>
                  <w:tcW w:w="2261" w:type="dxa"/>
                  <w:noWrap w:val="0"/>
                  <w:vAlign w:val="center"/>
                </w:tcPr>
                <w:p>
                  <w:pPr>
                    <w:textAlignment w:val="center"/>
                    <w:rPr>
                      <w:rFonts w:hint="default" w:ascii="Times New Roman" w:hAnsi="Times New Roman" w:eastAsia="宋体"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sz w:val="21"/>
                      <w:szCs w:val="21"/>
                      <w:lang w:val="en-US" w:eastAsia="zh-CN" w:bidi="ar-SA"/>
                      <w14:textFill>
                        <w14:solidFill>
                          <w14:schemeClr w14:val="tx1"/>
                        </w14:solidFill>
                      </w14:textFill>
                    </w:rPr>
                    <w:t>《环境空气和废气 氨的测定 纳氏试剂分光光度法》</w:t>
                  </w:r>
                </w:p>
              </w:tc>
              <w:tc>
                <w:tcPr>
                  <w:tcW w:w="1588" w:type="dxa"/>
                  <w:noWrap w:val="0"/>
                  <w:vAlign w:val="center"/>
                </w:tcPr>
                <w:p>
                  <w:pPr>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HJ533-2009</w:t>
                  </w:r>
                </w:p>
              </w:tc>
              <w:tc>
                <w:tcPr>
                  <w:tcW w:w="2051" w:type="dxa"/>
                  <w:noWrap w:val="0"/>
                  <w:vAlign w:val="center"/>
                </w:tcPr>
                <w:p>
                  <w:pPr>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722N可见光分光光度计</w:t>
                  </w:r>
                </w:p>
              </w:tc>
              <w:tc>
                <w:tcPr>
                  <w:tcW w:w="1254" w:type="dxa"/>
                  <w:noWrap w:val="0"/>
                  <w:vAlign w:val="center"/>
                </w:tcPr>
                <w:p>
                  <w:pPr>
                    <w:pStyle w:val="23"/>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0.25</w:t>
                  </w:r>
                  <w:r>
                    <w:rPr>
                      <w:rFonts w:hint="default"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1" w:hRule="exact"/>
              </w:trPr>
              <w:tc>
                <w:tcPr>
                  <w:tcW w:w="1125" w:type="dxa"/>
                  <w:noWrap w:val="0"/>
                  <w:vAlign w:val="center"/>
                </w:tcPr>
                <w:p>
                  <w:pPr>
                    <w:pStyle w:val="39"/>
                    <w:spacing w:after="0" w:line="240" w:lineRule="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硫化氢</w:t>
                  </w:r>
                </w:p>
              </w:tc>
              <w:tc>
                <w:tcPr>
                  <w:tcW w:w="2261" w:type="dxa"/>
                  <w:noWrap w:val="0"/>
                  <w:vAlign w:val="center"/>
                </w:tcPr>
                <w:p>
                  <w:pPr>
                    <w:textAlignment w:val="center"/>
                    <w:rPr>
                      <w:rFonts w:hint="default" w:ascii="Times New Roman" w:hAnsi="Times New Roman" w:eastAsia="宋体"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napToGrid w:val="0"/>
                      <w:color w:val="000000" w:themeColor="text1"/>
                      <w:kern w:val="2"/>
                      <w:sz w:val="21"/>
                      <w:szCs w:val="21"/>
                      <w:lang w:val="en-US" w:eastAsia="zh-CN" w:bidi="ar-SA"/>
                      <w14:textFill>
                        <w14:solidFill>
                          <w14:schemeClr w14:val="tx1"/>
                        </w14:solidFill>
                      </w14:textFill>
                    </w:rPr>
                    <w:t>《居住区大气中硫化氢卫生检验标准方法 亚甲蓝分光光度法》</w:t>
                  </w:r>
                </w:p>
              </w:tc>
              <w:tc>
                <w:tcPr>
                  <w:tcW w:w="1588" w:type="dxa"/>
                  <w:noWrap w:val="0"/>
                  <w:vAlign w:val="center"/>
                </w:tcPr>
                <w:p>
                  <w:pPr>
                    <w:jc w:val="both"/>
                    <w:textAlignment w:val="center"/>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GB11742-1989</w:t>
                  </w:r>
                </w:p>
              </w:tc>
              <w:tc>
                <w:tcPr>
                  <w:tcW w:w="2051" w:type="dxa"/>
                  <w:noWrap w:val="0"/>
                  <w:vAlign w:val="center"/>
                </w:tcPr>
                <w:p>
                  <w:pPr>
                    <w:jc w:val="center"/>
                    <w:textAlignment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722N可见光分光光度计</w:t>
                  </w:r>
                </w:p>
              </w:tc>
              <w:tc>
                <w:tcPr>
                  <w:tcW w:w="1254" w:type="dxa"/>
                  <w:noWrap w:val="0"/>
                  <w:vAlign w:val="center"/>
                </w:tcPr>
                <w:p>
                  <w:pPr>
                    <w:pStyle w:val="23"/>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0.005</w:t>
                  </w:r>
                  <w:r>
                    <w:rPr>
                      <w:rFonts w:hint="default"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r>
          </w:tbl>
          <w:p>
            <w:pPr>
              <w:adjustRightInd w:val="0"/>
              <w:snapToGrid w:val="0"/>
              <w:spacing w:line="520" w:lineRule="exact"/>
              <w:ind w:left="63" w:leftChars="30" w:right="63" w:rightChars="30" w:firstLine="482" w:firstLineChars="200"/>
              <w:rPr>
                <w:rFonts w:ascii="宋体" w:hAnsi="宋体"/>
                <w:b/>
                <w:snapToGrid w:val="0"/>
                <w:kern w:val="0"/>
                <w:sz w:val="24"/>
              </w:rPr>
            </w:pPr>
            <w:r>
              <w:rPr>
                <w:rFonts w:hint="eastAsia" w:ascii="Times New Roman" w:hAnsi="Times New Roman"/>
                <w:b/>
                <w:snapToGrid w:val="0"/>
                <w:kern w:val="0"/>
                <w:sz w:val="24"/>
              </w:rPr>
              <w:t>1.</w:t>
            </w:r>
            <w:r>
              <w:rPr>
                <w:rFonts w:hint="eastAsia" w:ascii="Times New Roman" w:hAnsi="Times New Roman"/>
                <w:b/>
                <w:snapToGrid w:val="0"/>
                <w:kern w:val="0"/>
                <w:sz w:val="24"/>
                <w:lang w:val="en-US" w:eastAsia="zh-CN"/>
              </w:rPr>
              <w:t>5</w:t>
            </w:r>
            <w:r>
              <w:rPr>
                <w:rFonts w:ascii="宋体" w:hAnsi="宋体"/>
                <w:b/>
                <w:snapToGrid w:val="0"/>
                <w:kern w:val="0"/>
                <w:sz w:val="24"/>
              </w:rPr>
              <w:t>评价方法</w:t>
            </w:r>
          </w:p>
          <w:p>
            <w:pPr>
              <w:adjustRightInd w:val="0"/>
              <w:snapToGrid w:val="0"/>
              <w:spacing w:line="520" w:lineRule="exact"/>
              <w:ind w:firstLine="480" w:firstLineChars="200"/>
              <w:rPr>
                <w:rFonts w:ascii="宋体" w:hAnsi="宋体"/>
                <w:sz w:val="24"/>
              </w:rPr>
            </w:pPr>
            <w:r>
              <w:rPr>
                <w:rFonts w:ascii="宋体" w:hAnsi="宋体"/>
                <w:sz w:val="24"/>
              </w:rPr>
              <w:t>评价方法采用最大质量浓度占相应标准质量浓度限值的百分比及超标率对监测结果进行评价分析。计算公式如下：</w:t>
            </w:r>
          </w:p>
          <w:p>
            <w:pPr>
              <w:spacing w:line="520" w:lineRule="exact"/>
              <w:ind w:firstLine="3120" w:firstLineChars="1300"/>
              <w:rPr>
                <w:rFonts w:ascii="Times New Roman" w:hAnsi="Times New Roman"/>
                <w:sz w:val="24"/>
              </w:rPr>
            </w:pPr>
            <w:r>
              <w:rPr>
                <w:rFonts w:ascii="Times New Roman" w:hAnsi="Times New Roman"/>
                <w:sz w:val="24"/>
              </w:rPr>
              <w:t>P</w:t>
            </w:r>
            <w:r>
              <w:rPr>
                <w:rFonts w:ascii="Times New Roman" w:hAnsi="Times New Roman"/>
                <w:sz w:val="24"/>
                <w:vertAlign w:val="subscript"/>
              </w:rPr>
              <w:t>i</w:t>
            </w:r>
            <w:r>
              <w:rPr>
                <w:rFonts w:ascii="Times New Roman" w:hAnsi="Times New Roman"/>
                <w:sz w:val="24"/>
              </w:rPr>
              <w:t>=C</w:t>
            </w:r>
            <w:r>
              <w:rPr>
                <w:rFonts w:ascii="Times New Roman" w:hAnsi="Times New Roman"/>
                <w:sz w:val="24"/>
                <w:vertAlign w:val="subscript"/>
              </w:rPr>
              <w:t>i</w:t>
            </w:r>
            <w:r>
              <w:rPr>
                <w:rFonts w:ascii="Times New Roman" w:hAnsi="Times New Roman"/>
                <w:sz w:val="24"/>
              </w:rPr>
              <w:t>/C</w:t>
            </w:r>
            <w:r>
              <w:rPr>
                <w:rFonts w:ascii="Times New Roman" w:hAnsi="Times New Roman"/>
                <w:sz w:val="24"/>
                <w:vertAlign w:val="subscript"/>
              </w:rPr>
              <w:t>oi</w:t>
            </w:r>
            <w:r>
              <w:rPr>
                <w:rFonts w:ascii="Times New Roman" w:hAnsi="Times New Roman"/>
                <w:sz w:val="24"/>
              </w:rPr>
              <w:t>×100%</w:t>
            </w:r>
          </w:p>
          <w:p>
            <w:pPr>
              <w:spacing w:line="520" w:lineRule="exact"/>
              <w:ind w:firstLine="480" w:firstLineChars="200"/>
              <w:rPr>
                <w:rFonts w:ascii="宋体" w:hAnsi="宋体"/>
                <w:sz w:val="24"/>
              </w:rPr>
            </w:pPr>
            <w:r>
              <w:rPr>
                <w:rFonts w:ascii="宋体" w:hAnsi="宋体"/>
                <w:sz w:val="24"/>
              </w:rPr>
              <w:t>式中：</w:t>
            </w:r>
            <w:r>
              <w:rPr>
                <w:rFonts w:ascii="Times New Roman" w:hAnsi="Times New Roman"/>
                <w:sz w:val="24"/>
              </w:rPr>
              <w:t>P</w:t>
            </w:r>
            <w:r>
              <w:rPr>
                <w:rFonts w:ascii="Times New Roman" w:hAnsi="Times New Roman"/>
                <w:sz w:val="24"/>
                <w:vertAlign w:val="subscript"/>
              </w:rPr>
              <w:t>i</w:t>
            </w:r>
            <w:r>
              <w:rPr>
                <w:rFonts w:ascii="宋体" w:hAnsi="宋体"/>
                <w:sz w:val="24"/>
              </w:rPr>
              <w:t>—某种污染物的最大地面质量浓度占标率，</w:t>
            </w:r>
            <w:r>
              <w:rPr>
                <w:rFonts w:ascii="Times New Roman" w:hAnsi="Times New Roman"/>
                <w:sz w:val="24"/>
              </w:rPr>
              <w:t>%</w:t>
            </w:r>
            <w:r>
              <w:rPr>
                <w:rFonts w:ascii="宋体" w:hAnsi="宋体"/>
                <w:sz w:val="24"/>
              </w:rPr>
              <w:t>；</w:t>
            </w:r>
          </w:p>
          <w:p>
            <w:pPr>
              <w:spacing w:line="520" w:lineRule="exact"/>
              <w:ind w:firstLine="1200" w:firstLineChars="500"/>
              <w:rPr>
                <w:rFonts w:ascii="宋体" w:hAnsi="宋体"/>
                <w:sz w:val="24"/>
              </w:rPr>
            </w:pPr>
            <w:r>
              <w:rPr>
                <w:rFonts w:ascii="Times New Roman" w:hAnsi="Times New Roman"/>
                <w:sz w:val="24"/>
              </w:rPr>
              <w:t>C</w:t>
            </w:r>
            <w:r>
              <w:rPr>
                <w:rFonts w:ascii="Times New Roman" w:hAnsi="Times New Roman"/>
                <w:sz w:val="24"/>
                <w:vertAlign w:val="subscript"/>
              </w:rPr>
              <w:t>i</w:t>
            </w:r>
            <w:r>
              <w:rPr>
                <w:rFonts w:ascii="宋体" w:hAnsi="宋体"/>
                <w:sz w:val="24"/>
              </w:rPr>
              <w:t>—某种污染物的实际监测浓度，</w:t>
            </w:r>
            <w:r>
              <w:rPr>
                <w:rFonts w:ascii="Times New Roman" w:hAnsi="Times New Roman"/>
                <w:sz w:val="24"/>
              </w:rPr>
              <w:t>mg/m</w:t>
            </w:r>
            <w:r>
              <w:rPr>
                <w:rFonts w:ascii="Times New Roman" w:hAnsi="Times New Roman"/>
                <w:sz w:val="24"/>
                <w:vertAlign w:val="superscript"/>
              </w:rPr>
              <w:t>3</w:t>
            </w:r>
            <w:r>
              <w:rPr>
                <w:rFonts w:ascii="Times New Roman" w:hAnsi="Times New Roman"/>
                <w:sz w:val="24"/>
              </w:rPr>
              <w:t>；</w:t>
            </w:r>
          </w:p>
          <w:p>
            <w:pPr>
              <w:spacing w:line="520" w:lineRule="exact"/>
              <w:ind w:firstLine="1200" w:firstLineChars="500"/>
              <w:rPr>
                <w:rFonts w:ascii="宋体" w:hAnsi="宋体"/>
                <w:sz w:val="24"/>
              </w:rPr>
            </w:pPr>
            <w:r>
              <w:rPr>
                <w:rFonts w:ascii="Times New Roman" w:hAnsi="Times New Roman"/>
                <w:sz w:val="24"/>
              </w:rPr>
              <w:t>C</w:t>
            </w:r>
            <w:r>
              <w:rPr>
                <w:rFonts w:ascii="Times New Roman" w:hAnsi="Times New Roman"/>
                <w:sz w:val="24"/>
                <w:vertAlign w:val="subscript"/>
              </w:rPr>
              <w:t>oi</w:t>
            </w:r>
            <w:r>
              <w:rPr>
                <w:rFonts w:ascii="宋体" w:hAnsi="宋体"/>
                <w:sz w:val="24"/>
              </w:rPr>
              <w:t>—某种污染物的环境空气标准浓度，</w:t>
            </w:r>
            <w:r>
              <w:rPr>
                <w:rFonts w:ascii="Times New Roman" w:hAnsi="Times New Roman"/>
                <w:sz w:val="24"/>
              </w:rPr>
              <w:t>mg/m</w:t>
            </w:r>
            <w:r>
              <w:rPr>
                <w:rFonts w:ascii="Times New Roman" w:hAnsi="Times New Roman"/>
                <w:sz w:val="24"/>
                <w:vertAlign w:val="superscript"/>
              </w:rPr>
              <w:t>3</w:t>
            </w:r>
            <w:r>
              <w:rPr>
                <w:rFonts w:ascii="宋体" w:hAnsi="宋体"/>
                <w:sz w:val="24"/>
              </w:rPr>
              <w:t>。</w:t>
            </w:r>
          </w:p>
          <w:p>
            <w:pPr>
              <w:adjustRightInd w:val="0"/>
              <w:snapToGrid w:val="0"/>
              <w:spacing w:line="520" w:lineRule="exact"/>
              <w:ind w:left="63" w:leftChars="30" w:right="63" w:rightChars="30" w:firstLine="482" w:firstLineChars="200"/>
              <w:rPr>
                <w:rFonts w:hint="eastAsia" w:ascii="宋体" w:hAnsi="宋体"/>
                <w:b/>
                <w:snapToGrid w:val="0"/>
                <w:kern w:val="0"/>
                <w:sz w:val="24"/>
              </w:rPr>
            </w:pPr>
            <w:r>
              <w:rPr>
                <w:rFonts w:hint="eastAsia" w:ascii="Times New Roman" w:hAnsi="Times New Roman"/>
                <w:b/>
                <w:snapToGrid w:val="0"/>
                <w:kern w:val="0"/>
                <w:sz w:val="24"/>
              </w:rPr>
              <w:t>1.</w:t>
            </w:r>
            <w:r>
              <w:rPr>
                <w:rFonts w:hint="eastAsia" w:ascii="Times New Roman" w:hAnsi="Times New Roman"/>
                <w:b/>
                <w:snapToGrid w:val="0"/>
                <w:kern w:val="0"/>
                <w:sz w:val="24"/>
                <w:lang w:val="en-US" w:eastAsia="zh-CN"/>
              </w:rPr>
              <w:t>6</w:t>
            </w:r>
            <w:r>
              <w:rPr>
                <w:rFonts w:hint="eastAsia" w:ascii="宋体" w:hAnsi="宋体"/>
                <w:b/>
                <w:snapToGrid w:val="0"/>
                <w:kern w:val="0"/>
                <w:sz w:val="24"/>
              </w:rPr>
              <w:t>评价标准</w:t>
            </w:r>
          </w:p>
          <w:p>
            <w:pPr>
              <w:adjustRightInd w:val="0"/>
              <w:snapToGrid w:val="0"/>
              <w:spacing w:line="520" w:lineRule="exact"/>
              <w:ind w:left="63" w:leftChars="30" w:right="63" w:rightChars="30" w:firstLine="480" w:firstLineChars="200"/>
              <w:rPr>
                <w:rFonts w:ascii="宋体" w:hAnsi="宋体"/>
                <w:snapToGrid w:val="0"/>
                <w:color w:val="000000" w:themeColor="text1"/>
                <w:kern w:val="0"/>
                <w:sz w:val="24"/>
                <w14:textFill>
                  <w14:solidFill>
                    <w14:schemeClr w14:val="tx1"/>
                  </w14:solidFill>
                </w14:textFill>
              </w:rPr>
            </w:pPr>
            <w:r>
              <w:rPr>
                <w:rFonts w:hint="eastAsia" w:ascii="宋体" w:hAnsi="宋体"/>
                <w:snapToGrid w:val="0"/>
                <w:color w:val="000000" w:themeColor="text1"/>
                <w:kern w:val="0"/>
                <w:sz w:val="24"/>
                <w:lang w:val="en-US" w:eastAsia="zh-CN"/>
                <w14:textFill>
                  <w14:solidFill>
                    <w14:schemeClr w14:val="tx1"/>
                  </w14:solidFill>
                </w14:textFill>
              </w:rPr>
              <w:t>氨、硫化氢评价标准</w:t>
            </w:r>
            <w:r>
              <w:rPr>
                <w:rFonts w:ascii="宋体" w:hAnsi="宋体"/>
                <w:color w:val="000000" w:themeColor="text1"/>
                <w:sz w:val="24"/>
                <w:szCs w:val="24"/>
                <w14:textFill>
                  <w14:solidFill>
                    <w14:schemeClr w14:val="tx1"/>
                  </w14:solidFill>
                </w14:textFill>
              </w:rPr>
              <w:t>参考《</w:t>
            </w:r>
            <w:r>
              <w:rPr>
                <w:rFonts w:hint="eastAsia" w:ascii="宋体" w:hAnsi="宋体"/>
                <w:color w:val="000000" w:themeColor="text1"/>
                <w:sz w:val="24"/>
                <w:szCs w:val="24"/>
                <w14:textFill>
                  <w14:solidFill>
                    <w14:schemeClr w14:val="tx1"/>
                  </w14:solidFill>
                </w14:textFill>
              </w:rPr>
              <w:t>环境影响评价技术导则大气环境</w:t>
            </w:r>
            <w:r>
              <w:rPr>
                <w:rFonts w:ascii="宋体" w:hAnsi="宋体"/>
                <w:color w:val="000000" w:themeColor="text1"/>
                <w:sz w:val="24"/>
                <w:szCs w:val="24"/>
                <w14:textFill>
                  <w14:solidFill>
                    <w14:schemeClr w14:val="tx1"/>
                  </w14:solidFill>
                </w14:textFill>
              </w:rPr>
              <w:t>》</w:t>
            </w:r>
            <w:r>
              <w:rPr>
                <w:rFonts w:hint="eastAsia" w:ascii="宋体" w:hAnsi="宋体"/>
                <w:color w:val="000000" w:themeColor="text1"/>
                <w:sz w:val="24"/>
                <w:szCs w:val="24"/>
                <w14:textFill>
                  <w14:solidFill>
                    <w14:schemeClr w14:val="tx1"/>
                  </w14:solidFill>
                </w14:textFill>
              </w:rPr>
              <w:t>（</w:t>
            </w:r>
            <w:r>
              <w:rPr>
                <w:rFonts w:ascii="Times New Roman" w:hAnsi="Times New Roman"/>
                <w:color w:val="000000" w:themeColor="text1"/>
                <w:sz w:val="24"/>
                <w:szCs w:val="24"/>
                <w14:textFill>
                  <w14:solidFill>
                    <w14:schemeClr w14:val="tx1"/>
                  </w14:solidFill>
                </w14:textFill>
              </w:rPr>
              <w:t>HJ2.2-2018</w:t>
            </w:r>
            <w:r>
              <w:rPr>
                <w:rFonts w:hint="eastAsia" w:ascii="宋体" w:hAnsi="宋体"/>
                <w:color w:val="000000" w:themeColor="text1"/>
                <w:sz w:val="24"/>
                <w:szCs w:val="24"/>
                <w14:textFill>
                  <w14:solidFill>
                    <w14:schemeClr w14:val="tx1"/>
                  </w14:solidFill>
                </w14:textFill>
              </w:rPr>
              <w:t>）附录D其他污染物空气质量浓度参考限值，</w:t>
            </w:r>
            <w:r>
              <w:rPr>
                <w:rFonts w:hint="eastAsia" w:ascii="宋体" w:hAnsi="宋体"/>
                <w:snapToGrid w:val="0"/>
                <w:color w:val="000000" w:themeColor="text1"/>
                <w:kern w:val="0"/>
                <w:sz w:val="24"/>
                <w14:textFill>
                  <w14:solidFill>
                    <w14:schemeClr w14:val="tx1"/>
                  </w14:solidFill>
                </w14:textFill>
              </w:rPr>
              <w:t>详情</w:t>
            </w:r>
            <w:r>
              <w:rPr>
                <w:rFonts w:ascii="宋体" w:hAnsi="宋体"/>
                <w:snapToGrid w:val="0"/>
                <w:color w:val="000000" w:themeColor="text1"/>
                <w:kern w:val="0"/>
                <w:sz w:val="24"/>
                <w14:textFill>
                  <w14:solidFill>
                    <w14:schemeClr w14:val="tx1"/>
                  </w14:solidFill>
                </w14:textFill>
              </w:rPr>
              <w:t>见表</w:t>
            </w:r>
            <w:r>
              <w:rPr>
                <w:rFonts w:hint="eastAsia"/>
                <w:snapToGrid w:val="0"/>
                <w:color w:val="000000" w:themeColor="text1"/>
                <w:kern w:val="0"/>
                <w:sz w:val="24"/>
                <w:lang w:val="en-US" w:eastAsia="zh-CN"/>
                <w14:textFill>
                  <w14:solidFill>
                    <w14:schemeClr w14:val="tx1"/>
                  </w14:solidFill>
                </w14:textFill>
              </w:rPr>
              <w:t>3-3</w:t>
            </w:r>
            <w:r>
              <w:rPr>
                <w:rFonts w:ascii="宋体" w:hAnsi="宋体"/>
                <w:snapToGrid w:val="0"/>
                <w:color w:val="000000" w:themeColor="text1"/>
                <w:kern w:val="0"/>
                <w:sz w:val="24"/>
                <w14:textFill>
                  <w14:solidFill>
                    <w14:schemeClr w14:val="tx1"/>
                  </w14:solidFill>
                </w14:textFill>
              </w:rPr>
              <w:t>。</w:t>
            </w:r>
          </w:p>
          <w:p>
            <w:pPr>
              <w:spacing w:line="560" w:lineRule="exact"/>
              <w:ind w:left="63" w:leftChars="30" w:right="63" w:rightChars="30" w:firstLine="480" w:firstLineChars="200"/>
              <w:jc w:val="center"/>
              <w:rPr>
                <w:rFonts w:ascii="黑体" w:hAnsi="黑体" w:eastAsia="黑体"/>
                <w:sz w:val="24"/>
                <w:szCs w:val="24"/>
              </w:rPr>
            </w:pPr>
            <w:r>
              <w:rPr>
                <w:rFonts w:hint="eastAsia" w:ascii="黑体" w:hAnsi="黑体" w:eastAsia="黑体"/>
                <w:sz w:val="24"/>
                <w:szCs w:val="24"/>
              </w:rPr>
              <w:t>表</w:t>
            </w:r>
            <w:r>
              <w:rPr>
                <w:rFonts w:hint="eastAsia" w:eastAsia="黑体"/>
                <w:sz w:val="24"/>
                <w:szCs w:val="24"/>
                <w:lang w:val="en-US" w:eastAsia="zh-CN"/>
              </w:rPr>
              <w:t>3-3</w:t>
            </w:r>
            <w:r>
              <w:rPr>
                <w:rFonts w:hint="eastAsia" w:ascii="黑体" w:hAnsi="黑体" w:eastAsia="黑体"/>
                <w:sz w:val="24"/>
                <w:szCs w:val="24"/>
              </w:rPr>
              <w:t xml:space="preserve">  环境空气质量执行标准（单位：</w:t>
            </w:r>
            <w:r>
              <w:rPr>
                <w:rFonts w:hint="eastAsia" w:eastAsia="黑体"/>
                <w:sz w:val="24"/>
                <w:szCs w:val="24"/>
                <w:lang w:val="en-US" w:eastAsia="zh-CN"/>
              </w:rPr>
              <w:t>m</w:t>
            </w:r>
            <w:r>
              <w:rPr>
                <w:rFonts w:ascii="Times New Roman" w:hAnsi="Times New Roman" w:eastAsia="黑体"/>
                <w:sz w:val="24"/>
                <w:szCs w:val="24"/>
              </w:rPr>
              <w:t>g/m</w:t>
            </w:r>
            <w:r>
              <w:rPr>
                <w:rFonts w:ascii="Times New Roman" w:hAnsi="Times New Roman" w:eastAsia="黑体"/>
                <w:sz w:val="24"/>
                <w:szCs w:val="24"/>
                <w:vertAlign w:val="superscript"/>
              </w:rPr>
              <w:t>3</w:t>
            </w:r>
            <w:r>
              <w:rPr>
                <w:rFonts w:hint="eastAsia" w:ascii="黑体" w:hAnsi="黑体" w:eastAsia="黑体"/>
                <w:sz w:val="24"/>
                <w:szCs w:val="24"/>
              </w:rPr>
              <w:t>）</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1377"/>
              <w:gridCol w:w="1049"/>
              <w:gridCol w:w="43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5000" w:type="pct"/>
                  <w:gridSpan w:val="4"/>
                  <w:noWrap w:val="0"/>
                  <w:vAlign w:val="center"/>
                </w:tcPr>
                <w:p>
                  <w:pPr>
                    <w:jc w:val="center"/>
                    <w:rPr>
                      <w:rFonts w:ascii="Times New Roman" w:hAnsi="Times New Roman"/>
                      <w:szCs w:val="21"/>
                    </w:rPr>
                  </w:pPr>
                  <w:r>
                    <w:rPr>
                      <w:rFonts w:ascii="Times New Roman" w:hAnsi="Times New Roman"/>
                      <w:szCs w:val="21"/>
                    </w:rPr>
                    <w:t>特征因子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05" w:type="pct"/>
                  <w:noWrap w:val="0"/>
                  <w:vAlign w:val="center"/>
                </w:tcPr>
                <w:p>
                  <w:pPr>
                    <w:jc w:val="center"/>
                    <w:rPr>
                      <w:rFonts w:ascii="Times New Roman" w:hAnsi="Times New Roman"/>
                      <w:szCs w:val="21"/>
                    </w:rPr>
                  </w:pPr>
                  <w:r>
                    <w:rPr>
                      <w:rFonts w:ascii="Times New Roman" w:hAnsi="Times New Roman"/>
                      <w:szCs w:val="21"/>
                    </w:rPr>
                    <w:t>污染物</w:t>
                  </w:r>
                </w:p>
              </w:tc>
              <w:tc>
                <w:tcPr>
                  <w:tcW w:w="848" w:type="pct"/>
                  <w:noWrap w:val="0"/>
                  <w:vAlign w:val="center"/>
                </w:tcPr>
                <w:p>
                  <w:pPr>
                    <w:jc w:val="center"/>
                    <w:rPr>
                      <w:rFonts w:ascii="Times New Roman" w:hAnsi="Times New Roman"/>
                      <w:szCs w:val="21"/>
                    </w:rPr>
                  </w:pPr>
                  <w:r>
                    <w:rPr>
                      <w:rFonts w:ascii="Times New Roman" w:hAnsi="Times New Roman"/>
                      <w:szCs w:val="21"/>
                    </w:rPr>
                    <w:t>取值时间</w:t>
                  </w:r>
                </w:p>
              </w:tc>
              <w:tc>
                <w:tcPr>
                  <w:tcW w:w="646" w:type="pct"/>
                  <w:noWrap w:val="0"/>
                  <w:vAlign w:val="center"/>
                </w:tcPr>
                <w:p>
                  <w:pPr>
                    <w:jc w:val="center"/>
                    <w:rPr>
                      <w:rFonts w:ascii="Times New Roman" w:hAnsi="Times New Roman"/>
                      <w:szCs w:val="21"/>
                    </w:rPr>
                  </w:pPr>
                  <w:r>
                    <w:rPr>
                      <w:rFonts w:ascii="Times New Roman" w:hAnsi="Times New Roman"/>
                      <w:szCs w:val="21"/>
                    </w:rPr>
                    <w:t>标准浓度</w:t>
                  </w:r>
                </w:p>
              </w:tc>
              <w:tc>
                <w:tcPr>
                  <w:tcW w:w="2699" w:type="pct"/>
                  <w:noWrap w:val="0"/>
                  <w:vAlign w:val="center"/>
                </w:tcPr>
                <w:p>
                  <w:pPr>
                    <w:jc w:val="center"/>
                    <w:rPr>
                      <w:rFonts w:ascii="Times New Roman" w:hAnsi="Times New Roman"/>
                      <w:szCs w:val="21"/>
                    </w:rPr>
                  </w:pPr>
                  <w:r>
                    <w:rPr>
                      <w:rFonts w:ascii="Times New Roman" w:hAnsi="Times New Roman"/>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exact"/>
                <w:jc w:val="center"/>
              </w:trPr>
              <w:tc>
                <w:tcPr>
                  <w:tcW w:w="805" w:type="pct"/>
                  <w:noWrap w:val="0"/>
                  <w:vAlign w:val="center"/>
                </w:tcPr>
                <w:p>
                  <w:pPr>
                    <w:jc w:val="center"/>
                    <w:rPr>
                      <w:rFonts w:hint="eastAsia" w:ascii="Times New Roman" w:hAnsi="Times New Roman" w:eastAsia="宋体"/>
                      <w:szCs w:val="21"/>
                      <w:lang w:eastAsia="zh-CN"/>
                    </w:rPr>
                  </w:pPr>
                  <w:r>
                    <w:rPr>
                      <w:rFonts w:hint="eastAsia"/>
                      <w:szCs w:val="21"/>
                      <w:lang w:val="en-US" w:eastAsia="zh-CN"/>
                    </w:rPr>
                    <w:t>氨</w:t>
                  </w:r>
                </w:p>
              </w:tc>
              <w:tc>
                <w:tcPr>
                  <w:tcW w:w="848" w:type="pct"/>
                  <w:noWrap w:val="0"/>
                  <w:vAlign w:val="center"/>
                </w:tcPr>
                <w:p>
                  <w:pPr>
                    <w:jc w:val="center"/>
                    <w:rPr>
                      <w:rFonts w:ascii="Times New Roman" w:hAnsi="Times New Roman"/>
                      <w:szCs w:val="21"/>
                    </w:rPr>
                  </w:pPr>
                  <w:r>
                    <w:rPr>
                      <w:rFonts w:ascii="Times New Roman" w:hAnsi="Times New Roman"/>
                      <w:szCs w:val="21"/>
                    </w:rPr>
                    <w:t>1小时平均</w:t>
                  </w:r>
                </w:p>
              </w:tc>
              <w:tc>
                <w:tcPr>
                  <w:tcW w:w="646" w:type="pct"/>
                  <w:noWrap w:val="0"/>
                  <w:vAlign w:val="center"/>
                </w:tcPr>
                <w:p>
                  <w:pPr>
                    <w:jc w:val="center"/>
                    <w:rPr>
                      <w:rFonts w:hint="default" w:ascii="Times New Roman" w:hAnsi="Times New Roman" w:eastAsia="宋体"/>
                      <w:color w:val="000000"/>
                      <w:szCs w:val="21"/>
                      <w:lang w:val="en-US" w:eastAsia="zh-CN"/>
                    </w:rPr>
                  </w:pPr>
                  <w:r>
                    <w:rPr>
                      <w:rFonts w:hint="eastAsia"/>
                      <w:color w:val="000000"/>
                      <w:szCs w:val="21"/>
                      <w:lang w:val="en-US" w:eastAsia="zh-CN"/>
                    </w:rPr>
                    <w:t>0.2</w:t>
                  </w:r>
                </w:p>
              </w:tc>
              <w:tc>
                <w:tcPr>
                  <w:tcW w:w="2699" w:type="pct"/>
                  <w:vMerge w:val="restart"/>
                  <w:noWrap w:val="0"/>
                  <w:vAlign w:val="center"/>
                </w:tcPr>
                <w:p>
                  <w:pPr>
                    <w:jc w:val="center"/>
                    <w:rPr>
                      <w:rFonts w:ascii="Times New Roman" w:hAnsi="Times New Roman"/>
                      <w:szCs w:val="21"/>
                    </w:rPr>
                  </w:pPr>
                  <w:r>
                    <w:rPr>
                      <w:rFonts w:ascii="宋体" w:hAnsi="宋体"/>
                      <w:color w:val="000000"/>
                      <w:szCs w:val="21"/>
                    </w:rPr>
                    <w:t>《</w:t>
                  </w:r>
                  <w:r>
                    <w:rPr>
                      <w:rFonts w:hint="eastAsia" w:ascii="宋体" w:hAnsi="宋体"/>
                      <w:color w:val="000000"/>
                      <w:szCs w:val="21"/>
                    </w:rPr>
                    <w:t>环境影响评价技术导则大气环境</w:t>
                  </w:r>
                  <w:r>
                    <w:rPr>
                      <w:rFonts w:ascii="宋体" w:hAnsi="宋体"/>
                      <w:color w:val="000000"/>
                      <w:szCs w:val="21"/>
                    </w:rPr>
                    <w:t>》</w:t>
                  </w:r>
                  <w:r>
                    <w:rPr>
                      <w:rFonts w:hint="eastAsia" w:ascii="宋体" w:hAnsi="宋体"/>
                      <w:color w:val="000000"/>
                      <w:szCs w:val="21"/>
                    </w:rPr>
                    <w:t>（</w:t>
                  </w:r>
                  <w:r>
                    <w:rPr>
                      <w:rFonts w:ascii="Times New Roman" w:hAnsi="Times New Roman"/>
                      <w:color w:val="000000"/>
                      <w:szCs w:val="21"/>
                    </w:rPr>
                    <w:t>HJ2.2-2018</w:t>
                  </w:r>
                  <w:r>
                    <w:rPr>
                      <w:rFonts w:hint="eastAsia" w:ascii="宋体" w:hAnsi="宋体"/>
                      <w:color w:val="000000"/>
                      <w:szCs w:val="21"/>
                    </w:rPr>
                    <w:t>）附录</w:t>
                  </w:r>
                  <w:r>
                    <w:rPr>
                      <w:rFonts w:hint="default" w:ascii="Times New Roman" w:hAnsi="Times New Roman" w:cs="Times New Roman"/>
                      <w:color w:val="000000"/>
                      <w:szCs w:val="21"/>
                    </w:rPr>
                    <w:t>D</w:t>
                  </w:r>
                  <w:r>
                    <w:rPr>
                      <w:rFonts w:hint="eastAsia" w:ascii="宋体" w:hAnsi="宋体"/>
                      <w:color w:val="000000"/>
                      <w:szCs w:val="21"/>
                    </w:rPr>
                    <w:t>其他污染物空气质量浓度参考限值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5" w:hRule="exact"/>
                <w:jc w:val="center"/>
              </w:trPr>
              <w:tc>
                <w:tcPr>
                  <w:tcW w:w="805" w:type="pct"/>
                  <w:noWrap w:val="0"/>
                  <w:vAlign w:val="center"/>
                </w:tcPr>
                <w:p>
                  <w:pPr>
                    <w:jc w:val="center"/>
                    <w:rPr>
                      <w:rFonts w:hint="default"/>
                      <w:szCs w:val="21"/>
                      <w:lang w:val="en-US" w:eastAsia="zh-CN"/>
                    </w:rPr>
                  </w:pPr>
                  <w:r>
                    <w:rPr>
                      <w:rFonts w:hint="eastAsia"/>
                      <w:szCs w:val="21"/>
                      <w:lang w:val="en-US" w:eastAsia="zh-CN"/>
                    </w:rPr>
                    <w:t>硫化氢</w:t>
                  </w:r>
                </w:p>
              </w:tc>
              <w:tc>
                <w:tcPr>
                  <w:tcW w:w="848" w:type="pct"/>
                  <w:noWrap w:val="0"/>
                  <w:vAlign w:val="center"/>
                </w:tcPr>
                <w:p>
                  <w:pPr>
                    <w:jc w:val="center"/>
                    <w:rPr>
                      <w:rFonts w:ascii="Times New Roman" w:hAnsi="Times New Roman"/>
                      <w:szCs w:val="21"/>
                    </w:rPr>
                  </w:pPr>
                  <w:r>
                    <w:rPr>
                      <w:rFonts w:ascii="Times New Roman" w:hAnsi="Times New Roman"/>
                      <w:szCs w:val="21"/>
                    </w:rPr>
                    <w:t>1小时平均</w:t>
                  </w:r>
                </w:p>
              </w:tc>
              <w:tc>
                <w:tcPr>
                  <w:tcW w:w="646" w:type="pct"/>
                  <w:noWrap w:val="0"/>
                  <w:vAlign w:val="center"/>
                </w:tcPr>
                <w:p>
                  <w:pPr>
                    <w:jc w:val="center"/>
                    <w:rPr>
                      <w:rFonts w:hint="default"/>
                      <w:color w:val="000000"/>
                      <w:szCs w:val="21"/>
                      <w:lang w:val="en-US" w:eastAsia="zh-CN"/>
                    </w:rPr>
                  </w:pPr>
                  <w:r>
                    <w:rPr>
                      <w:rFonts w:hint="eastAsia"/>
                      <w:color w:val="000000"/>
                      <w:szCs w:val="21"/>
                      <w:lang w:val="en-US" w:eastAsia="zh-CN"/>
                    </w:rPr>
                    <w:t>0.01</w:t>
                  </w:r>
                </w:p>
              </w:tc>
              <w:tc>
                <w:tcPr>
                  <w:tcW w:w="2699" w:type="pct"/>
                  <w:vMerge w:val="continue"/>
                  <w:noWrap w:val="0"/>
                  <w:vAlign w:val="center"/>
                </w:tcPr>
                <w:p>
                  <w:pPr>
                    <w:jc w:val="center"/>
                    <w:rPr>
                      <w:rFonts w:ascii="宋体" w:hAnsi="宋体"/>
                      <w:color w:val="000000"/>
                      <w:szCs w:val="21"/>
                    </w:rPr>
                  </w:pPr>
                </w:p>
              </w:tc>
            </w:tr>
          </w:tbl>
          <w:p>
            <w:pPr>
              <w:adjustRightInd w:val="0"/>
              <w:snapToGrid w:val="0"/>
              <w:spacing w:line="520" w:lineRule="exact"/>
              <w:ind w:firstLine="482" w:firstLineChars="200"/>
              <w:rPr>
                <w:rFonts w:ascii="宋体" w:hAnsi="宋体"/>
                <w:b/>
                <w:snapToGrid w:val="0"/>
                <w:kern w:val="0"/>
                <w:sz w:val="24"/>
              </w:rPr>
            </w:pPr>
            <w:r>
              <w:rPr>
                <w:rFonts w:hint="eastAsia" w:ascii="Times New Roman" w:hAnsi="Times New Roman"/>
                <w:b/>
                <w:snapToGrid w:val="0"/>
                <w:kern w:val="0"/>
                <w:sz w:val="24"/>
              </w:rPr>
              <w:t>1.</w:t>
            </w:r>
            <w:r>
              <w:rPr>
                <w:rFonts w:hint="eastAsia" w:ascii="Times New Roman" w:hAnsi="Times New Roman"/>
                <w:b/>
                <w:snapToGrid w:val="0"/>
                <w:kern w:val="0"/>
                <w:sz w:val="24"/>
                <w:lang w:val="en-US" w:eastAsia="zh-CN"/>
              </w:rPr>
              <w:t>7</w:t>
            </w:r>
            <w:r>
              <w:rPr>
                <w:rFonts w:hint="eastAsia" w:ascii="宋体" w:hAnsi="宋体"/>
                <w:b/>
                <w:snapToGrid w:val="0"/>
                <w:kern w:val="0"/>
                <w:sz w:val="24"/>
              </w:rPr>
              <w:t>监测及</w:t>
            </w:r>
            <w:r>
              <w:rPr>
                <w:rFonts w:ascii="宋体" w:hAnsi="宋体"/>
                <w:b/>
                <w:snapToGrid w:val="0"/>
                <w:kern w:val="0"/>
                <w:sz w:val="24"/>
              </w:rPr>
              <w:t>评价结果</w:t>
            </w:r>
          </w:p>
          <w:p>
            <w:pPr>
              <w:adjustRightInd w:val="0"/>
              <w:snapToGrid w:val="0"/>
              <w:spacing w:line="520" w:lineRule="exact"/>
              <w:ind w:firstLine="480" w:firstLineChars="200"/>
              <w:rPr>
                <w:rFonts w:ascii="宋体" w:hAnsi="宋体"/>
                <w:snapToGrid w:val="0"/>
                <w:kern w:val="0"/>
                <w:sz w:val="24"/>
              </w:rPr>
            </w:pPr>
            <w:r>
              <w:rPr>
                <w:rFonts w:ascii="宋体" w:hAnsi="宋体"/>
                <w:snapToGrid w:val="0"/>
                <w:kern w:val="0"/>
                <w:sz w:val="24"/>
              </w:rPr>
              <w:t>大气环境质量现状评价结果见表</w:t>
            </w:r>
            <w:r>
              <w:rPr>
                <w:rFonts w:hint="eastAsia"/>
                <w:snapToGrid w:val="0"/>
                <w:kern w:val="0"/>
                <w:sz w:val="24"/>
                <w:lang w:val="en-US" w:eastAsia="zh-CN"/>
              </w:rPr>
              <w:t>3-4</w:t>
            </w:r>
            <w:r>
              <w:rPr>
                <w:rFonts w:ascii="宋体" w:hAnsi="宋体"/>
                <w:snapToGrid w:val="0"/>
                <w:kern w:val="0"/>
                <w:sz w:val="24"/>
              </w:rPr>
              <w:t>。</w:t>
            </w:r>
          </w:p>
          <w:p>
            <w:pPr>
              <w:spacing w:line="560" w:lineRule="exact"/>
              <w:ind w:left="63" w:leftChars="30" w:right="63" w:rightChars="30" w:firstLine="480" w:firstLineChars="200"/>
              <w:jc w:val="center"/>
              <w:rPr>
                <w:rFonts w:ascii="黑体" w:hAnsi="黑体" w:eastAsia="黑体"/>
                <w:sz w:val="24"/>
                <w:szCs w:val="24"/>
              </w:rPr>
            </w:pPr>
            <w:r>
              <w:rPr>
                <w:rFonts w:hint="eastAsia" w:ascii="黑体" w:hAnsi="黑体" w:eastAsia="黑体"/>
                <w:sz w:val="24"/>
                <w:szCs w:val="24"/>
              </w:rPr>
              <w:t>表</w:t>
            </w:r>
            <w:r>
              <w:rPr>
                <w:rFonts w:hint="eastAsia" w:eastAsia="黑体"/>
                <w:sz w:val="24"/>
                <w:szCs w:val="24"/>
                <w:lang w:val="en-US" w:eastAsia="zh-CN"/>
              </w:rPr>
              <w:t>3-4</w:t>
            </w:r>
            <w:r>
              <w:rPr>
                <w:rFonts w:hint="eastAsia" w:ascii="黑体" w:hAnsi="黑体" w:eastAsia="黑体"/>
                <w:sz w:val="24"/>
                <w:szCs w:val="24"/>
              </w:rPr>
              <w:t xml:space="preserve">  环境空气特征因子质量现状监测点</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949"/>
              <w:gridCol w:w="1221"/>
              <w:gridCol w:w="2397"/>
              <w:gridCol w:w="2539"/>
              <w:gridCol w:w="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5" w:type="pct"/>
                <w:trHeight w:val="340" w:hRule="exact"/>
                <w:jc w:val="center"/>
              </w:trPr>
              <w:tc>
                <w:tcPr>
                  <w:tcW w:w="1201" w:type="pct"/>
                  <w:vMerge w:val="restart"/>
                  <w:tcBorders>
                    <w:top w:val="single" w:color="auto" w:sz="12" w:space="0"/>
                    <w:right w:val="single" w:color="auto" w:sz="4" w:space="0"/>
                  </w:tcBorders>
                  <w:noWrap w:val="0"/>
                  <w:vAlign w:val="center"/>
                </w:tcPr>
                <w:p>
                  <w:pPr>
                    <w:jc w:val="center"/>
                    <w:textAlignment w:val="center"/>
                    <w:rPr>
                      <w:rFonts w:ascii="宋体" w:hAnsi="宋体"/>
                      <w:b/>
                      <w:snapToGrid w:val="0"/>
                      <w:szCs w:val="21"/>
                    </w:rPr>
                  </w:pPr>
                  <w:r>
                    <w:rPr>
                      <w:rFonts w:ascii="宋体" w:hAnsi="宋体"/>
                      <w:b/>
                      <w:snapToGrid w:val="0"/>
                      <w:szCs w:val="21"/>
                    </w:rPr>
                    <w:t>监测时间</w:t>
                  </w:r>
                </w:p>
              </w:tc>
              <w:tc>
                <w:tcPr>
                  <w:tcW w:w="752" w:type="pct"/>
                  <w:vMerge w:val="restart"/>
                  <w:tcBorders>
                    <w:top w:val="single" w:color="auto" w:sz="12" w:space="0"/>
                    <w:left w:val="single" w:color="auto" w:sz="4" w:space="0"/>
                  </w:tcBorders>
                  <w:noWrap w:val="0"/>
                  <w:vAlign w:val="center"/>
                </w:tcPr>
                <w:p>
                  <w:pPr>
                    <w:textAlignment w:val="center"/>
                    <w:rPr>
                      <w:rFonts w:ascii="宋体" w:hAnsi="宋体"/>
                      <w:b/>
                      <w:snapToGrid w:val="0"/>
                      <w:szCs w:val="21"/>
                    </w:rPr>
                  </w:pPr>
                  <w:r>
                    <w:rPr>
                      <w:rFonts w:hint="eastAsia" w:ascii="宋体" w:hAnsi="宋体"/>
                      <w:b/>
                      <w:snapToGrid w:val="0"/>
                      <w:szCs w:val="21"/>
                    </w:rPr>
                    <w:t>采样频次</w:t>
                  </w:r>
                </w:p>
              </w:tc>
              <w:tc>
                <w:tcPr>
                  <w:tcW w:w="3041" w:type="pct"/>
                  <w:gridSpan w:val="2"/>
                  <w:tcBorders>
                    <w:top w:val="single" w:color="auto" w:sz="12" w:space="0"/>
                  </w:tcBorders>
                  <w:noWrap w:val="0"/>
                  <w:vAlign w:val="center"/>
                </w:tcPr>
                <w:p>
                  <w:pPr>
                    <w:jc w:val="center"/>
                    <w:textAlignment w:val="center"/>
                    <w:rPr>
                      <w:rFonts w:ascii="宋体" w:hAnsi="宋体"/>
                      <w:b/>
                      <w:snapToGrid w:val="0"/>
                      <w:szCs w:val="21"/>
                    </w:rPr>
                  </w:pPr>
                  <w:r>
                    <w:rPr>
                      <w:rFonts w:hint="eastAsia" w:ascii="宋体" w:hAnsi="宋体"/>
                      <w:b/>
                      <w:snapToGrid w:val="0"/>
                      <w:szCs w:val="21"/>
                      <w:lang w:val="en-US" w:eastAsia="zh-CN"/>
                    </w:rPr>
                    <w:t>监测因子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tcBorders>
                    <w:right w:val="single" w:color="auto" w:sz="4" w:space="0"/>
                  </w:tcBorders>
                  <w:noWrap w:val="0"/>
                  <w:vAlign w:val="center"/>
                </w:tcPr>
                <w:p>
                  <w:pPr>
                    <w:jc w:val="center"/>
                    <w:textAlignment w:val="center"/>
                    <w:rPr>
                      <w:rFonts w:ascii="宋体" w:hAnsi="宋体"/>
                      <w:b/>
                      <w:snapToGrid w:val="0"/>
                      <w:szCs w:val="21"/>
                    </w:rPr>
                  </w:pPr>
                </w:p>
              </w:tc>
              <w:tc>
                <w:tcPr>
                  <w:tcW w:w="752" w:type="pct"/>
                  <w:vMerge w:val="continue"/>
                  <w:tcBorders>
                    <w:left w:val="single" w:color="auto" w:sz="4" w:space="0"/>
                  </w:tcBorders>
                  <w:noWrap w:val="0"/>
                  <w:vAlign w:val="center"/>
                </w:tcPr>
                <w:p>
                  <w:pPr>
                    <w:jc w:val="center"/>
                    <w:textAlignment w:val="center"/>
                    <w:rPr>
                      <w:rFonts w:ascii="宋体" w:hAnsi="宋体"/>
                      <w:b/>
                      <w:snapToGrid w:val="0"/>
                      <w:szCs w:val="21"/>
                    </w:rPr>
                  </w:pPr>
                </w:p>
              </w:tc>
              <w:tc>
                <w:tcPr>
                  <w:tcW w:w="1477" w:type="pct"/>
                  <w:noWrap w:val="0"/>
                  <w:vAlign w:val="center"/>
                </w:tcPr>
                <w:p>
                  <w:pPr>
                    <w:jc w:val="center"/>
                    <w:textAlignment w:val="center"/>
                    <w:rPr>
                      <w:rFonts w:hint="eastAsia" w:ascii="宋体" w:hAnsi="宋体" w:eastAsia="宋体"/>
                      <w:b/>
                      <w:snapToGrid w:val="0"/>
                      <w:szCs w:val="21"/>
                      <w:lang w:val="en-US" w:eastAsia="zh-CN"/>
                    </w:rPr>
                  </w:pPr>
                  <w:r>
                    <w:rPr>
                      <w:rFonts w:hint="eastAsia" w:ascii="宋体" w:hAnsi="宋体"/>
                      <w:b/>
                      <w:snapToGrid w:val="0"/>
                      <w:szCs w:val="21"/>
                      <w:lang w:val="en-US" w:eastAsia="zh-CN"/>
                    </w:rPr>
                    <w:t>氨</w:t>
                  </w:r>
                </w:p>
              </w:tc>
              <w:tc>
                <w:tcPr>
                  <w:tcW w:w="1568" w:type="pct"/>
                  <w:gridSpan w:val="2"/>
                  <w:noWrap w:val="0"/>
                  <w:vAlign w:val="center"/>
                </w:tcPr>
                <w:p>
                  <w:pPr>
                    <w:jc w:val="center"/>
                    <w:textAlignment w:val="center"/>
                    <w:rPr>
                      <w:rFonts w:hint="eastAsia" w:ascii="宋体" w:hAnsi="宋体" w:eastAsia="宋体"/>
                      <w:b/>
                      <w:snapToGrid w:val="0"/>
                      <w:szCs w:val="21"/>
                      <w:lang w:val="en-US" w:eastAsia="zh-CN"/>
                    </w:rPr>
                  </w:pPr>
                  <w:r>
                    <w:rPr>
                      <w:rFonts w:hint="eastAsia" w:ascii="宋体" w:hAnsi="宋体"/>
                      <w:b/>
                      <w:snapToGrid w:val="0"/>
                      <w:szCs w:val="21"/>
                      <w:lang w:val="en-US" w:eastAsia="zh-CN"/>
                    </w:rPr>
                    <w:t>硫化氢</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restart"/>
                  <w:noWrap w:val="0"/>
                  <w:vAlign w:val="center"/>
                </w:tcPr>
                <w:p>
                  <w:pPr>
                    <w:jc w:val="center"/>
                    <w:textAlignment w:val="baseline"/>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202</w:t>
                  </w:r>
                  <w:r>
                    <w:rPr>
                      <w:rFonts w:hint="eastAsia"/>
                      <w:color w:val="000000" w:themeColor="text1"/>
                      <w:szCs w:val="21"/>
                      <w:lang w:val="en-US" w:eastAsia="zh-CN"/>
                      <w14:textFill>
                        <w14:solidFill>
                          <w14:schemeClr w14:val="tx1"/>
                        </w14:solidFill>
                      </w14:textFill>
                    </w:rPr>
                    <w:t>2</w:t>
                  </w:r>
                  <w:r>
                    <w:rPr>
                      <w:rFonts w:hint="eastAsia" w:ascii="Times New Roman" w:hAnsi="Times New Roman"/>
                      <w:color w:val="000000" w:themeColor="text1"/>
                      <w:szCs w:val="21"/>
                      <w14:textFill>
                        <w14:solidFill>
                          <w14:schemeClr w14:val="tx1"/>
                        </w14:solidFill>
                      </w14:textFill>
                    </w:rPr>
                    <w:t>年</w:t>
                  </w:r>
                  <w:r>
                    <w:rPr>
                      <w:rFonts w:hint="eastAsia"/>
                      <w:color w:val="000000" w:themeColor="text1"/>
                      <w:szCs w:val="21"/>
                      <w:lang w:val="en-US" w:eastAsia="zh-CN"/>
                      <w14:textFill>
                        <w14:solidFill>
                          <w14:schemeClr w14:val="tx1"/>
                        </w14:solidFill>
                      </w14:textFill>
                    </w:rPr>
                    <w:t>2</w:t>
                  </w:r>
                  <w:r>
                    <w:rPr>
                      <w:rFonts w:hint="eastAsia" w:ascii="Times New Roman" w:hAnsi="Times New Roman"/>
                      <w:color w:val="000000" w:themeColor="text1"/>
                      <w:szCs w:val="21"/>
                      <w14:textFill>
                        <w14:solidFill>
                          <w14:schemeClr w14:val="tx1"/>
                        </w14:solidFill>
                      </w14:textFill>
                    </w:rPr>
                    <w:t>月</w:t>
                  </w:r>
                  <w:r>
                    <w:rPr>
                      <w:rFonts w:hint="eastAsia"/>
                      <w:color w:val="000000" w:themeColor="text1"/>
                      <w:szCs w:val="21"/>
                      <w:lang w:val="en-US" w:eastAsia="zh-CN"/>
                      <w14:textFill>
                        <w14:solidFill>
                          <w14:schemeClr w14:val="tx1"/>
                        </w14:solidFill>
                      </w14:textFill>
                    </w:rPr>
                    <w:t>19</w:t>
                  </w:r>
                  <w:r>
                    <w:rPr>
                      <w:rFonts w:hint="eastAsia" w:ascii="Times New Roman" w:hAnsi="Times New Roman"/>
                      <w:color w:val="000000" w:themeColor="text1"/>
                      <w:szCs w:val="21"/>
                      <w14:textFill>
                        <w14:solidFill>
                          <w14:schemeClr w14:val="tx1"/>
                        </w14:solidFill>
                      </w14:textFill>
                    </w:rPr>
                    <w:t>日</w:t>
                  </w: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1</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0.06</w:t>
                  </w:r>
                </w:p>
              </w:tc>
              <w:tc>
                <w:tcPr>
                  <w:tcW w:w="1568" w:type="pct"/>
                  <w:gridSpan w:val="2"/>
                  <w:noWrap w:val="0"/>
                  <w:vAlign w:val="center"/>
                </w:tcPr>
                <w:p>
                  <w:pPr>
                    <w:widowControl/>
                    <w:jc w:val="center"/>
                    <w:textAlignment w:val="center"/>
                    <w:rPr>
                      <w:rFonts w:hint="default" w:ascii="Times New Roman" w:hAnsi="Times New Roman" w:eastAsia="宋体"/>
                      <w:color w:val="000000"/>
                      <w:kern w:val="0"/>
                      <w:szCs w:val="21"/>
                      <w:lang w:val="en-US" w:eastAsia="zh-CN"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jc w:val="center"/>
                    <w:rPr>
                      <w:rFonts w:ascii="Times New Roman" w:hAnsi="Times New Roman"/>
                      <w:color w:val="000000" w:themeColor="text1"/>
                      <w:szCs w:val="21"/>
                      <w14:textFill>
                        <w14:solidFill>
                          <w14:schemeClr w14:val="tx1"/>
                        </w14:solidFill>
                      </w14:textFill>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2</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0.07</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jc w:val="center"/>
                    <w:rPr>
                      <w:rFonts w:ascii="Times New Roman" w:hAnsi="Times New Roman"/>
                      <w:color w:val="000000" w:themeColor="text1"/>
                      <w:szCs w:val="21"/>
                      <w14:textFill>
                        <w14:solidFill>
                          <w14:schemeClr w14:val="tx1"/>
                        </w14:solidFill>
                      </w14:textFill>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3</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0.06</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jc w:val="center"/>
                    <w:rPr>
                      <w:rFonts w:ascii="Times New Roman" w:hAnsi="Times New Roman"/>
                      <w:color w:val="000000" w:themeColor="text1"/>
                      <w:szCs w:val="21"/>
                      <w14:textFill>
                        <w14:solidFill>
                          <w14:schemeClr w14:val="tx1"/>
                        </w14:solidFill>
                      </w14:textFill>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4</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0.08</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restart"/>
                  <w:noWrap w:val="0"/>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202</w:t>
                  </w:r>
                  <w:r>
                    <w:rPr>
                      <w:rFonts w:hint="eastAsia"/>
                      <w:color w:val="000000" w:themeColor="text1"/>
                      <w:szCs w:val="21"/>
                      <w:lang w:val="en-US" w:eastAsia="zh-CN"/>
                      <w14:textFill>
                        <w14:solidFill>
                          <w14:schemeClr w14:val="tx1"/>
                        </w14:solidFill>
                      </w14:textFill>
                    </w:rPr>
                    <w:t>2</w:t>
                  </w:r>
                  <w:r>
                    <w:rPr>
                      <w:rFonts w:hint="eastAsia" w:ascii="Times New Roman" w:hAnsi="Times New Roman"/>
                      <w:color w:val="000000" w:themeColor="text1"/>
                      <w:szCs w:val="21"/>
                      <w14:textFill>
                        <w14:solidFill>
                          <w14:schemeClr w14:val="tx1"/>
                        </w14:solidFill>
                      </w14:textFill>
                    </w:rPr>
                    <w:t>年</w:t>
                  </w:r>
                  <w:r>
                    <w:rPr>
                      <w:rFonts w:hint="eastAsia"/>
                      <w:color w:val="000000" w:themeColor="text1"/>
                      <w:szCs w:val="21"/>
                      <w:lang w:val="en-US" w:eastAsia="zh-CN"/>
                      <w14:textFill>
                        <w14:solidFill>
                          <w14:schemeClr w14:val="tx1"/>
                        </w14:solidFill>
                      </w14:textFill>
                    </w:rPr>
                    <w:t>2</w:t>
                  </w:r>
                  <w:r>
                    <w:rPr>
                      <w:rFonts w:hint="eastAsia" w:ascii="Times New Roman" w:hAnsi="Times New Roman"/>
                      <w:color w:val="000000" w:themeColor="text1"/>
                      <w:szCs w:val="21"/>
                      <w14:textFill>
                        <w14:solidFill>
                          <w14:schemeClr w14:val="tx1"/>
                        </w14:solidFill>
                      </w14:textFill>
                    </w:rPr>
                    <w:t>月</w:t>
                  </w:r>
                  <w:r>
                    <w:rPr>
                      <w:rFonts w:hint="eastAsia"/>
                      <w:color w:val="000000" w:themeColor="text1"/>
                      <w:szCs w:val="21"/>
                      <w:lang w:val="en-US" w:eastAsia="zh-CN"/>
                      <w14:textFill>
                        <w14:solidFill>
                          <w14:schemeClr w14:val="tx1"/>
                        </w14:solidFill>
                      </w14:textFill>
                    </w:rPr>
                    <w:t>20</w:t>
                  </w:r>
                  <w:r>
                    <w:rPr>
                      <w:rFonts w:hint="eastAsia" w:ascii="Times New Roman" w:hAnsi="Times New Roman"/>
                      <w:color w:val="000000" w:themeColor="text1"/>
                      <w:szCs w:val="21"/>
                      <w14:textFill>
                        <w14:solidFill>
                          <w14:schemeClr w14:val="tx1"/>
                        </w14:solidFill>
                      </w14:textFill>
                    </w:rPr>
                    <w:t>日</w:t>
                  </w: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1</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0.08</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jc w:val="center"/>
                    <w:rPr>
                      <w:rFonts w:ascii="Times New Roman" w:hAnsi="Times New Roman"/>
                      <w:color w:val="000000" w:themeColor="text1"/>
                      <w:szCs w:val="21"/>
                      <w14:textFill>
                        <w14:solidFill>
                          <w14:schemeClr w14:val="tx1"/>
                        </w14:solidFill>
                      </w14:textFill>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2</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0.07</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jc w:val="center"/>
                    <w:rPr>
                      <w:rFonts w:ascii="Times New Roman" w:hAnsi="Times New Roman"/>
                      <w:color w:val="000000" w:themeColor="text1"/>
                      <w:szCs w:val="21"/>
                      <w14:textFill>
                        <w14:solidFill>
                          <w14:schemeClr w14:val="tx1"/>
                        </w14:solidFill>
                      </w14:textFill>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3</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0.06</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jc w:val="center"/>
                    <w:rPr>
                      <w:rFonts w:ascii="Times New Roman" w:hAnsi="Times New Roman"/>
                      <w:color w:val="000000" w:themeColor="text1"/>
                      <w:szCs w:val="21"/>
                      <w14:textFill>
                        <w14:solidFill>
                          <w14:schemeClr w14:val="tx1"/>
                        </w14:solidFill>
                      </w14:textFill>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4</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0.07</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restart"/>
                  <w:noWrap w:val="0"/>
                  <w:vAlign w:val="center"/>
                </w:tcPr>
                <w:p>
                  <w:pPr>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202</w:t>
                  </w:r>
                  <w:r>
                    <w:rPr>
                      <w:rFonts w:hint="eastAsia"/>
                      <w:color w:val="000000" w:themeColor="text1"/>
                      <w:szCs w:val="21"/>
                      <w:lang w:val="en-US" w:eastAsia="zh-CN"/>
                      <w14:textFill>
                        <w14:solidFill>
                          <w14:schemeClr w14:val="tx1"/>
                        </w14:solidFill>
                      </w14:textFill>
                    </w:rPr>
                    <w:t>2</w:t>
                  </w:r>
                  <w:r>
                    <w:rPr>
                      <w:rFonts w:hint="eastAsia" w:ascii="Times New Roman" w:hAnsi="Times New Roman"/>
                      <w:color w:val="000000" w:themeColor="text1"/>
                      <w:szCs w:val="21"/>
                      <w14:textFill>
                        <w14:solidFill>
                          <w14:schemeClr w14:val="tx1"/>
                        </w14:solidFill>
                      </w14:textFill>
                    </w:rPr>
                    <w:t>年</w:t>
                  </w:r>
                  <w:r>
                    <w:rPr>
                      <w:rFonts w:hint="eastAsia"/>
                      <w:color w:val="000000" w:themeColor="text1"/>
                      <w:szCs w:val="21"/>
                      <w:lang w:val="en-US" w:eastAsia="zh-CN"/>
                      <w14:textFill>
                        <w14:solidFill>
                          <w14:schemeClr w14:val="tx1"/>
                        </w14:solidFill>
                      </w14:textFill>
                    </w:rPr>
                    <w:t>2</w:t>
                  </w:r>
                  <w:r>
                    <w:rPr>
                      <w:rFonts w:hint="eastAsia" w:ascii="Times New Roman" w:hAnsi="Times New Roman"/>
                      <w:color w:val="000000" w:themeColor="text1"/>
                      <w:szCs w:val="21"/>
                      <w14:textFill>
                        <w14:solidFill>
                          <w14:schemeClr w14:val="tx1"/>
                        </w14:solidFill>
                      </w14:textFill>
                    </w:rPr>
                    <w:t>月</w:t>
                  </w:r>
                  <w:r>
                    <w:rPr>
                      <w:rFonts w:hint="eastAsia"/>
                      <w:color w:val="000000" w:themeColor="text1"/>
                      <w:szCs w:val="21"/>
                      <w:lang w:val="en-US" w:eastAsia="zh-CN"/>
                      <w14:textFill>
                        <w14:solidFill>
                          <w14:schemeClr w14:val="tx1"/>
                        </w14:solidFill>
                      </w14:textFill>
                    </w:rPr>
                    <w:t>21</w:t>
                  </w:r>
                  <w:r>
                    <w:rPr>
                      <w:rFonts w:hint="eastAsia" w:ascii="Times New Roman" w:hAnsi="Times New Roman"/>
                      <w:color w:val="000000" w:themeColor="text1"/>
                      <w:szCs w:val="21"/>
                      <w14:textFill>
                        <w14:solidFill>
                          <w14:schemeClr w14:val="tx1"/>
                        </w14:solidFill>
                      </w14:textFill>
                    </w:rPr>
                    <w:t>日</w:t>
                  </w: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1</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0.08</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rPr>
                      <w:rFonts w:ascii="Times New Roman" w:hAnsi="Times New Roman"/>
                      <w:color w:val="FF0000"/>
                      <w:szCs w:val="21"/>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2</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0.07</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201" w:type="pct"/>
                  <w:vMerge w:val="continue"/>
                  <w:noWrap w:val="0"/>
                  <w:vAlign w:val="center"/>
                </w:tcPr>
                <w:p>
                  <w:pPr>
                    <w:ind w:firstLine="420"/>
                    <w:rPr>
                      <w:rFonts w:ascii="Times New Roman" w:hAnsi="Times New Roman"/>
                      <w:color w:val="FF0000"/>
                      <w:szCs w:val="21"/>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3</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0.07</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5" w:hRule="exact"/>
                <w:jc w:val="center"/>
              </w:trPr>
              <w:tc>
                <w:tcPr>
                  <w:tcW w:w="1201" w:type="pct"/>
                  <w:vMerge w:val="continue"/>
                  <w:noWrap w:val="0"/>
                  <w:vAlign w:val="center"/>
                </w:tcPr>
                <w:p>
                  <w:pPr>
                    <w:ind w:firstLine="420"/>
                    <w:rPr>
                      <w:rFonts w:ascii="Times New Roman" w:hAnsi="Times New Roman"/>
                      <w:color w:val="FF0000"/>
                      <w:szCs w:val="21"/>
                    </w:rPr>
                  </w:pPr>
                </w:p>
              </w:tc>
              <w:tc>
                <w:tcPr>
                  <w:tcW w:w="752" w:type="pct"/>
                  <w:noWrap w:val="0"/>
                  <w:vAlign w:val="center"/>
                </w:tcPr>
                <w:p>
                  <w:pPr>
                    <w:widowControl/>
                    <w:jc w:val="center"/>
                    <w:textAlignment w:val="center"/>
                    <w:rPr>
                      <w:color w:val="FF0000"/>
                      <w:szCs w:val="21"/>
                    </w:rPr>
                  </w:pPr>
                  <w:r>
                    <w:rPr>
                      <w:rFonts w:hint="eastAsia" w:ascii="宋体" w:hAnsi="宋体" w:cs="宋体"/>
                      <w:color w:val="000000"/>
                      <w:kern w:val="0"/>
                      <w:szCs w:val="21"/>
                      <w:lang w:bidi="ar"/>
                    </w:rPr>
                    <w:t>第</w:t>
                  </w:r>
                  <w:r>
                    <w:rPr>
                      <w:rFonts w:ascii="Times New Roman" w:hAnsi="Times New Roman"/>
                      <w:color w:val="000000"/>
                      <w:kern w:val="0"/>
                      <w:szCs w:val="21"/>
                      <w:lang w:bidi="ar"/>
                    </w:rPr>
                    <w:t>4</w:t>
                  </w:r>
                  <w:r>
                    <w:rPr>
                      <w:rFonts w:hint="eastAsia" w:ascii="宋体" w:hAnsi="宋体" w:cs="宋体"/>
                      <w:color w:val="000000"/>
                      <w:kern w:val="0"/>
                      <w:szCs w:val="21"/>
                      <w:lang w:bidi="ar"/>
                    </w:rPr>
                    <w:t>次</w:t>
                  </w:r>
                </w:p>
              </w:tc>
              <w:tc>
                <w:tcPr>
                  <w:tcW w:w="1477" w:type="pct"/>
                  <w:noWrap w:val="0"/>
                  <w:vAlign w:val="center"/>
                </w:tcPr>
                <w:p>
                  <w:pPr>
                    <w:widowControl/>
                    <w:jc w:val="center"/>
                    <w:textAlignment w:val="center"/>
                    <w:rPr>
                      <w:rFonts w:hint="default" w:ascii="Times New Roman" w:hAnsi="Times New Roman" w:eastAsia="宋体"/>
                      <w:szCs w:val="21"/>
                      <w:lang w:val="en-US" w:eastAsia="zh-CN"/>
                    </w:rPr>
                  </w:pPr>
                  <w:r>
                    <w:rPr>
                      <w:rFonts w:hint="eastAsia"/>
                      <w:szCs w:val="21"/>
                      <w:lang w:val="en-US" w:eastAsia="zh-CN"/>
                    </w:rPr>
                    <w:t>0.06</w:t>
                  </w:r>
                </w:p>
              </w:tc>
              <w:tc>
                <w:tcPr>
                  <w:tcW w:w="1568" w:type="pct"/>
                  <w:gridSpan w:val="2"/>
                  <w:noWrap w:val="0"/>
                  <w:vAlign w:val="center"/>
                </w:tcPr>
                <w:p>
                  <w:pPr>
                    <w:widowControl/>
                    <w:jc w:val="center"/>
                    <w:textAlignment w:val="center"/>
                    <w:rPr>
                      <w:rFonts w:ascii="Times New Roman" w:hAnsi="Times New Roman"/>
                      <w:color w:val="000000"/>
                      <w:kern w:val="0"/>
                      <w:szCs w:val="21"/>
                      <w:lang w:bidi="ar"/>
                    </w:rPr>
                  </w:pPr>
                  <w:r>
                    <w:rPr>
                      <w:rFonts w:hint="eastAsia"/>
                      <w:color w:val="000000"/>
                      <w:kern w:val="0"/>
                      <w:szCs w:val="21"/>
                      <w:lang w:val="en-US" w:eastAsia="zh-CN" w:bidi="ar"/>
                    </w:rPr>
                    <w:t>0.005L</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60" w:hRule="exact"/>
                <w:jc w:val="center"/>
              </w:trPr>
              <w:tc>
                <w:tcPr>
                  <w:tcW w:w="1953" w:type="pct"/>
                  <w:gridSpan w:val="2"/>
                  <w:noWrap w:val="0"/>
                  <w:vAlign w:val="center"/>
                </w:tcPr>
                <w:p>
                  <w:pPr>
                    <w:ind w:firstLine="420"/>
                    <w:jc w:val="center"/>
                    <w:rPr>
                      <w:rFonts w:ascii="宋体" w:hAnsi="宋体"/>
                      <w:szCs w:val="21"/>
                    </w:rPr>
                  </w:pPr>
                  <w:r>
                    <w:rPr>
                      <w:rFonts w:ascii="宋体" w:hAnsi="宋体"/>
                      <w:bCs/>
                      <w:snapToGrid w:val="0"/>
                      <w:szCs w:val="21"/>
                    </w:rPr>
                    <w:t>浓度范围(</w:t>
                  </w:r>
                  <w:r>
                    <w:rPr>
                      <w:rFonts w:ascii="Times New Roman" w:hAnsi="Times New Roman"/>
                      <w:color w:val="000000"/>
                      <w:kern w:val="0"/>
                      <w:szCs w:val="21"/>
                      <w:lang w:bidi="ar"/>
                    </w:rPr>
                    <w:t>mg/Nm</w:t>
                  </w:r>
                  <w:r>
                    <w:rPr>
                      <w:rFonts w:ascii="Times New Roman" w:hAnsi="Times New Roman"/>
                      <w:color w:val="000000"/>
                      <w:kern w:val="0"/>
                      <w:szCs w:val="21"/>
                      <w:vertAlign w:val="superscript"/>
                      <w:lang w:bidi="ar"/>
                    </w:rPr>
                    <w:t>3</w:t>
                  </w:r>
                  <w:r>
                    <w:rPr>
                      <w:rFonts w:ascii="宋体" w:hAnsi="宋体"/>
                      <w:bCs/>
                      <w:snapToGrid w:val="0"/>
                      <w:szCs w:val="21"/>
                    </w:rPr>
                    <w:t>)</w:t>
                  </w:r>
                </w:p>
              </w:tc>
              <w:tc>
                <w:tcPr>
                  <w:tcW w:w="1477" w:type="pct"/>
                  <w:noWrap w:val="0"/>
                  <w:vAlign w:val="center"/>
                </w:tcPr>
                <w:p>
                  <w:pPr>
                    <w:ind w:firstLine="420"/>
                    <w:jc w:val="center"/>
                    <w:rPr>
                      <w:rFonts w:hint="default" w:ascii="Times New Roman" w:hAnsi="Times New Roman" w:eastAsia="宋体"/>
                      <w:szCs w:val="21"/>
                      <w:lang w:val="en-US" w:eastAsia="zh-CN"/>
                    </w:rPr>
                  </w:pPr>
                  <w:r>
                    <w:rPr>
                      <w:rFonts w:hint="eastAsia"/>
                      <w:szCs w:val="21"/>
                      <w:lang w:val="en-US" w:eastAsia="zh-CN"/>
                    </w:rPr>
                    <w:t>0.06</w:t>
                  </w:r>
                  <w:r>
                    <w:rPr>
                      <w:rFonts w:ascii="Times New Roman" w:hAnsi="Times New Roman"/>
                      <w:szCs w:val="21"/>
                    </w:rPr>
                    <w:t>~</w:t>
                  </w:r>
                  <w:r>
                    <w:rPr>
                      <w:rFonts w:hint="eastAsia"/>
                      <w:szCs w:val="21"/>
                      <w:lang w:val="en-US" w:eastAsia="zh-CN"/>
                    </w:rPr>
                    <w:t>0.07</w:t>
                  </w:r>
                </w:p>
              </w:tc>
              <w:tc>
                <w:tcPr>
                  <w:tcW w:w="1568" w:type="pct"/>
                  <w:gridSpan w:val="2"/>
                  <w:noWrap w:val="0"/>
                  <w:vAlign w:val="center"/>
                </w:tcPr>
                <w:p>
                  <w:pPr>
                    <w:jc w:val="center"/>
                    <w:rPr>
                      <w:rFonts w:hint="eastAsia" w:ascii="Times New Roman" w:hAnsi="Times New Roman"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953" w:type="pct"/>
                  <w:gridSpan w:val="2"/>
                  <w:noWrap w:val="0"/>
                  <w:vAlign w:val="center"/>
                </w:tcPr>
                <w:p>
                  <w:pPr>
                    <w:ind w:firstLine="420"/>
                    <w:jc w:val="center"/>
                    <w:rPr>
                      <w:rFonts w:ascii="宋体" w:hAnsi="宋体"/>
                      <w:szCs w:val="21"/>
                    </w:rPr>
                  </w:pPr>
                  <w:r>
                    <w:rPr>
                      <w:rFonts w:ascii="宋体" w:hAnsi="宋体"/>
                      <w:bCs/>
                      <w:snapToGrid w:val="0"/>
                      <w:szCs w:val="21"/>
                    </w:rPr>
                    <w:t>标准值(</w:t>
                  </w:r>
                  <w:r>
                    <w:rPr>
                      <w:rFonts w:ascii="Times New Roman" w:hAnsi="Times New Roman"/>
                      <w:color w:val="000000"/>
                      <w:kern w:val="0"/>
                      <w:szCs w:val="21"/>
                      <w:lang w:bidi="ar"/>
                    </w:rPr>
                    <w:t>mg/Nm</w:t>
                  </w:r>
                  <w:r>
                    <w:rPr>
                      <w:rFonts w:ascii="Times New Roman" w:hAnsi="Times New Roman"/>
                      <w:color w:val="000000"/>
                      <w:kern w:val="0"/>
                      <w:szCs w:val="21"/>
                      <w:vertAlign w:val="superscript"/>
                      <w:lang w:bidi="ar"/>
                    </w:rPr>
                    <w:t>3</w:t>
                  </w:r>
                  <w:r>
                    <w:rPr>
                      <w:rFonts w:ascii="宋体" w:hAnsi="宋体"/>
                      <w:bCs/>
                      <w:snapToGrid w:val="0"/>
                      <w:szCs w:val="21"/>
                    </w:rPr>
                    <w:t>)</w:t>
                  </w:r>
                </w:p>
              </w:tc>
              <w:tc>
                <w:tcPr>
                  <w:tcW w:w="1477" w:type="pct"/>
                  <w:noWrap w:val="0"/>
                  <w:vAlign w:val="center"/>
                </w:tcPr>
                <w:p>
                  <w:pPr>
                    <w:jc w:val="center"/>
                    <w:textAlignment w:val="center"/>
                    <w:rPr>
                      <w:rFonts w:hint="default" w:ascii="Times New Roman" w:hAnsi="Times New Roman" w:eastAsia="宋体"/>
                      <w:bCs/>
                      <w:snapToGrid w:val="0"/>
                      <w:szCs w:val="21"/>
                      <w:lang w:val="en-US" w:eastAsia="zh-CN"/>
                    </w:rPr>
                  </w:pPr>
                  <w:r>
                    <w:rPr>
                      <w:rFonts w:hint="eastAsia"/>
                      <w:bCs/>
                      <w:snapToGrid w:val="0"/>
                      <w:szCs w:val="21"/>
                      <w:lang w:val="en-US" w:eastAsia="zh-CN"/>
                    </w:rPr>
                    <w:t>0.2</w:t>
                  </w:r>
                </w:p>
              </w:tc>
              <w:tc>
                <w:tcPr>
                  <w:tcW w:w="1568" w:type="pct"/>
                  <w:gridSpan w:val="2"/>
                  <w:noWrap w:val="0"/>
                  <w:vAlign w:val="center"/>
                </w:tcPr>
                <w:p>
                  <w:pPr>
                    <w:jc w:val="center"/>
                    <w:textAlignment w:val="center"/>
                    <w:rPr>
                      <w:rFonts w:hint="default" w:ascii="Times New Roman" w:hAnsi="Times New Roman" w:eastAsia="宋体"/>
                      <w:bCs/>
                      <w:snapToGrid w:val="0"/>
                      <w:szCs w:val="21"/>
                      <w:lang w:val="en-US" w:eastAsia="zh-CN"/>
                    </w:rPr>
                  </w:pPr>
                  <w:r>
                    <w:rPr>
                      <w:rFonts w:hint="eastAsia"/>
                      <w:bCs/>
                      <w:snapToGrid w:val="0"/>
                      <w:szCs w:val="21"/>
                      <w:lang w:val="en-US" w:eastAsia="zh-CN"/>
                    </w:rPr>
                    <w: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exact"/>
                <w:jc w:val="center"/>
              </w:trPr>
              <w:tc>
                <w:tcPr>
                  <w:tcW w:w="1953" w:type="pct"/>
                  <w:gridSpan w:val="2"/>
                  <w:tcBorders>
                    <w:bottom w:val="single" w:color="auto" w:sz="12" w:space="0"/>
                  </w:tcBorders>
                  <w:noWrap w:val="0"/>
                  <w:vAlign w:val="center"/>
                </w:tcPr>
                <w:p>
                  <w:pPr>
                    <w:ind w:firstLine="420"/>
                    <w:jc w:val="center"/>
                    <w:rPr>
                      <w:rFonts w:ascii="宋体" w:hAnsi="宋体"/>
                      <w:szCs w:val="21"/>
                    </w:rPr>
                  </w:pPr>
                  <w:r>
                    <w:rPr>
                      <w:rFonts w:ascii="宋体" w:hAnsi="宋体"/>
                      <w:bCs/>
                      <w:snapToGrid w:val="0"/>
                      <w:szCs w:val="21"/>
                    </w:rPr>
                    <w:t>超标率(</w:t>
                  </w:r>
                  <w:r>
                    <w:rPr>
                      <w:rFonts w:ascii="Times New Roman" w:hAnsi="Times New Roman"/>
                      <w:color w:val="000000"/>
                      <w:kern w:val="0"/>
                      <w:szCs w:val="21"/>
                      <w:lang w:bidi="ar"/>
                    </w:rPr>
                    <w:t>%</w:t>
                  </w:r>
                  <w:r>
                    <w:rPr>
                      <w:rFonts w:ascii="宋体" w:hAnsi="宋体"/>
                      <w:bCs/>
                      <w:snapToGrid w:val="0"/>
                      <w:szCs w:val="21"/>
                    </w:rPr>
                    <w:t>)</w:t>
                  </w:r>
                </w:p>
              </w:tc>
              <w:tc>
                <w:tcPr>
                  <w:tcW w:w="1477" w:type="pct"/>
                  <w:tcBorders>
                    <w:bottom w:val="single" w:color="auto" w:sz="12" w:space="0"/>
                  </w:tcBorders>
                  <w:noWrap w:val="0"/>
                  <w:vAlign w:val="center"/>
                </w:tcPr>
                <w:p>
                  <w:pPr>
                    <w:jc w:val="center"/>
                    <w:rPr>
                      <w:rFonts w:ascii="Times New Roman" w:hAnsi="Times New Roman"/>
                      <w:szCs w:val="21"/>
                    </w:rPr>
                  </w:pPr>
                  <w:r>
                    <w:rPr>
                      <w:rFonts w:ascii="Times New Roman" w:hAnsi="Times New Roman"/>
                      <w:szCs w:val="21"/>
                    </w:rPr>
                    <w:t>0</w:t>
                  </w:r>
                </w:p>
              </w:tc>
              <w:tc>
                <w:tcPr>
                  <w:tcW w:w="1568" w:type="pct"/>
                  <w:gridSpan w:val="2"/>
                  <w:tcBorders>
                    <w:bottom w:val="single" w:color="auto" w:sz="12" w:space="0"/>
                  </w:tcBorders>
                  <w:noWrap w:val="0"/>
                  <w:vAlign w:val="center"/>
                </w:tcPr>
                <w:p>
                  <w:pPr>
                    <w:jc w:val="center"/>
                    <w:rPr>
                      <w:rFonts w:hint="eastAsia" w:ascii="Times New Roman" w:hAnsi="Times New Roman" w:eastAsia="宋体"/>
                      <w:szCs w:val="21"/>
                      <w:lang w:val="en-US" w:eastAsia="zh-CN"/>
                    </w:rPr>
                  </w:pPr>
                  <w:r>
                    <w:rPr>
                      <w:rFonts w:hint="eastAsia"/>
                      <w:szCs w:val="21"/>
                      <w:lang w:val="en-US" w:eastAsia="zh-CN"/>
                    </w:rPr>
                    <w:t>0</w:t>
                  </w:r>
                </w:p>
              </w:tc>
            </w:tr>
          </w:tbl>
          <w:p>
            <w:pPr>
              <w:spacing w:line="520" w:lineRule="exact"/>
              <w:ind w:firstLine="480" w:firstLineChars="200"/>
              <w:rPr>
                <w:rFonts w:ascii="宋体" w:hAnsi="宋体"/>
                <w:sz w:val="24"/>
                <w:szCs w:val="24"/>
              </w:rPr>
            </w:pPr>
            <w:r>
              <w:rPr>
                <w:rFonts w:ascii="宋体" w:hAnsi="宋体"/>
                <w:color w:val="000000"/>
                <w:sz w:val="24"/>
                <w:szCs w:val="24"/>
              </w:rPr>
              <w:t>由</w:t>
            </w:r>
            <w:r>
              <w:rPr>
                <w:rFonts w:hint="eastAsia" w:ascii="宋体" w:hAnsi="宋体"/>
                <w:color w:val="000000"/>
                <w:sz w:val="24"/>
                <w:szCs w:val="24"/>
              </w:rPr>
              <w:t>表</w:t>
            </w:r>
            <w:r>
              <w:rPr>
                <w:rFonts w:hint="eastAsia"/>
                <w:color w:val="000000"/>
                <w:sz w:val="24"/>
                <w:szCs w:val="24"/>
                <w:lang w:val="en-US" w:eastAsia="zh-CN"/>
              </w:rPr>
              <w:t>3-4</w:t>
            </w:r>
            <w:r>
              <w:rPr>
                <w:rFonts w:ascii="宋体" w:hAnsi="宋体"/>
                <w:color w:val="000000"/>
                <w:sz w:val="24"/>
                <w:szCs w:val="24"/>
              </w:rPr>
              <w:t>可看出，</w:t>
            </w:r>
            <w:r>
              <w:rPr>
                <w:rFonts w:hint="eastAsia" w:ascii="宋体" w:hAnsi="宋体"/>
                <w:color w:val="000000"/>
                <w:sz w:val="24"/>
                <w:szCs w:val="24"/>
                <w:lang w:val="en-US" w:eastAsia="zh-CN"/>
              </w:rPr>
              <w:t>中医院下风向氨、硫化氢</w:t>
            </w:r>
            <w:r>
              <w:rPr>
                <w:rFonts w:ascii="宋体" w:hAnsi="宋体"/>
                <w:color w:val="000000"/>
                <w:sz w:val="24"/>
                <w:szCs w:val="24"/>
              </w:rPr>
              <w:t>浓度值可满足《</w:t>
            </w:r>
            <w:r>
              <w:rPr>
                <w:rFonts w:hint="eastAsia" w:ascii="宋体" w:hAnsi="宋体"/>
                <w:color w:val="000000"/>
                <w:sz w:val="24"/>
                <w:szCs w:val="24"/>
              </w:rPr>
              <w:t>环境影响评价技术导则大气环境</w:t>
            </w:r>
            <w:r>
              <w:rPr>
                <w:rFonts w:ascii="宋体" w:hAnsi="宋体"/>
                <w:color w:val="000000"/>
                <w:sz w:val="24"/>
                <w:szCs w:val="24"/>
              </w:rPr>
              <w:t>》</w:t>
            </w:r>
            <w:r>
              <w:rPr>
                <w:rFonts w:hint="eastAsia" w:ascii="宋体" w:hAnsi="宋体"/>
                <w:color w:val="000000"/>
                <w:sz w:val="24"/>
                <w:szCs w:val="24"/>
              </w:rPr>
              <w:t>（</w:t>
            </w:r>
            <w:r>
              <w:rPr>
                <w:rFonts w:ascii="Times New Roman" w:hAnsi="Times New Roman"/>
                <w:color w:val="000000"/>
                <w:sz w:val="24"/>
                <w:szCs w:val="24"/>
              </w:rPr>
              <w:t>HJ2.2-2018</w:t>
            </w:r>
            <w:r>
              <w:rPr>
                <w:rFonts w:hint="eastAsia" w:ascii="宋体" w:hAnsi="宋体"/>
                <w:color w:val="000000"/>
                <w:sz w:val="24"/>
                <w:szCs w:val="24"/>
              </w:rPr>
              <w:t>）附录</w:t>
            </w:r>
            <w:r>
              <w:rPr>
                <w:rFonts w:hint="default" w:ascii="Times New Roman" w:hAnsi="Times New Roman" w:cs="Times New Roman"/>
                <w:color w:val="000000"/>
                <w:sz w:val="24"/>
                <w:szCs w:val="24"/>
              </w:rPr>
              <w:t>D</w:t>
            </w:r>
            <w:r>
              <w:rPr>
                <w:rFonts w:hint="eastAsia" w:ascii="宋体" w:hAnsi="宋体"/>
                <w:color w:val="000000"/>
                <w:sz w:val="24"/>
                <w:szCs w:val="24"/>
              </w:rPr>
              <w:t>其他污染物空气质量浓度参考限值中</w:t>
            </w:r>
            <w:r>
              <w:rPr>
                <w:rFonts w:hint="eastAsia"/>
                <w:color w:val="000000"/>
                <w:sz w:val="24"/>
                <w:szCs w:val="24"/>
                <w:lang w:val="en-US" w:eastAsia="zh-CN"/>
              </w:rPr>
              <w:t>0.2m</w:t>
            </w:r>
            <w:r>
              <w:rPr>
                <w:rFonts w:ascii="Times New Roman" w:hAnsi="Times New Roman"/>
                <w:color w:val="000000"/>
                <w:sz w:val="24"/>
                <w:szCs w:val="24"/>
              </w:rPr>
              <w:t>g/m</w:t>
            </w:r>
            <w:r>
              <w:rPr>
                <w:rFonts w:ascii="Times New Roman" w:hAnsi="Times New Roman"/>
                <w:color w:val="000000"/>
                <w:sz w:val="24"/>
                <w:szCs w:val="24"/>
                <w:vertAlign w:val="superscript"/>
              </w:rPr>
              <w:t>3</w:t>
            </w:r>
            <w:r>
              <w:rPr>
                <w:rFonts w:hint="eastAsia"/>
                <w:color w:val="000000"/>
                <w:sz w:val="24"/>
                <w:szCs w:val="24"/>
                <w:vertAlign w:val="baseline"/>
                <w:lang w:eastAsia="zh-CN"/>
              </w:rPr>
              <w:t>、</w:t>
            </w:r>
            <w:r>
              <w:rPr>
                <w:rFonts w:hint="eastAsia"/>
                <w:color w:val="000000"/>
                <w:sz w:val="24"/>
                <w:szCs w:val="24"/>
                <w:vertAlign w:val="baseline"/>
                <w:lang w:val="en-US" w:eastAsia="zh-CN"/>
              </w:rPr>
              <w:t>0.01m</w:t>
            </w:r>
            <w:r>
              <w:rPr>
                <w:rFonts w:ascii="Times New Roman" w:hAnsi="Times New Roman"/>
                <w:color w:val="000000"/>
                <w:sz w:val="24"/>
                <w:szCs w:val="24"/>
              </w:rPr>
              <w:t>g/m</w:t>
            </w:r>
            <w:r>
              <w:rPr>
                <w:rFonts w:ascii="Times New Roman" w:hAnsi="Times New Roman"/>
                <w:color w:val="000000"/>
                <w:sz w:val="24"/>
                <w:szCs w:val="24"/>
                <w:vertAlign w:val="superscript"/>
              </w:rPr>
              <w:t>3</w:t>
            </w:r>
            <w:r>
              <w:rPr>
                <w:rFonts w:hint="eastAsia" w:ascii="Times New Roman" w:hAnsi="Times New Roman"/>
                <w:color w:val="000000"/>
                <w:sz w:val="24"/>
                <w:szCs w:val="24"/>
              </w:rPr>
              <w:t>的</w:t>
            </w:r>
            <w:r>
              <w:rPr>
                <w:rFonts w:hint="eastAsia" w:ascii="宋体" w:hAnsi="宋体"/>
                <w:color w:val="000000"/>
                <w:sz w:val="24"/>
                <w:szCs w:val="24"/>
              </w:rPr>
              <w:t>限值要求</w:t>
            </w:r>
            <w:r>
              <w:rPr>
                <w:rFonts w:ascii="宋体" w:hAnsi="宋体"/>
                <w:color w:val="000000"/>
                <w:sz w:val="24"/>
                <w:szCs w:val="24"/>
              </w:rPr>
              <w:t>。</w:t>
            </w:r>
          </w:p>
          <w:p>
            <w:pPr>
              <w:autoSpaceDE w:val="0"/>
              <w:autoSpaceDN w:val="0"/>
              <w:adjustRightInd w:val="0"/>
              <w:spacing w:line="520" w:lineRule="exact"/>
              <w:ind w:firstLine="482" w:firstLineChars="200"/>
              <w:rPr>
                <w:rFonts w:hint="default" w:eastAsia="宋体"/>
                <w:b/>
                <w:bCs/>
                <w:sz w:val="24"/>
                <w:lang w:val="en-US" w:eastAsia="zh-CN"/>
              </w:rPr>
            </w:pPr>
            <w:r>
              <w:rPr>
                <w:rFonts w:hint="eastAsia"/>
                <w:b/>
                <w:bCs/>
                <w:sz w:val="24"/>
                <w:lang w:val="en-US" w:eastAsia="zh-CN"/>
              </w:rPr>
              <w:t>2.</w:t>
            </w:r>
            <w:r>
              <w:rPr>
                <w:b/>
                <w:bCs/>
                <w:sz w:val="24"/>
              </w:rPr>
              <w:t>水环境</w:t>
            </w:r>
            <w:r>
              <w:rPr>
                <w:rFonts w:hint="eastAsia"/>
                <w:b/>
                <w:bCs/>
                <w:sz w:val="24"/>
                <w:lang w:val="en-US" w:eastAsia="zh-CN"/>
              </w:rPr>
              <w:t>及土壤环境</w:t>
            </w:r>
          </w:p>
          <w:p>
            <w:pPr>
              <w:pStyle w:val="64"/>
            </w:pPr>
            <w:r>
              <w:rPr>
                <w:rFonts w:hint="eastAsia" w:ascii="宋体" w:hAnsi="宋体" w:eastAsia="宋体" w:cs="宋体"/>
                <w:color w:val="000000"/>
                <w:kern w:val="0"/>
                <w:sz w:val="24"/>
                <w:szCs w:val="24"/>
                <w:lang w:val="en-US" w:eastAsia="zh-CN" w:bidi="ar"/>
              </w:rPr>
              <w:t>根据《建设项目环境影响报告表编制技术指南（污染影响类）（试行）》中要求，本项目不存在地下水、土壤环境污染源及污染途径的</w:t>
            </w:r>
            <w:r>
              <w:t>，不开展地下水</w:t>
            </w:r>
            <w:r>
              <w:rPr>
                <w:rFonts w:hint="eastAsia"/>
                <w:lang w:val="en-US" w:eastAsia="zh-CN"/>
              </w:rPr>
              <w:t>及土壤</w:t>
            </w:r>
            <w:r>
              <w:t>环境影响评价。</w:t>
            </w:r>
          </w:p>
          <w:p>
            <w:pPr>
              <w:autoSpaceDE w:val="0"/>
              <w:autoSpaceDN w:val="0"/>
              <w:adjustRightInd w:val="0"/>
              <w:spacing w:line="520" w:lineRule="exact"/>
              <w:ind w:firstLine="482" w:firstLineChars="200"/>
              <w:rPr>
                <w:b/>
                <w:bCs/>
                <w:sz w:val="24"/>
              </w:rPr>
            </w:pPr>
            <w:r>
              <w:rPr>
                <w:rFonts w:hint="eastAsia"/>
                <w:b/>
                <w:bCs/>
                <w:sz w:val="24"/>
                <w:lang w:val="en-US" w:eastAsia="zh-CN"/>
              </w:rPr>
              <w:t>3.</w:t>
            </w:r>
            <w:r>
              <w:rPr>
                <w:b/>
                <w:bCs/>
                <w:sz w:val="24"/>
              </w:rPr>
              <w:t>声环境</w:t>
            </w:r>
          </w:p>
          <w:p>
            <w:pPr>
              <w:pStyle w:val="64"/>
              <w:ind w:firstLine="482"/>
              <w:rPr>
                <w:b/>
                <w:bCs/>
              </w:rPr>
            </w:pPr>
            <w:r>
              <w:rPr>
                <w:b/>
                <w:bCs/>
              </w:rPr>
              <w:t>3.1监测方法及监测点位布设</w:t>
            </w:r>
          </w:p>
          <w:p>
            <w:pPr>
              <w:autoSpaceDE w:val="0"/>
              <w:autoSpaceDN w:val="0"/>
              <w:adjustRightInd w:val="0"/>
              <w:spacing w:line="520" w:lineRule="exact"/>
              <w:ind w:firstLine="480" w:firstLineChars="200"/>
              <w:rPr>
                <w:sz w:val="24"/>
              </w:rPr>
            </w:pPr>
            <w:r>
              <w:rPr>
                <w:rFonts w:hint="eastAsia"/>
                <w:sz w:val="24"/>
                <w:lang w:val="zh-CN"/>
              </w:rPr>
              <w:t>本次评价针对</w:t>
            </w:r>
            <w:r>
              <w:rPr>
                <w:rFonts w:hint="eastAsia"/>
                <w:sz w:val="24"/>
                <w:lang w:val="en-US" w:eastAsia="zh-CN"/>
              </w:rPr>
              <w:t>中医医院厂界</w:t>
            </w:r>
            <w:r>
              <w:rPr>
                <w:rFonts w:hint="eastAsia"/>
                <w:sz w:val="24"/>
                <w:lang w:val="zh-CN"/>
              </w:rPr>
              <w:t>进行了声环境质量现状监测，</w:t>
            </w:r>
            <w:r>
              <w:rPr>
                <w:sz w:val="24"/>
                <w:lang w:val="zh-CN"/>
              </w:rPr>
              <w:t>设</w:t>
            </w:r>
            <w:r>
              <w:rPr>
                <w:rFonts w:hint="eastAsia"/>
                <w:sz w:val="24"/>
                <w:lang w:val="en-US" w:eastAsia="zh-CN"/>
              </w:rPr>
              <w:t>4</w:t>
            </w:r>
            <w:r>
              <w:rPr>
                <w:sz w:val="24"/>
                <w:lang w:val="zh-CN"/>
              </w:rPr>
              <w:t>个监测点，分昼、夜两时段监测。</w:t>
            </w:r>
          </w:p>
          <w:p>
            <w:pPr>
              <w:autoSpaceDE w:val="0"/>
              <w:autoSpaceDN w:val="0"/>
              <w:adjustRightInd w:val="0"/>
              <w:spacing w:line="520" w:lineRule="exact"/>
              <w:ind w:firstLine="480" w:firstLineChars="200"/>
              <w:rPr>
                <w:sz w:val="24"/>
              </w:rPr>
            </w:pPr>
            <w:r>
              <w:rPr>
                <w:sz w:val="24"/>
              </w:rPr>
              <w:t>依照《声环境质量标准》（GB3096-2008）和《环境监测技术规范》进行噪声监测，监测仪器使用</w:t>
            </w:r>
            <w:r>
              <w:rPr>
                <w:color w:val="000000" w:themeColor="text1"/>
                <w:sz w:val="24"/>
                <w14:textFill>
                  <w14:solidFill>
                    <w14:schemeClr w14:val="tx1"/>
                  </w14:solidFill>
                </w14:textFill>
              </w:rPr>
              <w:t>AWA</w:t>
            </w:r>
            <w:r>
              <w:rPr>
                <w:rFonts w:hint="eastAsia"/>
                <w:color w:val="000000" w:themeColor="text1"/>
                <w:sz w:val="24"/>
                <w:lang w:val="en-US" w:eastAsia="zh-CN"/>
                <w14:textFill>
                  <w14:solidFill>
                    <w14:schemeClr w14:val="tx1"/>
                  </w14:solidFill>
                </w14:textFill>
              </w:rPr>
              <w:t>5688</w:t>
            </w:r>
            <w:r>
              <w:rPr>
                <w:color w:val="000000" w:themeColor="text1"/>
                <w:sz w:val="24"/>
                <w14:textFill>
                  <w14:solidFill>
                    <w14:schemeClr w14:val="tx1"/>
                  </w14:solidFill>
                </w14:textFill>
              </w:rPr>
              <w:t>型噪声级计</w:t>
            </w:r>
            <w:r>
              <w:rPr>
                <w:sz w:val="24"/>
              </w:rPr>
              <w:t>，监测前用声级校准器进行校准，测量时传声器距地面1.2m，传声器戴风罩，天气情况</w:t>
            </w:r>
            <w:r>
              <w:rPr>
                <w:color w:val="000000" w:themeColor="text1"/>
                <w:sz w:val="24"/>
                <w14:textFill>
                  <w14:solidFill>
                    <w14:schemeClr w14:val="tx1"/>
                  </w14:solidFill>
                </w14:textFill>
              </w:rPr>
              <w:t>：晴、</w:t>
            </w:r>
            <w:r>
              <w:rPr>
                <w:rFonts w:hint="eastAsia"/>
                <w:color w:val="000000" w:themeColor="text1"/>
                <w:sz w:val="24"/>
                <w:lang w:val="en-US" w:eastAsia="zh-CN"/>
                <w14:textFill>
                  <w14:solidFill>
                    <w14:schemeClr w14:val="tx1"/>
                  </w14:solidFill>
                </w14:textFill>
              </w:rPr>
              <w:t>轻风</w:t>
            </w:r>
            <w:r>
              <w:rPr>
                <w:sz w:val="24"/>
              </w:rPr>
              <w:t>。</w:t>
            </w:r>
          </w:p>
          <w:p>
            <w:pPr>
              <w:autoSpaceDE w:val="0"/>
              <w:autoSpaceDN w:val="0"/>
              <w:adjustRightInd w:val="0"/>
              <w:spacing w:line="520" w:lineRule="exact"/>
              <w:ind w:firstLine="480" w:firstLineChars="200"/>
              <w:rPr>
                <w:rFonts w:hint="eastAsia"/>
                <w:color w:val="000000" w:themeColor="text1"/>
                <w:sz w:val="24"/>
                <w:lang w:val="zh-CN"/>
                <w14:textFill>
                  <w14:solidFill>
                    <w14:schemeClr w14:val="tx1"/>
                  </w14:solidFill>
                </w14:textFill>
              </w:rPr>
            </w:pPr>
            <w:r>
              <w:rPr>
                <w:color w:val="000000" w:themeColor="text1"/>
                <w:sz w:val="24"/>
                <w14:textFill>
                  <w14:solidFill>
                    <w14:schemeClr w14:val="tx1"/>
                  </w14:solidFill>
                </w14:textFill>
              </w:rPr>
              <w:t>根据本项目所在位置、所在区域声环境功能及当地气象、地形等因素，</w:t>
            </w:r>
            <w:r>
              <w:rPr>
                <w:rFonts w:ascii="宋体" w:hAnsi="宋体"/>
                <w:color w:val="000000" w:themeColor="text1"/>
                <w:sz w:val="24"/>
                <w14:textFill>
                  <w14:solidFill>
                    <w14:schemeClr w14:val="tx1"/>
                  </w14:solidFill>
                </w14:textFill>
              </w:rPr>
              <w:t>新疆</w:t>
            </w:r>
            <w:r>
              <w:rPr>
                <w:rFonts w:hint="eastAsia" w:ascii="宋体" w:hAnsi="宋体"/>
                <w:color w:val="000000" w:themeColor="text1"/>
                <w:sz w:val="24"/>
                <w14:textFill>
                  <w14:solidFill>
                    <w14:schemeClr w14:val="tx1"/>
                  </w14:solidFill>
                </w14:textFill>
              </w:rPr>
              <w:t>环疆绿源环保科技有限公司</w:t>
            </w:r>
            <w:r>
              <w:rPr>
                <w:color w:val="000000" w:themeColor="text1"/>
                <w:sz w:val="24"/>
                <w14:textFill>
                  <w14:solidFill>
                    <w14:schemeClr w14:val="tx1"/>
                  </w14:solidFill>
                </w14:textFill>
              </w:rPr>
              <w:t>于20</w:t>
            </w:r>
            <w:r>
              <w:rPr>
                <w:rFonts w:hint="eastAsia"/>
                <w:color w:val="000000" w:themeColor="text1"/>
                <w:sz w:val="24"/>
                <w:lang w:val="en-US" w:eastAsia="zh-CN"/>
                <w14:textFill>
                  <w14:solidFill>
                    <w14:schemeClr w14:val="tx1"/>
                  </w14:solidFill>
                </w14:textFill>
              </w:rPr>
              <w:t>22</w:t>
            </w:r>
            <w:r>
              <w:rPr>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月</w:t>
            </w:r>
            <w:r>
              <w:rPr>
                <w:rFonts w:hint="eastAsia"/>
                <w:color w:val="000000" w:themeColor="text1"/>
                <w:sz w:val="24"/>
                <w:lang w:val="en-US" w:eastAsia="zh-CN"/>
                <w14:textFill>
                  <w14:solidFill>
                    <w14:schemeClr w14:val="tx1"/>
                  </w14:solidFill>
                </w14:textFill>
              </w:rPr>
              <w:t>19</w:t>
            </w:r>
            <w:r>
              <w:rPr>
                <w:color w:val="000000" w:themeColor="text1"/>
                <w:sz w:val="24"/>
                <w14:textFill>
                  <w14:solidFill>
                    <w14:schemeClr w14:val="tx1"/>
                  </w14:solidFill>
                </w14:textFill>
              </w:rPr>
              <w:t>日</w:t>
            </w:r>
            <w:r>
              <w:rPr>
                <w:rFonts w:hint="eastAsia"/>
                <w:color w:val="000000" w:themeColor="text1"/>
                <w:sz w:val="24"/>
                <w14:textFill>
                  <w14:solidFill>
                    <w14:schemeClr w14:val="tx1"/>
                  </w14:solidFill>
                </w14:textFill>
              </w:rPr>
              <w:t>，对</w:t>
            </w:r>
            <w:r>
              <w:rPr>
                <w:rFonts w:hint="eastAsia"/>
                <w:color w:val="000000" w:themeColor="text1"/>
                <w:sz w:val="24"/>
                <w:lang w:val="en-US" w:eastAsia="zh-CN"/>
                <w14:textFill>
                  <w14:solidFill>
                    <w14:schemeClr w14:val="tx1"/>
                  </w14:solidFill>
                </w14:textFill>
              </w:rPr>
              <w:t>中医医院</w:t>
            </w:r>
            <w:r>
              <w:rPr>
                <w:rFonts w:hint="eastAsia"/>
                <w:color w:val="000000" w:themeColor="text1"/>
                <w:sz w:val="24"/>
                <w14:textFill>
                  <w14:solidFill>
                    <w14:schemeClr w14:val="tx1"/>
                  </w14:solidFill>
                </w14:textFill>
              </w:rPr>
              <w:t>进行了</w:t>
            </w:r>
            <w:r>
              <w:rPr>
                <w:rFonts w:hint="eastAsia"/>
                <w:color w:val="000000" w:themeColor="text1"/>
                <w:sz w:val="24"/>
                <w:lang w:val="en-US" w:eastAsia="zh-CN"/>
                <w14:textFill>
                  <w14:solidFill>
                    <w14:schemeClr w14:val="tx1"/>
                  </w14:solidFill>
                </w14:textFill>
              </w:rPr>
              <w:t>噪声</w:t>
            </w:r>
            <w:r>
              <w:rPr>
                <w:rFonts w:hint="eastAsia"/>
                <w:color w:val="000000" w:themeColor="text1"/>
                <w:sz w:val="24"/>
                <w14:textFill>
                  <w14:solidFill>
                    <w14:schemeClr w14:val="tx1"/>
                  </w14:solidFill>
                </w14:textFill>
              </w:rPr>
              <w:t>现状监测。</w:t>
            </w:r>
            <w:r>
              <w:rPr>
                <w:rFonts w:hint="eastAsia"/>
                <w:color w:val="000000" w:themeColor="text1"/>
                <w:sz w:val="24"/>
                <w:lang w:val="zh-CN"/>
                <w14:textFill>
                  <w14:solidFill>
                    <w14:schemeClr w14:val="tx1"/>
                  </w14:solidFill>
                </w14:textFill>
              </w:rPr>
              <w:t>监测布点见图</w:t>
            </w:r>
            <w:r>
              <w:rPr>
                <w:color w:val="000000" w:themeColor="text1"/>
                <w:sz w:val="24"/>
                <w:lang w:val="zh-CN"/>
                <w14:textFill>
                  <w14:solidFill>
                    <w14:schemeClr w14:val="tx1"/>
                  </w14:solidFill>
                </w14:textFill>
              </w:rPr>
              <w:t>3-1</w:t>
            </w:r>
            <w:r>
              <w:rPr>
                <w:rFonts w:hint="eastAsia"/>
                <w:color w:val="000000" w:themeColor="text1"/>
                <w:sz w:val="24"/>
                <w:lang w:val="zh-CN"/>
                <w14:textFill>
                  <w14:solidFill>
                    <w14:schemeClr w14:val="tx1"/>
                  </w14:solidFill>
                </w14:textFill>
              </w:rPr>
              <w:t>。</w:t>
            </w:r>
          </w:p>
          <w:p>
            <w:pPr>
              <w:pStyle w:val="64"/>
              <w:ind w:firstLine="482"/>
              <w:rPr>
                <w:b/>
                <w:bCs/>
              </w:rPr>
            </w:pPr>
            <w:r>
              <w:rPr>
                <w:rFonts w:hint="eastAsia"/>
                <w:b/>
                <w:bCs/>
              </w:rPr>
              <w:t>3</w:t>
            </w:r>
            <w:r>
              <w:rPr>
                <w:b/>
                <w:bCs/>
              </w:rPr>
              <w:t>.2评价标准</w:t>
            </w:r>
          </w:p>
          <w:p>
            <w:pPr>
              <w:adjustRightInd w:val="0"/>
              <w:snapToGrid w:val="0"/>
              <w:spacing w:line="520" w:lineRule="exact"/>
              <w:ind w:firstLine="480" w:firstLineChars="200"/>
              <w:rPr>
                <w:color w:val="000000" w:themeColor="text1"/>
                <w:sz w:val="24"/>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本项目</w:t>
            </w:r>
            <w:r>
              <w:rPr>
                <w:rFonts w:hint="eastAsia" w:cs="Times New Roman"/>
                <w:color w:val="000000" w:themeColor="text1"/>
                <w:sz w:val="24"/>
                <w:szCs w:val="24"/>
                <w:lang w:val="en-US" w:eastAsia="zh-CN"/>
                <w14:textFill>
                  <w14:solidFill>
                    <w14:schemeClr w14:val="tx1"/>
                  </w14:solidFill>
                </w14:textFill>
              </w:rPr>
              <w:t>玛纳斯县</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中医医院院内</w:t>
            </w:r>
            <w:r>
              <w:rPr>
                <w:rFonts w:hint="eastAsia" w:ascii="Times New Roman" w:hAnsi="Times New Roman" w:eastAsia="宋体" w:cs="Times New Roman"/>
                <w:color w:val="000000" w:themeColor="text1"/>
                <w:sz w:val="24"/>
                <w:lang w:val="en-US" w:eastAsia="zh-CN"/>
                <w14:textFill>
                  <w14:solidFill>
                    <w14:schemeClr w14:val="tx1"/>
                  </w14:solidFill>
                </w14:textFill>
              </w:rPr>
              <w:t>，</w:t>
            </w:r>
            <w:r>
              <w:rPr>
                <w:rFonts w:hint="eastAsia"/>
                <w:color w:val="000000" w:themeColor="text1"/>
                <w:sz w:val="24"/>
                <w14:textFill>
                  <w14:solidFill>
                    <w14:schemeClr w14:val="tx1"/>
                  </w14:solidFill>
                </w14:textFill>
              </w:rPr>
              <w:t>中心地理坐标为：东经8</w:t>
            </w:r>
            <w:r>
              <w:rPr>
                <w:rFonts w:hint="eastAsia"/>
                <w:color w:val="000000" w:themeColor="text1"/>
                <w:sz w:val="24"/>
                <w:lang w:val="en-US" w:eastAsia="zh-CN"/>
                <w14:textFill>
                  <w14:solidFill>
                    <w14:schemeClr w14:val="tx1"/>
                  </w14:solidFill>
                </w14:textFill>
              </w:rPr>
              <w:t>6</w:t>
            </w:r>
            <w:r>
              <w:rPr>
                <w:color w:val="000000" w:themeColor="text1"/>
                <w14:textFill>
                  <w14:solidFill>
                    <w14:schemeClr w14:val="tx1"/>
                  </w14:solidFill>
                </w14:textFill>
              </w:rPr>
              <w:t>°</w:t>
            </w:r>
            <w:r>
              <w:rPr>
                <w:rFonts w:hint="eastAsia"/>
                <w:color w:val="000000" w:themeColor="text1"/>
                <w:sz w:val="24"/>
                <w:lang w:val="en-US" w:eastAsia="zh-CN"/>
                <w14:textFill>
                  <w14:solidFill>
                    <w14:schemeClr w14:val="tx1"/>
                  </w14:solidFill>
                </w14:textFill>
              </w:rPr>
              <w:t>13</w:t>
            </w:r>
            <w:r>
              <w:rPr>
                <w:color w:val="000000" w:themeColor="text1"/>
                <w14:textFill>
                  <w14:solidFill>
                    <w14:schemeClr w14:val="tx1"/>
                  </w14:solidFill>
                </w14:textFill>
              </w:rPr>
              <w:t>′</w:t>
            </w:r>
            <w:r>
              <w:rPr>
                <w:rFonts w:hint="eastAsia"/>
                <w:color w:val="000000" w:themeColor="text1"/>
                <w:sz w:val="24"/>
                <w:lang w:val="en-US" w:eastAsia="zh-CN"/>
                <w14:textFill>
                  <w14:solidFill>
                    <w14:schemeClr w14:val="tx1"/>
                  </w14:solidFill>
                </w14:textFill>
              </w:rPr>
              <w:t>41.469</w:t>
            </w:r>
            <w:r>
              <w:rPr>
                <w:color w:val="000000" w:themeColor="text1"/>
                <w14:textFill>
                  <w14:solidFill>
                    <w14:schemeClr w14:val="tx1"/>
                  </w14:solidFill>
                </w14:textFill>
              </w:rPr>
              <w:t>″</w:t>
            </w:r>
            <w:r>
              <w:rPr>
                <w:rFonts w:hint="eastAsia"/>
                <w:color w:val="000000" w:themeColor="text1"/>
                <w:sz w:val="24"/>
                <w14:textFill>
                  <w14:solidFill>
                    <w14:schemeClr w14:val="tx1"/>
                  </w14:solidFill>
                </w14:textFill>
              </w:rPr>
              <w:t>，北纬</w:t>
            </w:r>
            <w:r>
              <w:rPr>
                <w:rFonts w:hint="eastAsia"/>
                <w:color w:val="000000" w:themeColor="text1"/>
                <w:sz w:val="24"/>
                <w:lang w:val="en-US" w:eastAsia="zh-CN"/>
                <w14:textFill>
                  <w14:solidFill>
                    <w14:schemeClr w14:val="tx1"/>
                  </w14:solidFill>
                </w14:textFill>
              </w:rPr>
              <w:t>44</w:t>
            </w:r>
            <w:r>
              <w:rPr>
                <w:color w:val="000000" w:themeColor="text1"/>
                <w14:textFill>
                  <w14:solidFill>
                    <w14:schemeClr w14:val="tx1"/>
                  </w14:solidFill>
                </w14:textFill>
              </w:rPr>
              <w:t>°</w:t>
            </w:r>
            <w:r>
              <w:rPr>
                <w:rFonts w:hint="eastAsia"/>
                <w:color w:val="000000" w:themeColor="text1"/>
                <w:sz w:val="24"/>
                <w:lang w:val="en-US" w:eastAsia="zh-CN"/>
                <w14:textFill>
                  <w14:solidFill>
                    <w14:schemeClr w14:val="tx1"/>
                  </w14:solidFill>
                </w14:textFill>
              </w:rPr>
              <w:t>16</w:t>
            </w:r>
            <w:r>
              <w:rPr>
                <w:color w:val="000000" w:themeColor="text1"/>
                <w14:textFill>
                  <w14:solidFill>
                    <w14:schemeClr w14:val="tx1"/>
                  </w14:solidFill>
                </w14:textFill>
              </w:rPr>
              <w:t>′</w:t>
            </w:r>
            <w:r>
              <w:rPr>
                <w:rFonts w:hint="eastAsia"/>
                <w:color w:val="000000" w:themeColor="text1"/>
                <w:sz w:val="24"/>
                <w:lang w:val="en-US" w:eastAsia="zh-CN"/>
                <w14:textFill>
                  <w14:solidFill>
                    <w14:schemeClr w14:val="tx1"/>
                  </w14:solidFill>
                </w14:textFill>
              </w:rPr>
              <w:t>42.960</w:t>
            </w:r>
            <w:r>
              <w:rPr>
                <w:color w:val="000000" w:themeColor="text1"/>
                <w14:textFill>
                  <w14:solidFill>
                    <w14:schemeClr w14:val="tx1"/>
                  </w14:solidFill>
                </w14:textFill>
              </w:rPr>
              <w:t>″</w:t>
            </w:r>
            <w:r>
              <w:rPr>
                <w:rFonts w:hint="eastAsia"/>
                <w:color w:val="000000" w:themeColor="text1"/>
                <w:sz w:val="24"/>
                <w14:textFill>
                  <w14:solidFill>
                    <w14:schemeClr w14:val="tx1"/>
                  </w14:solidFill>
                </w14:textFill>
              </w:rPr>
              <w:t>。项目区</w:t>
            </w:r>
            <w:r>
              <w:rPr>
                <w:rFonts w:hint="eastAsia"/>
                <w:color w:val="000000" w:themeColor="text1"/>
                <w:sz w:val="24"/>
                <w:lang w:val="en-US" w:eastAsia="zh-CN"/>
                <w14:textFill>
                  <w14:solidFill>
                    <w14:schemeClr w14:val="tx1"/>
                  </w14:solidFill>
                </w14:textFill>
              </w:rPr>
              <w:t>周围为</w:t>
            </w:r>
            <w:r>
              <w:rPr>
                <w:rFonts w:hint="eastAsia"/>
                <w:color w:val="000000" w:themeColor="text1"/>
                <w:sz w:val="24"/>
                <w14:textFill>
                  <w14:solidFill>
                    <w14:schemeClr w14:val="tx1"/>
                  </w14:solidFill>
                </w14:textFill>
              </w:rPr>
              <w:t>居</w:t>
            </w:r>
            <w:r>
              <w:rPr>
                <w:rFonts w:hint="eastAsia"/>
                <w:color w:val="000000" w:themeColor="text1"/>
                <w:sz w:val="24"/>
                <w:lang w:val="en-US" w:eastAsia="zh-CN"/>
                <w14:textFill>
                  <w14:solidFill>
                    <w14:schemeClr w14:val="tx1"/>
                  </w14:solidFill>
                </w14:textFill>
              </w:rPr>
              <w:t>民</w:t>
            </w:r>
            <w:r>
              <w:rPr>
                <w:rFonts w:hint="eastAsia"/>
                <w:color w:val="000000" w:themeColor="text1"/>
                <w:sz w:val="24"/>
                <w14:textFill>
                  <w14:solidFill>
                    <w14:schemeClr w14:val="tx1"/>
                  </w14:solidFill>
                </w14:textFill>
              </w:rPr>
              <w:t>区</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农田</w:t>
            </w:r>
            <w:r>
              <w:rPr>
                <w:rFonts w:hint="eastAsia"/>
                <w:color w:val="000000" w:themeColor="text1"/>
                <w:sz w:val="24"/>
                <w14:textFill>
                  <w14:solidFill>
                    <w14:schemeClr w14:val="tx1"/>
                  </w14:solidFill>
                </w14:textFill>
              </w:rPr>
              <w:t>，属</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类标准适用区，执行《声环境质量标准》（GB3096-2008）中</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类标准限值，即昼间</w:t>
            </w:r>
            <w:r>
              <w:rPr>
                <w:rFonts w:hint="eastAsia"/>
                <w:color w:val="000000" w:themeColor="text1"/>
                <w:sz w:val="24"/>
                <w:lang w:val="en-US" w:eastAsia="zh-CN"/>
                <w14:textFill>
                  <w14:solidFill>
                    <w14:schemeClr w14:val="tx1"/>
                  </w14:solidFill>
                </w14:textFill>
              </w:rPr>
              <w:t>55</w:t>
            </w:r>
            <w:r>
              <w:rPr>
                <w:rFonts w:hint="eastAsia"/>
                <w:color w:val="000000" w:themeColor="text1"/>
                <w:sz w:val="24"/>
                <w14:textFill>
                  <w14:solidFill>
                    <w14:schemeClr w14:val="tx1"/>
                  </w14:solidFill>
                </w14:textFill>
              </w:rPr>
              <w:t>dB</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，夜间</w:t>
            </w:r>
            <w:r>
              <w:rPr>
                <w:rFonts w:hint="eastAsia"/>
                <w:color w:val="000000" w:themeColor="text1"/>
                <w:sz w:val="24"/>
                <w:lang w:val="en-US" w:eastAsia="zh-CN"/>
                <w14:textFill>
                  <w14:solidFill>
                    <w14:schemeClr w14:val="tx1"/>
                  </w14:solidFill>
                </w14:textFill>
              </w:rPr>
              <w:t>45</w:t>
            </w:r>
            <w:r>
              <w:rPr>
                <w:rFonts w:hint="eastAsia"/>
                <w:color w:val="000000" w:themeColor="text1"/>
                <w:sz w:val="24"/>
                <w14:textFill>
                  <w14:solidFill>
                    <w14:schemeClr w14:val="tx1"/>
                  </w14:solidFill>
                </w14:textFill>
              </w:rPr>
              <w:t>dB</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w:t>
            </w:r>
          </w:p>
          <w:p>
            <w:pPr>
              <w:rPr>
                <w:sz w:val="24"/>
                <w:lang w:val="zh-CN"/>
              </w:rPr>
            </w:pPr>
            <w:r>
              <w:drawing>
                <wp:anchor distT="0" distB="0" distL="114300" distR="114300" simplePos="0" relativeHeight="251673600" behindDoc="0" locked="0" layoutInCell="1" allowOverlap="1">
                  <wp:simplePos x="0" y="0"/>
                  <wp:positionH relativeFrom="column">
                    <wp:posOffset>-10160</wp:posOffset>
                  </wp:positionH>
                  <wp:positionV relativeFrom="paragraph">
                    <wp:posOffset>8255</wp:posOffset>
                  </wp:positionV>
                  <wp:extent cx="5140960" cy="2585720"/>
                  <wp:effectExtent l="12700" t="12700" r="27940" b="30480"/>
                  <wp:wrapNone/>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9"/>
                          <a:stretch>
                            <a:fillRect/>
                          </a:stretch>
                        </pic:blipFill>
                        <pic:spPr>
                          <a:xfrm>
                            <a:off x="0" y="0"/>
                            <a:ext cx="5140960" cy="2585720"/>
                          </a:xfrm>
                          <a:prstGeom prst="rect">
                            <a:avLst/>
                          </a:prstGeom>
                          <a:noFill/>
                          <a:ln w="12700" cmpd="sng">
                            <a:solidFill>
                              <a:schemeClr val="tx1"/>
                            </a:solidFill>
                            <a:prstDash val="solid"/>
                          </a:ln>
                        </pic:spPr>
                      </pic:pic>
                    </a:graphicData>
                  </a:graphic>
                </wp:anchor>
              </w:drawing>
            </w:r>
          </w:p>
          <w:p>
            <w:pPr>
              <w:pStyle w:val="7"/>
              <w:rPr>
                <w:lang w:val="zh-CN"/>
              </w:rPr>
            </w:pPr>
          </w:p>
          <w:p>
            <w:pPr>
              <w:spacing w:line="520" w:lineRule="exact"/>
              <w:jc w:val="center"/>
              <w:rPr>
                <w:rFonts w:ascii="黑体" w:hAnsi="黑体" w:eastAsia="黑体"/>
                <w:bCs/>
                <w:color w:val="FF0000"/>
                <w:sz w:val="24"/>
                <w:szCs w:val="20"/>
              </w:rPr>
            </w:pPr>
          </w:p>
          <w:p>
            <w:pPr>
              <w:pStyle w:val="13"/>
              <w:rPr>
                <w:rFonts w:ascii="黑体" w:hAnsi="黑体" w:eastAsia="黑体"/>
                <w:bCs/>
                <w:color w:val="FF0000"/>
                <w:sz w:val="24"/>
                <w:szCs w:val="20"/>
              </w:rPr>
            </w:pPr>
          </w:p>
          <w:p>
            <w:pPr>
              <w:pStyle w:val="13"/>
              <w:rPr>
                <w:rFonts w:ascii="黑体" w:hAnsi="黑体" w:eastAsia="黑体"/>
                <w:bCs/>
                <w:color w:val="FF0000"/>
                <w:sz w:val="24"/>
                <w:szCs w:val="20"/>
              </w:rPr>
            </w:pPr>
          </w:p>
          <w:p>
            <w:pPr>
              <w:pStyle w:val="13"/>
              <w:rPr>
                <w:rFonts w:ascii="黑体" w:hAnsi="黑体" w:eastAsia="黑体"/>
                <w:bCs/>
                <w:color w:val="FF0000"/>
                <w:sz w:val="24"/>
                <w:szCs w:val="20"/>
              </w:rPr>
            </w:pPr>
          </w:p>
          <w:p>
            <w:pPr>
              <w:pStyle w:val="13"/>
              <w:rPr>
                <w:rFonts w:ascii="黑体" w:hAnsi="黑体" w:eastAsia="黑体"/>
                <w:bCs/>
                <w:color w:val="FF0000"/>
                <w:sz w:val="24"/>
                <w:szCs w:val="20"/>
              </w:rPr>
            </w:pPr>
          </w:p>
          <w:p>
            <w:pPr>
              <w:spacing w:line="520" w:lineRule="exact"/>
              <w:jc w:val="center"/>
              <w:rPr>
                <w:rFonts w:ascii="黑体" w:hAnsi="黑体" w:eastAsia="黑体"/>
                <w:bCs/>
                <w:color w:val="000000" w:themeColor="text1"/>
                <w:sz w:val="24"/>
                <w:szCs w:val="20"/>
                <w14:textFill>
                  <w14:solidFill>
                    <w14:schemeClr w14:val="tx1"/>
                  </w14:solidFill>
                </w14:textFill>
              </w:rPr>
            </w:pPr>
            <w:r>
              <w:rPr>
                <w:rFonts w:ascii="黑体" w:hAnsi="黑体" w:eastAsia="黑体"/>
                <w:bCs/>
                <w:color w:val="000000" w:themeColor="text1"/>
                <w:sz w:val="24"/>
                <w:szCs w:val="20"/>
                <w14:textFill>
                  <w14:solidFill>
                    <w14:schemeClr w14:val="tx1"/>
                  </w14:solidFill>
                </w14:textFill>
              </w:rPr>
              <w:t>图</w:t>
            </w:r>
            <w:r>
              <w:rPr>
                <w:rFonts w:hint="default" w:ascii="Times New Roman" w:hAnsi="Times New Roman" w:eastAsia="黑体" w:cs="Times New Roman"/>
                <w:bCs/>
                <w:color w:val="000000" w:themeColor="text1"/>
                <w:sz w:val="24"/>
                <w:szCs w:val="20"/>
                <w14:textFill>
                  <w14:solidFill>
                    <w14:schemeClr w14:val="tx1"/>
                  </w14:solidFill>
                </w14:textFill>
              </w:rPr>
              <w:t>3-1</w:t>
            </w:r>
            <w:r>
              <w:rPr>
                <w:rFonts w:ascii="黑体" w:hAnsi="黑体" w:eastAsia="黑体"/>
                <w:bCs/>
                <w:color w:val="000000" w:themeColor="text1"/>
                <w:sz w:val="24"/>
                <w:szCs w:val="20"/>
                <w14:textFill>
                  <w14:solidFill>
                    <w14:schemeClr w14:val="tx1"/>
                  </w14:solidFill>
                </w14:textFill>
              </w:rPr>
              <w:t xml:space="preserve">  噪声监测布点示意图</w:t>
            </w:r>
          </w:p>
          <w:p>
            <w:pPr>
              <w:pStyle w:val="64"/>
              <w:keepNext w:val="0"/>
              <w:keepLines w:val="0"/>
              <w:pageBreakBefore w:val="0"/>
              <w:widowControl w:val="0"/>
              <w:kinsoku/>
              <w:wordWrap/>
              <w:overflowPunct/>
              <w:topLinePunct w:val="0"/>
              <w:autoSpaceDE/>
              <w:autoSpaceDN/>
              <w:bidi w:val="0"/>
              <w:adjustRightInd w:val="0"/>
              <w:snapToGrid w:val="0"/>
              <w:ind w:firstLine="482"/>
              <w:textAlignment w:val="baseline"/>
              <w:rPr>
                <w:b/>
                <w:bCs/>
              </w:rPr>
            </w:pPr>
            <w:r>
              <w:rPr>
                <w:rFonts w:hint="eastAsia"/>
                <w:b/>
                <w:bCs/>
              </w:rPr>
              <w:t>3</w:t>
            </w:r>
            <w:r>
              <w:rPr>
                <w:b/>
                <w:bCs/>
              </w:rPr>
              <w:t>.3监测数据及评价结果</w:t>
            </w:r>
          </w:p>
          <w:p>
            <w:pPr>
              <w:pStyle w:val="64"/>
              <w:keepNext w:val="0"/>
              <w:keepLines w:val="0"/>
              <w:pageBreakBefore w:val="0"/>
              <w:widowControl w:val="0"/>
              <w:kinsoku/>
              <w:wordWrap/>
              <w:overflowPunct/>
              <w:topLinePunct w:val="0"/>
              <w:autoSpaceDE/>
              <w:autoSpaceDN/>
              <w:bidi w:val="0"/>
              <w:adjustRightInd w:val="0"/>
              <w:snapToGrid w:val="0"/>
              <w:textAlignment w:val="baseline"/>
            </w:pPr>
            <w:r>
              <w:t>噪声监测结果见表3-</w:t>
            </w:r>
            <w:r>
              <w:rPr>
                <w:rFonts w:hint="eastAsia"/>
                <w:lang w:val="en-US" w:eastAsia="zh-CN"/>
              </w:rPr>
              <w:t>5</w:t>
            </w:r>
            <w: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kern w:val="0"/>
                <w:sz w:val="24"/>
                <w:szCs w:val="24"/>
              </w:rPr>
            </w:pPr>
            <w:r>
              <w:rPr>
                <w:rFonts w:hint="default" w:ascii="Times New Roman" w:hAnsi="Times New Roman" w:eastAsia="黑体" w:cs="Times New Roman"/>
                <w:b w:val="0"/>
                <w:bCs/>
                <w:snapToGrid w:val="0"/>
                <w:kern w:val="0"/>
                <w:sz w:val="24"/>
                <w:szCs w:val="24"/>
              </w:rPr>
              <w:t>表3-</w:t>
            </w:r>
            <w:r>
              <w:rPr>
                <w:rFonts w:hint="eastAsia" w:eastAsia="黑体" w:cs="Times New Roman"/>
                <w:b w:val="0"/>
                <w:bCs/>
                <w:snapToGrid w:val="0"/>
                <w:kern w:val="0"/>
                <w:sz w:val="24"/>
                <w:szCs w:val="24"/>
                <w:lang w:val="en-US" w:eastAsia="zh-CN"/>
              </w:rPr>
              <w:t>5</w:t>
            </w:r>
            <w:r>
              <w:rPr>
                <w:rFonts w:hint="default" w:ascii="Times New Roman" w:hAnsi="Times New Roman" w:eastAsia="黑体" w:cs="Times New Roman"/>
                <w:b w:val="0"/>
                <w:bCs/>
                <w:snapToGrid w:val="0"/>
                <w:kern w:val="0"/>
                <w:sz w:val="24"/>
                <w:szCs w:val="24"/>
              </w:rPr>
              <w:t xml:space="preserve">    评价区环境噪声现状及评价结果    单位：dB（A）</w:t>
            </w:r>
          </w:p>
          <w:tbl>
            <w:tblPr>
              <w:tblStyle w:val="28"/>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3"/>
              <w:gridCol w:w="1278"/>
              <w:gridCol w:w="526"/>
              <w:gridCol w:w="820"/>
              <w:gridCol w:w="729"/>
              <w:gridCol w:w="712"/>
              <w:gridCol w:w="1342"/>
              <w:gridCol w:w="531"/>
              <w:gridCol w:w="770"/>
              <w:gridCol w:w="7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6" w:type="pct"/>
                  <w:vAlign w:val="center"/>
                </w:tcPr>
                <w:p>
                  <w:pPr>
                    <w:adjustRightInd w:val="0"/>
                    <w:snapToGrid w:val="0"/>
                    <w:spacing w:line="240" w:lineRule="auto"/>
                    <w:jc w:val="center"/>
                    <w:rPr>
                      <w:szCs w:val="21"/>
                    </w:rPr>
                  </w:pPr>
                  <w:r>
                    <w:rPr>
                      <w:szCs w:val="21"/>
                    </w:rPr>
                    <w:t>监测</w:t>
                  </w:r>
                </w:p>
                <w:p>
                  <w:pPr>
                    <w:adjustRightInd w:val="0"/>
                    <w:snapToGrid w:val="0"/>
                    <w:spacing w:line="240" w:lineRule="auto"/>
                    <w:jc w:val="center"/>
                    <w:rPr>
                      <w:szCs w:val="21"/>
                    </w:rPr>
                  </w:pPr>
                  <w:r>
                    <w:rPr>
                      <w:szCs w:val="21"/>
                    </w:rPr>
                    <w:t>时间</w:t>
                  </w:r>
                </w:p>
              </w:tc>
              <w:tc>
                <w:tcPr>
                  <w:tcW w:w="788" w:type="pct"/>
                  <w:vAlign w:val="center"/>
                </w:tcPr>
                <w:p>
                  <w:pPr>
                    <w:adjustRightInd w:val="0"/>
                    <w:snapToGrid w:val="0"/>
                    <w:spacing w:line="240" w:lineRule="auto"/>
                    <w:jc w:val="center"/>
                    <w:rPr>
                      <w:szCs w:val="21"/>
                    </w:rPr>
                  </w:pPr>
                  <w:r>
                    <w:rPr>
                      <w:szCs w:val="21"/>
                    </w:rPr>
                    <w:t>监测点</w:t>
                  </w:r>
                </w:p>
              </w:tc>
              <w:tc>
                <w:tcPr>
                  <w:tcW w:w="324" w:type="pct"/>
                  <w:vAlign w:val="center"/>
                </w:tcPr>
                <w:p>
                  <w:pPr>
                    <w:adjustRightInd w:val="0"/>
                    <w:snapToGrid w:val="0"/>
                    <w:spacing w:line="240" w:lineRule="auto"/>
                    <w:jc w:val="center"/>
                    <w:rPr>
                      <w:szCs w:val="21"/>
                    </w:rPr>
                  </w:pPr>
                  <w:r>
                    <w:rPr>
                      <w:szCs w:val="21"/>
                    </w:rPr>
                    <w:t>标准</w:t>
                  </w:r>
                </w:p>
              </w:tc>
              <w:tc>
                <w:tcPr>
                  <w:tcW w:w="505" w:type="pct"/>
                  <w:vAlign w:val="center"/>
                </w:tcPr>
                <w:p>
                  <w:pPr>
                    <w:adjustRightInd w:val="0"/>
                    <w:snapToGrid w:val="0"/>
                    <w:spacing w:line="240" w:lineRule="auto"/>
                    <w:jc w:val="center"/>
                    <w:rPr>
                      <w:szCs w:val="21"/>
                    </w:rPr>
                  </w:pPr>
                  <w:r>
                    <w:rPr>
                      <w:szCs w:val="21"/>
                    </w:rPr>
                    <w:t>监测</w:t>
                  </w:r>
                </w:p>
                <w:p>
                  <w:pPr>
                    <w:adjustRightInd w:val="0"/>
                    <w:snapToGrid w:val="0"/>
                    <w:spacing w:line="240" w:lineRule="auto"/>
                    <w:jc w:val="center"/>
                    <w:rPr>
                      <w:szCs w:val="21"/>
                    </w:rPr>
                  </w:pPr>
                  <w:r>
                    <w:rPr>
                      <w:szCs w:val="21"/>
                    </w:rPr>
                    <w:t>结果</w:t>
                  </w:r>
                </w:p>
              </w:tc>
              <w:tc>
                <w:tcPr>
                  <w:tcW w:w="449" w:type="pct"/>
                  <w:vAlign w:val="center"/>
                </w:tcPr>
                <w:p>
                  <w:pPr>
                    <w:adjustRightInd w:val="0"/>
                    <w:snapToGrid w:val="0"/>
                    <w:spacing w:line="240" w:lineRule="auto"/>
                    <w:jc w:val="center"/>
                    <w:rPr>
                      <w:szCs w:val="21"/>
                    </w:rPr>
                  </w:pPr>
                  <w:r>
                    <w:rPr>
                      <w:szCs w:val="21"/>
                    </w:rPr>
                    <w:t>评价结果</w:t>
                  </w:r>
                </w:p>
              </w:tc>
              <w:tc>
                <w:tcPr>
                  <w:tcW w:w="439" w:type="pct"/>
                  <w:vAlign w:val="center"/>
                </w:tcPr>
                <w:p>
                  <w:pPr>
                    <w:adjustRightInd w:val="0"/>
                    <w:snapToGrid w:val="0"/>
                    <w:spacing w:line="240" w:lineRule="auto"/>
                    <w:jc w:val="center"/>
                    <w:rPr>
                      <w:szCs w:val="21"/>
                    </w:rPr>
                  </w:pPr>
                  <w:r>
                    <w:rPr>
                      <w:szCs w:val="21"/>
                    </w:rPr>
                    <w:t>监测</w:t>
                  </w:r>
                </w:p>
                <w:p>
                  <w:pPr>
                    <w:adjustRightInd w:val="0"/>
                    <w:snapToGrid w:val="0"/>
                    <w:spacing w:line="240" w:lineRule="auto"/>
                    <w:jc w:val="center"/>
                    <w:rPr>
                      <w:szCs w:val="21"/>
                    </w:rPr>
                  </w:pPr>
                  <w:r>
                    <w:rPr>
                      <w:szCs w:val="21"/>
                    </w:rPr>
                    <w:t>时间</w:t>
                  </w:r>
                </w:p>
              </w:tc>
              <w:tc>
                <w:tcPr>
                  <w:tcW w:w="827" w:type="pct"/>
                  <w:vAlign w:val="center"/>
                </w:tcPr>
                <w:p>
                  <w:pPr>
                    <w:adjustRightInd w:val="0"/>
                    <w:snapToGrid w:val="0"/>
                    <w:spacing w:line="240" w:lineRule="auto"/>
                    <w:jc w:val="center"/>
                    <w:rPr>
                      <w:szCs w:val="21"/>
                    </w:rPr>
                  </w:pPr>
                  <w:r>
                    <w:rPr>
                      <w:szCs w:val="21"/>
                    </w:rPr>
                    <w:t>监测点</w:t>
                  </w:r>
                </w:p>
              </w:tc>
              <w:tc>
                <w:tcPr>
                  <w:tcW w:w="327" w:type="pct"/>
                  <w:vAlign w:val="center"/>
                </w:tcPr>
                <w:p>
                  <w:pPr>
                    <w:adjustRightInd w:val="0"/>
                    <w:snapToGrid w:val="0"/>
                    <w:spacing w:line="240" w:lineRule="auto"/>
                    <w:jc w:val="center"/>
                    <w:rPr>
                      <w:szCs w:val="21"/>
                    </w:rPr>
                  </w:pPr>
                  <w:r>
                    <w:rPr>
                      <w:szCs w:val="21"/>
                    </w:rPr>
                    <w:t>标准</w:t>
                  </w:r>
                </w:p>
              </w:tc>
              <w:tc>
                <w:tcPr>
                  <w:tcW w:w="474" w:type="pct"/>
                  <w:vAlign w:val="center"/>
                </w:tcPr>
                <w:p>
                  <w:pPr>
                    <w:adjustRightInd w:val="0"/>
                    <w:snapToGrid w:val="0"/>
                    <w:spacing w:line="240" w:lineRule="auto"/>
                    <w:jc w:val="center"/>
                    <w:rPr>
                      <w:szCs w:val="21"/>
                    </w:rPr>
                  </w:pPr>
                  <w:r>
                    <w:rPr>
                      <w:szCs w:val="21"/>
                    </w:rPr>
                    <w:t>监测</w:t>
                  </w:r>
                </w:p>
                <w:p>
                  <w:pPr>
                    <w:adjustRightInd w:val="0"/>
                    <w:snapToGrid w:val="0"/>
                    <w:spacing w:line="240" w:lineRule="auto"/>
                    <w:jc w:val="center"/>
                    <w:rPr>
                      <w:szCs w:val="21"/>
                    </w:rPr>
                  </w:pPr>
                  <w:r>
                    <w:rPr>
                      <w:szCs w:val="21"/>
                    </w:rPr>
                    <w:t>结果</w:t>
                  </w:r>
                </w:p>
              </w:tc>
              <w:tc>
                <w:tcPr>
                  <w:tcW w:w="467" w:type="pct"/>
                  <w:vAlign w:val="center"/>
                </w:tcPr>
                <w:p>
                  <w:pPr>
                    <w:adjustRightInd w:val="0"/>
                    <w:snapToGrid w:val="0"/>
                    <w:spacing w:line="240" w:lineRule="auto"/>
                    <w:jc w:val="center"/>
                    <w:rPr>
                      <w:szCs w:val="21"/>
                    </w:rPr>
                  </w:pPr>
                  <w:r>
                    <w:rPr>
                      <w:szCs w:val="21"/>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7" w:hRule="atLeast"/>
                <w:jc w:val="center"/>
              </w:trPr>
              <w:tc>
                <w:tcPr>
                  <w:tcW w:w="396" w:type="pct"/>
                  <w:vMerge w:val="restart"/>
                  <w:vAlign w:val="center"/>
                </w:tcPr>
                <w:p>
                  <w:pPr>
                    <w:adjustRightInd w:val="0"/>
                    <w:snapToGrid w:val="0"/>
                    <w:spacing w:line="240" w:lineRule="auto"/>
                    <w:jc w:val="center"/>
                    <w:rPr>
                      <w:szCs w:val="21"/>
                    </w:rPr>
                  </w:pPr>
                  <w:r>
                    <w:rPr>
                      <w:szCs w:val="21"/>
                    </w:rPr>
                    <w:t>昼间</w:t>
                  </w:r>
                </w:p>
              </w:tc>
              <w:tc>
                <w:tcPr>
                  <w:tcW w:w="788"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厂界东北侧</w:t>
                  </w:r>
                </w:p>
              </w:tc>
              <w:tc>
                <w:tcPr>
                  <w:tcW w:w="324" w:type="pct"/>
                  <w:vMerge w:val="restar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55</w:t>
                  </w:r>
                </w:p>
              </w:tc>
              <w:tc>
                <w:tcPr>
                  <w:tcW w:w="505"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40</w:t>
                  </w:r>
                </w:p>
              </w:tc>
              <w:tc>
                <w:tcPr>
                  <w:tcW w:w="449" w:type="pct"/>
                  <w:vMerge w:val="restart"/>
                  <w:vAlign w:val="center"/>
                </w:tcPr>
                <w:p>
                  <w:pPr>
                    <w:adjustRightInd w:val="0"/>
                    <w:snapToGrid w:val="0"/>
                    <w:spacing w:line="240" w:lineRule="auto"/>
                    <w:jc w:val="center"/>
                    <w:rPr>
                      <w:szCs w:val="21"/>
                    </w:rPr>
                  </w:pPr>
                  <w:r>
                    <w:rPr>
                      <w:szCs w:val="21"/>
                    </w:rPr>
                    <w:t>达标</w:t>
                  </w:r>
                </w:p>
              </w:tc>
              <w:tc>
                <w:tcPr>
                  <w:tcW w:w="439" w:type="pct"/>
                  <w:vMerge w:val="restart"/>
                  <w:vAlign w:val="center"/>
                </w:tcPr>
                <w:p>
                  <w:pPr>
                    <w:adjustRightInd w:val="0"/>
                    <w:snapToGrid w:val="0"/>
                    <w:spacing w:line="240" w:lineRule="auto"/>
                    <w:jc w:val="center"/>
                    <w:rPr>
                      <w:szCs w:val="21"/>
                    </w:rPr>
                  </w:pPr>
                  <w:r>
                    <w:rPr>
                      <w:szCs w:val="21"/>
                    </w:rPr>
                    <w:t>夜间</w:t>
                  </w:r>
                </w:p>
              </w:tc>
              <w:tc>
                <w:tcPr>
                  <w:tcW w:w="827" w:type="pct"/>
                  <w:vAlign w:val="center"/>
                </w:tcPr>
                <w:p>
                  <w:pPr>
                    <w:adjustRightInd w:val="0"/>
                    <w:snapToGrid w:val="0"/>
                    <w:spacing w:line="240" w:lineRule="auto"/>
                    <w:jc w:val="center"/>
                    <w:rPr>
                      <w:szCs w:val="21"/>
                    </w:rPr>
                  </w:pPr>
                  <w:r>
                    <w:rPr>
                      <w:rFonts w:hint="eastAsia"/>
                      <w:szCs w:val="21"/>
                      <w:lang w:val="en-US" w:eastAsia="zh-CN"/>
                    </w:rPr>
                    <w:t>厂界东北侧</w:t>
                  </w:r>
                </w:p>
              </w:tc>
              <w:tc>
                <w:tcPr>
                  <w:tcW w:w="327" w:type="pct"/>
                  <w:vMerge w:val="restar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45</w:t>
                  </w:r>
                </w:p>
              </w:tc>
              <w:tc>
                <w:tcPr>
                  <w:tcW w:w="474"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39</w:t>
                  </w:r>
                </w:p>
              </w:tc>
              <w:tc>
                <w:tcPr>
                  <w:tcW w:w="467" w:type="pct"/>
                  <w:vMerge w:val="restart"/>
                  <w:vAlign w:val="center"/>
                </w:tcPr>
                <w:p>
                  <w:pPr>
                    <w:adjustRightInd w:val="0"/>
                    <w:snapToGrid w:val="0"/>
                    <w:spacing w:line="240" w:lineRule="auto"/>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396" w:type="pct"/>
                  <w:vMerge w:val="continue"/>
                  <w:vAlign w:val="center"/>
                </w:tcPr>
                <w:p>
                  <w:pPr>
                    <w:adjustRightInd w:val="0"/>
                    <w:snapToGrid w:val="0"/>
                    <w:spacing w:line="240" w:lineRule="auto"/>
                    <w:jc w:val="center"/>
                    <w:rPr>
                      <w:szCs w:val="21"/>
                    </w:rPr>
                  </w:pPr>
                </w:p>
              </w:tc>
              <w:tc>
                <w:tcPr>
                  <w:tcW w:w="788"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厂界东南侧</w:t>
                  </w:r>
                </w:p>
              </w:tc>
              <w:tc>
                <w:tcPr>
                  <w:tcW w:w="324" w:type="pct"/>
                  <w:vMerge w:val="continue"/>
                  <w:vAlign w:val="center"/>
                </w:tcPr>
                <w:p>
                  <w:pPr>
                    <w:adjustRightInd w:val="0"/>
                    <w:snapToGrid w:val="0"/>
                    <w:spacing w:line="240" w:lineRule="auto"/>
                    <w:jc w:val="center"/>
                    <w:rPr>
                      <w:szCs w:val="21"/>
                    </w:rPr>
                  </w:pPr>
                </w:p>
              </w:tc>
              <w:tc>
                <w:tcPr>
                  <w:tcW w:w="505"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41</w:t>
                  </w:r>
                </w:p>
              </w:tc>
              <w:tc>
                <w:tcPr>
                  <w:tcW w:w="449" w:type="pct"/>
                  <w:vMerge w:val="continue"/>
                  <w:vAlign w:val="center"/>
                </w:tcPr>
                <w:p>
                  <w:pPr>
                    <w:adjustRightInd w:val="0"/>
                    <w:snapToGrid w:val="0"/>
                    <w:spacing w:line="240" w:lineRule="auto"/>
                    <w:jc w:val="center"/>
                    <w:rPr>
                      <w:szCs w:val="21"/>
                    </w:rPr>
                  </w:pPr>
                </w:p>
              </w:tc>
              <w:tc>
                <w:tcPr>
                  <w:tcW w:w="439" w:type="pct"/>
                  <w:vMerge w:val="continue"/>
                  <w:vAlign w:val="center"/>
                </w:tcPr>
                <w:p>
                  <w:pPr>
                    <w:adjustRightInd w:val="0"/>
                    <w:snapToGrid w:val="0"/>
                    <w:spacing w:line="240" w:lineRule="auto"/>
                    <w:jc w:val="center"/>
                    <w:rPr>
                      <w:szCs w:val="21"/>
                    </w:rPr>
                  </w:pPr>
                </w:p>
              </w:tc>
              <w:tc>
                <w:tcPr>
                  <w:tcW w:w="827" w:type="pct"/>
                  <w:vAlign w:val="center"/>
                </w:tcPr>
                <w:p>
                  <w:pPr>
                    <w:adjustRightInd w:val="0"/>
                    <w:snapToGrid w:val="0"/>
                    <w:spacing w:line="240" w:lineRule="auto"/>
                    <w:jc w:val="center"/>
                    <w:rPr>
                      <w:szCs w:val="21"/>
                    </w:rPr>
                  </w:pPr>
                  <w:r>
                    <w:rPr>
                      <w:rFonts w:hint="eastAsia"/>
                      <w:szCs w:val="21"/>
                      <w:lang w:val="en-US" w:eastAsia="zh-CN"/>
                    </w:rPr>
                    <w:t>厂界东南侧</w:t>
                  </w:r>
                </w:p>
              </w:tc>
              <w:tc>
                <w:tcPr>
                  <w:tcW w:w="327" w:type="pct"/>
                  <w:vMerge w:val="continue"/>
                  <w:vAlign w:val="center"/>
                </w:tcPr>
                <w:p>
                  <w:pPr>
                    <w:adjustRightInd w:val="0"/>
                    <w:snapToGrid w:val="0"/>
                    <w:spacing w:line="240" w:lineRule="auto"/>
                    <w:jc w:val="center"/>
                    <w:rPr>
                      <w:szCs w:val="21"/>
                    </w:rPr>
                  </w:pPr>
                </w:p>
              </w:tc>
              <w:tc>
                <w:tcPr>
                  <w:tcW w:w="474"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40</w:t>
                  </w:r>
                </w:p>
              </w:tc>
              <w:tc>
                <w:tcPr>
                  <w:tcW w:w="467" w:type="pct"/>
                  <w:vMerge w:val="continue"/>
                  <w:vAlign w:val="center"/>
                </w:tcPr>
                <w:p>
                  <w:pPr>
                    <w:adjustRightInd w:val="0"/>
                    <w:snapToGrid w:val="0"/>
                    <w:spacing w:line="240" w:lineRule="auto"/>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396" w:type="pct"/>
                  <w:vMerge w:val="continue"/>
                  <w:vAlign w:val="center"/>
                </w:tcPr>
                <w:p>
                  <w:pPr>
                    <w:adjustRightInd w:val="0"/>
                    <w:snapToGrid w:val="0"/>
                    <w:spacing w:line="240" w:lineRule="auto"/>
                    <w:jc w:val="center"/>
                    <w:rPr>
                      <w:szCs w:val="21"/>
                    </w:rPr>
                  </w:pPr>
                </w:p>
              </w:tc>
              <w:tc>
                <w:tcPr>
                  <w:tcW w:w="788"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厂界西南</w:t>
                  </w:r>
                </w:p>
              </w:tc>
              <w:tc>
                <w:tcPr>
                  <w:tcW w:w="324" w:type="pct"/>
                  <w:vMerge w:val="continue"/>
                  <w:vAlign w:val="center"/>
                </w:tcPr>
                <w:p>
                  <w:pPr>
                    <w:adjustRightInd w:val="0"/>
                    <w:snapToGrid w:val="0"/>
                    <w:spacing w:line="240" w:lineRule="auto"/>
                    <w:jc w:val="center"/>
                    <w:rPr>
                      <w:szCs w:val="21"/>
                    </w:rPr>
                  </w:pPr>
                </w:p>
              </w:tc>
              <w:tc>
                <w:tcPr>
                  <w:tcW w:w="505"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41</w:t>
                  </w:r>
                </w:p>
              </w:tc>
              <w:tc>
                <w:tcPr>
                  <w:tcW w:w="449" w:type="pct"/>
                  <w:vMerge w:val="continue"/>
                  <w:vAlign w:val="center"/>
                </w:tcPr>
                <w:p>
                  <w:pPr>
                    <w:adjustRightInd w:val="0"/>
                    <w:snapToGrid w:val="0"/>
                    <w:spacing w:line="240" w:lineRule="auto"/>
                    <w:jc w:val="center"/>
                    <w:rPr>
                      <w:szCs w:val="21"/>
                    </w:rPr>
                  </w:pPr>
                </w:p>
              </w:tc>
              <w:tc>
                <w:tcPr>
                  <w:tcW w:w="439" w:type="pct"/>
                  <w:vMerge w:val="continue"/>
                  <w:vAlign w:val="center"/>
                </w:tcPr>
                <w:p>
                  <w:pPr>
                    <w:adjustRightInd w:val="0"/>
                    <w:snapToGrid w:val="0"/>
                    <w:spacing w:line="240" w:lineRule="auto"/>
                    <w:jc w:val="center"/>
                    <w:rPr>
                      <w:szCs w:val="21"/>
                    </w:rPr>
                  </w:pPr>
                </w:p>
              </w:tc>
              <w:tc>
                <w:tcPr>
                  <w:tcW w:w="827" w:type="pct"/>
                  <w:vAlign w:val="center"/>
                </w:tcPr>
                <w:p>
                  <w:pPr>
                    <w:adjustRightInd w:val="0"/>
                    <w:snapToGrid w:val="0"/>
                    <w:spacing w:line="240" w:lineRule="auto"/>
                    <w:jc w:val="center"/>
                    <w:rPr>
                      <w:szCs w:val="21"/>
                    </w:rPr>
                  </w:pPr>
                  <w:r>
                    <w:rPr>
                      <w:rFonts w:hint="eastAsia"/>
                      <w:szCs w:val="21"/>
                      <w:lang w:val="en-US" w:eastAsia="zh-CN"/>
                    </w:rPr>
                    <w:t>厂界西南</w:t>
                  </w:r>
                </w:p>
              </w:tc>
              <w:tc>
                <w:tcPr>
                  <w:tcW w:w="327" w:type="pct"/>
                  <w:vMerge w:val="continue"/>
                  <w:vAlign w:val="center"/>
                </w:tcPr>
                <w:p>
                  <w:pPr>
                    <w:adjustRightInd w:val="0"/>
                    <w:snapToGrid w:val="0"/>
                    <w:spacing w:line="240" w:lineRule="auto"/>
                    <w:jc w:val="center"/>
                    <w:rPr>
                      <w:szCs w:val="21"/>
                    </w:rPr>
                  </w:pPr>
                </w:p>
              </w:tc>
              <w:tc>
                <w:tcPr>
                  <w:tcW w:w="474"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40</w:t>
                  </w:r>
                </w:p>
              </w:tc>
              <w:tc>
                <w:tcPr>
                  <w:tcW w:w="467" w:type="pct"/>
                  <w:vMerge w:val="continue"/>
                  <w:vAlign w:val="center"/>
                </w:tcPr>
                <w:p>
                  <w:pPr>
                    <w:adjustRightInd w:val="0"/>
                    <w:snapToGrid w:val="0"/>
                    <w:spacing w:line="240" w:lineRule="auto"/>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396" w:type="pct"/>
                  <w:vMerge w:val="continue"/>
                  <w:vAlign w:val="center"/>
                </w:tcPr>
                <w:p>
                  <w:pPr>
                    <w:adjustRightInd w:val="0"/>
                    <w:snapToGrid w:val="0"/>
                    <w:spacing w:line="240" w:lineRule="auto"/>
                    <w:jc w:val="center"/>
                    <w:rPr>
                      <w:szCs w:val="21"/>
                    </w:rPr>
                  </w:pPr>
                </w:p>
              </w:tc>
              <w:tc>
                <w:tcPr>
                  <w:tcW w:w="788"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厂界西北侧</w:t>
                  </w:r>
                </w:p>
              </w:tc>
              <w:tc>
                <w:tcPr>
                  <w:tcW w:w="324" w:type="pct"/>
                  <w:vMerge w:val="continue"/>
                  <w:vAlign w:val="center"/>
                </w:tcPr>
                <w:p>
                  <w:pPr>
                    <w:adjustRightInd w:val="0"/>
                    <w:snapToGrid w:val="0"/>
                    <w:spacing w:line="240" w:lineRule="auto"/>
                    <w:jc w:val="center"/>
                    <w:rPr>
                      <w:szCs w:val="21"/>
                    </w:rPr>
                  </w:pPr>
                </w:p>
              </w:tc>
              <w:tc>
                <w:tcPr>
                  <w:tcW w:w="505"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40</w:t>
                  </w:r>
                </w:p>
              </w:tc>
              <w:tc>
                <w:tcPr>
                  <w:tcW w:w="449" w:type="pct"/>
                  <w:vMerge w:val="continue"/>
                  <w:vAlign w:val="center"/>
                </w:tcPr>
                <w:p>
                  <w:pPr>
                    <w:adjustRightInd w:val="0"/>
                    <w:snapToGrid w:val="0"/>
                    <w:spacing w:line="240" w:lineRule="auto"/>
                    <w:jc w:val="center"/>
                    <w:rPr>
                      <w:szCs w:val="21"/>
                    </w:rPr>
                  </w:pPr>
                </w:p>
              </w:tc>
              <w:tc>
                <w:tcPr>
                  <w:tcW w:w="439" w:type="pct"/>
                  <w:vMerge w:val="continue"/>
                  <w:vAlign w:val="center"/>
                </w:tcPr>
                <w:p>
                  <w:pPr>
                    <w:adjustRightInd w:val="0"/>
                    <w:snapToGrid w:val="0"/>
                    <w:spacing w:line="240" w:lineRule="auto"/>
                    <w:jc w:val="center"/>
                    <w:rPr>
                      <w:szCs w:val="21"/>
                    </w:rPr>
                  </w:pPr>
                </w:p>
              </w:tc>
              <w:tc>
                <w:tcPr>
                  <w:tcW w:w="827" w:type="pct"/>
                  <w:vAlign w:val="center"/>
                </w:tcPr>
                <w:p>
                  <w:pPr>
                    <w:adjustRightInd w:val="0"/>
                    <w:snapToGrid w:val="0"/>
                    <w:spacing w:line="240" w:lineRule="auto"/>
                    <w:jc w:val="center"/>
                    <w:rPr>
                      <w:szCs w:val="21"/>
                    </w:rPr>
                  </w:pPr>
                  <w:r>
                    <w:rPr>
                      <w:rFonts w:hint="eastAsia"/>
                      <w:szCs w:val="21"/>
                      <w:lang w:val="en-US" w:eastAsia="zh-CN"/>
                    </w:rPr>
                    <w:t>厂界西北侧</w:t>
                  </w:r>
                </w:p>
              </w:tc>
              <w:tc>
                <w:tcPr>
                  <w:tcW w:w="327" w:type="pct"/>
                  <w:vMerge w:val="continue"/>
                  <w:vAlign w:val="center"/>
                </w:tcPr>
                <w:p>
                  <w:pPr>
                    <w:adjustRightInd w:val="0"/>
                    <w:snapToGrid w:val="0"/>
                    <w:spacing w:line="240" w:lineRule="auto"/>
                    <w:jc w:val="center"/>
                    <w:rPr>
                      <w:szCs w:val="21"/>
                    </w:rPr>
                  </w:pPr>
                </w:p>
              </w:tc>
              <w:tc>
                <w:tcPr>
                  <w:tcW w:w="474" w:type="pct"/>
                  <w:vAlign w:val="center"/>
                </w:tcPr>
                <w:p>
                  <w:pPr>
                    <w:adjustRightInd w:val="0"/>
                    <w:snapToGrid w:val="0"/>
                    <w:spacing w:line="240" w:lineRule="auto"/>
                    <w:jc w:val="center"/>
                    <w:rPr>
                      <w:rFonts w:hint="default" w:eastAsia="宋体"/>
                      <w:szCs w:val="21"/>
                      <w:lang w:val="en-US" w:eastAsia="zh-CN"/>
                    </w:rPr>
                  </w:pPr>
                  <w:r>
                    <w:rPr>
                      <w:rFonts w:hint="eastAsia"/>
                      <w:szCs w:val="21"/>
                      <w:lang w:val="en-US" w:eastAsia="zh-CN"/>
                    </w:rPr>
                    <w:t>39</w:t>
                  </w:r>
                </w:p>
              </w:tc>
              <w:tc>
                <w:tcPr>
                  <w:tcW w:w="467" w:type="pct"/>
                  <w:vMerge w:val="continue"/>
                  <w:vAlign w:val="center"/>
                </w:tcPr>
                <w:p>
                  <w:pPr>
                    <w:adjustRightInd w:val="0"/>
                    <w:snapToGrid w:val="0"/>
                    <w:spacing w:line="240" w:lineRule="auto"/>
                    <w:jc w:val="center"/>
                    <w:rPr>
                      <w:szCs w:val="21"/>
                    </w:rPr>
                  </w:pPr>
                </w:p>
              </w:tc>
            </w:tr>
          </w:tbl>
          <w:p>
            <w:pPr>
              <w:pStyle w:val="2"/>
              <w:spacing w:line="520" w:lineRule="exact"/>
              <w:ind w:firstLine="480" w:firstLineChars="200"/>
              <w:rPr>
                <w:rFonts w:hAnsi="宋体" w:cs="宋体"/>
                <w:kern w:val="0"/>
              </w:rPr>
            </w:pPr>
            <w:r>
              <w:rPr>
                <w:rFonts w:ascii="Times New Roman" w:hAnsi="Times New Roman"/>
                <w:sz w:val="24"/>
              </w:rPr>
              <w:t>由监测果可知</w:t>
            </w:r>
            <w:r>
              <w:rPr>
                <w:rFonts w:ascii="Times New Roman" w:hAnsi="Times New Roman"/>
                <w:color w:val="000000" w:themeColor="text1"/>
                <w:sz w:val="24"/>
                <w14:textFill>
                  <w14:solidFill>
                    <w14:schemeClr w14:val="tx1"/>
                  </w14:solidFill>
                </w14:textFill>
              </w:rPr>
              <w:t>，</w:t>
            </w:r>
            <w:r>
              <w:rPr>
                <w:rFonts w:hint="eastAsia" w:ascii="Times New Roman"/>
                <w:color w:val="000000" w:themeColor="text1"/>
                <w:sz w:val="24"/>
                <w:lang w:val="en-US" w:eastAsia="zh-CN"/>
                <w14:textFill>
                  <w14:solidFill>
                    <w14:schemeClr w14:val="tx1"/>
                  </w14:solidFill>
                </w14:textFill>
              </w:rPr>
              <w:t>玛纳斯县中医医院周边</w:t>
            </w:r>
            <w:r>
              <w:rPr>
                <w:rFonts w:ascii="Times New Roman" w:hAnsi="Times New Roman"/>
                <w:color w:val="000000" w:themeColor="text1"/>
                <w:sz w:val="24"/>
                <w14:textFill>
                  <w14:solidFill>
                    <w14:schemeClr w14:val="tx1"/>
                  </w14:solidFill>
                </w14:textFill>
              </w:rPr>
              <w:t>噪声</w:t>
            </w:r>
            <w:r>
              <w:rPr>
                <w:rFonts w:hint="eastAsia" w:ascii="Times New Roman"/>
                <w:color w:val="000000" w:themeColor="text1"/>
                <w:sz w:val="24"/>
                <w:lang w:val="en-US" w:eastAsia="zh-CN"/>
                <w14:textFill>
                  <w14:solidFill>
                    <w14:schemeClr w14:val="tx1"/>
                  </w14:solidFill>
                </w14:textFill>
              </w:rPr>
              <w:t>监测</w:t>
            </w:r>
            <w:r>
              <w:rPr>
                <w:rFonts w:ascii="Times New Roman" w:hAnsi="Times New Roman"/>
                <w:color w:val="000000" w:themeColor="text1"/>
                <w:sz w:val="24"/>
                <w14:textFill>
                  <w14:solidFill>
                    <w14:schemeClr w14:val="tx1"/>
                  </w14:solidFill>
                </w14:textFill>
              </w:rPr>
              <w:t>值未超过《声环境质量标准》（GB3096-2008）中</w:t>
            </w:r>
            <w:r>
              <w:rPr>
                <w:rFonts w:hint="eastAsia" w:ascii="Times New Roman"/>
                <w:color w:val="000000" w:themeColor="text1"/>
                <w:sz w:val="24"/>
                <w:lang w:val="en-US" w:eastAsia="zh-CN"/>
                <w14:textFill>
                  <w14:solidFill>
                    <w14:schemeClr w14:val="tx1"/>
                  </w14:solidFill>
                </w14:textFill>
              </w:rPr>
              <w:t>1</w:t>
            </w:r>
            <w:r>
              <w:rPr>
                <w:rFonts w:ascii="Times New Roman" w:hAnsi="Times New Roman"/>
                <w:color w:val="000000" w:themeColor="text1"/>
                <w:sz w:val="24"/>
                <w14:textFill>
                  <w14:solidFill>
                    <w14:schemeClr w14:val="tx1"/>
                  </w14:solidFill>
                </w14:textFill>
              </w:rPr>
              <w:t>类标准限值，区域声环境质量现状良好，能达到环境质量标准的要求。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657" w:type="dxa"/>
            <w:vAlign w:val="center"/>
          </w:tcPr>
          <w:p>
            <w:pPr>
              <w:adjustRightInd w:val="0"/>
              <w:snapToGrid w:val="0"/>
              <w:jc w:val="center"/>
              <w:rPr>
                <w:rFonts w:ascii="宋体" w:hAnsi="宋体" w:cs="宋体"/>
                <w:kern w:val="0"/>
                <w:sz w:val="24"/>
              </w:rPr>
            </w:pPr>
            <w:r>
              <w:rPr>
                <w:rFonts w:hint="eastAsia" w:ascii="宋体" w:hAnsi="宋体" w:cs="宋体"/>
                <w:kern w:val="0"/>
                <w:sz w:val="24"/>
              </w:rPr>
              <w:t>环</w:t>
            </w:r>
          </w:p>
          <w:p>
            <w:pPr>
              <w:adjustRightInd w:val="0"/>
              <w:snapToGrid w:val="0"/>
              <w:jc w:val="center"/>
              <w:rPr>
                <w:rFonts w:ascii="宋体" w:hAnsi="宋体" w:cs="宋体"/>
                <w:kern w:val="0"/>
                <w:sz w:val="24"/>
              </w:rPr>
            </w:pPr>
            <w:r>
              <w:rPr>
                <w:rFonts w:hint="eastAsia" w:ascii="宋体" w:hAnsi="宋体" w:cs="宋体"/>
                <w:kern w:val="0"/>
                <w:sz w:val="24"/>
              </w:rPr>
              <w:t>境</w:t>
            </w:r>
          </w:p>
          <w:p>
            <w:pPr>
              <w:adjustRightInd w:val="0"/>
              <w:snapToGrid w:val="0"/>
              <w:jc w:val="center"/>
              <w:rPr>
                <w:rFonts w:ascii="宋体" w:hAnsi="宋体" w:cs="宋体"/>
                <w:kern w:val="0"/>
                <w:sz w:val="24"/>
              </w:rPr>
            </w:pPr>
            <w:r>
              <w:rPr>
                <w:rFonts w:hint="eastAsia" w:ascii="宋体" w:hAnsi="宋体" w:cs="宋体"/>
                <w:kern w:val="0"/>
                <w:sz w:val="24"/>
              </w:rPr>
              <w:t>保</w:t>
            </w:r>
          </w:p>
          <w:p>
            <w:pPr>
              <w:adjustRightInd w:val="0"/>
              <w:snapToGrid w:val="0"/>
              <w:jc w:val="center"/>
              <w:rPr>
                <w:rFonts w:ascii="宋体" w:hAnsi="宋体" w:cs="宋体"/>
                <w:kern w:val="0"/>
                <w:sz w:val="24"/>
              </w:rPr>
            </w:pPr>
            <w:r>
              <w:rPr>
                <w:rFonts w:hint="eastAsia" w:ascii="宋体" w:hAnsi="宋体" w:cs="宋体"/>
                <w:kern w:val="0"/>
                <w:sz w:val="24"/>
              </w:rPr>
              <w:t>护</w:t>
            </w:r>
          </w:p>
          <w:p>
            <w:pPr>
              <w:adjustRightInd w:val="0"/>
              <w:snapToGrid w:val="0"/>
              <w:jc w:val="center"/>
              <w:rPr>
                <w:rFonts w:ascii="宋体" w:hAnsi="宋体" w:cs="宋体"/>
                <w:kern w:val="0"/>
                <w:sz w:val="24"/>
              </w:rPr>
            </w:pPr>
            <w:r>
              <w:rPr>
                <w:rFonts w:hint="eastAsia" w:ascii="宋体" w:hAnsi="宋体" w:cs="宋体"/>
                <w:kern w:val="0"/>
                <w:sz w:val="24"/>
              </w:rPr>
              <w:t>目</w:t>
            </w:r>
          </w:p>
          <w:p>
            <w:pPr>
              <w:adjustRightInd w:val="0"/>
              <w:snapToGrid w:val="0"/>
              <w:jc w:val="center"/>
              <w:rPr>
                <w:rFonts w:ascii="宋体" w:hAnsi="宋体" w:cs="宋体"/>
                <w:kern w:val="0"/>
                <w:sz w:val="24"/>
              </w:rPr>
            </w:pPr>
            <w:r>
              <w:rPr>
                <w:rFonts w:hint="eastAsia" w:ascii="宋体" w:hAnsi="宋体" w:cs="宋体"/>
                <w:kern w:val="0"/>
                <w:sz w:val="24"/>
              </w:rPr>
              <w:t>标</w:t>
            </w:r>
          </w:p>
        </w:tc>
        <w:tc>
          <w:tcPr>
            <w:tcW w:w="8333" w:type="dxa"/>
            <w:vAlign w:val="center"/>
          </w:tcPr>
          <w:p>
            <w:pPr>
              <w:spacing w:line="480" w:lineRule="exact"/>
              <w:ind w:firstLine="482" w:firstLineChars="200"/>
              <w:rPr>
                <w:b/>
                <w:bCs/>
                <w:sz w:val="24"/>
              </w:rPr>
            </w:pPr>
            <w:r>
              <w:rPr>
                <w:rFonts w:hint="eastAsia"/>
                <w:b/>
                <w:bCs/>
                <w:sz w:val="24"/>
              </w:rPr>
              <w:t>1、</w:t>
            </w:r>
            <w:r>
              <w:rPr>
                <w:b/>
                <w:bCs/>
                <w:sz w:val="24"/>
              </w:rPr>
              <w:t>大气环境</w:t>
            </w:r>
          </w:p>
          <w:p>
            <w:pPr>
              <w:spacing w:line="480" w:lineRule="exact"/>
              <w:ind w:firstLine="480" w:firstLineChars="200"/>
              <w:rPr>
                <w:color w:val="auto"/>
                <w:sz w:val="24"/>
              </w:rPr>
            </w:pPr>
            <w:r>
              <w:rPr>
                <w:color w:val="000000" w:themeColor="text1"/>
                <w:sz w:val="24"/>
                <w14:textFill>
                  <w14:solidFill>
                    <w14:schemeClr w14:val="tx1"/>
                  </w14:solidFill>
                </w14:textFill>
              </w:rPr>
              <w:t>本项目厂界外500</w:t>
            </w:r>
            <w:r>
              <w:rPr>
                <w:rFonts w:hint="eastAsia"/>
                <w:color w:val="000000" w:themeColor="text1"/>
                <w:sz w:val="24"/>
                <w14:textFill>
                  <w14:solidFill>
                    <w14:schemeClr w14:val="tx1"/>
                  </w14:solidFill>
                </w14:textFill>
              </w:rPr>
              <w:t>m</w:t>
            </w:r>
            <w:r>
              <w:rPr>
                <w:color w:val="000000" w:themeColor="text1"/>
                <w:sz w:val="24"/>
                <w14:textFill>
                  <w14:solidFill>
                    <w14:schemeClr w14:val="tx1"/>
                  </w14:solidFill>
                </w14:textFill>
              </w:rPr>
              <w:t>范围内</w:t>
            </w:r>
            <w:r>
              <w:rPr>
                <w:rFonts w:hint="eastAsia"/>
                <w:color w:val="000000" w:themeColor="text1"/>
                <w:sz w:val="24"/>
                <w14:textFill>
                  <w14:solidFill>
                    <w14:schemeClr w14:val="tx1"/>
                  </w14:solidFill>
                </w14:textFill>
              </w:rPr>
              <w:t>大气环境保护目标主要为</w:t>
            </w:r>
            <w:r>
              <w:rPr>
                <w:rFonts w:hint="eastAsia"/>
                <w:color w:val="auto"/>
                <w:sz w:val="24"/>
                <w:lang w:val="en-US" w:eastAsia="zh-CN"/>
              </w:rPr>
              <w:t>中医院门诊楼及附属楼及上二工村</w:t>
            </w:r>
            <w:r>
              <w:rPr>
                <w:rFonts w:hint="eastAsia"/>
                <w:color w:val="auto"/>
                <w:sz w:val="24"/>
              </w:rPr>
              <w:t>居民</w:t>
            </w:r>
            <w:r>
              <w:rPr>
                <w:rFonts w:hint="eastAsia"/>
                <w:color w:val="auto"/>
                <w:sz w:val="24"/>
                <w:lang w:val="en-US" w:eastAsia="zh-CN"/>
              </w:rPr>
              <w:t>区</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无自然保护区、风景名胜区</w:t>
            </w:r>
            <w:r>
              <w:rPr>
                <w:rFonts w:hint="eastAsia"/>
                <w:color w:val="auto"/>
                <w:sz w:val="24"/>
              </w:rPr>
              <w:t>。敏感目标与本项目位置关系详见表3</w:t>
            </w:r>
            <w:r>
              <w:rPr>
                <w:color w:val="auto"/>
                <w:sz w:val="24"/>
              </w:rPr>
              <w:t>-</w:t>
            </w:r>
            <w:r>
              <w:rPr>
                <w:rFonts w:hint="eastAsia"/>
                <w:color w:val="auto"/>
                <w:sz w:val="24"/>
                <w:lang w:val="en-US" w:eastAsia="zh-CN"/>
              </w:rPr>
              <w:t>3</w:t>
            </w:r>
            <w:r>
              <w:rPr>
                <w:rFonts w:hint="eastAsia"/>
                <w:color w:val="auto"/>
                <w:sz w:val="24"/>
              </w:rPr>
              <w:t>。</w:t>
            </w:r>
          </w:p>
          <w:p>
            <w:pPr>
              <w:spacing w:line="480" w:lineRule="exact"/>
              <w:ind w:firstLine="482" w:firstLineChars="200"/>
              <w:rPr>
                <w:b/>
                <w:bCs/>
                <w:color w:val="auto"/>
                <w:sz w:val="24"/>
              </w:rPr>
            </w:pPr>
            <w:r>
              <w:rPr>
                <w:rFonts w:hint="eastAsia"/>
                <w:b/>
                <w:bCs/>
                <w:color w:val="auto"/>
                <w:sz w:val="24"/>
              </w:rPr>
              <w:t>2、</w:t>
            </w:r>
            <w:r>
              <w:rPr>
                <w:b/>
                <w:bCs/>
                <w:color w:val="auto"/>
                <w:sz w:val="24"/>
              </w:rPr>
              <w:t>声环境</w:t>
            </w:r>
          </w:p>
          <w:p>
            <w:pPr>
              <w:spacing w:line="480" w:lineRule="exact"/>
              <w:ind w:firstLine="480" w:firstLineChars="200"/>
              <w:rPr>
                <w:color w:val="auto"/>
                <w:sz w:val="24"/>
              </w:rPr>
            </w:pPr>
            <w:r>
              <w:rPr>
                <w:color w:val="auto"/>
                <w:sz w:val="24"/>
              </w:rPr>
              <w:t>本项目厂界外50</w:t>
            </w:r>
            <w:r>
              <w:rPr>
                <w:rFonts w:hint="eastAsia"/>
                <w:color w:val="auto"/>
                <w:sz w:val="24"/>
              </w:rPr>
              <w:t>m</w:t>
            </w:r>
            <w:r>
              <w:rPr>
                <w:color w:val="auto"/>
                <w:sz w:val="24"/>
              </w:rPr>
              <w:t>范围内声环境保护目标</w:t>
            </w:r>
            <w:r>
              <w:rPr>
                <w:rFonts w:hint="eastAsia"/>
                <w:color w:val="auto"/>
                <w:sz w:val="24"/>
              </w:rPr>
              <w:t>主要为</w:t>
            </w:r>
            <w:r>
              <w:rPr>
                <w:rFonts w:hint="eastAsia"/>
                <w:color w:val="auto"/>
                <w:sz w:val="24"/>
                <w:lang w:val="en-US" w:eastAsia="zh-CN"/>
              </w:rPr>
              <w:t>中医院门诊楼及附属楼及上二工村</w:t>
            </w:r>
            <w:r>
              <w:rPr>
                <w:rFonts w:hint="eastAsia"/>
                <w:color w:val="auto"/>
                <w:sz w:val="24"/>
              </w:rPr>
              <w:t>居民</w:t>
            </w:r>
            <w:r>
              <w:rPr>
                <w:rFonts w:hint="eastAsia"/>
                <w:color w:val="auto"/>
                <w:sz w:val="24"/>
                <w:lang w:val="en-US" w:eastAsia="zh-CN"/>
              </w:rPr>
              <w:t>区</w:t>
            </w:r>
            <w:r>
              <w:rPr>
                <w:rFonts w:hint="eastAsia"/>
                <w:color w:val="auto"/>
                <w:sz w:val="24"/>
              </w:rPr>
              <w:t>，敏感目标与本项目位置关系详见表3</w:t>
            </w:r>
            <w:r>
              <w:rPr>
                <w:color w:val="auto"/>
                <w:sz w:val="24"/>
              </w:rPr>
              <w:t>-</w:t>
            </w:r>
            <w:r>
              <w:rPr>
                <w:rFonts w:hint="eastAsia"/>
                <w:color w:val="auto"/>
                <w:sz w:val="24"/>
                <w:lang w:val="en-US" w:eastAsia="zh-CN"/>
              </w:rPr>
              <w:t>3</w:t>
            </w:r>
            <w:r>
              <w:rPr>
                <w:rFonts w:hint="eastAsia"/>
                <w:color w:val="auto"/>
                <w:sz w:val="24"/>
              </w:rPr>
              <w:t>。</w:t>
            </w:r>
          </w:p>
          <w:p>
            <w:pPr>
              <w:spacing w:line="480" w:lineRule="exact"/>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w:t>
            </w:r>
            <w:r>
              <w:rPr>
                <w:b/>
                <w:bCs/>
                <w:color w:val="000000" w:themeColor="text1"/>
                <w:sz w:val="24"/>
                <w14:textFill>
                  <w14:solidFill>
                    <w14:schemeClr w14:val="tx1"/>
                  </w14:solidFill>
                </w14:textFill>
              </w:rPr>
              <w:t>地下水环境</w:t>
            </w:r>
          </w:p>
          <w:p>
            <w:pPr>
              <w:spacing w:line="480" w:lineRule="exact"/>
              <w:ind w:firstLine="480" w:firstLineChars="200"/>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本项目厂界外500</w:t>
            </w:r>
            <w:r>
              <w:rPr>
                <w:rFonts w:hint="eastAsia"/>
                <w:color w:val="000000" w:themeColor="text1"/>
                <w:sz w:val="24"/>
                <w14:textFill>
                  <w14:solidFill>
                    <w14:schemeClr w14:val="tx1"/>
                  </w14:solidFill>
                </w14:textFill>
              </w:rPr>
              <w:t>m</w:t>
            </w:r>
            <w:r>
              <w:rPr>
                <w:color w:val="000000" w:themeColor="text1"/>
                <w:sz w:val="24"/>
                <w14:textFill>
                  <w14:solidFill>
                    <w14:schemeClr w14:val="tx1"/>
                  </w14:solidFill>
                </w14:textFill>
              </w:rPr>
              <w:t>范围内无地下水集中式饮用水水源和热水、矿泉水、温泉等特殊地下水资源</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pP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表3-</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6</w:t>
            </w: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 xml:space="preserve">    评价区域主要环境敏感目标一览表</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3"/>
              <w:gridCol w:w="1705"/>
              <w:gridCol w:w="913"/>
              <w:gridCol w:w="955"/>
              <w:gridCol w:w="853"/>
              <w:gridCol w:w="705"/>
              <w:gridCol w:w="2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3"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环境</w:t>
                  </w:r>
                </w:p>
                <w:p>
                  <w:pPr>
                    <w:pStyle w:val="16"/>
                    <w:adjustRightInd w:val="0"/>
                    <w:snapToGrid w:val="0"/>
                    <w:jc w:val="center"/>
                    <w:rPr>
                      <w:rFonts w:ascii="Times New Roman" w:hAnsi="Times New Roman"/>
                      <w:sz w:val="21"/>
                      <w:szCs w:val="21"/>
                    </w:rPr>
                  </w:pPr>
                  <w:r>
                    <w:rPr>
                      <w:rFonts w:ascii="Times New Roman" w:hAnsi="Times New Roman"/>
                      <w:sz w:val="21"/>
                      <w:szCs w:val="21"/>
                    </w:rPr>
                    <w:t>要素</w:t>
                  </w:r>
                </w:p>
              </w:tc>
              <w:tc>
                <w:tcPr>
                  <w:tcW w:w="1050"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敏感点</w:t>
                  </w:r>
                </w:p>
                <w:p>
                  <w:pPr>
                    <w:pStyle w:val="16"/>
                    <w:adjustRightInd w:val="0"/>
                    <w:snapToGrid w:val="0"/>
                    <w:jc w:val="center"/>
                    <w:rPr>
                      <w:rFonts w:ascii="Times New Roman" w:hAnsi="Times New Roman"/>
                      <w:sz w:val="21"/>
                      <w:szCs w:val="21"/>
                    </w:rPr>
                  </w:pPr>
                  <w:r>
                    <w:rPr>
                      <w:rFonts w:ascii="Times New Roman" w:hAnsi="Times New Roman"/>
                      <w:sz w:val="21"/>
                      <w:szCs w:val="21"/>
                    </w:rPr>
                    <w:t>名称</w:t>
                  </w:r>
                </w:p>
              </w:tc>
              <w:tc>
                <w:tcPr>
                  <w:tcW w:w="562"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相对</w:t>
                  </w:r>
                </w:p>
                <w:p>
                  <w:pPr>
                    <w:pStyle w:val="16"/>
                    <w:adjustRightInd w:val="0"/>
                    <w:snapToGrid w:val="0"/>
                    <w:jc w:val="center"/>
                    <w:rPr>
                      <w:rFonts w:ascii="Times New Roman" w:hAnsi="Times New Roman"/>
                      <w:sz w:val="21"/>
                      <w:szCs w:val="21"/>
                    </w:rPr>
                  </w:pPr>
                  <w:r>
                    <w:rPr>
                      <w:rFonts w:ascii="Times New Roman" w:hAnsi="Times New Roman"/>
                      <w:sz w:val="21"/>
                      <w:szCs w:val="21"/>
                    </w:rPr>
                    <w:t>位置</w:t>
                  </w:r>
                </w:p>
              </w:tc>
              <w:tc>
                <w:tcPr>
                  <w:tcW w:w="588"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相对</w:t>
                  </w:r>
                </w:p>
                <w:p>
                  <w:pPr>
                    <w:pStyle w:val="16"/>
                    <w:adjustRightInd w:val="0"/>
                    <w:snapToGrid w:val="0"/>
                    <w:jc w:val="center"/>
                    <w:rPr>
                      <w:rFonts w:ascii="Times New Roman" w:hAnsi="Times New Roman"/>
                      <w:sz w:val="21"/>
                      <w:szCs w:val="21"/>
                    </w:rPr>
                  </w:pPr>
                  <w:r>
                    <w:rPr>
                      <w:rFonts w:ascii="Times New Roman" w:hAnsi="Times New Roman"/>
                      <w:sz w:val="21"/>
                      <w:szCs w:val="21"/>
                    </w:rPr>
                    <w:t>距离（m）</w:t>
                  </w:r>
                </w:p>
              </w:tc>
              <w:tc>
                <w:tcPr>
                  <w:tcW w:w="525"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人口</w:t>
                  </w:r>
                </w:p>
                <w:p>
                  <w:pPr>
                    <w:pStyle w:val="16"/>
                    <w:adjustRightInd w:val="0"/>
                    <w:snapToGrid w:val="0"/>
                    <w:jc w:val="center"/>
                    <w:rPr>
                      <w:rFonts w:ascii="Times New Roman" w:hAnsi="Times New Roman"/>
                      <w:sz w:val="21"/>
                      <w:szCs w:val="21"/>
                    </w:rPr>
                  </w:pPr>
                  <w:r>
                    <w:rPr>
                      <w:rFonts w:ascii="Times New Roman" w:hAnsi="Times New Roman"/>
                      <w:sz w:val="21"/>
                      <w:szCs w:val="21"/>
                    </w:rPr>
                    <w:t>数量（人）</w:t>
                  </w:r>
                </w:p>
              </w:tc>
              <w:tc>
                <w:tcPr>
                  <w:tcW w:w="434"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保护</w:t>
                  </w:r>
                </w:p>
                <w:p>
                  <w:pPr>
                    <w:pStyle w:val="16"/>
                    <w:adjustRightInd w:val="0"/>
                    <w:snapToGrid w:val="0"/>
                    <w:jc w:val="center"/>
                    <w:rPr>
                      <w:rFonts w:ascii="Times New Roman" w:hAnsi="Times New Roman"/>
                      <w:sz w:val="21"/>
                      <w:szCs w:val="21"/>
                    </w:rPr>
                  </w:pPr>
                  <w:r>
                    <w:rPr>
                      <w:rFonts w:ascii="Times New Roman" w:hAnsi="Times New Roman"/>
                      <w:sz w:val="21"/>
                      <w:szCs w:val="21"/>
                    </w:rPr>
                    <w:t>内容</w:t>
                  </w:r>
                </w:p>
              </w:tc>
              <w:tc>
                <w:tcPr>
                  <w:tcW w:w="1324"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控制目标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513" w:type="pct"/>
                  <w:vMerge w:val="restart"/>
                  <w:vAlign w:val="center"/>
                </w:tcPr>
                <w:p>
                  <w:pPr>
                    <w:pStyle w:val="16"/>
                    <w:adjustRightInd w:val="0"/>
                    <w:snapToGrid w:val="0"/>
                    <w:jc w:val="center"/>
                    <w:rPr>
                      <w:rFonts w:ascii="Times New Roman" w:hAnsi="Times New Roman"/>
                      <w:sz w:val="21"/>
                      <w:szCs w:val="21"/>
                    </w:rPr>
                  </w:pPr>
                  <w:r>
                    <w:rPr>
                      <w:rFonts w:hint="eastAsia" w:ascii="Times New Roman" w:hAnsi="Times New Roman"/>
                      <w:sz w:val="21"/>
                      <w:szCs w:val="21"/>
                    </w:rPr>
                    <w:t>大气</w:t>
                  </w:r>
                  <w:r>
                    <w:rPr>
                      <w:rFonts w:ascii="Times New Roman" w:hAnsi="Times New Roman"/>
                      <w:sz w:val="21"/>
                      <w:szCs w:val="21"/>
                    </w:rPr>
                    <w:t>环境</w:t>
                  </w:r>
                </w:p>
              </w:tc>
              <w:tc>
                <w:tcPr>
                  <w:tcW w:w="1050" w:type="pct"/>
                  <w:vMerge w:val="restart"/>
                  <w:vAlign w:val="center"/>
                </w:tcPr>
                <w:p>
                  <w:pPr>
                    <w:pStyle w:val="16"/>
                    <w:adjustRightInd w:val="0"/>
                    <w:snapToGrid w:val="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上二工村</w:t>
                  </w:r>
                </w:p>
              </w:tc>
              <w:tc>
                <w:tcPr>
                  <w:tcW w:w="562" w:type="pct"/>
                  <w:vAlign w:val="center"/>
                </w:tcPr>
                <w:p>
                  <w:pPr>
                    <w:pStyle w:val="16"/>
                    <w:adjustRightInd w:val="0"/>
                    <w:snapToGrid w:val="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东侧</w:t>
                  </w:r>
                </w:p>
              </w:tc>
              <w:tc>
                <w:tcPr>
                  <w:tcW w:w="588" w:type="pct"/>
                  <w:vAlign w:val="center"/>
                </w:tcPr>
                <w:p>
                  <w:pPr>
                    <w:pStyle w:val="16"/>
                    <w:adjustRightInd w:val="0"/>
                    <w:snapToGrid w:val="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20</w:t>
                  </w:r>
                </w:p>
              </w:tc>
              <w:tc>
                <w:tcPr>
                  <w:tcW w:w="525" w:type="pct"/>
                  <w:vAlign w:val="center"/>
                </w:tcPr>
                <w:p>
                  <w:pPr>
                    <w:pStyle w:val="16"/>
                    <w:adjustRightInd w:val="0"/>
                    <w:snapToGrid w:val="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1000</w:t>
                  </w:r>
                </w:p>
              </w:tc>
              <w:tc>
                <w:tcPr>
                  <w:tcW w:w="434" w:type="pct"/>
                  <w:vMerge w:val="restar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人群</w:t>
                  </w:r>
                </w:p>
                <w:p>
                  <w:pPr>
                    <w:pStyle w:val="16"/>
                    <w:adjustRightInd w:val="0"/>
                    <w:snapToGrid w:val="0"/>
                    <w:jc w:val="center"/>
                    <w:rPr>
                      <w:rFonts w:ascii="Times New Roman" w:hAnsi="Times New Roman"/>
                      <w:sz w:val="21"/>
                      <w:szCs w:val="21"/>
                    </w:rPr>
                  </w:pPr>
                  <w:r>
                    <w:rPr>
                      <w:rFonts w:ascii="Times New Roman" w:hAnsi="Times New Roman"/>
                      <w:sz w:val="21"/>
                      <w:szCs w:val="21"/>
                    </w:rPr>
                    <w:t>健康</w:t>
                  </w:r>
                </w:p>
              </w:tc>
              <w:tc>
                <w:tcPr>
                  <w:tcW w:w="1324" w:type="pct"/>
                  <w:vMerge w:val="restar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《环境空气质量标准》（GB3095-2012）及其修改单中的二级标准</w:t>
                  </w:r>
                  <w:r>
                    <w:rPr>
                      <w:rFonts w:hint="eastAsia" w:ascii="Times New Roman" w:hAnsi="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513" w:type="pct"/>
                  <w:vMerge w:val="continue"/>
                  <w:vAlign w:val="center"/>
                </w:tcPr>
                <w:p>
                  <w:pPr>
                    <w:pStyle w:val="16"/>
                    <w:adjustRightInd w:val="0"/>
                    <w:snapToGrid w:val="0"/>
                    <w:jc w:val="center"/>
                    <w:rPr>
                      <w:rFonts w:hint="eastAsia" w:ascii="Times New Roman" w:hAnsi="Times New Roman"/>
                      <w:sz w:val="21"/>
                      <w:szCs w:val="21"/>
                    </w:rPr>
                  </w:pPr>
                </w:p>
              </w:tc>
              <w:tc>
                <w:tcPr>
                  <w:tcW w:w="1050" w:type="pct"/>
                  <w:vMerge w:val="continue"/>
                  <w:vAlign w:val="center"/>
                </w:tcPr>
                <w:p>
                  <w:pPr>
                    <w:pStyle w:val="16"/>
                    <w:adjustRightInd w:val="0"/>
                    <w:snapToGrid w:val="0"/>
                    <w:jc w:val="center"/>
                    <w:rPr>
                      <w:rFonts w:hint="eastAsia" w:ascii="Times New Roman" w:hAnsi="Times New Roman"/>
                      <w:color w:val="000000" w:themeColor="text1"/>
                      <w:sz w:val="21"/>
                      <w:szCs w:val="21"/>
                      <w:lang w:val="en-US" w:eastAsia="zh-CN"/>
                      <w14:textFill>
                        <w14:solidFill>
                          <w14:schemeClr w14:val="tx1"/>
                        </w14:solidFill>
                      </w14:textFill>
                    </w:rPr>
                  </w:pPr>
                </w:p>
              </w:tc>
              <w:tc>
                <w:tcPr>
                  <w:tcW w:w="562" w:type="pct"/>
                  <w:vAlign w:val="center"/>
                </w:tcPr>
                <w:p>
                  <w:pPr>
                    <w:pStyle w:val="16"/>
                    <w:adjustRightInd w:val="0"/>
                    <w:snapToGrid w:val="0"/>
                    <w:jc w:val="center"/>
                    <w:rPr>
                      <w:rFonts w:hint="eastAsia"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北侧</w:t>
                  </w:r>
                </w:p>
              </w:tc>
              <w:tc>
                <w:tcPr>
                  <w:tcW w:w="588" w:type="pct"/>
                  <w:vAlign w:val="center"/>
                </w:tcPr>
                <w:p>
                  <w:pPr>
                    <w:pStyle w:val="16"/>
                    <w:adjustRightInd w:val="0"/>
                    <w:snapToGrid w:val="0"/>
                    <w:jc w:val="center"/>
                    <w:rPr>
                      <w:rFonts w:hint="eastAsia"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20</w:t>
                  </w:r>
                </w:p>
              </w:tc>
              <w:tc>
                <w:tcPr>
                  <w:tcW w:w="525" w:type="pct"/>
                  <w:vAlign w:val="center"/>
                </w:tcPr>
                <w:p>
                  <w:pPr>
                    <w:pStyle w:val="16"/>
                    <w:adjustRightInd w:val="0"/>
                    <w:snapToGrid w:val="0"/>
                    <w:jc w:val="center"/>
                    <w:rPr>
                      <w:rFonts w:hint="eastAsia"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1000</w:t>
                  </w:r>
                </w:p>
              </w:tc>
              <w:tc>
                <w:tcPr>
                  <w:tcW w:w="434" w:type="pct"/>
                  <w:vMerge w:val="continue"/>
                  <w:vAlign w:val="center"/>
                </w:tcPr>
                <w:p>
                  <w:pPr>
                    <w:pStyle w:val="16"/>
                    <w:adjustRightInd w:val="0"/>
                    <w:snapToGrid w:val="0"/>
                    <w:jc w:val="center"/>
                    <w:rPr>
                      <w:rFonts w:ascii="Times New Roman" w:hAnsi="Times New Roman"/>
                      <w:sz w:val="21"/>
                      <w:szCs w:val="21"/>
                    </w:rPr>
                  </w:pPr>
                </w:p>
              </w:tc>
              <w:tc>
                <w:tcPr>
                  <w:tcW w:w="1324" w:type="pct"/>
                  <w:vMerge w:val="continue"/>
                  <w:vAlign w:val="center"/>
                </w:tcPr>
                <w:p>
                  <w:pPr>
                    <w:pStyle w:val="16"/>
                    <w:adjustRightInd w:val="0"/>
                    <w:snapToGrid w:val="0"/>
                    <w:jc w:val="center"/>
                    <w:rPr>
                      <w:rFonts w:ascii="Times New Roman" w:hAnsi="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513" w:type="pct"/>
                  <w:vMerge w:val="continue"/>
                  <w:vAlign w:val="center"/>
                </w:tcPr>
                <w:p>
                  <w:pPr>
                    <w:pStyle w:val="16"/>
                    <w:adjustRightInd w:val="0"/>
                    <w:snapToGrid w:val="0"/>
                    <w:jc w:val="center"/>
                    <w:rPr>
                      <w:rFonts w:hint="eastAsia" w:ascii="Times New Roman" w:hAnsi="Times New Roman"/>
                      <w:sz w:val="21"/>
                      <w:szCs w:val="21"/>
                    </w:rPr>
                  </w:pPr>
                </w:p>
              </w:tc>
              <w:tc>
                <w:tcPr>
                  <w:tcW w:w="1050" w:type="pct"/>
                  <w:vAlign w:val="center"/>
                </w:tcPr>
                <w:p>
                  <w:pPr>
                    <w:pStyle w:val="16"/>
                    <w:adjustRightInd w:val="0"/>
                    <w:snapToGrid w:val="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门诊楼及附属楼</w:t>
                  </w:r>
                </w:p>
              </w:tc>
              <w:tc>
                <w:tcPr>
                  <w:tcW w:w="562" w:type="pct"/>
                  <w:vAlign w:val="center"/>
                </w:tcPr>
                <w:p>
                  <w:pPr>
                    <w:pStyle w:val="16"/>
                    <w:adjustRightInd w:val="0"/>
                    <w:snapToGrid w:val="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西侧</w:t>
                  </w:r>
                </w:p>
              </w:tc>
              <w:tc>
                <w:tcPr>
                  <w:tcW w:w="588" w:type="pct"/>
                  <w:vAlign w:val="center"/>
                </w:tcPr>
                <w:p>
                  <w:pPr>
                    <w:pStyle w:val="16"/>
                    <w:adjustRightInd w:val="0"/>
                    <w:snapToGrid w:val="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w:t>
                  </w:r>
                </w:p>
              </w:tc>
              <w:tc>
                <w:tcPr>
                  <w:tcW w:w="525" w:type="pct"/>
                  <w:vAlign w:val="center"/>
                </w:tcPr>
                <w:p>
                  <w:pPr>
                    <w:pStyle w:val="16"/>
                    <w:adjustRightInd w:val="0"/>
                    <w:snapToGrid w:val="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100</w:t>
                  </w:r>
                </w:p>
              </w:tc>
              <w:tc>
                <w:tcPr>
                  <w:tcW w:w="434" w:type="pct"/>
                  <w:vMerge w:val="continue"/>
                  <w:vAlign w:val="center"/>
                </w:tcPr>
                <w:p>
                  <w:pPr>
                    <w:pStyle w:val="16"/>
                    <w:adjustRightInd w:val="0"/>
                    <w:snapToGrid w:val="0"/>
                    <w:jc w:val="center"/>
                    <w:rPr>
                      <w:rFonts w:ascii="Times New Roman" w:hAnsi="Times New Roman"/>
                      <w:sz w:val="21"/>
                      <w:szCs w:val="21"/>
                    </w:rPr>
                  </w:pPr>
                </w:p>
              </w:tc>
              <w:tc>
                <w:tcPr>
                  <w:tcW w:w="1324" w:type="pct"/>
                  <w:vMerge w:val="continue"/>
                  <w:vAlign w:val="center"/>
                </w:tcPr>
                <w:p>
                  <w:pPr>
                    <w:pStyle w:val="16"/>
                    <w:adjustRightInd w:val="0"/>
                    <w:snapToGrid w:val="0"/>
                    <w:jc w:val="center"/>
                    <w:rPr>
                      <w:rFonts w:ascii="Times New Roman" w:hAnsi="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3" w:type="pct"/>
                  <w:vMerge w:val="restart"/>
                  <w:vAlign w:val="center"/>
                </w:tcPr>
                <w:p>
                  <w:pPr>
                    <w:pStyle w:val="16"/>
                    <w:adjustRightInd w:val="0"/>
                    <w:snapToGrid w:val="0"/>
                    <w:jc w:val="center"/>
                    <w:rPr>
                      <w:rFonts w:ascii="Times New Roman" w:hAnsi="Times New Roman"/>
                      <w:sz w:val="21"/>
                      <w:szCs w:val="21"/>
                    </w:rPr>
                  </w:pPr>
                  <w:r>
                    <w:rPr>
                      <w:rFonts w:hint="eastAsia" w:ascii="Times New Roman" w:hAnsi="Times New Roman"/>
                      <w:sz w:val="21"/>
                      <w:szCs w:val="21"/>
                    </w:rPr>
                    <w:t>声环境</w:t>
                  </w:r>
                </w:p>
              </w:tc>
              <w:tc>
                <w:tcPr>
                  <w:tcW w:w="1050" w:type="pct"/>
                  <w:vMerge w:val="restart"/>
                  <w:vAlign w:val="center"/>
                </w:tcPr>
                <w:p>
                  <w:pPr>
                    <w:pStyle w:val="16"/>
                    <w:adjustRightInd w:val="0"/>
                    <w:snapToGrid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上二工村</w:t>
                  </w:r>
                </w:p>
              </w:tc>
              <w:tc>
                <w:tcPr>
                  <w:tcW w:w="562" w:type="pct"/>
                  <w:vAlign w:val="center"/>
                </w:tcPr>
                <w:p>
                  <w:pPr>
                    <w:pStyle w:val="16"/>
                    <w:adjustRightInd w:val="0"/>
                    <w:snapToGrid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东侧</w:t>
                  </w:r>
                </w:p>
              </w:tc>
              <w:tc>
                <w:tcPr>
                  <w:tcW w:w="588" w:type="pct"/>
                  <w:vAlign w:val="center"/>
                </w:tcPr>
                <w:p>
                  <w:pPr>
                    <w:pStyle w:val="16"/>
                    <w:adjustRightInd w:val="0"/>
                    <w:snapToGrid w:val="0"/>
                    <w:jc w:val="center"/>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20</w:t>
                  </w:r>
                </w:p>
              </w:tc>
              <w:tc>
                <w:tcPr>
                  <w:tcW w:w="525" w:type="pct"/>
                  <w:vAlign w:val="center"/>
                </w:tcPr>
                <w:p>
                  <w:pPr>
                    <w:pStyle w:val="16"/>
                    <w:adjustRightInd w:val="0"/>
                    <w:snapToGrid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1000</w:t>
                  </w:r>
                </w:p>
              </w:tc>
              <w:tc>
                <w:tcPr>
                  <w:tcW w:w="434" w:type="pct"/>
                  <w:vMerge w:val="restar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人群</w:t>
                  </w:r>
                </w:p>
                <w:p>
                  <w:pPr>
                    <w:pStyle w:val="16"/>
                    <w:adjustRightInd w:val="0"/>
                    <w:snapToGrid w:val="0"/>
                    <w:jc w:val="center"/>
                    <w:rPr>
                      <w:rFonts w:ascii="Times New Roman" w:hAnsi="Times New Roman"/>
                      <w:sz w:val="21"/>
                      <w:szCs w:val="21"/>
                    </w:rPr>
                  </w:pPr>
                  <w:r>
                    <w:rPr>
                      <w:rFonts w:ascii="Times New Roman" w:hAnsi="Times New Roman"/>
                      <w:sz w:val="21"/>
                      <w:szCs w:val="21"/>
                    </w:rPr>
                    <w:t>健康</w:t>
                  </w:r>
                </w:p>
              </w:tc>
              <w:tc>
                <w:tcPr>
                  <w:tcW w:w="1324" w:type="pct"/>
                  <w:vMerge w:val="restar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《声环境质量标准》（GB3096-2008）</w:t>
                  </w:r>
                  <w:r>
                    <w:rPr>
                      <w:rFonts w:hint="eastAsia" w:ascii="Times New Roman" w:hAnsi="Times New Roman"/>
                      <w:sz w:val="21"/>
                      <w:szCs w:val="21"/>
                      <w:lang w:val="en-US" w:eastAsia="zh-CN"/>
                    </w:rPr>
                    <w:t>1</w:t>
                  </w:r>
                  <w:r>
                    <w:rPr>
                      <w:rFonts w:ascii="Times New Roman" w:hAnsi="Times New Roman"/>
                      <w:sz w:val="21"/>
                      <w:szCs w:val="21"/>
                    </w:rPr>
                    <w:t>类区标准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513" w:type="pct"/>
                  <w:vMerge w:val="continue"/>
                  <w:vAlign w:val="center"/>
                </w:tcPr>
                <w:p>
                  <w:pPr>
                    <w:pStyle w:val="16"/>
                    <w:adjustRightInd w:val="0"/>
                    <w:snapToGrid w:val="0"/>
                    <w:jc w:val="center"/>
                    <w:rPr>
                      <w:rFonts w:ascii="Times New Roman" w:hAnsi="Times New Roman"/>
                      <w:sz w:val="21"/>
                      <w:szCs w:val="21"/>
                    </w:rPr>
                  </w:pPr>
                </w:p>
              </w:tc>
              <w:tc>
                <w:tcPr>
                  <w:tcW w:w="1050" w:type="pct"/>
                  <w:vMerge w:val="continue"/>
                  <w:vAlign w:val="center"/>
                </w:tcPr>
                <w:p>
                  <w:pPr>
                    <w:pStyle w:val="16"/>
                    <w:adjustRightInd w:val="0"/>
                    <w:snapToGrid w:val="0"/>
                    <w:jc w:val="center"/>
                    <w:rPr>
                      <w:rFonts w:ascii="Times New Roman" w:hAnsi="Times New Roman"/>
                      <w:color w:val="000000" w:themeColor="text1"/>
                      <w:sz w:val="21"/>
                      <w:szCs w:val="21"/>
                      <w14:textFill>
                        <w14:solidFill>
                          <w14:schemeClr w14:val="tx1"/>
                        </w14:solidFill>
                      </w14:textFill>
                    </w:rPr>
                  </w:pPr>
                </w:p>
              </w:tc>
              <w:tc>
                <w:tcPr>
                  <w:tcW w:w="562" w:type="pct"/>
                  <w:vAlign w:val="center"/>
                </w:tcPr>
                <w:p>
                  <w:pPr>
                    <w:pStyle w:val="16"/>
                    <w:adjustRightInd w:val="0"/>
                    <w:snapToGrid w:val="0"/>
                    <w:jc w:val="center"/>
                    <w:rPr>
                      <w:rFonts w:ascii="Times New Roman" w:hAnsi="Times New Roman"/>
                      <w:color w:val="FF0000"/>
                      <w:sz w:val="21"/>
                      <w:szCs w:val="21"/>
                    </w:rPr>
                  </w:pPr>
                  <w:r>
                    <w:rPr>
                      <w:rFonts w:hint="eastAsia" w:ascii="Times New Roman" w:hAnsi="Times New Roman"/>
                      <w:color w:val="000000" w:themeColor="text1"/>
                      <w:sz w:val="21"/>
                      <w:szCs w:val="21"/>
                      <w:lang w:val="en-US" w:eastAsia="zh-CN"/>
                      <w14:textFill>
                        <w14:solidFill>
                          <w14:schemeClr w14:val="tx1"/>
                        </w14:solidFill>
                      </w14:textFill>
                    </w:rPr>
                    <w:t>北侧</w:t>
                  </w:r>
                </w:p>
              </w:tc>
              <w:tc>
                <w:tcPr>
                  <w:tcW w:w="588" w:type="pct"/>
                  <w:vAlign w:val="center"/>
                </w:tcPr>
                <w:p>
                  <w:pPr>
                    <w:pStyle w:val="16"/>
                    <w:adjustRightInd w:val="0"/>
                    <w:snapToGrid w:val="0"/>
                    <w:jc w:val="center"/>
                    <w:rPr>
                      <w:rFonts w:hint="default" w:ascii="Times New Roman" w:hAnsi="Times New Roman"/>
                      <w:color w:val="FF0000"/>
                      <w:sz w:val="21"/>
                      <w:szCs w:val="21"/>
                      <w:lang w:val="en-US"/>
                    </w:rPr>
                  </w:pPr>
                  <w:r>
                    <w:rPr>
                      <w:rFonts w:hint="eastAsia" w:ascii="Times New Roman" w:hAnsi="Times New Roman"/>
                      <w:color w:val="000000" w:themeColor="text1"/>
                      <w:sz w:val="21"/>
                      <w:szCs w:val="21"/>
                      <w:lang w:val="en-US" w:eastAsia="zh-CN"/>
                      <w14:textFill>
                        <w14:solidFill>
                          <w14:schemeClr w14:val="tx1"/>
                        </w14:solidFill>
                      </w14:textFill>
                    </w:rPr>
                    <w:t>20</w:t>
                  </w:r>
                </w:p>
              </w:tc>
              <w:tc>
                <w:tcPr>
                  <w:tcW w:w="525" w:type="pct"/>
                  <w:vAlign w:val="center"/>
                </w:tcPr>
                <w:p>
                  <w:pPr>
                    <w:pStyle w:val="16"/>
                    <w:adjustRightInd w:val="0"/>
                    <w:snapToGrid w:val="0"/>
                    <w:jc w:val="center"/>
                    <w:rPr>
                      <w:rFonts w:hint="default" w:ascii="Times New Roman" w:hAnsi="Times New Roman"/>
                      <w:color w:val="000000" w:themeColor="text1"/>
                      <w:sz w:val="21"/>
                      <w:szCs w:val="21"/>
                      <w:lang w:val="en-US"/>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1000</w:t>
                  </w:r>
                </w:p>
              </w:tc>
              <w:tc>
                <w:tcPr>
                  <w:tcW w:w="434" w:type="pct"/>
                  <w:vMerge w:val="continue"/>
                  <w:vAlign w:val="center"/>
                </w:tcPr>
                <w:p>
                  <w:pPr>
                    <w:pStyle w:val="16"/>
                    <w:adjustRightInd w:val="0"/>
                    <w:snapToGrid w:val="0"/>
                    <w:jc w:val="center"/>
                    <w:rPr>
                      <w:rFonts w:ascii="Times New Roman" w:hAnsi="Times New Roman"/>
                      <w:sz w:val="21"/>
                      <w:szCs w:val="21"/>
                    </w:rPr>
                  </w:pPr>
                </w:p>
              </w:tc>
              <w:tc>
                <w:tcPr>
                  <w:tcW w:w="1324" w:type="pct"/>
                  <w:vMerge w:val="continue"/>
                  <w:vAlign w:val="center"/>
                </w:tcPr>
                <w:p>
                  <w:pPr>
                    <w:pStyle w:val="16"/>
                    <w:adjustRightInd w:val="0"/>
                    <w:snapToGrid w:val="0"/>
                    <w:jc w:val="center"/>
                    <w:rPr>
                      <w:rFonts w:ascii="Times New Roman" w:hAnsi="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513" w:type="pct"/>
                  <w:vMerge w:val="continue"/>
                  <w:vAlign w:val="center"/>
                </w:tcPr>
                <w:p>
                  <w:pPr>
                    <w:pStyle w:val="16"/>
                    <w:adjustRightInd w:val="0"/>
                    <w:snapToGrid w:val="0"/>
                    <w:jc w:val="center"/>
                    <w:rPr>
                      <w:rFonts w:ascii="Times New Roman" w:hAnsi="Times New Roman"/>
                      <w:sz w:val="21"/>
                      <w:szCs w:val="21"/>
                    </w:rPr>
                  </w:pPr>
                </w:p>
              </w:tc>
              <w:tc>
                <w:tcPr>
                  <w:tcW w:w="1050" w:type="pct"/>
                  <w:vAlign w:val="center"/>
                </w:tcPr>
                <w:p>
                  <w:pPr>
                    <w:pStyle w:val="16"/>
                    <w:adjustRightInd w:val="0"/>
                    <w:snapToGrid w:val="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门诊楼及附属楼</w:t>
                  </w:r>
                </w:p>
              </w:tc>
              <w:tc>
                <w:tcPr>
                  <w:tcW w:w="562" w:type="pct"/>
                  <w:vAlign w:val="center"/>
                </w:tcPr>
                <w:p>
                  <w:pPr>
                    <w:pStyle w:val="16"/>
                    <w:adjustRightInd w:val="0"/>
                    <w:snapToGrid w:val="0"/>
                    <w:jc w:val="center"/>
                    <w:rPr>
                      <w:rFonts w:hint="eastAsia"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西侧</w:t>
                  </w:r>
                </w:p>
              </w:tc>
              <w:tc>
                <w:tcPr>
                  <w:tcW w:w="588" w:type="pct"/>
                  <w:vAlign w:val="center"/>
                </w:tcPr>
                <w:p>
                  <w:pPr>
                    <w:pStyle w:val="16"/>
                    <w:adjustRightInd w:val="0"/>
                    <w:snapToGrid w:val="0"/>
                    <w:jc w:val="center"/>
                    <w:rPr>
                      <w:rFonts w:hint="default"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w:t>
                  </w:r>
                </w:p>
              </w:tc>
              <w:tc>
                <w:tcPr>
                  <w:tcW w:w="525" w:type="pct"/>
                  <w:vAlign w:val="center"/>
                </w:tcPr>
                <w:p>
                  <w:pPr>
                    <w:pStyle w:val="16"/>
                    <w:adjustRightInd w:val="0"/>
                    <w:snapToGrid w:val="0"/>
                    <w:jc w:val="center"/>
                    <w:rPr>
                      <w:rFonts w:hint="eastAsia" w:ascii="Times New Roman" w:hAnsi="Times New Roman"/>
                      <w:color w:val="000000" w:themeColor="text1"/>
                      <w:sz w:val="21"/>
                      <w:szCs w:val="21"/>
                      <w:lang w:val="en-US" w:eastAsia="zh-CN"/>
                      <w14:textFill>
                        <w14:solidFill>
                          <w14:schemeClr w14:val="tx1"/>
                        </w14:solidFill>
                      </w14:textFill>
                    </w:rPr>
                  </w:pPr>
                  <w:r>
                    <w:rPr>
                      <w:rFonts w:hint="eastAsia" w:ascii="Times New Roman" w:hAnsi="Times New Roman"/>
                      <w:color w:val="000000" w:themeColor="text1"/>
                      <w:sz w:val="21"/>
                      <w:szCs w:val="21"/>
                      <w:lang w:val="en-US" w:eastAsia="zh-CN"/>
                      <w14:textFill>
                        <w14:solidFill>
                          <w14:schemeClr w14:val="tx1"/>
                        </w14:solidFill>
                      </w14:textFill>
                    </w:rPr>
                    <w:t>100</w:t>
                  </w:r>
                </w:p>
              </w:tc>
              <w:tc>
                <w:tcPr>
                  <w:tcW w:w="434" w:type="pct"/>
                  <w:vMerge w:val="continue"/>
                  <w:vAlign w:val="center"/>
                </w:tcPr>
                <w:p>
                  <w:pPr>
                    <w:pStyle w:val="16"/>
                    <w:adjustRightInd w:val="0"/>
                    <w:snapToGrid w:val="0"/>
                    <w:jc w:val="center"/>
                    <w:rPr>
                      <w:rFonts w:ascii="Times New Roman" w:hAnsi="Times New Roman"/>
                      <w:sz w:val="21"/>
                      <w:szCs w:val="21"/>
                    </w:rPr>
                  </w:pPr>
                </w:p>
              </w:tc>
              <w:tc>
                <w:tcPr>
                  <w:tcW w:w="1324" w:type="pct"/>
                  <w:vMerge w:val="continue"/>
                  <w:vAlign w:val="center"/>
                </w:tcPr>
                <w:p>
                  <w:pPr>
                    <w:pStyle w:val="16"/>
                    <w:adjustRightInd w:val="0"/>
                    <w:snapToGrid w:val="0"/>
                    <w:jc w:val="center"/>
                    <w:rPr>
                      <w:rFonts w:ascii="Times New Roman" w:hAnsi="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513"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生态</w:t>
                  </w:r>
                </w:p>
                <w:p>
                  <w:pPr>
                    <w:pStyle w:val="16"/>
                    <w:adjustRightInd w:val="0"/>
                    <w:snapToGrid w:val="0"/>
                    <w:jc w:val="center"/>
                    <w:rPr>
                      <w:rFonts w:ascii="Times New Roman" w:hAnsi="Times New Roman"/>
                      <w:sz w:val="21"/>
                      <w:szCs w:val="21"/>
                    </w:rPr>
                  </w:pPr>
                  <w:r>
                    <w:rPr>
                      <w:rFonts w:ascii="Times New Roman" w:hAnsi="Times New Roman"/>
                      <w:sz w:val="21"/>
                      <w:szCs w:val="21"/>
                    </w:rPr>
                    <w:t>环境</w:t>
                  </w:r>
                </w:p>
              </w:tc>
              <w:tc>
                <w:tcPr>
                  <w:tcW w:w="1050"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土壤、植被</w:t>
                  </w:r>
                </w:p>
              </w:tc>
              <w:tc>
                <w:tcPr>
                  <w:tcW w:w="562"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w:t>
                  </w:r>
                </w:p>
              </w:tc>
              <w:tc>
                <w:tcPr>
                  <w:tcW w:w="588"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w:t>
                  </w:r>
                </w:p>
              </w:tc>
              <w:tc>
                <w:tcPr>
                  <w:tcW w:w="525"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w:t>
                  </w:r>
                </w:p>
              </w:tc>
              <w:tc>
                <w:tcPr>
                  <w:tcW w:w="434"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w:t>
                  </w:r>
                </w:p>
              </w:tc>
              <w:tc>
                <w:tcPr>
                  <w:tcW w:w="1324" w:type="pct"/>
                  <w:vAlign w:val="center"/>
                </w:tcPr>
                <w:p>
                  <w:pPr>
                    <w:pStyle w:val="16"/>
                    <w:adjustRightInd w:val="0"/>
                    <w:snapToGrid w:val="0"/>
                    <w:jc w:val="center"/>
                    <w:rPr>
                      <w:rFonts w:ascii="Times New Roman" w:hAnsi="Times New Roman"/>
                      <w:sz w:val="21"/>
                      <w:szCs w:val="21"/>
                    </w:rPr>
                  </w:pPr>
                  <w:r>
                    <w:rPr>
                      <w:rFonts w:ascii="Times New Roman" w:hAnsi="Times New Roman"/>
                      <w:sz w:val="21"/>
                      <w:szCs w:val="21"/>
                    </w:rPr>
                    <w:t>防止生态破坏和土壤污染</w:t>
                  </w:r>
                </w:p>
              </w:tc>
            </w:tr>
          </w:tbl>
          <w:p>
            <w:pPr>
              <w:pStyle w:val="64"/>
              <w:rPr>
                <w:rFonts w:ascii="宋体" w:hAnsi="宋体"/>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56" w:hRule="atLeast"/>
          <w:jc w:val="center"/>
        </w:trPr>
        <w:tc>
          <w:tcPr>
            <w:tcW w:w="657" w:type="dxa"/>
            <w:tcMar>
              <w:left w:w="28" w:type="dxa"/>
              <w:right w:w="28" w:type="dxa"/>
            </w:tcMar>
            <w:vAlign w:val="center"/>
          </w:tcPr>
          <w:p>
            <w:pPr>
              <w:adjustRightInd w:val="0"/>
              <w:snapToGrid w:val="0"/>
              <w:jc w:val="center"/>
              <w:rPr>
                <w:rFonts w:ascii="宋体" w:hAnsi="宋体" w:cs="宋体"/>
                <w:kern w:val="0"/>
                <w:sz w:val="24"/>
              </w:rPr>
            </w:pPr>
            <w:r>
              <w:rPr>
                <w:rFonts w:hint="eastAsia" w:ascii="宋体" w:hAnsi="宋体" w:cs="宋体"/>
                <w:kern w:val="0"/>
                <w:sz w:val="24"/>
              </w:rPr>
              <w:t>污</w:t>
            </w:r>
          </w:p>
          <w:p>
            <w:pPr>
              <w:adjustRightInd w:val="0"/>
              <w:snapToGrid w:val="0"/>
              <w:jc w:val="center"/>
              <w:rPr>
                <w:rFonts w:ascii="宋体" w:hAnsi="宋体" w:cs="宋体"/>
                <w:kern w:val="0"/>
                <w:sz w:val="24"/>
              </w:rPr>
            </w:pPr>
            <w:r>
              <w:rPr>
                <w:rFonts w:hint="eastAsia" w:ascii="宋体" w:hAnsi="宋体" w:cs="宋体"/>
                <w:kern w:val="0"/>
                <w:sz w:val="24"/>
              </w:rPr>
              <w:t>染</w:t>
            </w:r>
          </w:p>
          <w:p>
            <w:pPr>
              <w:adjustRightInd w:val="0"/>
              <w:snapToGrid w:val="0"/>
              <w:jc w:val="center"/>
              <w:rPr>
                <w:rFonts w:ascii="宋体" w:hAnsi="宋体" w:cs="宋体"/>
                <w:kern w:val="0"/>
                <w:sz w:val="24"/>
              </w:rPr>
            </w:pPr>
            <w:r>
              <w:rPr>
                <w:rFonts w:hint="eastAsia" w:ascii="宋体" w:hAnsi="宋体" w:cs="宋体"/>
                <w:kern w:val="0"/>
                <w:sz w:val="24"/>
              </w:rPr>
              <w:t>物</w:t>
            </w:r>
          </w:p>
          <w:p>
            <w:pPr>
              <w:adjustRightInd w:val="0"/>
              <w:snapToGrid w:val="0"/>
              <w:jc w:val="center"/>
              <w:rPr>
                <w:rFonts w:ascii="宋体" w:hAnsi="宋体" w:cs="宋体"/>
                <w:kern w:val="0"/>
                <w:sz w:val="24"/>
              </w:rPr>
            </w:pPr>
            <w:r>
              <w:rPr>
                <w:rFonts w:hint="eastAsia" w:ascii="宋体" w:hAnsi="宋体" w:cs="宋体"/>
                <w:kern w:val="0"/>
                <w:sz w:val="24"/>
              </w:rPr>
              <w:t>排</w:t>
            </w:r>
          </w:p>
          <w:p>
            <w:pPr>
              <w:adjustRightInd w:val="0"/>
              <w:snapToGrid w:val="0"/>
              <w:jc w:val="center"/>
              <w:rPr>
                <w:rFonts w:ascii="宋体" w:hAnsi="宋体" w:cs="宋体"/>
                <w:kern w:val="0"/>
                <w:sz w:val="24"/>
              </w:rPr>
            </w:pPr>
            <w:r>
              <w:rPr>
                <w:rFonts w:hint="eastAsia" w:ascii="宋体" w:hAnsi="宋体" w:cs="宋体"/>
                <w:kern w:val="0"/>
                <w:sz w:val="24"/>
              </w:rPr>
              <w:t>放</w:t>
            </w:r>
          </w:p>
          <w:p>
            <w:pPr>
              <w:adjustRightInd w:val="0"/>
              <w:snapToGrid w:val="0"/>
              <w:jc w:val="center"/>
              <w:rPr>
                <w:rFonts w:ascii="宋体" w:hAnsi="宋体" w:cs="宋体"/>
                <w:kern w:val="0"/>
                <w:sz w:val="24"/>
              </w:rPr>
            </w:pPr>
            <w:r>
              <w:rPr>
                <w:rFonts w:hint="eastAsia" w:ascii="宋体" w:hAnsi="宋体" w:cs="宋体"/>
                <w:kern w:val="0"/>
                <w:sz w:val="24"/>
              </w:rPr>
              <w:t>控</w:t>
            </w:r>
          </w:p>
          <w:p>
            <w:pPr>
              <w:adjustRightInd w:val="0"/>
              <w:snapToGrid w:val="0"/>
              <w:jc w:val="center"/>
              <w:rPr>
                <w:rFonts w:ascii="宋体" w:hAnsi="宋体" w:cs="宋体"/>
                <w:kern w:val="0"/>
                <w:sz w:val="24"/>
              </w:rPr>
            </w:pPr>
            <w:r>
              <w:rPr>
                <w:rFonts w:hint="eastAsia" w:ascii="宋体" w:hAnsi="宋体" w:cs="宋体"/>
                <w:kern w:val="0"/>
                <w:sz w:val="24"/>
              </w:rPr>
              <w:t>制</w:t>
            </w:r>
          </w:p>
          <w:p>
            <w:pPr>
              <w:adjustRightInd w:val="0"/>
              <w:snapToGrid w:val="0"/>
              <w:jc w:val="center"/>
              <w:rPr>
                <w:rFonts w:ascii="宋体" w:hAnsi="宋体" w:cs="宋体"/>
                <w:kern w:val="0"/>
                <w:sz w:val="24"/>
              </w:rPr>
            </w:pPr>
            <w:r>
              <w:rPr>
                <w:rFonts w:hint="eastAsia" w:ascii="宋体" w:hAnsi="宋体" w:cs="宋体"/>
                <w:kern w:val="0"/>
                <w:sz w:val="24"/>
              </w:rPr>
              <w:t>标</w:t>
            </w:r>
          </w:p>
          <w:p>
            <w:pPr>
              <w:adjustRightInd w:val="0"/>
              <w:snapToGrid w:val="0"/>
              <w:jc w:val="center"/>
              <w:rPr>
                <w:rFonts w:ascii="宋体" w:hAnsi="宋体" w:cs="宋体"/>
                <w:kern w:val="0"/>
                <w:sz w:val="24"/>
              </w:rPr>
            </w:pPr>
            <w:r>
              <w:rPr>
                <w:rFonts w:hint="eastAsia" w:ascii="宋体" w:hAnsi="宋体" w:cs="宋体"/>
                <w:kern w:val="0"/>
                <w:sz w:val="24"/>
              </w:rPr>
              <w:t>准</w:t>
            </w:r>
          </w:p>
        </w:tc>
        <w:tc>
          <w:tcPr>
            <w:tcW w:w="8333" w:type="dxa"/>
            <w:vAlign w:val="center"/>
          </w:tcPr>
          <w:p>
            <w:pPr>
              <w:pStyle w:val="64"/>
              <w:keepNext w:val="0"/>
              <w:keepLines w:val="0"/>
              <w:pageBreakBefore w:val="0"/>
              <w:widowControl w:val="0"/>
              <w:numPr>
                <w:ilvl w:val="0"/>
                <w:numId w:val="5"/>
              </w:numPr>
              <w:kinsoku/>
              <w:wordWrap/>
              <w:overflowPunct/>
              <w:topLinePunct w:val="0"/>
              <w:autoSpaceDE/>
              <w:autoSpaceDN/>
              <w:bidi w:val="0"/>
              <w:adjustRightInd w:val="0"/>
              <w:snapToGrid w:val="0"/>
              <w:textAlignment w:val="baseline"/>
              <w:rPr>
                <w:color w:val="000000" w:themeColor="text1"/>
                <w:szCs w:val="22"/>
                <w14:textFill>
                  <w14:solidFill>
                    <w14:schemeClr w14:val="tx1"/>
                  </w14:solidFill>
                </w14:textFill>
              </w:rPr>
            </w:pPr>
            <w:r>
              <w:rPr>
                <w:rFonts w:hint="eastAsia"/>
                <w:color w:val="000000" w:themeColor="text1"/>
                <w:szCs w:val="22"/>
                <w14:textFill>
                  <w14:solidFill>
                    <w14:schemeClr w14:val="tx1"/>
                  </w14:solidFill>
                </w14:textFill>
              </w:rPr>
              <w:t>大气污染物：</w:t>
            </w:r>
            <w:r>
              <w:rPr>
                <w:rFonts w:hint="eastAsia"/>
                <w:color w:val="000000" w:themeColor="text1"/>
                <w:sz w:val="24"/>
                <w14:textFill>
                  <w14:solidFill>
                    <w14:schemeClr w14:val="tx1"/>
                  </w14:solidFill>
                </w14:textFill>
              </w:rPr>
              <w:t>运营期</w:t>
            </w:r>
            <w:r>
              <w:rPr>
                <w:rFonts w:hint="eastAsia"/>
                <w:color w:val="000000" w:themeColor="text1"/>
                <w:sz w:val="24"/>
                <w:lang w:val="en-US" w:eastAsia="zh-CN"/>
                <w14:textFill>
                  <w14:solidFill>
                    <w14:schemeClr w14:val="tx1"/>
                  </w14:solidFill>
                </w14:textFill>
              </w:rPr>
              <w:t>厂界无组织</w:t>
            </w:r>
            <w:r>
              <w:rPr>
                <w:rFonts w:hint="eastAsia"/>
                <w:color w:val="000000" w:themeColor="text1"/>
                <w:sz w:val="24"/>
                <w14:textFill>
                  <w14:solidFill>
                    <w14:schemeClr w14:val="tx1"/>
                  </w14:solidFill>
                </w14:textFill>
              </w:rPr>
              <w:t>废气执行</w:t>
            </w:r>
            <w:r>
              <w:rPr>
                <w:color w:val="000000" w:themeColor="text1"/>
                <w:sz w:val="24"/>
                <w14:textFill>
                  <w14:solidFill>
                    <w14:schemeClr w14:val="tx1"/>
                  </w14:solidFill>
                </w14:textFill>
              </w:rPr>
              <w:t>《医疗机构水污染物排放标准》（GB18466-2005）中表3污水处理站周边大气污染物最高允许排放浓度</w:t>
            </w:r>
            <w:r>
              <w:rPr>
                <w:rFonts w:hint="eastAsia"/>
                <w:color w:val="000000" w:themeColor="text1"/>
                <w:sz w:val="24"/>
                <w14:textFill>
                  <w14:solidFill>
                    <w14:schemeClr w14:val="tx1"/>
                  </w14:solidFill>
                </w14:textFill>
              </w:rPr>
              <w:t>限值</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有组织恶臭气体执行</w:t>
            </w:r>
            <w:r>
              <w:rPr>
                <w:rFonts w:ascii="Times New Roman" w:hAnsi="Times New Roman"/>
                <w:bCs/>
                <w:sz w:val="24"/>
                <w:szCs w:val="21"/>
              </w:rPr>
              <w:t>《恶臭污染物排放标准》（</w:t>
            </w:r>
            <w:r>
              <w:rPr>
                <w:rFonts w:hint="default" w:ascii="Times New Roman" w:hAnsi="Times New Roman" w:cs="Times New Roman"/>
                <w:bCs/>
                <w:sz w:val="24"/>
                <w:szCs w:val="21"/>
              </w:rPr>
              <w:t>GB14554-1993</w:t>
            </w:r>
            <w:r>
              <w:rPr>
                <w:rFonts w:ascii="Times New Roman" w:hAnsi="Times New Roman"/>
                <w:bCs/>
                <w:sz w:val="24"/>
                <w:szCs w:val="21"/>
              </w:rPr>
              <w:t>）表</w:t>
            </w:r>
            <w:r>
              <w:rPr>
                <w:rFonts w:hint="eastAsia" w:ascii="Times New Roman" w:cs="Times New Roman"/>
                <w:bCs/>
                <w:color w:val="000000" w:themeColor="text1"/>
                <w:sz w:val="24"/>
                <w:szCs w:val="21"/>
                <w:lang w:val="en-US" w:eastAsia="zh-CN"/>
                <w14:textFill>
                  <w14:solidFill>
                    <w14:schemeClr w14:val="tx1"/>
                  </w14:solidFill>
                </w14:textFill>
              </w:rPr>
              <w:t>2</w:t>
            </w:r>
            <w:r>
              <w:rPr>
                <w:rFonts w:ascii="Times New Roman" w:hAnsi="Times New Roman"/>
                <w:bCs/>
                <w:sz w:val="24"/>
                <w:szCs w:val="21"/>
              </w:rPr>
              <w:t>中污染物排放标准限值</w:t>
            </w:r>
            <w:r>
              <w:rPr>
                <w:rFonts w:ascii="Times New Roman" w:hAnsi="Times New Roman"/>
                <w:color w:val="000000" w:themeColor="text1"/>
                <w:sz w:val="24"/>
                <w14:textFill>
                  <w14:solidFill>
                    <w14:schemeClr w14:val="tx1"/>
                  </w14:solidFill>
                </w14:textFill>
              </w:rPr>
              <w:t>后经15m排气筒排放</w:t>
            </w:r>
            <w:r>
              <w:rPr>
                <w:rFonts w:hint="eastAsia"/>
                <w:color w:val="000000" w:themeColor="text1"/>
                <w:sz w:val="24"/>
                <w14:textFill>
                  <w14:solidFill>
                    <w14:schemeClr w14:val="tx1"/>
                  </w14:solidFill>
                </w14:textFill>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eastAsia" w:ascii="Times New Roman" w:hAnsi="Times New Roman" w:eastAsia="黑体" w:cs="Times New Roman"/>
                <w:b w:val="0"/>
                <w:bCs/>
                <w:snapToGrid w:val="0"/>
                <w:color w:val="000000" w:themeColor="text1"/>
                <w:kern w:val="0"/>
                <w:sz w:val="24"/>
                <w:szCs w:val="24"/>
                <w:lang w:val="en-US" w:eastAsia="zh-CN"/>
                <w14:textFill>
                  <w14:solidFill>
                    <w14:schemeClr w14:val="tx1"/>
                  </w14:solidFill>
                </w14:textFill>
              </w:rPr>
            </w:pP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表3-</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7</w:t>
            </w: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 xml:space="preserve">  </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大气污染物</w:t>
            </w: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排放限值</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一览表</w:t>
            </w:r>
          </w:p>
          <w:tbl>
            <w:tblPr>
              <w:tblStyle w:val="28"/>
              <w:tblW w:w="81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7"/>
              <w:gridCol w:w="1356"/>
              <w:gridCol w:w="2218"/>
              <w:gridCol w:w="32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17" w:type="dxa"/>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排放形式</w:t>
                  </w:r>
                </w:p>
              </w:tc>
              <w:tc>
                <w:tcPr>
                  <w:tcW w:w="1356" w:type="dxa"/>
                  <w:vAlign w:val="center"/>
                </w:tcPr>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w:t>
                  </w:r>
                </w:p>
              </w:tc>
              <w:tc>
                <w:tcPr>
                  <w:tcW w:w="2218" w:type="dxa"/>
                  <w:vAlign w:val="center"/>
                </w:tcPr>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限值</w:t>
                  </w:r>
                </w:p>
              </w:tc>
              <w:tc>
                <w:tcPr>
                  <w:tcW w:w="3223" w:type="dxa"/>
                  <w:vAlign w:val="center"/>
                </w:tcPr>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17" w:type="dxa"/>
                  <w:vMerge w:val="restart"/>
                  <w:vAlign w:val="center"/>
                </w:tcPr>
                <w:p>
                  <w:pPr>
                    <w:adjustRightInd w:val="0"/>
                    <w:snapToGrid w:val="0"/>
                    <w:jc w:val="center"/>
                    <w:rPr>
                      <w:rFonts w:hint="default"/>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有组织</w:t>
                  </w:r>
                </w:p>
              </w:tc>
              <w:tc>
                <w:tcPr>
                  <w:tcW w:w="1356" w:type="dxa"/>
                  <w:vAlign w:val="center"/>
                </w:tcPr>
                <w:p>
                  <w:pPr>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氨</w:t>
                  </w:r>
                </w:p>
              </w:tc>
              <w:tc>
                <w:tcPr>
                  <w:tcW w:w="2218" w:type="dxa"/>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4.9kg/h</w:t>
                  </w:r>
                </w:p>
              </w:tc>
              <w:tc>
                <w:tcPr>
                  <w:tcW w:w="3223" w:type="dxa"/>
                  <w:vMerge w:val="restart"/>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除臭装置排气筒排口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17" w:type="dxa"/>
                  <w:vMerge w:val="continue"/>
                  <w:vAlign w:val="center"/>
                </w:tcPr>
                <w:p>
                  <w:pPr>
                    <w:adjustRightInd w:val="0"/>
                    <w:snapToGrid w:val="0"/>
                    <w:jc w:val="center"/>
                    <w:rPr>
                      <w:rFonts w:hint="eastAsia"/>
                      <w:bCs/>
                      <w:color w:val="000000" w:themeColor="text1"/>
                      <w:szCs w:val="21"/>
                      <w:lang w:val="en-US" w:eastAsia="zh-CN"/>
                      <w14:textFill>
                        <w14:solidFill>
                          <w14:schemeClr w14:val="tx1"/>
                        </w14:solidFill>
                      </w14:textFill>
                    </w:rPr>
                  </w:pPr>
                </w:p>
              </w:tc>
              <w:tc>
                <w:tcPr>
                  <w:tcW w:w="1356" w:type="dxa"/>
                  <w:vAlign w:val="center"/>
                </w:tcPr>
                <w:p>
                  <w:pPr>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硫化氢</w:t>
                  </w:r>
                </w:p>
              </w:tc>
              <w:tc>
                <w:tcPr>
                  <w:tcW w:w="2218" w:type="dxa"/>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0.33kg/h</w:t>
                  </w:r>
                </w:p>
              </w:tc>
              <w:tc>
                <w:tcPr>
                  <w:tcW w:w="3223" w:type="dxa"/>
                  <w:vMerge w:val="continue"/>
                  <w:vAlign w:val="center"/>
                </w:tcPr>
                <w:p>
                  <w:pPr>
                    <w:adjustRightInd w:val="0"/>
                    <w:snapToGrid w:val="0"/>
                    <w:jc w:val="center"/>
                    <w:rPr>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7" w:type="dxa"/>
                  <w:vMerge w:val="continue"/>
                  <w:vAlign w:val="center"/>
                </w:tcPr>
                <w:p>
                  <w:pPr>
                    <w:adjustRightInd w:val="0"/>
                    <w:snapToGrid w:val="0"/>
                    <w:jc w:val="center"/>
                    <w:rPr>
                      <w:rFonts w:hint="eastAsia"/>
                      <w:bCs/>
                      <w:color w:val="000000" w:themeColor="text1"/>
                      <w:szCs w:val="21"/>
                      <w:lang w:val="en-US" w:eastAsia="zh-CN"/>
                      <w14:textFill>
                        <w14:solidFill>
                          <w14:schemeClr w14:val="tx1"/>
                        </w14:solidFill>
                      </w14:textFill>
                    </w:rPr>
                  </w:pPr>
                </w:p>
              </w:tc>
              <w:tc>
                <w:tcPr>
                  <w:tcW w:w="1356" w:type="dxa"/>
                  <w:vAlign w:val="center"/>
                </w:tcPr>
                <w:p>
                  <w:pPr>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臭气</w:t>
                  </w:r>
                </w:p>
              </w:tc>
              <w:tc>
                <w:tcPr>
                  <w:tcW w:w="2218" w:type="dxa"/>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2000（无量纲）</w:t>
                  </w:r>
                </w:p>
              </w:tc>
              <w:tc>
                <w:tcPr>
                  <w:tcW w:w="3223" w:type="dxa"/>
                  <w:vMerge w:val="continue"/>
                  <w:vAlign w:val="center"/>
                </w:tcPr>
                <w:p>
                  <w:pPr>
                    <w:adjustRightInd w:val="0"/>
                    <w:snapToGrid w:val="0"/>
                    <w:jc w:val="center"/>
                    <w:rPr>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317" w:type="dxa"/>
                  <w:vMerge w:val="restart"/>
                  <w:vAlign w:val="center"/>
                </w:tcPr>
                <w:p>
                  <w:pPr>
                    <w:adjustRightInd w:val="0"/>
                    <w:snapToGrid w:val="0"/>
                    <w:jc w:val="center"/>
                    <w:rPr>
                      <w:rFonts w:hint="default"/>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无组织</w:t>
                  </w:r>
                </w:p>
              </w:tc>
              <w:tc>
                <w:tcPr>
                  <w:tcW w:w="1356" w:type="dxa"/>
                  <w:vAlign w:val="center"/>
                </w:tcPr>
                <w:p>
                  <w:pPr>
                    <w:adjustRightInd w:val="0"/>
                    <w:snapToGrid w:val="0"/>
                    <w:jc w:val="center"/>
                    <w:rPr>
                      <w:rFonts w:hint="eastAsia" w:eastAsia="宋体"/>
                      <w:bCs/>
                      <w:color w:val="000000" w:themeColor="text1"/>
                      <w:szCs w:val="21"/>
                      <w:lang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氨</w:t>
                  </w:r>
                </w:p>
              </w:tc>
              <w:tc>
                <w:tcPr>
                  <w:tcW w:w="2218" w:type="dxa"/>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1.0</w:t>
                  </w:r>
                  <w:r>
                    <w:rPr>
                      <w:bCs/>
                      <w:color w:val="000000" w:themeColor="text1"/>
                      <w:szCs w:val="21"/>
                      <w14:textFill>
                        <w14:solidFill>
                          <w14:schemeClr w14:val="tx1"/>
                        </w14:solidFill>
                      </w14:textFill>
                    </w:rPr>
                    <w:t>mg/m</w:t>
                  </w:r>
                  <w:r>
                    <w:rPr>
                      <w:bCs/>
                      <w:color w:val="000000" w:themeColor="text1"/>
                      <w:szCs w:val="21"/>
                      <w:vertAlign w:val="superscript"/>
                      <w14:textFill>
                        <w14:solidFill>
                          <w14:schemeClr w14:val="tx1"/>
                        </w14:solidFill>
                      </w14:textFill>
                    </w:rPr>
                    <w:t>3</w:t>
                  </w:r>
                </w:p>
              </w:tc>
              <w:tc>
                <w:tcPr>
                  <w:tcW w:w="3223" w:type="dxa"/>
                  <w:vMerge w:val="restart"/>
                  <w:vAlign w:val="center"/>
                </w:tcPr>
                <w:p>
                  <w:pPr>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污水处理站周边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17" w:type="dxa"/>
                  <w:vMerge w:val="continue"/>
                  <w:vAlign w:val="center"/>
                </w:tcPr>
                <w:p>
                  <w:pPr>
                    <w:adjustRightInd w:val="0"/>
                    <w:snapToGrid w:val="0"/>
                    <w:jc w:val="center"/>
                    <w:rPr>
                      <w:rFonts w:hint="eastAsia"/>
                      <w:bCs/>
                      <w:color w:val="000000" w:themeColor="text1"/>
                      <w:szCs w:val="21"/>
                      <w:lang w:val="en-US" w:eastAsia="zh-CN"/>
                      <w14:textFill>
                        <w14:solidFill>
                          <w14:schemeClr w14:val="tx1"/>
                        </w14:solidFill>
                      </w14:textFill>
                    </w:rPr>
                  </w:pPr>
                </w:p>
              </w:tc>
              <w:tc>
                <w:tcPr>
                  <w:tcW w:w="1356" w:type="dxa"/>
                  <w:vAlign w:val="center"/>
                </w:tcPr>
                <w:p>
                  <w:pPr>
                    <w:adjustRightInd w:val="0"/>
                    <w:snapToGrid w:val="0"/>
                    <w:jc w:val="center"/>
                    <w:rPr>
                      <w:rFonts w:hint="eastAsia" w:eastAsia="宋体"/>
                      <w:bCs/>
                      <w:color w:val="000000" w:themeColor="text1"/>
                      <w:szCs w:val="21"/>
                      <w:lang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硫化氢</w:t>
                  </w:r>
                </w:p>
              </w:tc>
              <w:tc>
                <w:tcPr>
                  <w:tcW w:w="2218" w:type="dxa"/>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0.03</w:t>
                  </w:r>
                  <w:r>
                    <w:rPr>
                      <w:bCs/>
                      <w:color w:val="000000" w:themeColor="text1"/>
                      <w:szCs w:val="21"/>
                      <w14:textFill>
                        <w14:solidFill>
                          <w14:schemeClr w14:val="tx1"/>
                        </w14:solidFill>
                      </w14:textFill>
                    </w:rPr>
                    <w:t>mg/m</w:t>
                  </w:r>
                  <w:r>
                    <w:rPr>
                      <w:bCs/>
                      <w:color w:val="000000" w:themeColor="text1"/>
                      <w:szCs w:val="21"/>
                      <w:vertAlign w:val="superscript"/>
                      <w14:textFill>
                        <w14:solidFill>
                          <w14:schemeClr w14:val="tx1"/>
                        </w14:solidFill>
                      </w14:textFill>
                    </w:rPr>
                    <w:t>3</w:t>
                  </w:r>
                </w:p>
              </w:tc>
              <w:tc>
                <w:tcPr>
                  <w:tcW w:w="3223" w:type="dxa"/>
                  <w:vMerge w:val="continue"/>
                  <w:vAlign w:val="center"/>
                </w:tcPr>
                <w:p>
                  <w:pPr>
                    <w:adjustRightInd w:val="0"/>
                    <w:snapToGrid w:val="0"/>
                    <w:jc w:val="center"/>
                    <w:rPr>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17" w:type="dxa"/>
                  <w:vMerge w:val="continue"/>
                  <w:vAlign w:val="center"/>
                </w:tcPr>
                <w:p>
                  <w:pPr>
                    <w:adjustRightInd w:val="0"/>
                    <w:snapToGrid w:val="0"/>
                    <w:jc w:val="center"/>
                    <w:rPr>
                      <w:rFonts w:hint="eastAsia"/>
                      <w:bCs/>
                      <w:color w:val="000000" w:themeColor="text1"/>
                      <w:szCs w:val="21"/>
                      <w:lang w:val="en-US" w:eastAsia="zh-CN"/>
                      <w14:textFill>
                        <w14:solidFill>
                          <w14:schemeClr w14:val="tx1"/>
                        </w14:solidFill>
                      </w14:textFill>
                    </w:rPr>
                  </w:pPr>
                </w:p>
              </w:tc>
              <w:tc>
                <w:tcPr>
                  <w:tcW w:w="1356" w:type="dxa"/>
                  <w:vAlign w:val="center"/>
                </w:tcPr>
                <w:p>
                  <w:pPr>
                    <w:adjustRightInd w:val="0"/>
                    <w:snapToGrid w:val="0"/>
                    <w:jc w:val="center"/>
                    <w:rPr>
                      <w:rFonts w:hint="default"/>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臭气</w:t>
                  </w:r>
                </w:p>
              </w:tc>
              <w:tc>
                <w:tcPr>
                  <w:tcW w:w="2218" w:type="dxa"/>
                  <w:vAlign w:val="center"/>
                </w:tcPr>
                <w:p>
                  <w:pPr>
                    <w:adjustRightInd w:val="0"/>
                    <w:snapToGrid w:val="0"/>
                    <w:jc w:val="center"/>
                    <w:rPr>
                      <w:rFonts w:hint="default" w:eastAsia="宋体"/>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10（无量纲）</w:t>
                  </w:r>
                </w:p>
              </w:tc>
              <w:tc>
                <w:tcPr>
                  <w:tcW w:w="3223" w:type="dxa"/>
                  <w:vMerge w:val="continue"/>
                  <w:vAlign w:val="center"/>
                </w:tcPr>
                <w:p>
                  <w:pPr>
                    <w:adjustRightInd w:val="0"/>
                    <w:snapToGrid w:val="0"/>
                    <w:jc w:val="center"/>
                    <w:rPr>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17" w:type="dxa"/>
                  <w:vMerge w:val="continue"/>
                  <w:vAlign w:val="center"/>
                </w:tcPr>
                <w:p>
                  <w:pPr>
                    <w:adjustRightInd w:val="0"/>
                    <w:snapToGrid w:val="0"/>
                    <w:jc w:val="center"/>
                    <w:rPr>
                      <w:rFonts w:hint="eastAsia"/>
                      <w:bCs/>
                      <w:color w:val="000000" w:themeColor="text1"/>
                      <w:szCs w:val="21"/>
                      <w:lang w:val="en-US" w:eastAsia="zh-CN"/>
                      <w14:textFill>
                        <w14:solidFill>
                          <w14:schemeClr w14:val="tx1"/>
                        </w14:solidFill>
                      </w14:textFill>
                    </w:rPr>
                  </w:pPr>
                </w:p>
              </w:tc>
              <w:tc>
                <w:tcPr>
                  <w:tcW w:w="1356" w:type="dxa"/>
                  <w:vAlign w:val="center"/>
                </w:tcPr>
                <w:p>
                  <w:pPr>
                    <w:adjustRightInd w:val="0"/>
                    <w:snapToGrid w:val="0"/>
                    <w:jc w:val="center"/>
                    <w:rPr>
                      <w:rFonts w:hint="default"/>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甲烷</w:t>
                  </w:r>
                </w:p>
              </w:tc>
              <w:tc>
                <w:tcPr>
                  <w:tcW w:w="2218" w:type="dxa"/>
                  <w:vAlign w:val="center"/>
                </w:tcPr>
                <w:p>
                  <w:pPr>
                    <w:adjustRightInd w:val="0"/>
                    <w:snapToGrid w:val="0"/>
                    <w:jc w:val="center"/>
                    <w:rPr>
                      <w:rFonts w:hint="default"/>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1%</w:t>
                  </w:r>
                </w:p>
              </w:tc>
              <w:tc>
                <w:tcPr>
                  <w:tcW w:w="3223" w:type="dxa"/>
                  <w:vMerge w:val="continue"/>
                  <w:vAlign w:val="center"/>
                </w:tcPr>
                <w:p>
                  <w:pPr>
                    <w:adjustRightInd w:val="0"/>
                    <w:snapToGrid w:val="0"/>
                    <w:jc w:val="center"/>
                    <w:rPr>
                      <w:bCs/>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17" w:type="dxa"/>
                  <w:vMerge w:val="continue"/>
                  <w:vAlign w:val="center"/>
                </w:tcPr>
                <w:p>
                  <w:pPr>
                    <w:adjustRightInd w:val="0"/>
                    <w:snapToGrid w:val="0"/>
                    <w:jc w:val="center"/>
                    <w:rPr>
                      <w:rFonts w:hint="eastAsia"/>
                      <w:bCs/>
                      <w:color w:val="000000" w:themeColor="text1"/>
                      <w:szCs w:val="21"/>
                      <w:lang w:val="en-US" w:eastAsia="zh-CN"/>
                      <w14:textFill>
                        <w14:solidFill>
                          <w14:schemeClr w14:val="tx1"/>
                        </w14:solidFill>
                      </w14:textFill>
                    </w:rPr>
                  </w:pPr>
                </w:p>
              </w:tc>
              <w:tc>
                <w:tcPr>
                  <w:tcW w:w="1356" w:type="dxa"/>
                  <w:vAlign w:val="center"/>
                </w:tcPr>
                <w:p>
                  <w:pPr>
                    <w:adjustRightInd w:val="0"/>
                    <w:snapToGrid w:val="0"/>
                    <w:jc w:val="center"/>
                    <w:rPr>
                      <w:rFonts w:hint="default"/>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氯气</w:t>
                  </w:r>
                </w:p>
              </w:tc>
              <w:tc>
                <w:tcPr>
                  <w:tcW w:w="2218" w:type="dxa"/>
                  <w:vAlign w:val="center"/>
                </w:tcPr>
                <w:p>
                  <w:pPr>
                    <w:adjustRightInd w:val="0"/>
                    <w:snapToGrid w:val="0"/>
                    <w:jc w:val="center"/>
                    <w:rPr>
                      <w:rFonts w:hint="default"/>
                      <w:bCs/>
                      <w:color w:val="000000" w:themeColor="text1"/>
                      <w:szCs w:val="21"/>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0.1</w:t>
                  </w:r>
                </w:p>
              </w:tc>
              <w:tc>
                <w:tcPr>
                  <w:tcW w:w="3223" w:type="dxa"/>
                  <w:vMerge w:val="continue"/>
                  <w:vAlign w:val="center"/>
                </w:tcPr>
                <w:p>
                  <w:pPr>
                    <w:adjustRightInd w:val="0"/>
                    <w:snapToGrid w:val="0"/>
                    <w:jc w:val="center"/>
                    <w:rPr>
                      <w:bCs/>
                      <w:color w:val="000000" w:themeColor="text1"/>
                      <w:szCs w:val="21"/>
                      <w14:textFill>
                        <w14:solidFill>
                          <w14:schemeClr w14:val="tx1"/>
                        </w14:solidFill>
                      </w14:textFill>
                    </w:rPr>
                  </w:pP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color w:val="auto"/>
                <w:szCs w:val="22"/>
              </w:rPr>
            </w:pPr>
            <w:r>
              <w:rPr>
                <w:rFonts w:hint="eastAsia" w:ascii="Times New Roman" w:hAnsi="Times New Roman" w:eastAsia="宋体" w:cs="宋体"/>
                <w:snapToGrid w:val="0"/>
                <w:color w:val="000000" w:themeColor="text1"/>
                <w:kern w:val="2"/>
                <w:sz w:val="24"/>
                <w:szCs w:val="22"/>
                <w:lang w:val="en-US" w:eastAsia="zh-CN" w:bidi="ar-SA"/>
                <w14:textFill>
                  <w14:solidFill>
                    <w14:schemeClr w14:val="tx1"/>
                  </w14:solidFill>
                </w14:textFill>
              </w:rPr>
              <w:t>（2）水污染物：</w:t>
            </w:r>
            <w:r>
              <w:rPr>
                <w:rFonts w:hint="eastAsia"/>
                <w:color w:val="auto"/>
                <w:sz w:val="24"/>
              </w:rPr>
              <w:t>运营期废水执行</w:t>
            </w:r>
            <w:r>
              <w:rPr>
                <w:rFonts w:hint="eastAsia"/>
                <w:color w:val="auto"/>
                <w:sz w:val="24"/>
                <w:lang w:eastAsia="zh-CN"/>
              </w:rPr>
              <w:t>《</w:t>
            </w:r>
            <w:r>
              <w:rPr>
                <w:rFonts w:hint="eastAsia"/>
                <w:color w:val="000000" w:themeColor="text1"/>
                <w:sz w:val="24"/>
                <w14:textFill>
                  <w14:solidFill>
                    <w14:schemeClr w14:val="tx1"/>
                  </w14:solidFill>
                </w14:textFill>
              </w:rPr>
              <w:t>医疗机构水污染物排放标准》（GB18466-2005）表2</w:t>
            </w:r>
            <w:r>
              <w:rPr>
                <w:rFonts w:hint="eastAsia"/>
                <w:color w:val="000000" w:themeColor="text1"/>
                <w:sz w:val="24"/>
                <w:lang w:val="en-US" w:eastAsia="zh-CN"/>
                <w14:textFill>
                  <w14:solidFill>
                    <w14:schemeClr w14:val="tx1"/>
                  </w14:solidFill>
                </w14:textFill>
              </w:rPr>
              <w:t>预处理</w:t>
            </w:r>
            <w:r>
              <w:rPr>
                <w:rFonts w:hint="eastAsia"/>
                <w:color w:val="000000" w:themeColor="text1"/>
                <w:sz w:val="24"/>
                <w14:textFill>
                  <w14:solidFill>
                    <w14:schemeClr w14:val="tx1"/>
                  </w14:solidFill>
                </w14:textFill>
              </w:rPr>
              <w:t>标准</w:t>
            </w:r>
            <w:r>
              <w:rPr>
                <w:rFonts w:hint="eastAsia"/>
                <w:color w:val="auto"/>
                <w:sz w:val="24"/>
                <w:szCs w:val="24"/>
                <w:lang w:val="en-US" w:eastAsia="zh-CN"/>
              </w:rPr>
              <w:t>要求。</w:t>
            </w:r>
            <w:r>
              <w:rPr>
                <w:rFonts w:hint="eastAsia"/>
                <w:color w:val="auto"/>
                <w:sz w:val="24"/>
              </w:rPr>
              <w:t>详见表</w:t>
            </w:r>
            <w:r>
              <w:rPr>
                <w:rFonts w:hint="eastAsia"/>
                <w:color w:val="auto"/>
                <w:sz w:val="24"/>
                <w:lang w:val="en-US" w:eastAsia="zh-CN"/>
              </w:rPr>
              <w:t>3-8</w:t>
            </w:r>
            <w:r>
              <w:rPr>
                <w:rFonts w:hint="eastAsia"/>
                <w:color w:val="auto"/>
                <w:sz w:val="24"/>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kern w:val="0"/>
                <w:sz w:val="21"/>
                <w:szCs w:val="21"/>
                <w:lang w:val="en-US"/>
              </w:rPr>
            </w:pPr>
            <w:r>
              <w:rPr>
                <w:rFonts w:hint="default" w:ascii="Times New Roman" w:hAnsi="Times New Roman" w:eastAsia="黑体" w:cs="Times New Roman"/>
                <w:b w:val="0"/>
                <w:bCs/>
                <w:snapToGrid w:val="0"/>
                <w:kern w:val="0"/>
                <w:sz w:val="24"/>
                <w:szCs w:val="24"/>
              </w:rPr>
              <w:t>表3-</w:t>
            </w:r>
            <w:r>
              <w:rPr>
                <w:rFonts w:hint="eastAsia" w:eastAsia="黑体" w:cs="Times New Roman"/>
                <w:b w:val="0"/>
                <w:bCs/>
                <w:snapToGrid w:val="0"/>
                <w:kern w:val="0"/>
                <w:sz w:val="24"/>
                <w:szCs w:val="24"/>
                <w:lang w:val="en-US" w:eastAsia="zh-CN"/>
              </w:rPr>
              <w:t>8</w:t>
            </w:r>
            <w:r>
              <w:rPr>
                <w:rFonts w:hint="default" w:ascii="Times New Roman" w:hAnsi="Times New Roman" w:eastAsia="黑体" w:cs="Times New Roman"/>
                <w:b w:val="0"/>
                <w:bCs/>
                <w:snapToGrid w:val="0"/>
                <w:kern w:val="0"/>
                <w:sz w:val="24"/>
                <w:szCs w:val="24"/>
              </w:rPr>
              <w:t xml:space="preserve">  </w:t>
            </w:r>
            <w:r>
              <w:rPr>
                <w:rFonts w:hint="eastAsia" w:eastAsia="黑体" w:cs="Times New Roman"/>
                <w:b w:val="0"/>
                <w:bCs/>
                <w:snapToGrid w:val="0"/>
                <w:kern w:val="0"/>
                <w:sz w:val="24"/>
                <w:szCs w:val="24"/>
                <w:lang w:val="en-US" w:eastAsia="zh-CN"/>
              </w:rPr>
              <w:t xml:space="preserve">  水污染物排放限值一览表</w:t>
            </w:r>
          </w:p>
          <w:tbl>
            <w:tblPr>
              <w:tblStyle w:val="28"/>
              <w:tblW w:w="81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43"/>
              <w:gridCol w:w="942"/>
              <w:gridCol w:w="915"/>
              <w:gridCol w:w="986"/>
              <w:gridCol w:w="584"/>
              <w:gridCol w:w="881"/>
              <w:gridCol w:w="1278"/>
              <w:gridCol w:w="5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1943" w:type="dxa"/>
                  <w:vAlign w:val="center"/>
                </w:tcPr>
                <w:p>
                  <w:pPr>
                    <w:adjustRightInd w:val="0"/>
                    <w:snapToGrid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类别</w:t>
                  </w:r>
                </w:p>
              </w:tc>
              <w:tc>
                <w:tcPr>
                  <w:tcW w:w="942" w:type="dxa"/>
                  <w:vAlign w:val="center"/>
                </w:tcPr>
                <w:p>
                  <w:pPr>
                    <w:adjustRightInd w:val="0"/>
                    <w:snapToGrid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pH</w:t>
                  </w:r>
                </w:p>
              </w:tc>
              <w:tc>
                <w:tcPr>
                  <w:tcW w:w="915" w:type="dxa"/>
                  <w:vAlign w:val="center"/>
                </w:tcPr>
                <w:p>
                  <w:pPr>
                    <w:adjustRightInd w:val="0"/>
                    <w:snapToGrid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COD</w:t>
                  </w:r>
                </w:p>
              </w:tc>
              <w:tc>
                <w:tcPr>
                  <w:tcW w:w="986" w:type="dxa"/>
                  <w:vAlign w:val="center"/>
                </w:tcPr>
                <w:p>
                  <w:pPr>
                    <w:adjustRightInd w:val="0"/>
                    <w:snapToGrid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BOD</w:t>
                  </w:r>
                  <w:r>
                    <w:rPr>
                      <w:bCs/>
                      <w:color w:val="000000" w:themeColor="text1"/>
                      <w:sz w:val="21"/>
                      <w:szCs w:val="21"/>
                      <w:vertAlign w:val="subscript"/>
                      <w14:textFill>
                        <w14:solidFill>
                          <w14:schemeClr w14:val="tx1"/>
                        </w14:solidFill>
                      </w14:textFill>
                    </w:rPr>
                    <w:t>5</w:t>
                  </w:r>
                </w:p>
              </w:tc>
              <w:tc>
                <w:tcPr>
                  <w:tcW w:w="584" w:type="dxa"/>
                  <w:vAlign w:val="center"/>
                </w:tcPr>
                <w:p>
                  <w:pPr>
                    <w:adjustRightInd w:val="0"/>
                    <w:snapToGrid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氨氮</w:t>
                  </w:r>
                </w:p>
              </w:tc>
              <w:tc>
                <w:tcPr>
                  <w:tcW w:w="881" w:type="dxa"/>
                  <w:vAlign w:val="center"/>
                </w:tcPr>
                <w:p>
                  <w:pPr>
                    <w:adjustRightInd w:val="0"/>
                    <w:snapToGrid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SS</w:t>
                  </w:r>
                </w:p>
              </w:tc>
              <w:tc>
                <w:tcPr>
                  <w:tcW w:w="1278" w:type="dxa"/>
                  <w:vAlign w:val="center"/>
                </w:tcPr>
                <w:p>
                  <w:pPr>
                    <w:adjustRightInd w:val="0"/>
                    <w:snapToGrid w:val="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粪大肠菌群</w:t>
                  </w:r>
                </w:p>
              </w:tc>
              <w:tc>
                <w:tcPr>
                  <w:tcW w:w="584" w:type="dxa"/>
                  <w:vAlign w:val="center"/>
                </w:tcPr>
                <w:p>
                  <w:pPr>
                    <w:adjustRightInd w:val="0"/>
                    <w:snapToGrid w:val="0"/>
                    <w:jc w:val="center"/>
                    <w:rPr>
                      <w:rFonts w:hint="default"/>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总余氯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43" w:type="dxa"/>
                  <w:vAlign w:val="center"/>
                </w:tcPr>
                <w:p>
                  <w:pPr>
                    <w:adjustRightInd w:val="0"/>
                    <w:snapToGrid w:val="0"/>
                    <w:jc w:val="center"/>
                    <w:rPr>
                      <w:bCs/>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《医疗机构水污染物排放标准》（GB18466-2005）</w:t>
                  </w:r>
                </w:p>
              </w:tc>
              <w:tc>
                <w:tcPr>
                  <w:tcW w:w="942" w:type="dxa"/>
                  <w:vAlign w:val="center"/>
                </w:tcPr>
                <w:p>
                  <w:pPr>
                    <w:adjustRightInd w:val="0"/>
                    <w:snapToGrid w:val="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6.0~9.0</w:t>
                  </w:r>
                </w:p>
              </w:tc>
              <w:tc>
                <w:tcPr>
                  <w:tcW w:w="915" w:type="dxa"/>
                  <w:vAlign w:val="center"/>
                </w:tcPr>
                <w:p>
                  <w:pPr>
                    <w:adjustRightInd w:val="0"/>
                    <w:snapToGrid w:val="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250</w:t>
                  </w:r>
                  <w:r>
                    <w:rPr>
                      <w:rFonts w:hint="default" w:ascii="Times New Roman" w:hAnsi="Times New Roman" w:eastAsia="黑体" w:cs="Times New Roman"/>
                      <w:b w:val="0"/>
                      <w:bCs/>
                      <w:snapToGrid w:val="0"/>
                      <w:kern w:val="0"/>
                      <w:sz w:val="21"/>
                      <w:szCs w:val="21"/>
                    </w:rPr>
                    <w:t>mg/L</w:t>
                  </w:r>
                </w:p>
              </w:tc>
              <w:tc>
                <w:tcPr>
                  <w:tcW w:w="986" w:type="dxa"/>
                  <w:vAlign w:val="center"/>
                </w:tcPr>
                <w:p>
                  <w:pPr>
                    <w:adjustRightInd w:val="0"/>
                    <w:snapToGrid w:val="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100</w:t>
                  </w:r>
                  <w:r>
                    <w:rPr>
                      <w:rFonts w:hint="default" w:ascii="Times New Roman" w:hAnsi="Times New Roman" w:eastAsia="黑体" w:cs="Times New Roman"/>
                      <w:b w:val="0"/>
                      <w:bCs/>
                      <w:snapToGrid w:val="0"/>
                      <w:kern w:val="0"/>
                      <w:sz w:val="21"/>
                      <w:szCs w:val="21"/>
                    </w:rPr>
                    <w:t>mg/L</w:t>
                  </w:r>
                </w:p>
              </w:tc>
              <w:tc>
                <w:tcPr>
                  <w:tcW w:w="584" w:type="dxa"/>
                  <w:vAlign w:val="center"/>
                </w:tcPr>
                <w:p>
                  <w:pPr>
                    <w:adjustRightInd w:val="0"/>
                    <w:snapToGrid w:val="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w:t>
                  </w:r>
                </w:p>
              </w:tc>
              <w:tc>
                <w:tcPr>
                  <w:tcW w:w="881" w:type="dxa"/>
                  <w:vAlign w:val="center"/>
                </w:tcPr>
                <w:p>
                  <w:pPr>
                    <w:adjustRightInd w:val="0"/>
                    <w:snapToGrid w:val="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60</w:t>
                  </w:r>
                  <w:r>
                    <w:rPr>
                      <w:rFonts w:hint="default" w:ascii="Times New Roman" w:hAnsi="Times New Roman" w:eastAsia="黑体" w:cs="Times New Roman"/>
                      <w:b w:val="0"/>
                      <w:bCs/>
                      <w:snapToGrid w:val="0"/>
                      <w:kern w:val="0"/>
                      <w:sz w:val="21"/>
                      <w:szCs w:val="21"/>
                    </w:rPr>
                    <w:t>mg/L</w:t>
                  </w:r>
                </w:p>
              </w:tc>
              <w:tc>
                <w:tcPr>
                  <w:tcW w:w="1278" w:type="dxa"/>
                  <w:vAlign w:val="center"/>
                </w:tcPr>
                <w:p>
                  <w:pPr>
                    <w:adjustRightInd w:val="0"/>
                    <w:snapToGrid w:val="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5000MPN/L</w:t>
                  </w:r>
                </w:p>
              </w:tc>
              <w:tc>
                <w:tcPr>
                  <w:tcW w:w="584" w:type="dxa"/>
                  <w:vAlign w:val="center"/>
                </w:tcPr>
                <w:p>
                  <w:pPr>
                    <w:adjustRightInd w:val="0"/>
                    <w:snapToGrid w:val="0"/>
                    <w:jc w:val="center"/>
                    <w:rPr>
                      <w:rFonts w:hint="default" w:eastAsia="宋体"/>
                      <w:bCs/>
                      <w:color w:val="000000" w:themeColor="text1"/>
                      <w:sz w:val="21"/>
                      <w:szCs w:val="21"/>
                      <w:lang w:val="en-US" w:eastAsia="zh-CN"/>
                      <w14:textFill>
                        <w14:solidFill>
                          <w14:schemeClr w14:val="tx1"/>
                        </w14:solidFill>
                      </w14:textFill>
                    </w:rPr>
                  </w:pPr>
                  <w:r>
                    <w:rPr>
                      <w:rFonts w:hint="eastAsia"/>
                      <w:bCs/>
                      <w:color w:val="000000" w:themeColor="text1"/>
                      <w:sz w:val="21"/>
                      <w:szCs w:val="21"/>
                      <w:lang w:val="en-US" w:eastAsia="zh-CN"/>
                      <w14:textFill>
                        <w14:solidFill>
                          <w14:schemeClr w14:val="tx1"/>
                        </w14:solidFill>
                      </w14:textFill>
                    </w:rPr>
                    <w:t>-</w:t>
                  </w:r>
                </w:p>
              </w:tc>
            </w:tr>
          </w:tbl>
          <w:p>
            <w:pPr>
              <w:pStyle w:val="64"/>
              <w:numPr>
                <w:ilvl w:val="0"/>
                <w:numId w:val="6"/>
              </w:numPr>
              <w:ind w:left="0" w:leftChars="0" w:firstLine="480" w:firstLineChars="200"/>
              <w:rPr>
                <w:color w:val="000000" w:themeColor="text1"/>
                <w:szCs w:val="22"/>
                <w14:textFill>
                  <w14:solidFill>
                    <w14:schemeClr w14:val="tx1"/>
                  </w14:solidFill>
                </w14:textFill>
              </w:rPr>
            </w:pPr>
            <w:r>
              <w:rPr>
                <w:rFonts w:hint="eastAsia"/>
                <w:color w:val="000000" w:themeColor="text1"/>
                <w:szCs w:val="22"/>
                <w14:textFill>
                  <w14:solidFill>
                    <w14:schemeClr w14:val="tx1"/>
                  </w14:solidFill>
                </w14:textFill>
              </w:rPr>
              <w:t>噪声：</w:t>
            </w:r>
            <w:r>
              <w:rPr>
                <w:rFonts w:hint="eastAsia"/>
                <w:color w:val="000000" w:themeColor="text1"/>
                <w:sz w:val="24"/>
                <w14:textFill>
                  <w14:solidFill>
                    <w14:schemeClr w14:val="tx1"/>
                  </w14:solidFill>
                </w14:textFill>
              </w:rPr>
              <w:t>运营期边界噪声执行</w:t>
            </w:r>
            <w:r>
              <w:rPr>
                <w:color w:val="000000" w:themeColor="text1"/>
                <w:sz w:val="24"/>
                <w14:textFill>
                  <w14:solidFill>
                    <w14:schemeClr w14:val="tx1"/>
                  </w14:solidFill>
                </w14:textFill>
              </w:rPr>
              <w:t>《工业企业厂界环境噪声标准》（GB12348-2008）</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类标准</w:t>
            </w:r>
            <w:r>
              <w:rPr>
                <w:rFonts w:hint="eastAsia"/>
                <w:color w:val="000000" w:themeColor="text1"/>
                <w:sz w:val="24"/>
                <w:lang w:eastAsia="zh-CN"/>
                <w14:textFill>
                  <w14:solidFill>
                    <w14:schemeClr w14:val="tx1"/>
                  </w14:solidFill>
                </w14:textFill>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color w:val="000000" w:themeColor="text1"/>
                <w:kern w:val="0"/>
                <w:sz w:val="24"/>
                <w:szCs w:val="24"/>
                <w:lang w:val="en-US" w:eastAsia="zh-CN"/>
                <w14:textFill>
                  <w14:solidFill>
                    <w14:schemeClr w14:val="tx1"/>
                  </w14:solidFill>
                </w14:textFill>
              </w:rPr>
            </w:pP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表3-</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9</w:t>
            </w:r>
            <w:r>
              <w:rPr>
                <w:rFonts w:hint="default" w:ascii="Times New Roman" w:hAnsi="Times New Roman" w:eastAsia="黑体" w:cs="Times New Roman"/>
                <w:b w:val="0"/>
                <w:bCs/>
                <w:snapToGrid w:val="0"/>
                <w:color w:val="000000" w:themeColor="text1"/>
                <w:kern w:val="0"/>
                <w:sz w:val="24"/>
                <w:szCs w:val="24"/>
                <w14:textFill>
                  <w14:solidFill>
                    <w14:schemeClr w14:val="tx1"/>
                  </w14:solidFill>
                </w14:textFill>
              </w:rPr>
              <w:t xml:space="preserve">    </w:t>
            </w:r>
            <w:r>
              <w:rPr>
                <w:rFonts w:hint="eastAsia" w:eastAsia="黑体" w:cs="Times New Roman"/>
                <w:b w:val="0"/>
                <w:bCs/>
                <w:snapToGrid w:val="0"/>
                <w:color w:val="000000" w:themeColor="text1"/>
                <w:kern w:val="0"/>
                <w:sz w:val="24"/>
                <w:szCs w:val="24"/>
                <w:lang w:val="en-US" w:eastAsia="zh-CN"/>
                <w14:textFill>
                  <w14:solidFill>
                    <w14:schemeClr w14:val="tx1"/>
                  </w14:solidFill>
                </w14:textFill>
              </w:rPr>
              <w:t>噪声限值一览表</w:t>
            </w:r>
          </w:p>
          <w:tbl>
            <w:tblPr>
              <w:tblStyle w:val="28"/>
              <w:tblW w:w="805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85"/>
              <w:gridCol w:w="2686"/>
              <w:gridCol w:w="2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trPr>
              <w:tc>
                <w:tcPr>
                  <w:tcW w:w="2685" w:type="dxa"/>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类  别</w:t>
                  </w:r>
                </w:p>
              </w:tc>
              <w:tc>
                <w:tcPr>
                  <w:tcW w:w="2686" w:type="dxa"/>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昼  间</w:t>
                  </w:r>
                </w:p>
              </w:tc>
              <w:tc>
                <w:tcPr>
                  <w:tcW w:w="2686" w:type="dxa"/>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夜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685"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1</w:t>
                  </w:r>
                  <w:r>
                    <w:rPr>
                      <w:color w:val="000000" w:themeColor="text1"/>
                      <w:szCs w:val="21"/>
                      <w14:textFill>
                        <w14:solidFill>
                          <w14:schemeClr w14:val="tx1"/>
                        </w14:solidFill>
                      </w14:textFill>
                    </w:rPr>
                    <w:t>类标准</w:t>
                  </w:r>
                </w:p>
              </w:tc>
              <w:tc>
                <w:tcPr>
                  <w:tcW w:w="2686"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55</w:t>
                  </w:r>
                  <w:r>
                    <w:rPr>
                      <w:color w:val="000000" w:themeColor="text1"/>
                      <w14:textFill>
                        <w14:solidFill>
                          <w14:schemeClr w14:val="tx1"/>
                        </w14:solidFill>
                      </w14:textFill>
                    </w:rPr>
                    <w:t>dB（A）</w:t>
                  </w:r>
                </w:p>
              </w:tc>
              <w:tc>
                <w:tcPr>
                  <w:tcW w:w="2686" w:type="dxa"/>
                  <w:vAlign w:val="center"/>
                </w:tcPr>
                <w:p>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45</w:t>
                  </w:r>
                  <w:r>
                    <w:rPr>
                      <w:color w:val="000000" w:themeColor="text1"/>
                      <w14:textFill>
                        <w14:solidFill>
                          <w14:schemeClr w14:val="tx1"/>
                        </w14:solidFill>
                      </w14:textFill>
                    </w:rPr>
                    <w:t xml:space="preserve"> dB（A）</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20" w:firstLineChars="200"/>
              <w:rPr>
                <w:rFonts w:hint="eastAsia" w:ascii="宋体" w:hAnsi="宋体" w:eastAsia="宋体"/>
                <w:kern w:val="0"/>
                <w:lang w:val="en-US" w:eastAsia="zh-CN"/>
              </w:rPr>
            </w:pPr>
            <w:r>
              <w:rPr>
                <w:rFonts w:hint="eastAsia"/>
                <w:szCs w:val="22"/>
              </w:rPr>
              <w:t>（4）</w:t>
            </w:r>
            <w:r>
              <w:rPr>
                <w:rFonts w:hint="eastAsia"/>
                <w:sz w:val="24"/>
              </w:rPr>
              <w:t>运营期</w:t>
            </w:r>
            <w:r>
              <w:rPr>
                <w:rFonts w:hint="eastAsia"/>
                <w:sz w:val="24"/>
                <w:lang w:val="en-US" w:eastAsia="zh-CN"/>
              </w:rPr>
              <w:t>一般</w:t>
            </w:r>
            <w:r>
              <w:rPr>
                <w:rFonts w:hint="eastAsia"/>
                <w:sz w:val="24"/>
              </w:rPr>
              <w:t>固废执行《一般工业固体废物贮存和填埋污染控制标准》（GB18599-2020）；医疗废物执行</w:t>
            </w:r>
            <w:r>
              <w:rPr>
                <w:sz w:val="24"/>
                <w:lang w:bidi="ar"/>
              </w:rPr>
              <w:t>《危险废物贮存污染控制标准》（GB18597-2001）及其</w:t>
            </w:r>
            <w:r>
              <w:rPr>
                <w:rFonts w:hint="eastAsia"/>
                <w:sz w:val="24"/>
                <w:lang w:bidi="ar"/>
              </w:rPr>
              <w:t>2</w:t>
            </w:r>
            <w:r>
              <w:rPr>
                <w:sz w:val="24"/>
                <w:lang w:bidi="ar"/>
              </w:rPr>
              <w:t>013</w:t>
            </w:r>
            <w:r>
              <w:rPr>
                <w:rFonts w:hint="eastAsia"/>
                <w:sz w:val="24"/>
                <w:lang w:bidi="ar"/>
              </w:rPr>
              <w:t>年</w:t>
            </w:r>
            <w:r>
              <w:rPr>
                <w:sz w:val="24"/>
                <w:lang w:bidi="ar"/>
              </w:rPr>
              <w:t>修改单。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63" w:hRule="atLeast"/>
          <w:jc w:val="center"/>
        </w:trPr>
        <w:tc>
          <w:tcPr>
            <w:tcW w:w="657" w:type="dxa"/>
            <w:tcMar>
              <w:left w:w="28" w:type="dxa"/>
              <w:right w:w="28" w:type="dxa"/>
            </w:tcMar>
            <w:vAlign w:val="center"/>
          </w:tcPr>
          <w:p>
            <w:pPr>
              <w:adjustRightInd w:val="0"/>
              <w:snapToGrid w:val="0"/>
              <w:jc w:val="center"/>
              <w:rPr>
                <w:rFonts w:ascii="宋体" w:hAnsi="宋体" w:cs="宋体"/>
                <w:kern w:val="0"/>
                <w:sz w:val="24"/>
              </w:rPr>
            </w:pPr>
            <w:r>
              <w:rPr>
                <w:rFonts w:hint="eastAsia" w:ascii="宋体" w:hAnsi="宋体" w:cs="宋体"/>
                <w:kern w:val="0"/>
                <w:sz w:val="24"/>
              </w:rPr>
              <w:t>总</w:t>
            </w:r>
          </w:p>
          <w:p>
            <w:pPr>
              <w:adjustRightInd w:val="0"/>
              <w:snapToGrid w:val="0"/>
              <w:jc w:val="center"/>
              <w:rPr>
                <w:rFonts w:ascii="宋体" w:hAnsi="宋体" w:cs="宋体"/>
                <w:kern w:val="0"/>
                <w:sz w:val="24"/>
              </w:rPr>
            </w:pPr>
            <w:r>
              <w:rPr>
                <w:rFonts w:hint="eastAsia" w:ascii="宋体" w:hAnsi="宋体" w:cs="宋体"/>
                <w:kern w:val="0"/>
                <w:sz w:val="24"/>
              </w:rPr>
              <w:t>量</w:t>
            </w:r>
          </w:p>
          <w:p>
            <w:pPr>
              <w:adjustRightInd w:val="0"/>
              <w:snapToGrid w:val="0"/>
              <w:jc w:val="center"/>
              <w:rPr>
                <w:rFonts w:ascii="宋体" w:hAnsi="宋体" w:cs="宋体"/>
                <w:kern w:val="0"/>
                <w:sz w:val="24"/>
              </w:rPr>
            </w:pPr>
            <w:r>
              <w:rPr>
                <w:rFonts w:hint="eastAsia" w:ascii="宋体" w:hAnsi="宋体" w:cs="宋体"/>
                <w:kern w:val="0"/>
                <w:sz w:val="24"/>
              </w:rPr>
              <w:t>控</w:t>
            </w:r>
          </w:p>
          <w:p>
            <w:pPr>
              <w:adjustRightInd w:val="0"/>
              <w:snapToGrid w:val="0"/>
              <w:jc w:val="center"/>
              <w:rPr>
                <w:rFonts w:ascii="宋体" w:hAnsi="宋体" w:cs="宋体"/>
                <w:kern w:val="0"/>
                <w:sz w:val="24"/>
              </w:rPr>
            </w:pPr>
            <w:r>
              <w:rPr>
                <w:rFonts w:hint="eastAsia" w:ascii="宋体" w:hAnsi="宋体" w:cs="宋体"/>
                <w:kern w:val="0"/>
                <w:sz w:val="24"/>
              </w:rPr>
              <w:t>制</w:t>
            </w:r>
          </w:p>
          <w:p>
            <w:pPr>
              <w:adjustRightInd w:val="0"/>
              <w:snapToGrid w:val="0"/>
              <w:jc w:val="center"/>
              <w:rPr>
                <w:rFonts w:ascii="宋体" w:hAnsi="宋体" w:cs="宋体"/>
                <w:kern w:val="0"/>
                <w:sz w:val="24"/>
              </w:rPr>
            </w:pPr>
            <w:r>
              <w:rPr>
                <w:rFonts w:hint="eastAsia" w:ascii="宋体" w:hAnsi="宋体" w:cs="宋体"/>
                <w:kern w:val="0"/>
                <w:sz w:val="24"/>
              </w:rPr>
              <w:t>指</w:t>
            </w:r>
          </w:p>
          <w:p>
            <w:pPr>
              <w:adjustRightInd w:val="0"/>
              <w:snapToGrid w:val="0"/>
              <w:jc w:val="center"/>
              <w:rPr>
                <w:rFonts w:hint="eastAsia" w:ascii="宋体" w:hAnsi="宋体" w:cs="宋体"/>
                <w:kern w:val="0"/>
                <w:sz w:val="24"/>
              </w:rPr>
            </w:pPr>
            <w:r>
              <w:rPr>
                <w:rFonts w:hint="eastAsia" w:ascii="宋体" w:hAnsi="宋体" w:cs="宋体"/>
                <w:kern w:val="0"/>
                <w:sz w:val="24"/>
              </w:rPr>
              <w:t>标</w:t>
            </w:r>
          </w:p>
        </w:tc>
        <w:tc>
          <w:tcPr>
            <w:tcW w:w="8333" w:type="dxa"/>
            <w:vAlign w:val="center"/>
          </w:tcPr>
          <w:p>
            <w:pPr>
              <w:spacing w:line="360" w:lineRule="auto"/>
              <w:ind w:firstLine="480" w:firstLineChars="200"/>
              <w:rPr>
                <w:rFonts w:hint="eastAsia"/>
                <w:szCs w:val="22"/>
              </w:rPr>
            </w:pPr>
            <w:r>
              <w:rPr>
                <w:rFonts w:hint="eastAsia"/>
                <w:sz w:val="24"/>
                <w:lang w:val="en-US" w:eastAsia="zh-CN"/>
              </w:rPr>
              <w:t>本项目冬季采暖由集中供热管网接入，</w:t>
            </w:r>
            <w:r>
              <w:rPr>
                <w:rFonts w:hint="eastAsia"/>
                <w:sz w:val="24"/>
              </w:rPr>
              <w:t>无SO</w:t>
            </w:r>
            <w:r>
              <w:rPr>
                <w:rFonts w:hint="eastAsia"/>
                <w:sz w:val="24"/>
                <w:vertAlign w:val="subscript"/>
              </w:rPr>
              <w:t>2</w:t>
            </w:r>
            <w:r>
              <w:rPr>
                <w:rFonts w:hint="eastAsia"/>
                <w:sz w:val="24"/>
              </w:rPr>
              <w:t>、NOx产生</w:t>
            </w:r>
            <w:r>
              <w:rPr>
                <w:rFonts w:hint="eastAsia"/>
                <w:sz w:val="24"/>
                <w:lang w:eastAsia="zh-CN"/>
              </w:rPr>
              <w:t>；</w:t>
            </w:r>
            <w:r>
              <w:rPr>
                <w:rFonts w:hint="eastAsia"/>
                <w:sz w:val="24"/>
              </w:rPr>
              <w:t>医院内混合废水经医疗废水处理站处理满足《医疗机构水污染物排放表》（GB18466-2005）表2中预处理标准要求，最终排入玛纳斯县污水处理厂；</w:t>
            </w:r>
            <w:r>
              <w:rPr>
                <w:rFonts w:hint="eastAsia"/>
                <w:sz w:val="24"/>
                <w:lang w:val="en-US" w:eastAsia="zh-CN"/>
              </w:rPr>
              <w:t>故本项目</w:t>
            </w:r>
            <w:r>
              <w:rPr>
                <w:rFonts w:hint="eastAsia"/>
                <w:sz w:val="24"/>
              </w:rPr>
              <w:t>无需申请总量指标。</w:t>
            </w:r>
          </w:p>
        </w:tc>
      </w:tr>
    </w:tbl>
    <w:p>
      <w:pPr>
        <w:pStyle w:val="24"/>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28"/>
        <w:tblW w:w="92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45"/>
        <w:gridCol w:w="89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67" w:hRule="atLeast"/>
          <w:jc w:val="center"/>
        </w:trPr>
        <w:tc>
          <w:tcPr>
            <w:tcW w:w="811" w:type="dxa"/>
            <w:tcMar>
              <w:left w:w="28" w:type="dxa"/>
              <w:right w:w="28" w:type="dxa"/>
            </w:tcMar>
            <w:vAlign w:val="center"/>
          </w:tcPr>
          <w:p>
            <w:pPr>
              <w:widowControl/>
              <w:spacing w:line="520" w:lineRule="exact"/>
              <w:jc w:val="center"/>
              <w:rPr>
                <w:sz w:val="24"/>
              </w:rPr>
            </w:pPr>
            <w:r>
              <w:rPr>
                <w:sz w:val="24"/>
              </w:rPr>
              <w:t>施工</w:t>
            </w:r>
          </w:p>
          <w:p>
            <w:pPr>
              <w:widowControl/>
              <w:spacing w:line="520" w:lineRule="exact"/>
              <w:jc w:val="center"/>
              <w:rPr>
                <w:sz w:val="24"/>
              </w:rPr>
            </w:pPr>
            <w:r>
              <w:rPr>
                <w:sz w:val="24"/>
              </w:rPr>
              <w:t>期环</w:t>
            </w:r>
          </w:p>
          <w:p>
            <w:pPr>
              <w:widowControl/>
              <w:spacing w:line="520" w:lineRule="exact"/>
              <w:jc w:val="center"/>
              <w:rPr>
                <w:sz w:val="24"/>
              </w:rPr>
            </w:pPr>
            <w:r>
              <w:rPr>
                <w:sz w:val="24"/>
              </w:rPr>
              <w:t>境保</w:t>
            </w:r>
          </w:p>
          <w:p>
            <w:pPr>
              <w:widowControl/>
              <w:spacing w:line="520" w:lineRule="exact"/>
              <w:jc w:val="center"/>
              <w:rPr>
                <w:sz w:val="24"/>
              </w:rPr>
            </w:pPr>
            <w:r>
              <w:rPr>
                <w:sz w:val="24"/>
              </w:rPr>
              <w:t>护措</w:t>
            </w:r>
          </w:p>
          <w:p>
            <w:pPr>
              <w:widowControl/>
              <w:spacing w:line="520" w:lineRule="exact"/>
              <w:jc w:val="center"/>
              <w:rPr>
                <w:sz w:val="24"/>
              </w:rPr>
            </w:pPr>
            <w:r>
              <w:rPr>
                <w:sz w:val="24"/>
              </w:rPr>
              <w:t>施</w:t>
            </w:r>
          </w:p>
        </w:tc>
        <w:tc>
          <w:tcPr>
            <w:tcW w:w="8445" w:type="dxa"/>
            <w:vAlign w:val="center"/>
          </w:tcPr>
          <w:p>
            <w:pPr>
              <w:topLinePunct/>
              <w:adjustRightInd w:val="0"/>
              <w:snapToGrid w:val="0"/>
              <w:spacing w:line="520" w:lineRule="exact"/>
              <w:ind w:firstLine="482" w:firstLineChars="200"/>
              <w:rPr>
                <w:rFonts w:hint="default" w:eastAsia="宋体"/>
                <w:b/>
                <w:bCs/>
                <w:snapToGrid w:val="0"/>
                <w:kern w:val="0"/>
                <w:sz w:val="24"/>
                <w:lang w:val="en-US" w:eastAsia="zh-CN"/>
              </w:rPr>
            </w:pPr>
            <w:r>
              <w:rPr>
                <w:b/>
                <w:bCs/>
                <w:snapToGrid w:val="0"/>
                <w:kern w:val="0"/>
                <w:sz w:val="24"/>
              </w:rPr>
              <w:t>1</w:t>
            </w:r>
            <w:r>
              <w:rPr>
                <w:rFonts w:hint="eastAsia"/>
                <w:b/>
                <w:bCs/>
                <w:snapToGrid w:val="0"/>
                <w:kern w:val="0"/>
                <w:sz w:val="24"/>
                <w:lang w:eastAsia="zh-CN"/>
              </w:rPr>
              <w:t>.</w:t>
            </w:r>
            <w:r>
              <w:rPr>
                <w:b/>
                <w:bCs/>
                <w:snapToGrid w:val="0"/>
                <w:kern w:val="0"/>
                <w:sz w:val="24"/>
              </w:rPr>
              <w:t>施工期大气</w:t>
            </w:r>
          </w:p>
          <w:p>
            <w:pPr>
              <w:keepNext w:val="0"/>
              <w:keepLines w:val="0"/>
              <w:pageBreakBefore w:val="0"/>
              <w:kinsoku/>
              <w:wordWrap/>
              <w:overflowPunct/>
              <w:topLinePunct/>
              <w:bidi w:val="0"/>
              <w:adjustRightInd w:val="0"/>
              <w:snapToGrid w:val="0"/>
              <w:spacing w:line="520" w:lineRule="exact"/>
              <w:ind w:right="0" w:firstLine="480" w:firstLineChars="200"/>
              <w:rPr>
                <w:rFonts w:hint="eastAsia"/>
                <w:snapToGrid w:val="0"/>
                <w:color w:val="000000"/>
                <w:kern w:val="0"/>
                <w:sz w:val="24"/>
                <w:szCs w:val="24"/>
              </w:rPr>
            </w:pPr>
            <w:r>
              <w:rPr>
                <w:rFonts w:hint="eastAsia"/>
                <w:snapToGrid w:val="0"/>
                <w:color w:val="000000"/>
                <w:kern w:val="0"/>
                <w:sz w:val="24"/>
                <w:szCs w:val="24"/>
              </w:rPr>
              <w:t>（1）施工期主要大气污染源</w:t>
            </w:r>
          </w:p>
          <w:p>
            <w:pPr>
              <w:topLinePunct/>
              <w:adjustRightInd w:val="0"/>
              <w:snapToGrid w:val="0"/>
              <w:spacing w:line="520" w:lineRule="exact"/>
              <w:ind w:firstLine="480" w:firstLineChars="200"/>
              <w:rPr>
                <w:snapToGrid w:val="0"/>
                <w:kern w:val="0"/>
                <w:sz w:val="24"/>
              </w:rPr>
            </w:pPr>
            <w:r>
              <w:rPr>
                <w:snapToGrid w:val="0"/>
                <w:kern w:val="0"/>
                <w:sz w:val="24"/>
              </w:rPr>
              <w:t>施工期产生的大气污染物主要为场地平整、挖掘时的泥土扬尘，搅拌混凝土时的扬尘，白灰、水泥、砂子、砖等建筑材料搬运、堆放时的扬尘，建筑垃圾堆放、清理时的扬尘，运输车辆扬尘以及施工机械燃油产生的少量SO</w:t>
            </w:r>
            <w:r>
              <w:rPr>
                <w:snapToGrid w:val="0"/>
                <w:kern w:val="0"/>
                <w:sz w:val="24"/>
                <w:vertAlign w:val="subscript"/>
              </w:rPr>
              <w:t>2</w:t>
            </w:r>
            <w:r>
              <w:rPr>
                <w:snapToGrid w:val="0"/>
                <w:kern w:val="0"/>
                <w:sz w:val="24"/>
              </w:rPr>
              <w:t>、NO</w:t>
            </w:r>
            <w:r>
              <w:rPr>
                <w:snapToGrid w:val="0"/>
                <w:kern w:val="0"/>
                <w:sz w:val="24"/>
                <w:vertAlign w:val="subscript"/>
              </w:rPr>
              <w:t>x</w:t>
            </w:r>
            <w:r>
              <w:rPr>
                <w:snapToGrid w:val="0"/>
                <w:kern w:val="0"/>
                <w:sz w:val="24"/>
              </w:rPr>
              <w:t>、CO等气体。</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ascii="Times New Roman" w:hAnsi="Times New Roman" w:eastAsia="宋体" w:cs="Times New Roman"/>
                <w:snapToGrid w:val="0"/>
                <w:kern w:val="0"/>
                <w:sz w:val="24"/>
              </w:rPr>
              <w:t>（</w:t>
            </w:r>
            <w:r>
              <w:rPr>
                <w:rFonts w:hint="eastAsia" w:ascii="Times New Roman" w:hAnsi="Times New Roman" w:eastAsia="宋体" w:cs="Times New Roman"/>
                <w:snapToGrid w:val="0"/>
                <w:kern w:val="0"/>
                <w:sz w:val="24"/>
                <w:lang w:val="en-US" w:eastAsia="zh-CN"/>
              </w:rPr>
              <w:t>2</w:t>
            </w:r>
            <w:r>
              <w:rPr>
                <w:rFonts w:ascii="Times New Roman" w:hAnsi="Times New Roman" w:eastAsia="宋体" w:cs="Times New Roman"/>
                <w:snapToGrid w:val="0"/>
                <w:kern w:val="0"/>
                <w:sz w:val="24"/>
              </w:rPr>
              <w:t>）施工扬尘防治措施</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1）</w:t>
            </w:r>
            <w:r>
              <w:rPr>
                <w:rFonts w:ascii="Times New Roman" w:hAnsi="Times New Roman" w:eastAsia="宋体" w:cs="Times New Roman"/>
                <w:snapToGrid w:val="0"/>
                <w:kern w:val="0"/>
                <w:sz w:val="24"/>
              </w:rPr>
              <w:t>施工现场实行围挡封闭，出入口位置配备车辆冲洗设施；</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2）</w:t>
            </w:r>
            <w:r>
              <w:rPr>
                <w:rFonts w:ascii="Times New Roman" w:hAnsi="Times New Roman" w:eastAsia="宋体" w:cs="Times New Roman"/>
                <w:snapToGrid w:val="0"/>
                <w:kern w:val="0"/>
                <w:sz w:val="24"/>
              </w:rPr>
              <w:t>施工现场出入口、主要道路、加工区等采取硬化处理措施；</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3）</w:t>
            </w:r>
            <w:r>
              <w:rPr>
                <w:rFonts w:ascii="Times New Roman" w:hAnsi="Times New Roman" w:eastAsia="宋体" w:cs="Times New Roman"/>
                <w:snapToGrid w:val="0"/>
                <w:kern w:val="0"/>
                <w:sz w:val="24"/>
              </w:rPr>
              <w:t>施工现场采取洒水、覆盖、铺装等降尘措施；</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4）</w:t>
            </w:r>
            <w:r>
              <w:rPr>
                <w:rFonts w:ascii="Times New Roman" w:hAnsi="Times New Roman" w:eastAsia="宋体" w:cs="Times New Roman"/>
                <w:snapToGrid w:val="0"/>
                <w:kern w:val="0"/>
                <w:sz w:val="24"/>
              </w:rPr>
              <w:t>建筑垃圾采取封闭方式清运，严禁高处抛洒；</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5）</w:t>
            </w:r>
            <w:r>
              <w:rPr>
                <w:rFonts w:ascii="Times New Roman" w:hAnsi="Times New Roman" w:eastAsia="宋体" w:cs="Times New Roman"/>
                <w:snapToGrid w:val="0"/>
                <w:kern w:val="0"/>
                <w:sz w:val="24"/>
              </w:rPr>
              <w:t>外脚手架设置悬挂密目式安全网的方式封闭；</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6）</w:t>
            </w:r>
            <w:r>
              <w:rPr>
                <w:rFonts w:ascii="Times New Roman" w:hAnsi="Times New Roman" w:eastAsia="宋体" w:cs="Times New Roman"/>
                <w:snapToGrid w:val="0"/>
                <w:kern w:val="0"/>
                <w:sz w:val="24"/>
              </w:rPr>
              <w:t>施工现场禁止焚烧沥青、油毡、橡胶、垃圾等易产生有毒有害烟尘和恶臭气体的物质；</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7）</w:t>
            </w:r>
            <w:r>
              <w:rPr>
                <w:rFonts w:ascii="Times New Roman" w:hAnsi="Times New Roman" w:eastAsia="宋体" w:cs="Times New Roman"/>
                <w:snapToGrid w:val="0"/>
                <w:kern w:val="0"/>
                <w:sz w:val="24"/>
              </w:rPr>
              <w:t>易产生扬尘的建筑材料采取封闭运输；</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8）</w:t>
            </w:r>
            <w:r>
              <w:rPr>
                <w:rFonts w:ascii="Times New Roman" w:hAnsi="Times New Roman" w:eastAsia="宋体" w:cs="Times New Roman"/>
                <w:snapToGrid w:val="0"/>
                <w:kern w:val="0"/>
                <w:sz w:val="24"/>
              </w:rPr>
              <w:t>建筑垃圾运输、处理时，按照城市人民政府市容环境卫生行政主管部门规定的时间、路线和要求，清运到指定的场所处理；</w:t>
            </w:r>
          </w:p>
          <w:p>
            <w:pPr>
              <w:topLinePunct/>
              <w:adjustRightInd w:val="0"/>
              <w:snapToGrid w:val="0"/>
              <w:spacing w:line="520" w:lineRule="exact"/>
              <w:ind w:firstLine="480" w:firstLineChars="200"/>
              <w:rPr>
                <w:rFonts w:ascii="Times New Roman" w:hAnsi="Times New Roman" w:eastAsia="宋体" w:cs="Times New Roman"/>
                <w:snapToGrid w:val="0"/>
                <w:kern w:val="0"/>
                <w:sz w:val="24"/>
              </w:rPr>
            </w:pPr>
            <w:r>
              <w:rPr>
                <w:rFonts w:hint="eastAsia" w:cs="Times New Roman"/>
                <w:snapToGrid w:val="0"/>
                <w:kern w:val="0"/>
                <w:sz w:val="24"/>
                <w:lang w:val="en-US" w:eastAsia="zh-CN"/>
              </w:rPr>
              <w:t>9）</w:t>
            </w:r>
            <w:r>
              <w:rPr>
                <w:rFonts w:ascii="Times New Roman" w:hAnsi="Times New Roman" w:eastAsia="宋体" w:cs="Times New Roman"/>
                <w:snapToGrid w:val="0"/>
                <w:kern w:val="0"/>
                <w:sz w:val="24"/>
              </w:rPr>
              <w:t>启动</w:t>
            </w:r>
            <w:r>
              <w:rPr>
                <w:rFonts w:hint="eastAsia" w:ascii="Times New Roman" w:hAnsi="Times New Roman" w:eastAsia="宋体" w:cs="Times New Roman"/>
                <w:snapToGrid w:val="0"/>
                <w:kern w:val="0"/>
                <w:sz w:val="24"/>
              </w:rPr>
              <w:t>Ⅲ</w:t>
            </w:r>
            <w:r>
              <w:rPr>
                <w:rFonts w:ascii="Times New Roman" w:hAnsi="Times New Roman" w:eastAsia="宋体" w:cs="Times New Roman"/>
                <w:snapToGrid w:val="0"/>
                <w:kern w:val="0"/>
                <w:sz w:val="24"/>
              </w:rPr>
              <w:t>级（黄色）预警或气象预报风速达到四级以上时，不得进行土方挖填、转运和拆除等易产生扬尘的作业；</w:t>
            </w:r>
          </w:p>
          <w:p>
            <w:pPr>
              <w:topLinePunct/>
              <w:adjustRightInd w:val="0"/>
              <w:snapToGrid w:val="0"/>
              <w:spacing w:line="520" w:lineRule="exact"/>
              <w:ind w:firstLine="480" w:firstLineChars="200"/>
              <w:rPr>
                <w:rFonts w:hint="eastAsia" w:ascii="Times New Roman" w:hAnsi="Times New Roman" w:eastAsia="宋体" w:cs="Times New Roman"/>
                <w:snapToGrid w:val="0"/>
                <w:kern w:val="0"/>
                <w:sz w:val="24"/>
                <w:lang w:eastAsia="zh-CN"/>
              </w:rPr>
            </w:pPr>
            <w:r>
              <w:rPr>
                <w:rFonts w:hint="eastAsia" w:cs="Times New Roman"/>
                <w:snapToGrid w:val="0"/>
                <w:kern w:val="0"/>
                <w:sz w:val="24"/>
                <w:lang w:val="en-US" w:eastAsia="zh-CN"/>
              </w:rPr>
              <w:t>10）</w:t>
            </w:r>
            <w:r>
              <w:rPr>
                <w:rFonts w:ascii="Times New Roman" w:hAnsi="Times New Roman" w:eastAsia="宋体" w:cs="Times New Roman"/>
                <w:snapToGrid w:val="0"/>
                <w:kern w:val="0"/>
                <w:sz w:val="24"/>
              </w:rPr>
              <w:t>施工期间，施工单位应在项目区域四周边界设置高度在2.5米以上的围挡。围挡底端应设置防溢座，两侧围挡之间以及围挡与防溢座之间无缝隙</w:t>
            </w:r>
            <w:r>
              <w:rPr>
                <w:rFonts w:hint="eastAsia" w:cs="Times New Roman"/>
                <w:snapToGrid w:val="0"/>
                <w:kern w:val="0"/>
                <w:sz w:val="24"/>
                <w:lang w:eastAsia="zh-CN"/>
              </w:rPr>
              <w:t>。</w:t>
            </w:r>
          </w:p>
          <w:p>
            <w:pPr>
              <w:autoSpaceDE w:val="0"/>
              <w:autoSpaceDN w:val="0"/>
              <w:adjustRightInd w:val="0"/>
              <w:snapToGrid w:val="0"/>
              <w:spacing w:line="520" w:lineRule="exact"/>
              <w:ind w:firstLine="482" w:firstLineChars="200"/>
              <w:textAlignment w:val="baseline"/>
              <w:rPr>
                <w:b/>
                <w:sz w:val="24"/>
              </w:rPr>
            </w:pPr>
            <w:r>
              <w:rPr>
                <w:b/>
                <w:bCs/>
                <w:snapToGrid w:val="0"/>
                <w:kern w:val="0"/>
                <w:sz w:val="24"/>
              </w:rPr>
              <w:t>2</w:t>
            </w:r>
            <w:r>
              <w:rPr>
                <w:rFonts w:hint="eastAsia"/>
                <w:b/>
                <w:bCs/>
                <w:snapToGrid w:val="0"/>
                <w:kern w:val="0"/>
                <w:sz w:val="24"/>
                <w:lang w:eastAsia="zh-CN"/>
              </w:rPr>
              <w:t>.</w:t>
            </w:r>
            <w:r>
              <w:rPr>
                <w:b/>
                <w:sz w:val="24"/>
              </w:rPr>
              <w:t>施工期</w:t>
            </w:r>
            <w:r>
              <w:rPr>
                <w:rFonts w:hint="eastAsia"/>
                <w:b/>
                <w:sz w:val="24"/>
                <w:lang w:val="en-US" w:eastAsia="zh-CN"/>
              </w:rPr>
              <w:t>废</w:t>
            </w:r>
            <w:r>
              <w:rPr>
                <w:b/>
                <w:sz w:val="24"/>
              </w:rPr>
              <w:t>水</w:t>
            </w:r>
          </w:p>
          <w:p>
            <w:pPr>
              <w:keepNext w:val="0"/>
              <w:keepLines w:val="0"/>
              <w:pageBreakBefore w:val="0"/>
              <w:kinsoku/>
              <w:wordWrap/>
              <w:overflowPunct/>
              <w:topLinePunct w:val="0"/>
              <w:autoSpaceDE w:val="0"/>
              <w:autoSpaceDN w:val="0"/>
              <w:bidi w:val="0"/>
              <w:adjustRightInd w:val="0"/>
              <w:snapToGrid w:val="0"/>
              <w:spacing w:line="520" w:lineRule="exact"/>
              <w:ind w:right="0" w:firstLine="480" w:firstLineChars="200"/>
              <w:textAlignment w:val="baseline"/>
              <w:rPr>
                <w:rFonts w:hint="eastAsia"/>
                <w:color w:val="000000"/>
                <w:sz w:val="24"/>
                <w:szCs w:val="24"/>
              </w:rPr>
            </w:pPr>
            <w:r>
              <w:rPr>
                <w:color w:val="000000"/>
                <w:sz w:val="24"/>
                <w:szCs w:val="24"/>
              </w:rPr>
              <w:t>施工期产生的废水主要包括车辆、机械设备的冲洗废水和施工时产生的</w:t>
            </w:r>
            <w:r>
              <w:rPr>
                <w:rFonts w:hint="eastAsia"/>
                <w:color w:val="000000"/>
                <w:sz w:val="24"/>
                <w:szCs w:val="24"/>
              </w:rPr>
              <w:t>生活</w:t>
            </w:r>
            <w:r>
              <w:rPr>
                <w:color w:val="000000"/>
                <w:sz w:val="24"/>
                <w:szCs w:val="24"/>
              </w:rPr>
              <w:t>废水等。</w:t>
            </w:r>
          </w:p>
          <w:p>
            <w:pPr>
              <w:keepNext w:val="0"/>
              <w:keepLines w:val="0"/>
              <w:pageBreakBefore w:val="0"/>
              <w:kinsoku/>
              <w:wordWrap/>
              <w:overflowPunct/>
              <w:topLinePunct w:val="0"/>
              <w:autoSpaceDE w:val="0"/>
              <w:autoSpaceDN w:val="0"/>
              <w:bidi w:val="0"/>
              <w:adjustRightInd w:val="0"/>
              <w:snapToGrid w:val="0"/>
              <w:spacing w:line="520" w:lineRule="exact"/>
              <w:ind w:right="0" w:firstLine="480" w:firstLineChars="200"/>
              <w:textAlignment w:val="baseline"/>
              <w:rPr>
                <w:rFonts w:hint="eastAsia"/>
                <w:color w:val="000000"/>
                <w:sz w:val="24"/>
                <w:szCs w:val="24"/>
              </w:rPr>
            </w:pPr>
            <w:r>
              <w:rPr>
                <w:color w:val="000000"/>
                <w:sz w:val="24"/>
                <w:szCs w:val="24"/>
              </w:rPr>
              <w:t>（1）施工</w:t>
            </w:r>
            <w:r>
              <w:rPr>
                <w:rFonts w:hint="eastAsia"/>
                <w:color w:val="000000"/>
                <w:sz w:val="24"/>
                <w:szCs w:val="24"/>
              </w:rPr>
              <w:t>作业废水</w:t>
            </w:r>
          </w:p>
          <w:p>
            <w:pPr>
              <w:keepNext w:val="0"/>
              <w:keepLines w:val="0"/>
              <w:pageBreakBefore w:val="0"/>
              <w:kinsoku/>
              <w:wordWrap/>
              <w:overflowPunct/>
              <w:topLinePunct w:val="0"/>
              <w:autoSpaceDE w:val="0"/>
              <w:autoSpaceDN w:val="0"/>
              <w:bidi w:val="0"/>
              <w:adjustRightInd w:val="0"/>
              <w:snapToGrid w:val="0"/>
              <w:spacing w:line="520" w:lineRule="exact"/>
              <w:ind w:right="0" w:firstLine="480" w:firstLineChars="200"/>
              <w:textAlignment w:val="baseline"/>
              <w:rPr>
                <w:rFonts w:hint="eastAsia"/>
                <w:color w:val="000000"/>
                <w:sz w:val="24"/>
                <w:szCs w:val="24"/>
              </w:rPr>
            </w:pPr>
            <w:r>
              <w:rPr>
                <w:rFonts w:hint="eastAsia"/>
                <w:color w:val="000000"/>
                <w:sz w:val="24"/>
              </w:rPr>
              <w:t>本项目施工作业废水分为混凝土养护废水、机械设备冲洗废水。前一种废水以悬浮物污染为主；而机械设备冲洗废水主要以悬浮物和石油类污染为主。</w:t>
            </w:r>
            <w:r>
              <w:rPr>
                <w:color w:val="000000"/>
                <w:sz w:val="24"/>
                <w:szCs w:val="24"/>
              </w:rPr>
              <w:t>根据其废水量设置相应的沉淀池处理后回收作为冲洗之用。</w:t>
            </w:r>
            <w:r>
              <w:rPr>
                <w:rFonts w:hint="eastAsia"/>
                <w:color w:val="000000"/>
                <w:sz w:val="24"/>
              </w:rPr>
              <w:t>机械设备冲洗废水</w:t>
            </w:r>
            <w:r>
              <w:rPr>
                <w:color w:val="000000"/>
                <w:sz w:val="24"/>
                <w:szCs w:val="24"/>
              </w:rPr>
              <w:t>应设置隔油池和沉淀池处理达标后</w:t>
            </w:r>
            <w:r>
              <w:rPr>
                <w:rFonts w:hint="eastAsia"/>
                <w:color w:val="000000"/>
                <w:sz w:val="24"/>
                <w:szCs w:val="24"/>
              </w:rPr>
              <w:t>用于厂区洒水抑尘</w:t>
            </w:r>
            <w:r>
              <w:rPr>
                <w:color w:val="000000"/>
                <w:sz w:val="24"/>
                <w:szCs w:val="24"/>
              </w:rPr>
              <w:t>。</w:t>
            </w:r>
            <w:r>
              <w:rPr>
                <w:rFonts w:hint="eastAsia"/>
                <w:color w:val="000000"/>
                <w:sz w:val="24"/>
              </w:rPr>
              <w:t>采取以上措施后，施工废水对周围环境影响较小。</w:t>
            </w:r>
          </w:p>
          <w:p>
            <w:pPr>
              <w:keepNext w:val="0"/>
              <w:keepLines w:val="0"/>
              <w:pageBreakBefore w:val="0"/>
              <w:kinsoku/>
              <w:wordWrap/>
              <w:overflowPunct/>
              <w:topLinePunct w:val="0"/>
              <w:autoSpaceDE w:val="0"/>
              <w:autoSpaceDN w:val="0"/>
              <w:bidi w:val="0"/>
              <w:adjustRightInd w:val="0"/>
              <w:snapToGrid w:val="0"/>
              <w:spacing w:line="520" w:lineRule="exact"/>
              <w:ind w:right="0" w:firstLine="480" w:firstLineChars="200"/>
              <w:textAlignment w:val="baseline"/>
              <w:rPr>
                <w:rFonts w:hint="eastAsia"/>
                <w:color w:val="000000"/>
                <w:sz w:val="24"/>
                <w:szCs w:val="24"/>
              </w:rPr>
            </w:pPr>
            <w:r>
              <w:rPr>
                <w:color w:val="000000"/>
                <w:sz w:val="24"/>
                <w:szCs w:val="24"/>
              </w:rPr>
              <w:t>（2）施工</w:t>
            </w:r>
            <w:r>
              <w:rPr>
                <w:rFonts w:hint="eastAsia"/>
                <w:color w:val="000000"/>
                <w:sz w:val="24"/>
                <w:szCs w:val="24"/>
              </w:rPr>
              <w:t>人员生活污水</w:t>
            </w:r>
          </w:p>
          <w:p>
            <w:pPr>
              <w:keepNext w:val="0"/>
              <w:keepLines w:val="0"/>
              <w:pageBreakBefore w:val="0"/>
              <w:widowControl/>
              <w:kinsoku/>
              <w:wordWrap/>
              <w:overflowPunct/>
              <w:topLinePunct w:val="0"/>
              <w:bidi w:val="0"/>
              <w:spacing w:line="520" w:lineRule="exact"/>
              <w:ind w:firstLine="480" w:firstLineChars="200"/>
              <w:rPr>
                <w:color w:val="000000"/>
                <w:sz w:val="24"/>
                <w:szCs w:val="24"/>
                <w:lang w:val="en-US" w:eastAsia="zh-CN"/>
              </w:rPr>
            </w:pPr>
            <w:r>
              <w:rPr>
                <w:rFonts w:hint="eastAsia"/>
                <w:color w:val="000000"/>
                <w:sz w:val="24"/>
                <w:lang w:val="en-US" w:eastAsia="zh-CN"/>
              </w:rPr>
              <w:t>施工期产生的</w:t>
            </w:r>
            <w:r>
              <w:rPr>
                <w:rFonts w:hint="eastAsia"/>
                <w:color w:val="000000"/>
                <w:sz w:val="24"/>
                <w:szCs w:val="21"/>
                <w:lang w:val="en-US" w:eastAsia="zh-CN"/>
              </w:rPr>
              <w:t>生活污水，</w:t>
            </w:r>
            <w:r>
              <w:rPr>
                <w:rFonts w:hint="eastAsia"/>
                <w:sz w:val="24"/>
              </w:rPr>
              <w:t>主要污染物有</w:t>
            </w:r>
            <w:r>
              <w:rPr>
                <w:sz w:val="24"/>
              </w:rPr>
              <w:t>SS、石油类</w:t>
            </w:r>
            <w:r>
              <w:rPr>
                <w:rFonts w:hint="eastAsia"/>
                <w:sz w:val="24"/>
              </w:rPr>
              <w:t>、</w:t>
            </w:r>
            <w:r>
              <w:rPr>
                <w:sz w:val="24"/>
              </w:rPr>
              <w:t>COD</w:t>
            </w:r>
            <w:r>
              <w:rPr>
                <w:rFonts w:hint="eastAsia"/>
                <w:sz w:val="24"/>
                <w:lang w:val="en-US" w:eastAsia="zh-CN"/>
              </w:rPr>
              <w:t>cr</w:t>
            </w:r>
            <w:r>
              <w:rPr>
                <w:sz w:val="24"/>
              </w:rPr>
              <w:t>、BOD</w:t>
            </w:r>
            <w:r>
              <w:rPr>
                <w:rFonts w:hint="eastAsia"/>
                <w:sz w:val="24"/>
                <w:vertAlign w:val="subscript"/>
                <w:lang w:val="en-US" w:eastAsia="zh-CN"/>
              </w:rPr>
              <w:t>5</w:t>
            </w:r>
            <w:r>
              <w:rPr>
                <w:rFonts w:hint="eastAsia"/>
                <w:sz w:val="24"/>
                <w:lang w:val="en-US" w:eastAsia="zh-CN"/>
              </w:rPr>
              <w:t>等，</w:t>
            </w:r>
            <w:r>
              <w:rPr>
                <w:rFonts w:hint="eastAsia"/>
                <w:color w:val="000000"/>
                <w:sz w:val="24"/>
                <w:szCs w:val="21"/>
                <w:lang w:val="en-US" w:eastAsia="zh-CN"/>
              </w:rPr>
              <w:t>经管道排入现有污水处理设施处理。</w:t>
            </w:r>
          </w:p>
          <w:p>
            <w:pPr>
              <w:autoSpaceDE w:val="0"/>
              <w:autoSpaceDN w:val="0"/>
              <w:adjustRightInd w:val="0"/>
              <w:snapToGrid w:val="0"/>
              <w:spacing w:line="520" w:lineRule="exact"/>
              <w:ind w:firstLine="482" w:firstLineChars="200"/>
              <w:textAlignment w:val="baseline"/>
              <w:rPr>
                <w:rFonts w:hint="default" w:eastAsia="宋体"/>
                <w:b/>
                <w:sz w:val="24"/>
                <w:lang w:val="en-US" w:eastAsia="zh-CN"/>
              </w:rPr>
            </w:pPr>
            <w:r>
              <w:rPr>
                <w:b/>
                <w:sz w:val="24"/>
              </w:rPr>
              <w:t>3</w:t>
            </w:r>
            <w:r>
              <w:rPr>
                <w:rFonts w:hint="eastAsia"/>
                <w:b/>
                <w:sz w:val="24"/>
                <w:lang w:eastAsia="zh-CN"/>
              </w:rPr>
              <w:t>.</w:t>
            </w:r>
            <w:r>
              <w:rPr>
                <w:b/>
                <w:sz w:val="24"/>
              </w:rPr>
              <w:t>施工期噪声</w:t>
            </w:r>
          </w:p>
          <w:p>
            <w:pPr>
              <w:topLinePunct/>
              <w:adjustRightInd w:val="0"/>
              <w:snapToGrid w:val="0"/>
              <w:spacing w:line="520" w:lineRule="exact"/>
              <w:ind w:firstLine="480" w:firstLineChars="200"/>
              <w:rPr>
                <w:snapToGrid w:val="0"/>
                <w:kern w:val="0"/>
                <w:sz w:val="24"/>
              </w:rPr>
            </w:pPr>
            <w:r>
              <w:rPr>
                <w:snapToGrid w:val="0"/>
                <w:kern w:val="0"/>
                <w:sz w:val="24"/>
              </w:rPr>
              <w:t>（1）施工厂界噪声控制标准</w:t>
            </w:r>
          </w:p>
          <w:p>
            <w:pPr>
              <w:adjustRightInd w:val="0"/>
              <w:snapToGrid w:val="0"/>
              <w:spacing w:line="520" w:lineRule="exact"/>
              <w:ind w:firstLine="480" w:firstLineChars="200"/>
              <w:rPr>
                <w:kern w:val="0"/>
                <w:sz w:val="24"/>
              </w:rPr>
            </w:pPr>
            <w:r>
              <w:rPr>
                <w:kern w:val="0"/>
                <w:sz w:val="24"/>
              </w:rPr>
              <w:t>建筑施工噪声对周围声环境影响较大，</w:t>
            </w:r>
            <w:r>
              <w:rPr>
                <w:sz w:val="24"/>
              </w:rPr>
              <w:t>建筑施工工地的噪声适用标准是《建筑施工场界环境噪声排放标准》</w:t>
            </w:r>
            <w:r>
              <w:rPr>
                <w:rFonts w:hint="eastAsia"/>
                <w:sz w:val="24"/>
                <w:lang w:eastAsia="zh-CN"/>
              </w:rPr>
              <w:t>（</w:t>
            </w:r>
            <w:r>
              <w:rPr>
                <w:sz w:val="24"/>
              </w:rPr>
              <w:t>GB12523-2011</w:t>
            </w:r>
            <w:r>
              <w:rPr>
                <w:rFonts w:hint="eastAsia"/>
                <w:sz w:val="24"/>
                <w:lang w:eastAsia="zh-CN"/>
              </w:rPr>
              <w:t>）</w:t>
            </w:r>
            <w:r>
              <w:rPr>
                <w:sz w:val="24"/>
              </w:rPr>
              <w:t>，施工阶段作业噪声限值见表</w:t>
            </w:r>
            <w:r>
              <w:rPr>
                <w:rFonts w:hint="eastAsia"/>
                <w:color w:val="000000" w:themeColor="text1"/>
                <w:sz w:val="24"/>
                <w:lang w:val="en-US" w:eastAsia="zh-CN"/>
                <w14:textFill>
                  <w14:solidFill>
                    <w14:schemeClr w14:val="tx1"/>
                  </w14:solidFill>
                </w14:textFill>
              </w:rPr>
              <w:t>4-1</w:t>
            </w:r>
            <w:r>
              <w:rPr>
                <w:sz w:val="24"/>
              </w:rPr>
              <w:t>。</w:t>
            </w:r>
          </w:p>
          <w:p>
            <w:pPr>
              <w:keepNext w:val="0"/>
              <w:keepLines w:val="0"/>
              <w:pageBreakBefore w:val="0"/>
              <w:widowControl w:val="0"/>
              <w:kinsoku/>
              <w:wordWrap/>
              <w:overflowPunct w:val="0"/>
              <w:topLinePunct w:val="0"/>
              <w:autoSpaceDE/>
              <w:autoSpaceDN/>
              <w:bidi w:val="0"/>
              <w:adjustRightInd w:val="0"/>
              <w:snapToGrid w:val="0"/>
              <w:jc w:val="center"/>
              <w:textAlignment w:val="auto"/>
              <w:rPr>
                <w:rFonts w:hint="default" w:ascii="Times New Roman" w:hAnsi="Times New Roman" w:eastAsia="黑体" w:cs="Times New Roman"/>
                <w:b w:val="0"/>
                <w:bCs/>
                <w:snapToGrid w:val="0"/>
                <w:kern w:val="0"/>
                <w:sz w:val="24"/>
                <w:szCs w:val="24"/>
              </w:rPr>
            </w:pPr>
            <w:r>
              <w:rPr>
                <w:rFonts w:hint="default" w:ascii="Times New Roman" w:hAnsi="Times New Roman" w:eastAsia="黑体" w:cs="Times New Roman"/>
                <w:b w:val="0"/>
                <w:bCs/>
                <w:snapToGrid w:val="0"/>
                <w:kern w:val="0"/>
                <w:sz w:val="24"/>
                <w:szCs w:val="24"/>
              </w:rPr>
              <w:t>表</w:t>
            </w:r>
            <w:r>
              <w:rPr>
                <w:rFonts w:hint="default" w:ascii="Times New Roman" w:hAnsi="Times New Roman" w:eastAsia="黑体" w:cs="Times New Roman"/>
                <w:b w:val="0"/>
                <w:bCs/>
                <w:snapToGrid w:val="0"/>
                <w:kern w:val="0"/>
                <w:sz w:val="24"/>
                <w:szCs w:val="24"/>
                <w:lang w:val="en-US" w:eastAsia="zh-CN"/>
              </w:rPr>
              <w:t>4-</w:t>
            </w:r>
            <w:r>
              <w:rPr>
                <w:rFonts w:hint="eastAsia" w:ascii="Times New Roman" w:hAnsi="Times New Roman" w:eastAsia="黑体" w:cs="Times New Roman"/>
                <w:b w:val="0"/>
                <w:bCs/>
                <w:snapToGrid w:val="0"/>
                <w:kern w:val="0"/>
                <w:sz w:val="24"/>
                <w:szCs w:val="24"/>
                <w:lang w:val="en-US" w:eastAsia="zh-CN"/>
              </w:rPr>
              <w:t>1</w:t>
            </w:r>
            <w:r>
              <w:rPr>
                <w:rFonts w:hint="default" w:ascii="Times New Roman" w:hAnsi="Times New Roman" w:eastAsia="黑体" w:cs="Times New Roman"/>
                <w:b w:val="0"/>
                <w:bCs/>
                <w:snapToGrid w:val="0"/>
                <w:kern w:val="0"/>
                <w:sz w:val="24"/>
                <w:szCs w:val="24"/>
              </w:rPr>
              <w:t xml:space="preserve">    建筑施工场界环境噪声排放标准     </w:t>
            </w:r>
            <w:r>
              <w:rPr>
                <w:rFonts w:hint="eastAsia" w:ascii="Times New Roman" w:hAnsi="Times New Roman" w:eastAsia="黑体" w:cs="Times New Roman"/>
                <w:b w:val="0"/>
                <w:bCs/>
                <w:snapToGrid w:val="0"/>
                <w:kern w:val="0"/>
                <w:sz w:val="24"/>
                <w:szCs w:val="24"/>
              </w:rPr>
              <w:t>单位：</w:t>
            </w:r>
            <w:r>
              <w:rPr>
                <w:rFonts w:hint="default" w:ascii="Times New Roman" w:hAnsi="Times New Roman" w:eastAsia="黑体" w:cs="Times New Roman"/>
                <w:b w:val="0"/>
                <w:bCs/>
                <w:snapToGrid w:val="0"/>
                <w:kern w:val="0"/>
                <w:sz w:val="24"/>
                <w:szCs w:val="24"/>
              </w:rPr>
              <w:t>dB</w:t>
            </w:r>
            <w:r>
              <w:rPr>
                <w:rFonts w:hint="eastAsia" w:eastAsia="黑体" w:cs="Times New Roman"/>
                <w:b w:val="0"/>
                <w:bCs/>
                <w:snapToGrid w:val="0"/>
                <w:kern w:val="0"/>
                <w:sz w:val="24"/>
                <w:szCs w:val="24"/>
                <w:lang w:eastAsia="zh-CN"/>
              </w:rPr>
              <w:t>（</w:t>
            </w:r>
            <w:r>
              <w:rPr>
                <w:rFonts w:hint="default" w:ascii="Times New Roman" w:hAnsi="Times New Roman" w:eastAsia="黑体" w:cs="Times New Roman"/>
                <w:b w:val="0"/>
                <w:bCs/>
                <w:snapToGrid w:val="0"/>
                <w:kern w:val="0"/>
                <w:sz w:val="24"/>
                <w:szCs w:val="24"/>
              </w:rPr>
              <w:t>A</w:t>
            </w:r>
            <w:r>
              <w:rPr>
                <w:rFonts w:hint="eastAsia" w:eastAsia="黑体" w:cs="Times New Roman"/>
                <w:b w:val="0"/>
                <w:bCs/>
                <w:snapToGrid w:val="0"/>
                <w:kern w:val="0"/>
                <w:sz w:val="24"/>
                <w:szCs w:val="24"/>
                <w:lang w:eastAsia="zh-CN"/>
              </w:rPr>
              <w:t>）</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29"/>
              <w:gridCol w:w="2483"/>
              <w:gridCol w:w="2227"/>
              <w:gridCol w:w="175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1282" w:type="pct"/>
                  <w:vMerge w:val="restart"/>
                  <w:vAlign w:val="center"/>
                </w:tcPr>
                <w:p>
                  <w:pPr>
                    <w:pStyle w:val="16"/>
                    <w:jc w:val="center"/>
                    <w:rPr>
                      <w:rFonts w:ascii="Times New Roman" w:hAnsi="Times New Roman"/>
                      <w:sz w:val="21"/>
                    </w:rPr>
                  </w:pPr>
                  <w:r>
                    <w:rPr>
                      <w:rFonts w:ascii="Times New Roman" w:hAnsi="Times New Roman"/>
                      <w:sz w:val="21"/>
                    </w:rPr>
                    <w:t>施工阶段</w:t>
                  </w:r>
                </w:p>
              </w:tc>
              <w:tc>
                <w:tcPr>
                  <w:tcW w:w="1428" w:type="pct"/>
                  <w:vMerge w:val="restart"/>
                  <w:vAlign w:val="center"/>
                </w:tcPr>
                <w:p>
                  <w:pPr>
                    <w:pStyle w:val="16"/>
                    <w:jc w:val="center"/>
                    <w:rPr>
                      <w:rFonts w:ascii="Times New Roman" w:hAnsi="Times New Roman"/>
                      <w:sz w:val="21"/>
                    </w:rPr>
                  </w:pPr>
                  <w:r>
                    <w:rPr>
                      <w:rFonts w:ascii="Times New Roman" w:hAnsi="Times New Roman"/>
                      <w:sz w:val="21"/>
                    </w:rPr>
                    <w:t>主要噪声源</w:t>
                  </w:r>
                </w:p>
              </w:tc>
              <w:tc>
                <w:tcPr>
                  <w:tcW w:w="2289" w:type="pct"/>
                  <w:gridSpan w:val="2"/>
                  <w:vAlign w:val="center"/>
                </w:tcPr>
                <w:p>
                  <w:pPr>
                    <w:pStyle w:val="16"/>
                    <w:jc w:val="center"/>
                    <w:rPr>
                      <w:rFonts w:ascii="Times New Roman" w:hAnsi="Times New Roman"/>
                      <w:sz w:val="21"/>
                    </w:rPr>
                  </w:pPr>
                  <w:r>
                    <w:rPr>
                      <w:rFonts w:ascii="Times New Roman" w:hAnsi="Times New Roman"/>
                      <w:sz w:val="21"/>
                    </w:rPr>
                    <w:t>噪声限值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8" w:hRule="atLeast"/>
                <w:jc w:val="center"/>
              </w:trPr>
              <w:tc>
                <w:tcPr>
                  <w:tcW w:w="1282" w:type="pct"/>
                  <w:vMerge w:val="continue"/>
                  <w:vAlign w:val="center"/>
                </w:tcPr>
                <w:p>
                  <w:pPr>
                    <w:pStyle w:val="16"/>
                    <w:jc w:val="center"/>
                    <w:rPr>
                      <w:rFonts w:ascii="Times New Roman" w:hAnsi="Times New Roman"/>
                      <w:sz w:val="21"/>
                    </w:rPr>
                  </w:pPr>
                </w:p>
              </w:tc>
              <w:tc>
                <w:tcPr>
                  <w:tcW w:w="1428" w:type="pct"/>
                  <w:vMerge w:val="continue"/>
                  <w:vAlign w:val="center"/>
                </w:tcPr>
                <w:p>
                  <w:pPr>
                    <w:pStyle w:val="16"/>
                    <w:jc w:val="center"/>
                    <w:rPr>
                      <w:rFonts w:ascii="Times New Roman" w:hAnsi="Times New Roman"/>
                      <w:sz w:val="21"/>
                    </w:rPr>
                  </w:pPr>
                </w:p>
              </w:tc>
              <w:tc>
                <w:tcPr>
                  <w:tcW w:w="1281" w:type="pct"/>
                  <w:vAlign w:val="center"/>
                </w:tcPr>
                <w:p>
                  <w:pPr>
                    <w:pStyle w:val="16"/>
                    <w:jc w:val="center"/>
                    <w:rPr>
                      <w:rFonts w:ascii="Times New Roman" w:hAnsi="Times New Roman"/>
                      <w:sz w:val="21"/>
                    </w:rPr>
                  </w:pPr>
                  <w:r>
                    <w:rPr>
                      <w:rFonts w:ascii="Times New Roman" w:hAnsi="Times New Roman"/>
                      <w:sz w:val="21"/>
                    </w:rPr>
                    <w:t>昼间</w:t>
                  </w:r>
                </w:p>
              </w:tc>
              <w:tc>
                <w:tcPr>
                  <w:tcW w:w="1007" w:type="pct"/>
                  <w:vAlign w:val="center"/>
                </w:tcPr>
                <w:p>
                  <w:pPr>
                    <w:pStyle w:val="16"/>
                    <w:jc w:val="center"/>
                    <w:rPr>
                      <w:rFonts w:ascii="Times New Roman" w:hAnsi="Times New Roman"/>
                      <w:sz w:val="21"/>
                    </w:rPr>
                  </w:pPr>
                  <w:r>
                    <w:rPr>
                      <w:rFonts w:ascii="Times New Roman" w:hAnsi="Times New Roman"/>
                      <w:sz w:val="21"/>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282" w:type="pct"/>
                  <w:vMerge w:val="continue"/>
                  <w:vAlign w:val="center"/>
                </w:tcPr>
                <w:p>
                  <w:pPr>
                    <w:pStyle w:val="16"/>
                    <w:jc w:val="center"/>
                    <w:rPr>
                      <w:rFonts w:ascii="Times New Roman" w:hAnsi="Times New Roman"/>
                      <w:sz w:val="21"/>
                    </w:rPr>
                  </w:pPr>
                </w:p>
              </w:tc>
              <w:tc>
                <w:tcPr>
                  <w:tcW w:w="1428" w:type="pct"/>
                  <w:vMerge w:val="continue"/>
                  <w:vAlign w:val="center"/>
                </w:tcPr>
                <w:p>
                  <w:pPr>
                    <w:pStyle w:val="16"/>
                    <w:jc w:val="center"/>
                    <w:rPr>
                      <w:rFonts w:ascii="Times New Roman" w:hAnsi="Times New Roman"/>
                      <w:sz w:val="21"/>
                    </w:rPr>
                  </w:pPr>
                </w:p>
              </w:tc>
              <w:tc>
                <w:tcPr>
                  <w:tcW w:w="1281" w:type="pct"/>
                  <w:vAlign w:val="center"/>
                </w:tcPr>
                <w:p>
                  <w:pPr>
                    <w:pStyle w:val="16"/>
                    <w:jc w:val="center"/>
                    <w:rPr>
                      <w:rFonts w:ascii="Times New Roman" w:hAnsi="Times New Roman"/>
                      <w:sz w:val="21"/>
                    </w:rPr>
                  </w:pPr>
                  <w:r>
                    <w:rPr>
                      <w:rFonts w:ascii="Times New Roman" w:hAnsi="Times New Roman"/>
                      <w:sz w:val="21"/>
                    </w:rPr>
                    <w:t>70</w:t>
                  </w:r>
                </w:p>
              </w:tc>
              <w:tc>
                <w:tcPr>
                  <w:tcW w:w="1007" w:type="pct"/>
                  <w:vAlign w:val="center"/>
                </w:tcPr>
                <w:p>
                  <w:pPr>
                    <w:pStyle w:val="16"/>
                    <w:jc w:val="center"/>
                    <w:rPr>
                      <w:rFonts w:ascii="Times New Roman" w:hAnsi="Times New Roman"/>
                      <w:sz w:val="21"/>
                    </w:rPr>
                  </w:pPr>
                  <w:r>
                    <w:rPr>
                      <w:rFonts w:ascii="Times New Roman" w:hAnsi="Times New Roman"/>
                      <w:sz w:val="21"/>
                    </w:rPr>
                    <w:t>55</w:t>
                  </w:r>
                </w:p>
              </w:tc>
            </w:tr>
          </w:tbl>
          <w:p>
            <w:pPr>
              <w:topLinePunct/>
              <w:adjustRightInd w:val="0"/>
              <w:snapToGrid w:val="0"/>
              <w:rPr>
                <w:rFonts w:hint="default" w:ascii="Times New Roman" w:hAnsi="Times New Roman" w:cs="Times New Roman"/>
                <w:snapToGrid w:val="0"/>
                <w:kern w:val="0"/>
                <w:szCs w:val="21"/>
              </w:rPr>
            </w:pPr>
            <w:r>
              <w:rPr>
                <w:rFonts w:hint="default" w:ascii="Times New Roman" w:hAnsi="Times New Roman" w:cs="Times New Roman"/>
                <w:snapToGrid w:val="0"/>
                <w:kern w:val="0"/>
                <w:szCs w:val="21"/>
              </w:rPr>
              <w:t>注：① 夜间噪声最大声级超过限值的幅度不得高于15dB(A)；</w:t>
            </w:r>
          </w:p>
          <w:p>
            <w:pPr>
              <w:topLinePunct/>
              <w:adjustRightInd w:val="0"/>
              <w:snapToGrid w:val="0"/>
              <w:ind w:firstLine="420" w:firstLineChars="200"/>
              <w:rPr>
                <w:rFonts w:hint="default" w:ascii="Times New Roman" w:hAnsi="Times New Roman" w:cs="Times New Roman"/>
                <w:snapToGrid w:val="0"/>
                <w:kern w:val="0"/>
                <w:szCs w:val="21"/>
              </w:rPr>
            </w:pPr>
            <w:r>
              <w:rPr>
                <w:rFonts w:hint="default" w:ascii="Times New Roman" w:hAnsi="Times New Roman" w:cs="Times New Roman"/>
                <w:snapToGrid w:val="0"/>
                <w:kern w:val="0"/>
                <w:szCs w:val="21"/>
              </w:rPr>
              <w:t>② 当场界距噪声敏感建筑物较近，其室外不满足测量条件时，可在噪声敏感建筑物室内测量，将相应的限值减10dB(A)作为评价依据。</w:t>
            </w:r>
          </w:p>
          <w:p>
            <w:pPr>
              <w:topLinePunct/>
              <w:adjustRightInd w:val="0"/>
              <w:snapToGrid w:val="0"/>
              <w:spacing w:line="520" w:lineRule="exact"/>
              <w:ind w:firstLine="480" w:firstLineChars="200"/>
              <w:rPr>
                <w:snapToGrid w:val="0"/>
                <w:kern w:val="0"/>
                <w:sz w:val="24"/>
              </w:rPr>
            </w:pPr>
            <w:r>
              <w:rPr>
                <w:snapToGrid w:val="0"/>
                <w:kern w:val="0"/>
                <w:sz w:val="24"/>
              </w:rPr>
              <w:t>（</w:t>
            </w:r>
            <w:r>
              <w:rPr>
                <w:rFonts w:hint="eastAsia"/>
                <w:snapToGrid w:val="0"/>
                <w:kern w:val="0"/>
                <w:sz w:val="24"/>
                <w:lang w:val="en-US" w:eastAsia="zh-CN"/>
              </w:rPr>
              <w:t>2</w:t>
            </w:r>
            <w:r>
              <w:rPr>
                <w:snapToGrid w:val="0"/>
                <w:kern w:val="0"/>
                <w:sz w:val="24"/>
              </w:rPr>
              <w:t>）噪声控制措施</w:t>
            </w:r>
          </w:p>
          <w:p>
            <w:pPr>
              <w:snapToGrid w:val="0"/>
              <w:spacing w:line="520" w:lineRule="exact"/>
              <w:ind w:firstLine="480" w:firstLineChars="200"/>
              <w:jc w:val="left"/>
              <w:rPr>
                <w:sz w:val="24"/>
                <w:szCs w:val="22"/>
              </w:rPr>
            </w:pPr>
            <w:r>
              <w:rPr>
                <w:rFonts w:hint="eastAsia"/>
                <w:sz w:val="24"/>
                <w:szCs w:val="22"/>
              </w:rPr>
              <w:t>上述计算结果表明，施工噪声影响较大，特别是夜间施工对周围居民生活的影响尤为突出，必须采</w:t>
            </w:r>
            <w:r>
              <w:rPr>
                <w:rFonts w:hint="eastAsia"/>
                <w:sz w:val="24"/>
                <w:szCs w:val="22"/>
                <w:lang w:val="en-US" w:eastAsia="zh-CN"/>
              </w:rPr>
              <w:t>取</w:t>
            </w:r>
            <w:r>
              <w:rPr>
                <w:rFonts w:hint="eastAsia"/>
                <w:sz w:val="24"/>
                <w:szCs w:val="22"/>
              </w:rPr>
              <w:t>相应的措施以减小施工噪声对周围环境影响。</w:t>
            </w:r>
          </w:p>
          <w:p>
            <w:pPr>
              <w:snapToGrid w:val="0"/>
              <w:spacing w:line="520" w:lineRule="exact"/>
              <w:ind w:firstLine="480" w:firstLineChars="200"/>
              <w:jc w:val="left"/>
              <w:rPr>
                <w:sz w:val="24"/>
                <w:szCs w:val="22"/>
              </w:rPr>
            </w:pPr>
            <w:r>
              <w:rPr>
                <w:rFonts w:hint="eastAsia" w:ascii="Times New Roman" w:hAnsi="Times New Roman" w:cs="Times New Roman"/>
                <w:bCs/>
                <w:sz w:val="24"/>
                <w:szCs w:val="24"/>
                <w:lang w:val="en-US" w:eastAsia="zh-CN"/>
              </w:rPr>
              <w:t>1）</w:t>
            </w:r>
            <w:r>
              <w:rPr>
                <w:rFonts w:hint="eastAsia"/>
                <w:sz w:val="24"/>
                <w:szCs w:val="22"/>
              </w:rPr>
              <w:t>在施工过程中，施工单位应严格执行《建筑施工场界环境噪声排放标准》（GB12523-2011）中的有关规定，避免施工扰民事件的发生。</w:t>
            </w:r>
          </w:p>
          <w:p>
            <w:pPr>
              <w:snapToGrid w:val="0"/>
              <w:spacing w:line="520" w:lineRule="exact"/>
              <w:ind w:firstLine="480" w:firstLineChars="200"/>
              <w:jc w:val="left"/>
              <w:rPr>
                <w:sz w:val="24"/>
                <w:szCs w:val="22"/>
              </w:rPr>
            </w:pPr>
            <w:r>
              <w:rPr>
                <w:rFonts w:hint="eastAsia" w:ascii="Times New Roman" w:hAnsi="Times New Roman" w:cs="Times New Roman"/>
                <w:bCs/>
                <w:sz w:val="24"/>
                <w:szCs w:val="24"/>
                <w:lang w:val="en-US" w:eastAsia="zh-CN"/>
              </w:rPr>
              <w:t>2）</w:t>
            </w:r>
            <w:r>
              <w:rPr>
                <w:rFonts w:hint="eastAsia"/>
                <w:sz w:val="24"/>
                <w:szCs w:val="22"/>
              </w:rPr>
              <w:t>合理安排施工时间，考虑到施工场地周边的环境敏感目标，原则上应禁止夜间（</w:t>
            </w:r>
            <w:r>
              <w:rPr>
                <w:sz w:val="24"/>
                <w:szCs w:val="22"/>
              </w:rPr>
              <w:t>2</w:t>
            </w:r>
            <w:r>
              <w:rPr>
                <w:rFonts w:hint="eastAsia"/>
                <w:sz w:val="24"/>
                <w:szCs w:val="22"/>
              </w:rPr>
              <w:t>4</w:t>
            </w:r>
            <w:r>
              <w:rPr>
                <w:sz w:val="24"/>
                <w:szCs w:val="22"/>
              </w:rPr>
              <w:t>:00</w:t>
            </w:r>
            <w:r>
              <w:rPr>
                <w:sz w:val="24"/>
              </w:rPr>
              <w:t>~</w:t>
            </w:r>
            <w:r>
              <w:rPr>
                <w:rFonts w:hint="eastAsia"/>
                <w:sz w:val="24"/>
                <w:szCs w:val="22"/>
              </w:rPr>
              <w:t>次日8</w:t>
            </w:r>
            <w:r>
              <w:rPr>
                <w:sz w:val="24"/>
                <w:szCs w:val="22"/>
              </w:rPr>
              <w:t>:00</w:t>
            </w:r>
            <w:r>
              <w:rPr>
                <w:rFonts w:hint="eastAsia"/>
                <w:sz w:val="24"/>
                <w:szCs w:val="22"/>
              </w:rPr>
              <w:t>）施工。若遇特殊情况需要夜间施工，需提前向当地</w:t>
            </w:r>
            <w:r>
              <w:rPr>
                <w:rFonts w:hint="eastAsia"/>
                <w:sz w:val="24"/>
                <w:szCs w:val="22"/>
                <w:lang w:val="en-US" w:eastAsia="zh-CN"/>
              </w:rPr>
              <w:t>生态环境</w:t>
            </w:r>
            <w:r>
              <w:rPr>
                <w:rFonts w:hint="eastAsia"/>
                <w:sz w:val="24"/>
                <w:szCs w:val="22"/>
              </w:rPr>
              <w:t>局提出申请，并由生态环境保护部门在附近受影响区域张贴安民告示。</w:t>
            </w:r>
          </w:p>
          <w:p>
            <w:pPr>
              <w:snapToGrid w:val="0"/>
              <w:spacing w:line="520" w:lineRule="exact"/>
              <w:ind w:firstLine="480" w:firstLineChars="200"/>
              <w:jc w:val="left"/>
              <w:rPr>
                <w:sz w:val="24"/>
                <w:szCs w:val="22"/>
              </w:rPr>
            </w:pPr>
            <w:r>
              <w:rPr>
                <w:rFonts w:hint="eastAsia"/>
                <w:bCs/>
                <w:sz w:val="24"/>
                <w:szCs w:val="24"/>
                <w:lang w:val="en-US" w:eastAsia="zh-CN"/>
              </w:rPr>
              <w:t>3</w:t>
            </w:r>
            <w:r>
              <w:rPr>
                <w:bCs/>
                <w:sz w:val="24"/>
                <w:szCs w:val="24"/>
              </w:rPr>
              <w:t>）</w:t>
            </w:r>
            <w:r>
              <w:rPr>
                <w:rFonts w:hint="eastAsia"/>
                <w:sz w:val="24"/>
                <w:szCs w:val="22"/>
              </w:rPr>
              <w:t>做好施工作业时间的安排，对噪声较大的施工作业，安排在白天当班的时间进行，尽量降低施工噪声，减少扰民，做到不影响周边人员的生产和生活。</w:t>
            </w:r>
            <w:r>
              <w:rPr>
                <w:sz w:val="24"/>
                <w:szCs w:val="22"/>
              </w:rPr>
              <w:t>另外，为进一步确保周围人员不受影响，施工单位应合理安排施工机械的作业位置，尽量远离敏感点</w:t>
            </w:r>
            <w:r>
              <w:rPr>
                <w:rFonts w:hint="eastAsia"/>
                <w:sz w:val="24"/>
                <w:szCs w:val="22"/>
              </w:rPr>
              <w:t>，尽量位于项目北侧区域。</w:t>
            </w:r>
          </w:p>
          <w:p>
            <w:pPr>
              <w:snapToGrid w:val="0"/>
              <w:spacing w:line="520" w:lineRule="exact"/>
              <w:ind w:firstLine="480" w:firstLineChars="200"/>
              <w:jc w:val="left"/>
              <w:rPr>
                <w:sz w:val="24"/>
                <w:szCs w:val="22"/>
              </w:rPr>
            </w:pPr>
            <w:r>
              <w:rPr>
                <w:rFonts w:hint="eastAsia"/>
                <w:bCs/>
                <w:sz w:val="24"/>
                <w:szCs w:val="24"/>
                <w:lang w:val="en-US" w:eastAsia="zh-CN"/>
              </w:rPr>
              <w:t>4</w:t>
            </w:r>
            <w:r>
              <w:rPr>
                <w:bCs/>
                <w:sz w:val="24"/>
                <w:szCs w:val="24"/>
              </w:rPr>
              <w:t>）</w:t>
            </w:r>
            <w:r>
              <w:rPr>
                <w:rFonts w:hint="eastAsia"/>
                <w:sz w:val="24"/>
                <w:szCs w:val="22"/>
              </w:rPr>
              <w:t>从声源上控制：建设单位在与施工单位签订合同时，应要求其使用的主要机械设备为低噪声机械设备，制定施工计划时，应尽可能避免大量高噪声设备同时施工。同时在施工过程中施工单位应设专人对设备进行定期保养和维护，并负责对现场工作人员进行培训，严格按操作规范使用各类机械。</w:t>
            </w:r>
          </w:p>
          <w:p>
            <w:pPr>
              <w:snapToGrid w:val="0"/>
              <w:spacing w:line="520" w:lineRule="exact"/>
              <w:ind w:firstLine="480" w:firstLineChars="200"/>
              <w:jc w:val="left"/>
              <w:rPr>
                <w:sz w:val="24"/>
                <w:szCs w:val="22"/>
              </w:rPr>
            </w:pPr>
            <w:r>
              <w:rPr>
                <w:rFonts w:hint="eastAsia" w:ascii="Times New Roman" w:hAnsi="Times New Roman" w:cs="Times New Roman"/>
                <w:bCs/>
                <w:sz w:val="24"/>
                <w:szCs w:val="24"/>
                <w:lang w:val="en-US" w:eastAsia="zh-CN"/>
              </w:rPr>
              <w:t>5）</w:t>
            </w:r>
            <w:r>
              <w:rPr>
                <w:rFonts w:hint="eastAsia"/>
                <w:sz w:val="24"/>
                <w:szCs w:val="22"/>
              </w:rPr>
              <w:t>采用声屏障措施：由于施工场地周围敏感目标分布较近且较多，因此在每个场地进行施工时都应设置临时声屏障，在装修阶段，对建筑物的外部也应采用围挡，以减轻设备噪声对周围敏感目标的影响。</w:t>
            </w:r>
          </w:p>
          <w:p>
            <w:pPr>
              <w:snapToGrid w:val="0"/>
              <w:spacing w:line="520" w:lineRule="exact"/>
              <w:ind w:firstLine="480" w:firstLineChars="200"/>
              <w:jc w:val="left"/>
              <w:rPr>
                <w:sz w:val="24"/>
                <w:szCs w:val="22"/>
              </w:rPr>
            </w:pPr>
            <w:r>
              <w:rPr>
                <w:rFonts w:hint="eastAsia" w:ascii="Times New Roman" w:hAnsi="Times New Roman" w:cs="Times New Roman"/>
                <w:bCs/>
                <w:sz w:val="24"/>
                <w:szCs w:val="24"/>
                <w:lang w:val="en-US" w:eastAsia="zh-CN"/>
              </w:rPr>
              <w:t>6）</w:t>
            </w:r>
            <w:r>
              <w:rPr>
                <w:rFonts w:hint="eastAsia"/>
                <w:sz w:val="24"/>
                <w:szCs w:val="22"/>
              </w:rPr>
              <w:t>施工场地的施工车辆出入应尽量远离敏感点，车辆出入现场时应低速、禁鸣。</w:t>
            </w:r>
          </w:p>
          <w:p>
            <w:pPr>
              <w:snapToGrid w:val="0"/>
              <w:spacing w:line="520" w:lineRule="exact"/>
              <w:ind w:firstLine="480" w:firstLineChars="200"/>
              <w:jc w:val="left"/>
              <w:rPr>
                <w:sz w:val="24"/>
                <w:szCs w:val="22"/>
              </w:rPr>
            </w:pPr>
            <w:r>
              <w:rPr>
                <w:rFonts w:hint="eastAsia" w:ascii="Times New Roman" w:hAnsi="Times New Roman" w:cs="Times New Roman"/>
                <w:bCs/>
                <w:sz w:val="24"/>
                <w:szCs w:val="24"/>
                <w:lang w:val="en-US" w:eastAsia="zh-CN"/>
              </w:rPr>
              <w:t>7）</w:t>
            </w:r>
            <w:r>
              <w:rPr>
                <w:rFonts w:hint="eastAsia"/>
                <w:sz w:val="24"/>
                <w:szCs w:val="22"/>
              </w:rPr>
              <w:t>按规定操作机械设备，模板、支架拆卸过程中，遵守作业规定，减少碰撞噪声，尽量少用哨子等指挥作业，应采用现代化设备。</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both"/>
              <w:textAlignment w:val="auto"/>
              <w:rPr>
                <w:sz w:val="24"/>
                <w:szCs w:val="22"/>
              </w:rPr>
            </w:pPr>
            <w:r>
              <w:rPr>
                <w:rFonts w:hint="eastAsia" w:ascii="Times New Roman" w:hAnsi="Times New Roman" w:cs="Times New Roman"/>
                <w:bCs/>
                <w:sz w:val="24"/>
                <w:szCs w:val="24"/>
                <w:lang w:val="en-US" w:eastAsia="zh-CN"/>
              </w:rPr>
              <w:t>8）</w:t>
            </w:r>
            <w:r>
              <w:rPr>
                <w:rFonts w:hint="eastAsia"/>
                <w:sz w:val="24"/>
                <w:szCs w:val="22"/>
              </w:rPr>
              <w:t>建设管理部门应加强对施工场地的噪声管理，施工</w:t>
            </w:r>
            <w:r>
              <w:rPr>
                <w:rFonts w:hint="eastAsia"/>
                <w:sz w:val="24"/>
                <w:szCs w:val="22"/>
                <w:lang w:val="en-US" w:eastAsia="zh-CN"/>
              </w:rPr>
              <w:t>单位</w:t>
            </w:r>
            <w:r>
              <w:rPr>
                <w:rFonts w:hint="eastAsia"/>
                <w:sz w:val="24"/>
                <w:szCs w:val="22"/>
              </w:rPr>
              <w:t>也应对降低施工噪声进行自律，文明施工，避免因施工噪声产生纠纷。</w:t>
            </w:r>
          </w:p>
          <w:p>
            <w:pPr>
              <w:pStyle w:val="27"/>
              <w:keepNext w:val="0"/>
              <w:keepLines w:val="0"/>
              <w:pageBreakBefore w:val="0"/>
              <w:widowControl w:val="0"/>
              <w:kinsoku/>
              <w:wordWrap/>
              <w:overflowPunct/>
              <w:topLinePunct w:val="0"/>
              <w:autoSpaceDE/>
              <w:autoSpaceDN/>
              <w:bidi w:val="0"/>
              <w:adjustRightInd/>
              <w:snapToGrid w:val="0"/>
              <w:spacing w:after="0" w:line="520" w:lineRule="exact"/>
              <w:ind w:left="0" w:leftChars="0" w:firstLine="480"/>
              <w:jc w:val="both"/>
              <w:textAlignment w:val="auto"/>
              <w:rPr>
                <w:sz w:val="24"/>
              </w:rPr>
            </w:pPr>
            <w:r>
              <w:rPr>
                <w:rFonts w:hint="eastAsia" w:ascii="Times New Roman" w:hAnsi="Times New Roman" w:eastAsia="宋体" w:cs="Times New Roman"/>
                <w:bCs/>
                <w:kern w:val="2"/>
                <w:sz w:val="24"/>
                <w:szCs w:val="24"/>
                <w:lang w:val="en-US" w:eastAsia="zh-CN" w:bidi="ar-SA"/>
              </w:rPr>
              <w:t>9）</w:t>
            </w:r>
            <w:r>
              <w:rPr>
                <w:rFonts w:hint="eastAsia"/>
                <w:sz w:val="24"/>
                <w:szCs w:val="22"/>
              </w:rPr>
              <w:t>施工机械产生的噪声往往具有突发、无规则、不连续和高强度等特点，施工单位应采取合理安排施工机械操作时间的方法加以缓解，并减少同时作业的高噪施工机械数量，尽可能减轻声源叠加影响。</w:t>
            </w:r>
          </w:p>
          <w:p>
            <w:pPr>
              <w:keepNext w:val="0"/>
              <w:keepLines w:val="0"/>
              <w:pageBreakBefore w:val="0"/>
              <w:widowControl w:val="0"/>
              <w:kinsoku/>
              <w:wordWrap/>
              <w:overflowPunct/>
              <w:autoSpaceDE w:val="0"/>
              <w:autoSpaceDN w:val="0"/>
              <w:bidi w:val="0"/>
              <w:adjustRightInd w:val="0"/>
              <w:snapToGrid/>
              <w:spacing w:line="520" w:lineRule="exact"/>
              <w:ind w:firstLine="482" w:firstLineChars="200"/>
              <w:textAlignment w:val="baseline"/>
              <w:rPr>
                <w:b/>
                <w:sz w:val="24"/>
              </w:rPr>
            </w:pPr>
            <w:r>
              <w:rPr>
                <w:b/>
                <w:sz w:val="24"/>
              </w:rPr>
              <w:t>4</w:t>
            </w:r>
            <w:r>
              <w:rPr>
                <w:rFonts w:hint="eastAsia"/>
                <w:b/>
                <w:sz w:val="24"/>
                <w:lang w:eastAsia="zh-CN"/>
              </w:rPr>
              <w:t>.</w:t>
            </w:r>
            <w:r>
              <w:rPr>
                <w:b/>
                <w:sz w:val="24"/>
              </w:rPr>
              <w:t>施工期固体废物</w:t>
            </w:r>
          </w:p>
          <w:p>
            <w:pPr>
              <w:pStyle w:val="21"/>
              <w:adjustRightInd w:val="0"/>
              <w:spacing w:after="0" w:line="520" w:lineRule="exact"/>
              <w:ind w:left="0" w:leftChars="0" w:firstLine="480" w:firstLineChars="200"/>
              <w:rPr>
                <w:rFonts w:ascii="宋体" w:hAnsi="宋体"/>
                <w:sz w:val="24"/>
                <w:szCs w:val="24"/>
              </w:rPr>
            </w:pPr>
            <w:r>
              <w:rPr>
                <w:rFonts w:ascii="宋体" w:hAnsi="宋体"/>
                <w:sz w:val="24"/>
                <w:szCs w:val="24"/>
              </w:rPr>
              <w:t>为减少弃土在堆放和运输过程中对环境的影响，建议采取如下措施：</w:t>
            </w:r>
          </w:p>
          <w:p>
            <w:pPr>
              <w:adjustRightInd w:val="0"/>
              <w:spacing w:line="520" w:lineRule="exact"/>
              <w:ind w:firstLine="480" w:firstLineChars="200"/>
              <w:rPr>
                <w:rFonts w:ascii="宋体" w:hAnsi="宋体"/>
                <w:sz w:val="24"/>
              </w:rPr>
            </w:pPr>
            <w:r>
              <w:rPr>
                <w:rFonts w:hint="eastAsia" w:ascii="Times New Roman" w:hAnsi="Times New Roman" w:eastAsia="宋体" w:cs="Times New Roman"/>
                <w:bCs/>
                <w:kern w:val="2"/>
                <w:sz w:val="24"/>
                <w:szCs w:val="24"/>
                <w:lang w:val="en-US" w:eastAsia="zh-CN" w:bidi="ar-SA"/>
              </w:rPr>
              <w:t>1）</w:t>
            </w:r>
            <w:r>
              <w:rPr>
                <w:rFonts w:ascii="宋体" w:hAnsi="宋体"/>
                <w:sz w:val="24"/>
              </w:rPr>
              <w:t>建筑垃圾：施工期间有部分施工垃圾如废砖、废钢铁、废油料等，这些建筑垃圾应分类收集，集中处理，回收利用，以实现固体废料的“减量化、资源化、无害化”。</w:t>
            </w:r>
          </w:p>
          <w:p>
            <w:pPr>
              <w:adjustRightInd w:val="0"/>
              <w:spacing w:line="520" w:lineRule="exact"/>
              <w:ind w:firstLine="480" w:firstLineChars="200"/>
              <w:rPr>
                <w:rFonts w:ascii="宋体" w:hAnsi="宋体"/>
                <w:sz w:val="24"/>
                <w:szCs w:val="24"/>
              </w:rPr>
            </w:pPr>
            <w:r>
              <w:rPr>
                <w:rFonts w:hint="eastAsia" w:ascii="Times New Roman" w:hAnsi="Times New Roman" w:eastAsia="宋体" w:cs="Times New Roman"/>
                <w:bCs/>
                <w:kern w:val="2"/>
                <w:sz w:val="24"/>
                <w:szCs w:val="24"/>
                <w:lang w:val="en-US" w:eastAsia="zh-CN" w:bidi="ar-SA"/>
              </w:rPr>
              <w:t>2）</w:t>
            </w:r>
            <w:r>
              <w:rPr>
                <w:rFonts w:ascii="宋体" w:hAnsi="宋体"/>
                <w:sz w:val="24"/>
                <w:szCs w:val="24"/>
              </w:rPr>
              <w:t>车辆运输散体物料和废弃物时，必须密闭、包扎、覆盖，不得沿途漏撒；运载土方的车辆必须在规定的时间内，按指定路段行驶。</w:t>
            </w:r>
          </w:p>
          <w:p>
            <w:pPr>
              <w:adjustRightInd w:val="0"/>
              <w:spacing w:line="520" w:lineRule="exact"/>
              <w:ind w:firstLine="480" w:firstLineChars="200"/>
              <w:rPr>
                <w:rFonts w:ascii="宋体" w:hAnsi="宋体"/>
                <w:sz w:val="24"/>
                <w:szCs w:val="24"/>
              </w:rPr>
            </w:pPr>
            <w:r>
              <w:rPr>
                <w:rFonts w:hint="eastAsia"/>
                <w:bCs/>
                <w:sz w:val="24"/>
                <w:szCs w:val="24"/>
                <w:lang w:val="en-US" w:eastAsia="zh-CN"/>
              </w:rPr>
              <w:t>3</w:t>
            </w:r>
            <w:r>
              <w:rPr>
                <w:bCs/>
                <w:sz w:val="24"/>
                <w:szCs w:val="24"/>
              </w:rPr>
              <w:t>）</w:t>
            </w:r>
            <w:r>
              <w:rPr>
                <w:rFonts w:ascii="宋体" w:hAnsi="宋体"/>
                <w:sz w:val="24"/>
                <w:szCs w:val="24"/>
              </w:rPr>
              <w:t>施工期应尽量集中并避开雨期，要边弃土边压实，弃土完毕后应尽快复垦利用。</w:t>
            </w:r>
          </w:p>
          <w:p>
            <w:pPr>
              <w:adjustRightInd w:val="0"/>
              <w:spacing w:line="520" w:lineRule="exact"/>
              <w:ind w:firstLine="480" w:firstLineChars="200"/>
              <w:rPr>
                <w:rFonts w:ascii="宋体" w:hAnsi="宋体"/>
                <w:sz w:val="24"/>
                <w:szCs w:val="24"/>
              </w:rPr>
            </w:pPr>
            <w:r>
              <w:rPr>
                <w:rFonts w:hint="eastAsia"/>
                <w:bCs/>
                <w:sz w:val="24"/>
                <w:szCs w:val="24"/>
                <w:lang w:val="en-US" w:eastAsia="zh-CN"/>
              </w:rPr>
              <w:t>4</w:t>
            </w:r>
            <w:r>
              <w:rPr>
                <w:bCs/>
                <w:sz w:val="24"/>
                <w:szCs w:val="24"/>
              </w:rPr>
              <w:t>）</w:t>
            </w:r>
            <w:r>
              <w:rPr>
                <w:rFonts w:ascii="宋体" w:hAnsi="宋体"/>
                <w:sz w:val="24"/>
                <w:szCs w:val="24"/>
              </w:rPr>
              <w:t>施工单位应该在施工前</w:t>
            </w:r>
            <w:r>
              <w:rPr>
                <w:rFonts w:hint="default" w:ascii="Times New Roman" w:hAnsi="Times New Roman" w:cs="Times New Roman"/>
                <w:sz w:val="24"/>
                <w:szCs w:val="24"/>
              </w:rPr>
              <w:t>5</w:t>
            </w:r>
            <w:r>
              <w:rPr>
                <w:rFonts w:ascii="宋体" w:hAnsi="宋体"/>
                <w:sz w:val="24"/>
                <w:szCs w:val="24"/>
              </w:rPr>
              <w:t>日向渣土管理部门申报建筑垃圾、工程渣土处置计划，如实填报建筑垃圾和渣土的种类、数量、运输路线及处置场地等事项，并与渣土管理部门签订环境卫生责任书。</w:t>
            </w:r>
          </w:p>
          <w:p>
            <w:pPr>
              <w:adjustRightInd w:val="0"/>
              <w:spacing w:line="520" w:lineRule="exact"/>
              <w:ind w:firstLine="480" w:firstLineChars="200"/>
              <w:rPr>
                <w:rFonts w:ascii="宋体" w:hAnsi="宋体"/>
                <w:sz w:val="24"/>
                <w:szCs w:val="24"/>
              </w:rPr>
            </w:pPr>
            <w:r>
              <w:rPr>
                <w:rFonts w:hint="eastAsia"/>
                <w:bCs/>
                <w:sz w:val="24"/>
                <w:szCs w:val="24"/>
                <w:lang w:val="en-US" w:eastAsia="zh-CN"/>
              </w:rPr>
              <w:t>5</w:t>
            </w:r>
            <w:r>
              <w:rPr>
                <w:bCs/>
                <w:sz w:val="24"/>
                <w:szCs w:val="24"/>
              </w:rPr>
              <w:t>）</w:t>
            </w:r>
            <w:r>
              <w:rPr>
                <w:rFonts w:ascii="宋体" w:hAnsi="宋体"/>
                <w:sz w:val="24"/>
                <w:szCs w:val="24"/>
              </w:rPr>
              <w:t>施工部门应当持渣土管理部门核发的处置证明，向运输单位办理建筑垃圾、工程渣土托运手续。运输车辆在运输工程弃土、建筑垃圾时应随车携带处置证明，接收渣土管理部门的检查，运输路线应按渣土管理部门会同公安、交通管理部门规定的线路运输。</w:t>
            </w:r>
          </w:p>
          <w:p>
            <w:pPr>
              <w:topLinePunct/>
              <w:adjustRightInd w:val="0"/>
              <w:spacing w:line="520" w:lineRule="exact"/>
              <w:ind w:firstLine="480" w:firstLineChars="200"/>
              <w:rPr>
                <w:sz w:val="24"/>
                <w:szCs w:val="24"/>
              </w:rPr>
            </w:pPr>
            <w:r>
              <w:rPr>
                <w:rFonts w:hint="eastAsia"/>
                <w:bCs/>
                <w:sz w:val="24"/>
                <w:szCs w:val="24"/>
                <w:lang w:val="en-US" w:eastAsia="zh-CN"/>
              </w:rPr>
              <w:t>6</w:t>
            </w:r>
            <w:r>
              <w:rPr>
                <w:bCs/>
                <w:sz w:val="24"/>
                <w:szCs w:val="24"/>
              </w:rPr>
              <w:t>）</w:t>
            </w:r>
            <w:r>
              <w:rPr>
                <w:rFonts w:ascii="宋体" w:hAnsi="宋体"/>
                <w:sz w:val="24"/>
                <w:szCs w:val="24"/>
              </w:rPr>
              <w:t>在工程完工后，应当立即将工地的剩</w:t>
            </w:r>
            <w:r>
              <w:rPr>
                <w:sz w:val="24"/>
                <w:szCs w:val="24"/>
              </w:rPr>
              <w:t>余建筑垃圾、工程渣土处置干净，不得占用道路来堆放建筑垃圾和工程渣土。</w:t>
            </w:r>
          </w:p>
          <w:p>
            <w:pPr>
              <w:topLinePunct/>
              <w:adjustRightInd w:val="0"/>
              <w:spacing w:line="520" w:lineRule="exact"/>
              <w:ind w:firstLine="482" w:firstLineChars="200"/>
              <w:rPr>
                <w:b/>
                <w:sz w:val="24"/>
              </w:rPr>
            </w:pPr>
            <w:r>
              <w:rPr>
                <w:b/>
                <w:sz w:val="24"/>
              </w:rPr>
              <w:t>5</w:t>
            </w:r>
            <w:r>
              <w:rPr>
                <w:rFonts w:hint="eastAsia"/>
                <w:b/>
                <w:sz w:val="24"/>
                <w:lang w:eastAsia="zh-CN"/>
              </w:rPr>
              <w:t>.</w:t>
            </w:r>
            <w:r>
              <w:rPr>
                <w:b/>
                <w:sz w:val="24"/>
              </w:rPr>
              <w:t>生态</w:t>
            </w:r>
          </w:p>
          <w:p>
            <w:pPr>
              <w:pStyle w:val="97"/>
              <w:adjustRightInd w:val="0"/>
              <w:spacing w:line="520" w:lineRule="exact"/>
            </w:pPr>
            <w:r>
              <w:t>工程在施工建设过程中，生态影响主要表现为占用土地。项目所在区域无保护动植物，因此主要是对土壤环境的影响：施工期对土壤环境的影响主要是永久性占用土地及土地使用功能的改变，对土壤的机械扰动造成土壤物理特征和结构的改变。各类管线（给排水管道、通讯和电力线路）的开挖敷设等基础设施建设的临时用地，也将对土壤环境造成影响，主要表现在地基开挖，设施修筑及地面的平整紧压等对土壤的扰动和堆积覆盖。</w:t>
            </w:r>
          </w:p>
          <w:p>
            <w:pPr>
              <w:adjustRightInd w:val="0"/>
              <w:spacing w:line="520" w:lineRule="exact"/>
              <w:ind w:firstLine="468" w:firstLineChars="195"/>
              <w:rPr>
                <w:sz w:val="24"/>
              </w:rPr>
            </w:pPr>
            <w:bookmarkStart w:id="13" w:name="_Toc277949382"/>
            <w:r>
              <w:rPr>
                <w:sz w:val="24"/>
              </w:rPr>
              <w:t>（1）施工期可能造成的水土流失影响</w:t>
            </w:r>
            <w:bookmarkEnd w:id="13"/>
          </w:p>
          <w:p>
            <w:pPr>
              <w:adjustRightInd w:val="0"/>
              <w:spacing w:line="520" w:lineRule="exact"/>
              <w:ind w:firstLine="480" w:firstLineChars="200"/>
              <w:rPr>
                <w:sz w:val="24"/>
              </w:rPr>
            </w:pPr>
            <w:r>
              <w:rPr>
                <w:sz w:val="24"/>
              </w:rPr>
              <w:t>随着施工场地开挖、填方、平整，原有的表土层将受到破坏，土壤松动，或者施工过程中由于挖方及填方过程中形成的土堆不能及时清理，遇到较大降雨冲刷，易发生水土流失。项目区年平均风速不大，约</w:t>
            </w:r>
            <w:r>
              <w:rPr>
                <w:sz w:val="24"/>
                <w:szCs w:val="28"/>
              </w:rPr>
              <w:t>1.9m/s</w:t>
            </w:r>
            <w:r>
              <w:rPr>
                <w:sz w:val="24"/>
              </w:rPr>
              <w:t>，达不到起尘风速。项目区所在地降雨较少，但施工集中，只要加强施工管理、合理安排施工进度，减少水土流失。随着施工期结束，建设场地被水泥、建筑及植被覆盖，水土流失即会恢复原有水平。</w:t>
            </w:r>
          </w:p>
          <w:p>
            <w:pPr>
              <w:adjustRightInd w:val="0"/>
              <w:spacing w:line="520" w:lineRule="exact"/>
              <w:ind w:firstLine="468" w:firstLineChars="195"/>
              <w:rPr>
                <w:sz w:val="24"/>
              </w:rPr>
            </w:pPr>
            <w:bookmarkStart w:id="14" w:name="_Toc277949383"/>
            <w:r>
              <w:rPr>
                <w:sz w:val="24"/>
              </w:rPr>
              <w:t>（2）施工期的环境管理</w:t>
            </w:r>
            <w:bookmarkEnd w:id="14"/>
            <w:r>
              <w:rPr>
                <w:sz w:val="24"/>
              </w:rPr>
              <w:t>及监理</w:t>
            </w:r>
          </w:p>
          <w:p>
            <w:pPr>
              <w:adjustRightInd w:val="0"/>
              <w:spacing w:line="520" w:lineRule="exact"/>
              <w:ind w:firstLine="480" w:firstLineChars="200"/>
              <w:rPr>
                <w:sz w:val="24"/>
              </w:rPr>
            </w:pPr>
            <w:r>
              <w:rPr>
                <w:sz w:val="24"/>
              </w:rPr>
              <w:t>施工承包商在进行工程承包时，应将施工期的环境污染控制列入承包内容，并在工程开工前和施工过程中制定相应的环保防治措施和工程计划。</w:t>
            </w:r>
          </w:p>
          <w:p>
            <w:pPr>
              <w:adjustRightInd w:val="0"/>
              <w:spacing w:line="520" w:lineRule="exact"/>
              <w:ind w:firstLine="480" w:firstLineChars="200"/>
              <w:rPr>
                <w:sz w:val="24"/>
                <w:szCs w:val="21"/>
              </w:rPr>
            </w:pPr>
            <w:r>
              <w:rPr>
                <w:sz w:val="24"/>
              </w:rPr>
              <w:t>项目施工时应向当地环保行政主管部门及其他有关主管部门申报；设专人负责管理并培训施工人员，以正确的工作方法控制施工过程中产生的不利环境影响；必要时，还需对施工人员进行环境保护知识培训，以确保项目施工期各项环保控制措施的落实。工程监理单位有责任配合当地环保主管机构，在做好工程监理的同时、做好环境监理，以保证环境工程能与主体工程同时施工及同时运行，并使项目建设施工影响范围的环境质量得到充分有效保证。</w:t>
            </w:r>
          </w:p>
          <w:p>
            <w:pPr>
              <w:pStyle w:val="14"/>
              <w:adjustRightInd w:val="0"/>
              <w:spacing w:after="0" w:line="520" w:lineRule="exact"/>
              <w:ind w:left="0" w:leftChars="0" w:firstLine="480" w:firstLineChars="200"/>
            </w:pPr>
            <w:r>
              <w:rPr>
                <w:snapToGrid w:val="0"/>
                <w:sz w:val="24"/>
              </w:rPr>
              <w:t>综上所述，项目建设将会对项目所在区域的大气环境、水环境、声环境产生一定程度的影响，但均属局部，短期不利影响，通过采取有效的预防和治理措施后，其影响程度将会大大降低，其影响范围也将减小，且随施工结束消失</w:t>
            </w: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89" w:hRule="atLeast"/>
          <w:jc w:val="center"/>
        </w:trPr>
        <w:tc>
          <w:tcPr>
            <w:tcW w:w="811" w:type="dxa"/>
            <w:tcMar>
              <w:left w:w="28" w:type="dxa"/>
              <w:right w:w="28" w:type="dxa"/>
            </w:tcMar>
            <w:vAlign w:val="center"/>
          </w:tcPr>
          <w:p>
            <w:pPr>
              <w:adjustRightInd w:val="0"/>
              <w:snapToGrid w:val="0"/>
              <w:spacing w:line="520" w:lineRule="exact"/>
              <w:jc w:val="center"/>
              <w:rPr>
                <w:bCs/>
                <w:sz w:val="24"/>
              </w:rPr>
            </w:pPr>
            <w:r>
              <w:rPr>
                <w:bCs/>
                <w:sz w:val="24"/>
              </w:rPr>
              <w:t>运营</w:t>
            </w:r>
          </w:p>
          <w:p>
            <w:pPr>
              <w:adjustRightInd w:val="0"/>
              <w:snapToGrid w:val="0"/>
              <w:spacing w:line="520" w:lineRule="exact"/>
              <w:jc w:val="center"/>
              <w:rPr>
                <w:bCs/>
                <w:sz w:val="24"/>
              </w:rPr>
            </w:pPr>
            <w:r>
              <w:rPr>
                <w:bCs/>
                <w:sz w:val="24"/>
              </w:rPr>
              <w:t>期环</w:t>
            </w:r>
          </w:p>
          <w:p>
            <w:pPr>
              <w:adjustRightInd w:val="0"/>
              <w:snapToGrid w:val="0"/>
              <w:spacing w:line="520" w:lineRule="exact"/>
              <w:jc w:val="center"/>
              <w:rPr>
                <w:bCs/>
                <w:sz w:val="24"/>
              </w:rPr>
            </w:pPr>
            <w:r>
              <w:rPr>
                <w:bCs/>
                <w:sz w:val="24"/>
              </w:rPr>
              <w:t>境影</w:t>
            </w:r>
          </w:p>
          <w:p>
            <w:pPr>
              <w:adjustRightInd w:val="0"/>
              <w:snapToGrid w:val="0"/>
              <w:spacing w:line="520" w:lineRule="exact"/>
              <w:jc w:val="center"/>
              <w:rPr>
                <w:bCs/>
                <w:sz w:val="24"/>
              </w:rPr>
            </w:pPr>
            <w:r>
              <w:rPr>
                <w:bCs/>
                <w:sz w:val="24"/>
              </w:rPr>
              <w:t>响和</w:t>
            </w:r>
          </w:p>
          <w:p>
            <w:pPr>
              <w:adjustRightInd w:val="0"/>
              <w:snapToGrid w:val="0"/>
              <w:spacing w:line="520" w:lineRule="exact"/>
              <w:jc w:val="center"/>
              <w:rPr>
                <w:bCs/>
                <w:sz w:val="24"/>
              </w:rPr>
            </w:pPr>
            <w:r>
              <w:rPr>
                <w:bCs/>
                <w:sz w:val="24"/>
              </w:rPr>
              <w:t>保护</w:t>
            </w:r>
          </w:p>
          <w:p>
            <w:pPr>
              <w:adjustRightInd w:val="0"/>
              <w:snapToGrid w:val="0"/>
              <w:spacing w:line="520" w:lineRule="exact"/>
              <w:jc w:val="center"/>
              <w:rPr>
                <w:bCs/>
                <w:sz w:val="24"/>
              </w:rPr>
            </w:pPr>
            <w:r>
              <w:rPr>
                <w:bCs/>
                <w:sz w:val="24"/>
              </w:rPr>
              <w:t>措施</w:t>
            </w:r>
          </w:p>
        </w:tc>
        <w:tc>
          <w:tcPr>
            <w:tcW w:w="8445" w:type="dxa"/>
            <w:vAlign w:val="center"/>
          </w:tcPr>
          <w:p>
            <w:pPr>
              <w:keepNext w:val="0"/>
              <w:keepLines w:val="0"/>
              <w:pageBreakBefore w:val="0"/>
              <w:widowControl/>
              <w:numPr>
                <w:ilvl w:val="0"/>
                <w:numId w:val="0"/>
              </w:numPr>
              <w:kinsoku/>
              <w:wordWrap/>
              <w:overflowPunct/>
              <w:topLinePunct w:val="0"/>
              <w:autoSpaceDE/>
              <w:autoSpaceDN/>
              <w:bidi w:val="0"/>
              <w:adjustRightInd/>
              <w:snapToGrid/>
              <w:spacing w:line="520" w:lineRule="exact"/>
              <w:ind w:firstLine="482" w:firstLineChars="200"/>
              <w:textAlignment w:val="auto"/>
              <w:rPr>
                <w:rFonts w:hint="eastAsia" w:eastAsia="宋体"/>
                <w:b/>
                <w:bCs/>
                <w:sz w:val="24"/>
                <w:lang w:val="en-US" w:eastAsia="zh-CN"/>
              </w:rPr>
            </w:pPr>
            <w:r>
              <w:rPr>
                <w:rFonts w:hint="eastAsia"/>
                <w:b/>
                <w:bCs/>
                <w:sz w:val="24"/>
                <w:lang w:val="en-US" w:eastAsia="zh-CN"/>
              </w:rPr>
              <w:t>1.废气</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ascii="Times New Roman" w:hAnsi="Times New Roman"/>
                <w:sz w:val="24"/>
              </w:rPr>
            </w:pPr>
            <w:r>
              <w:rPr>
                <w:rFonts w:ascii="Times New Roman" w:hAnsi="Times New Roman"/>
                <w:sz w:val="24"/>
              </w:rPr>
              <w:t>本项目</w:t>
            </w:r>
            <w:r>
              <w:rPr>
                <w:rFonts w:hint="eastAsia"/>
                <w:sz w:val="24"/>
                <w:lang w:val="en-US" w:eastAsia="zh-CN"/>
              </w:rPr>
              <w:t>冬季</w:t>
            </w:r>
            <w:r>
              <w:rPr>
                <w:rFonts w:ascii="Times New Roman" w:hAnsi="Times New Roman"/>
                <w:sz w:val="24"/>
              </w:rPr>
              <w:t>供热</w:t>
            </w:r>
            <w:r>
              <w:rPr>
                <w:rFonts w:hint="eastAsia"/>
                <w:sz w:val="24"/>
                <w:lang w:val="en-US" w:eastAsia="zh-CN"/>
              </w:rPr>
              <w:t>由市政</w:t>
            </w:r>
            <w:r>
              <w:rPr>
                <w:rFonts w:hint="eastAsia"/>
                <w:sz w:val="24"/>
                <w:szCs w:val="22"/>
                <w:lang w:val="en-US" w:eastAsia="zh-CN"/>
              </w:rPr>
              <w:t>供热管网供给</w:t>
            </w:r>
            <w:r>
              <w:rPr>
                <w:rFonts w:ascii="Times New Roman" w:hAnsi="Times New Roman"/>
                <w:sz w:val="24"/>
              </w:rPr>
              <w:t>。</w:t>
            </w:r>
            <w:r>
              <w:rPr>
                <w:rFonts w:hint="eastAsia"/>
                <w:sz w:val="24"/>
                <w:lang w:val="en-US" w:eastAsia="zh-CN"/>
              </w:rPr>
              <w:t>废气主要为</w:t>
            </w:r>
            <w:r>
              <w:rPr>
                <w:rFonts w:ascii="Times New Roman" w:hAnsi="Times New Roman"/>
                <w:sz w:val="24"/>
              </w:rPr>
              <w:t>污水处理站</w:t>
            </w:r>
            <w:r>
              <w:rPr>
                <w:rFonts w:hint="eastAsia"/>
                <w:sz w:val="24"/>
                <w:lang w:val="en-US" w:eastAsia="zh-CN"/>
              </w:rPr>
              <w:t>产生的恶臭气体</w:t>
            </w:r>
            <w:r>
              <w:rPr>
                <w:rFonts w:hint="eastAsia"/>
                <w:sz w:val="24"/>
                <w:lang w:eastAsia="zh-CN"/>
              </w:rPr>
              <w:t>、</w:t>
            </w:r>
            <w:r>
              <w:rPr>
                <w:rFonts w:hint="eastAsia"/>
                <w:sz w:val="24"/>
                <w:lang w:val="en-US" w:eastAsia="zh-CN"/>
              </w:rPr>
              <w:t>医疗垃圾产生的恶臭气体、</w:t>
            </w:r>
            <w:r>
              <w:rPr>
                <w:rFonts w:hint="eastAsia"/>
                <w:sz w:val="24"/>
                <w:lang w:eastAsia="zh-CN"/>
              </w:rPr>
              <w:t>汽车尾气</w:t>
            </w:r>
            <w:r>
              <w:rPr>
                <w:rFonts w:ascii="Times New Roman" w:hAnsi="Times New Roman"/>
                <w:sz w:val="24"/>
              </w:rPr>
              <w:t>。</w:t>
            </w:r>
          </w:p>
          <w:p>
            <w:pPr>
              <w:keepNext w:val="0"/>
              <w:keepLines w:val="0"/>
              <w:pageBreakBefore w:val="0"/>
              <w:kinsoku/>
              <w:wordWrap/>
              <w:overflowPunct/>
              <w:topLinePunct w:val="0"/>
              <w:bidi w:val="0"/>
              <w:snapToGrid w:val="0"/>
              <w:spacing w:line="520" w:lineRule="exact"/>
              <w:ind w:firstLine="482" w:firstLineChars="200"/>
              <w:textAlignment w:val="auto"/>
              <w:rPr>
                <w:rStyle w:val="63"/>
                <w:rFonts w:hint="default" w:ascii="Times New Roman" w:hAnsi="Times New Roman" w:eastAsia="宋体"/>
                <w:b/>
                <w:bCs/>
                <w:color w:val="auto"/>
                <w:sz w:val="24"/>
                <w:szCs w:val="24"/>
                <w:lang w:val="en-US" w:eastAsia="zh-CN"/>
              </w:rPr>
            </w:pPr>
            <w:r>
              <w:rPr>
                <w:rStyle w:val="63"/>
                <w:rFonts w:hint="eastAsia" w:ascii="Times New Roman" w:hAnsi="Times New Roman"/>
                <w:b/>
                <w:bCs/>
                <w:color w:val="auto"/>
                <w:sz w:val="24"/>
                <w:szCs w:val="24"/>
                <w:lang w:val="en-US" w:eastAsia="zh-CN"/>
              </w:rPr>
              <w:t>1.1</w:t>
            </w:r>
            <w:r>
              <w:rPr>
                <w:rStyle w:val="63"/>
                <w:rFonts w:hint="eastAsia" w:ascii="Times New Roman" w:hAnsi="Times New Roman"/>
                <w:b/>
                <w:bCs/>
                <w:color w:val="auto"/>
                <w:sz w:val="24"/>
                <w:szCs w:val="24"/>
              </w:rPr>
              <w:t>污水处理站恶臭</w:t>
            </w:r>
            <w:r>
              <w:rPr>
                <w:rStyle w:val="63"/>
                <w:rFonts w:hint="eastAsia" w:ascii="Times New Roman" w:hAnsi="Times New Roman"/>
                <w:b/>
                <w:bCs/>
                <w:color w:val="auto"/>
                <w:sz w:val="24"/>
                <w:szCs w:val="24"/>
                <w:lang w:val="en-US" w:eastAsia="zh-CN"/>
              </w:rPr>
              <w:t>影响分析</w:t>
            </w:r>
          </w:p>
          <w:p>
            <w:pPr>
              <w:pStyle w:val="2"/>
              <w:keepNext w:val="0"/>
              <w:keepLines w:val="0"/>
              <w:pageBreakBefore w:val="0"/>
              <w:kinsoku/>
              <w:wordWrap/>
              <w:overflowPunct/>
              <w:topLinePunct w:val="0"/>
              <w:bidi w:val="0"/>
              <w:snapToGrid/>
              <w:spacing w:line="520" w:lineRule="exact"/>
              <w:ind w:firstLine="480" w:firstLineChars="200"/>
              <w:jc w:val="both"/>
              <w:textAlignment w:val="auto"/>
              <w:rPr>
                <w:rFonts w:hint="default" w:ascii="Times New Roman" w:cs="Times New Roman"/>
                <w:color w:val="000000" w:themeColor="text1"/>
                <w14:textFill>
                  <w14:solidFill>
                    <w14:schemeClr w14:val="tx1"/>
                  </w14:solidFill>
                </w14:textFill>
              </w:rPr>
            </w:pPr>
            <w:r>
              <w:rPr>
                <w:rFonts w:hint="default" w:ascii="Times New Roman"/>
              </w:rPr>
              <w:t>污水处理站的恶臭来源于污水、栅渣以及污泥中有机物的分解、发酵过程中散发的化学物质</w:t>
            </w:r>
            <w:r>
              <w:rPr>
                <w:rFonts w:hint="eastAsia" w:ascii="Times New Roman"/>
                <w:lang w:eastAsia="zh-CN"/>
              </w:rPr>
              <w:t>，</w:t>
            </w:r>
            <w:r>
              <w:rPr>
                <w:rFonts w:hint="eastAsia" w:ascii="Times New Roman"/>
                <w:lang w:val="en-US" w:eastAsia="zh-CN"/>
              </w:rPr>
              <w:t>主要</w:t>
            </w:r>
            <w:r>
              <w:rPr>
                <w:rFonts w:hint="eastAsia" w:ascii="Times New Roman" w:hAnsi="Times New Roman"/>
                <w:color w:val="000000"/>
                <w:sz w:val="24"/>
                <w:szCs w:val="24"/>
              </w:rPr>
              <w:t>以NH</w:t>
            </w:r>
            <w:r>
              <w:rPr>
                <w:rFonts w:hint="eastAsia" w:ascii="Times New Roman" w:hAnsi="Times New Roman"/>
                <w:color w:val="000000"/>
                <w:sz w:val="24"/>
                <w:szCs w:val="24"/>
                <w:vertAlign w:val="subscript"/>
              </w:rPr>
              <w:t>3</w:t>
            </w:r>
            <w:r>
              <w:rPr>
                <w:rFonts w:hint="eastAsia" w:ascii="Times New Roman" w:hAnsi="Times New Roman"/>
                <w:color w:val="000000"/>
                <w:sz w:val="24"/>
                <w:szCs w:val="24"/>
              </w:rPr>
              <w:t>和H</w:t>
            </w:r>
            <w:r>
              <w:rPr>
                <w:rFonts w:hint="eastAsia" w:ascii="Times New Roman" w:hAnsi="Times New Roman"/>
                <w:color w:val="000000"/>
                <w:sz w:val="24"/>
                <w:szCs w:val="24"/>
                <w:vertAlign w:val="subscript"/>
              </w:rPr>
              <w:t>2</w:t>
            </w:r>
            <w:r>
              <w:rPr>
                <w:rFonts w:hint="eastAsia" w:ascii="Times New Roman" w:hAnsi="Times New Roman"/>
                <w:color w:val="000000"/>
                <w:sz w:val="24"/>
                <w:szCs w:val="24"/>
              </w:rPr>
              <w:t>S为主</w:t>
            </w:r>
            <w:r>
              <w:rPr>
                <w:rFonts w:hint="default" w:ascii="Times New Roman"/>
              </w:rPr>
              <w:t>，污水的臭味容易散发到空气中，对周围环境造成影响。臭味的主要发生部位有：</w:t>
            </w:r>
            <w:r>
              <w:rPr>
                <w:rFonts w:hint="eastAsia" w:ascii="Times New Roman"/>
                <w:lang w:val="en-US" w:eastAsia="zh-CN"/>
              </w:rPr>
              <w:t>化粪池</w:t>
            </w:r>
            <w:r>
              <w:rPr>
                <w:rFonts w:hint="default" w:ascii="Times New Roman"/>
              </w:rPr>
              <w:t>、调节池、</w:t>
            </w:r>
            <w:r>
              <w:rPr>
                <w:rFonts w:hint="eastAsia" w:ascii="Times New Roman"/>
                <w:lang w:val="en-US" w:eastAsia="zh-CN"/>
              </w:rPr>
              <w:t>厌氧池、</w:t>
            </w:r>
            <w:r>
              <w:rPr>
                <w:rFonts w:ascii="Times New Roman"/>
              </w:rPr>
              <w:t>生化池、</w:t>
            </w:r>
            <w:r>
              <w:rPr>
                <w:rFonts w:hint="eastAsia" w:ascii="Times New Roman"/>
                <w:lang w:val="en-US" w:eastAsia="zh-CN"/>
              </w:rPr>
              <w:t>沉淀池、</w:t>
            </w:r>
            <w:r>
              <w:rPr>
                <w:rFonts w:hint="default" w:ascii="Times New Roman"/>
              </w:rPr>
              <w:t>消毒池等。</w:t>
            </w:r>
            <w:r>
              <w:rPr>
                <w:rFonts w:hint="default" w:ascii="Times New Roman" w:cs="Times New Roman"/>
                <w:color w:val="000000" w:themeColor="text1"/>
                <w14:textFill>
                  <w14:solidFill>
                    <w14:schemeClr w14:val="tx1"/>
                  </w14:solidFill>
                </w14:textFill>
              </w:rPr>
              <w:t>恶臭主要成份为H</w:t>
            </w:r>
            <w:r>
              <w:rPr>
                <w:rFonts w:hint="default" w:ascii="Times New Roman" w:cs="Times New Roman"/>
                <w:color w:val="000000" w:themeColor="text1"/>
                <w:vertAlign w:val="subscript"/>
                <w14:textFill>
                  <w14:solidFill>
                    <w14:schemeClr w14:val="tx1"/>
                  </w14:solidFill>
                </w14:textFill>
              </w:rPr>
              <w:t>2</w:t>
            </w:r>
            <w:r>
              <w:rPr>
                <w:rFonts w:hint="default" w:ascii="Times New Roman" w:cs="Times New Roman"/>
                <w:color w:val="000000" w:themeColor="text1"/>
                <w14:textFill>
                  <w14:solidFill>
                    <w14:schemeClr w14:val="tx1"/>
                  </w14:solidFill>
                </w14:textFill>
              </w:rPr>
              <w:t>S、NH</w:t>
            </w:r>
            <w:r>
              <w:rPr>
                <w:rFonts w:hint="default" w:ascii="Times New Roman" w:cs="Times New Roman"/>
                <w:color w:val="000000" w:themeColor="text1"/>
                <w:vertAlign w:val="subscript"/>
                <w14:textFill>
                  <w14:solidFill>
                    <w14:schemeClr w14:val="tx1"/>
                  </w14:solidFill>
                </w14:textFill>
              </w:rPr>
              <w:t>3</w:t>
            </w:r>
            <w:r>
              <w:rPr>
                <w:rFonts w:hint="default" w:ascii="Times New Roman" w:cs="Times New Roman"/>
                <w:color w:val="000000" w:themeColor="text1"/>
                <w14:textFill>
                  <w14:solidFill>
                    <w14:schemeClr w14:val="tx1"/>
                  </w14:solidFill>
                </w14:textFill>
              </w:rPr>
              <w:t>等。按照《医疗机构水污染物排放标准》（GB18466-2005）</w:t>
            </w:r>
            <w:r>
              <w:rPr>
                <w:rFonts w:hint="eastAsia" w:ascii="Times New Roman" w:cs="Times New Roman"/>
                <w:color w:val="000000" w:themeColor="text1"/>
                <w:lang w:eastAsia="zh-CN"/>
                <w14:textFill>
                  <w14:solidFill>
                    <w14:schemeClr w14:val="tx1"/>
                  </w14:solidFill>
                </w14:textFill>
              </w:rPr>
              <w:t>“</w:t>
            </w:r>
            <w:r>
              <w:rPr>
                <w:rFonts w:hint="default" w:ascii="Times New Roman" w:cs="Times New Roman"/>
                <w:color w:val="000000" w:themeColor="text1"/>
                <w14:textFill>
                  <w14:solidFill>
                    <w14:schemeClr w14:val="tx1"/>
                  </w14:solidFill>
                </w14:textFill>
              </w:rPr>
              <w:t>4.2.1</w:t>
            </w:r>
            <w:r>
              <w:rPr>
                <w:rFonts w:hint="eastAsia" w:ascii="Times New Roman" w:cs="Times New Roman"/>
                <w:color w:val="000000" w:themeColor="text1"/>
                <w:lang w:eastAsia="zh-CN"/>
                <w14:textFill>
                  <w14:solidFill>
                    <w14:schemeClr w14:val="tx1"/>
                  </w14:solidFill>
                </w14:textFill>
              </w:rPr>
              <w:t>”</w:t>
            </w:r>
            <w:r>
              <w:rPr>
                <w:rFonts w:hint="default" w:ascii="Times New Roman" w:cs="Times New Roman"/>
                <w:color w:val="000000" w:themeColor="text1"/>
                <w14:textFill>
                  <w14:solidFill>
                    <w14:schemeClr w14:val="tx1"/>
                  </w14:solidFill>
                </w14:textFill>
              </w:rPr>
              <w:t>中的要求，污水处理站排出的废气应进行除臭除味处理，保证污水处理站周边空气中污染物达到《医疗机构水污染物排放标准》（GB18466-2005）中要求；又根据《医院污水处理工程技术规范》（HJ2029-2013）</w:t>
            </w:r>
            <w:r>
              <w:rPr>
                <w:rFonts w:hint="eastAsia" w:ascii="Times New Roman" w:cs="Times New Roman"/>
                <w:color w:val="000000" w:themeColor="text1"/>
                <w:lang w:eastAsia="zh-CN"/>
                <w14:textFill>
                  <w14:solidFill>
                    <w14:schemeClr w14:val="tx1"/>
                  </w14:solidFill>
                </w14:textFill>
              </w:rPr>
              <w:t>“</w:t>
            </w:r>
            <w:r>
              <w:rPr>
                <w:rFonts w:hint="default" w:ascii="Times New Roman" w:cs="Times New Roman"/>
                <w:color w:val="000000" w:themeColor="text1"/>
                <w14:textFill>
                  <w14:solidFill>
                    <w14:schemeClr w14:val="tx1"/>
                  </w14:solidFill>
                </w14:textFill>
              </w:rPr>
              <w:t>5.1.6</w:t>
            </w:r>
            <w:r>
              <w:rPr>
                <w:rFonts w:hint="eastAsia" w:ascii="Times New Roman" w:cs="Times New Roman"/>
                <w:color w:val="000000" w:themeColor="text1"/>
                <w:lang w:eastAsia="zh-CN"/>
                <w14:textFill>
                  <w14:solidFill>
                    <w14:schemeClr w14:val="tx1"/>
                  </w14:solidFill>
                </w14:textFill>
              </w:rPr>
              <w:t>”</w:t>
            </w:r>
            <w:r>
              <w:rPr>
                <w:rFonts w:hint="default" w:ascii="Times New Roman" w:cs="Times New Roman"/>
                <w:color w:val="000000" w:themeColor="text1"/>
                <w14:textFill>
                  <w14:solidFill>
                    <w14:schemeClr w14:val="tx1"/>
                  </w14:solidFill>
                </w14:textFill>
              </w:rPr>
              <w:t>中的要求，医院污水处理构筑物应采取防腐蚀、防渗漏、防冻等技术措施，各种构筑物应加盖密闭，并设通气装置。</w:t>
            </w:r>
          </w:p>
          <w:p>
            <w:pPr>
              <w:keepNext w:val="0"/>
              <w:keepLines w:val="0"/>
              <w:pageBreakBefore w:val="0"/>
              <w:widowControl/>
              <w:kinsoku/>
              <w:wordWrap/>
              <w:overflowPunct/>
              <w:topLinePunct w:val="0"/>
              <w:bidi w:val="0"/>
              <w:snapToGrid/>
              <w:spacing w:line="520" w:lineRule="exact"/>
              <w:ind w:firstLine="420" w:firstLineChars="175"/>
              <w:jc w:val="left"/>
              <w:textAlignment w:val="auto"/>
              <w:rPr>
                <w:rFonts w:hint="default" w:cs="Times New Roman"/>
                <w:color w:val="000000" w:themeColor="text1"/>
                <w:kern w:val="0"/>
                <w:sz w:val="24"/>
                <w:lang w:val="en-US" w:eastAsia="zh-CN" w:bidi="ar"/>
                <w14:textFill>
                  <w14:solidFill>
                    <w14:schemeClr w14:val="tx1"/>
                  </w14:solidFill>
                </w14:textFill>
              </w:rPr>
            </w:pPr>
            <w:r>
              <w:rPr>
                <w:rFonts w:hint="eastAsia" w:cs="Times New Roman"/>
                <w:color w:val="000000" w:themeColor="text1"/>
                <w:kern w:val="0"/>
                <w:sz w:val="24"/>
                <w:lang w:val="en-US" w:eastAsia="zh-CN" w:bidi="ar"/>
                <w14:textFill>
                  <w14:solidFill>
                    <w14:schemeClr w14:val="tx1"/>
                  </w14:solidFill>
                </w14:textFill>
              </w:rPr>
              <w:t>中医医院现有</w:t>
            </w:r>
            <w:r>
              <w:rPr>
                <w:rFonts w:ascii="Times New Roman" w:hAnsi="Times New Roman" w:cs="Times New Roman"/>
                <w:color w:val="000000" w:themeColor="text1"/>
                <w:kern w:val="0"/>
                <w:sz w:val="24"/>
                <w:lang w:bidi="ar"/>
                <w14:textFill>
                  <w14:solidFill>
                    <w14:schemeClr w14:val="tx1"/>
                  </w14:solidFill>
                </w14:textFill>
              </w:rPr>
              <w:t>污水处理站，</w:t>
            </w:r>
            <w:r>
              <w:rPr>
                <w:rFonts w:hint="eastAsia" w:cs="Times New Roman"/>
                <w:color w:val="000000" w:themeColor="text1"/>
                <w:kern w:val="0"/>
                <w:sz w:val="24"/>
                <w:lang w:val="en-US" w:eastAsia="zh-CN" w:bidi="ar"/>
                <w14:textFill>
                  <w14:solidFill>
                    <w14:schemeClr w14:val="tx1"/>
                  </w14:solidFill>
                </w14:textFill>
              </w:rPr>
              <w:t>污水处理设施为地下</w:t>
            </w:r>
            <w:r>
              <w:rPr>
                <w:rFonts w:ascii="Times New Roman" w:hAnsi="Times New Roman" w:cs="Times New Roman"/>
                <w:color w:val="000000" w:themeColor="text1"/>
                <w:kern w:val="0"/>
                <w:sz w:val="24"/>
                <w:lang w:bidi="ar"/>
                <w14:textFill>
                  <w14:solidFill>
                    <w14:schemeClr w14:val="tx1"/>
                  </w14:solidFill>
                </w14:textFill>
              </w:rPr>
              <w:t>封闭</w:t>
            </w:r>
            <w:r>
              <w:rPr>
                <w:rFonts w:hint="eastAsia" w:cs="Times New Roman"/>
                <w:color w:val="000000" w:themeColor="text1"/>
                <w:kern w:val="0"/>
                <w:sz w:val="24"/>
                <w:lang w:val="en-US" w:eastAsia="zh-CN" w:bidi="ar"/>
                <w14:textFill>
                  <w14:solidFill>
                    <w14:schemeClr w14:val="tx1"/>
                  </w14:solidFill>
                </w14:textFill>
              </w:rPr>
              <w:t>式，未安装</w:t>
            </w:r>
            <w:r>
              <w:rPr>
                <w:rFonts w:ascii="Times New Roman" w:hAnsi="Times New Roman" w:cs="Times New Roman"/>
                <w:color w:val="000000" w:themeColor="text1"/>
                <w:kern w:val="0"/>
                <w:sz w:val="24"/>
                <w:lang w:bidi="ar"/>
                <w14:textFill>
                  <w14:solidFill>
                    <w14:schemeClr w14:val="tx1"/>
                  </w14:solidFill>
                </w14:textFill>
              </w:rPr>
              <w:t>除臭</w:t>
            </w:r>
            <w:r>
              <w:rPr>
                <w:rFonts w:hint="eastAsia" w:cs="Times New Roman"/>
                <w:color w:val="000000" w:themeColor="text1"/>
                <w:kern w:val="0"/>
                <w:sz w:val="24"/>
                <w:lang w:val="en-US" w:eastAsia="zh-CN" w:bidi="ar"/>
                <w14:textFill>
                  <w14:solidFill>
                    <w14:schemeClr w14:val="tx1"/>
                  </w14:solidFill>
                </w14:textFill>
              </w:rPr>
              <w:t>设施，产生的恶臭气体呈无组织排放。</w:t>
            </w:r>
          </w:p>
          <w:p>
            <w:pPr>
              <w:keepNext w:val="0"/>
              <w:keepLines w:val="0"/>
              <w:pageBreakBefore w:val="0"/>
              <w:widowControl/>
              <w:kinsoku/>
              <w:wordWrap/>
              <w:overflowPunct/>
              <w:topLinePunct w:val="0"/>
              <w:bidi w:val="0"/>
              <w:snapToGrid/>
              <w:spacing w:line="520" w:lineRule="exact"/>
              <w:ind w:firstLine="420" w:firstLineChars="175"/>
              <w:jc w:val="left"/>
              <w:textAlignment w:val="auto"/>
              <w:rPr>
                <w:rFonts w:ascii="Times New Roman" w:hAnsi="Times New Roman" w:cs="Times New Roman"/>
                <w:color w:val="000000" w:themeColor="text1"/>
                <w:sz w:val="24"/>
                <w14:textFill>
                  <w14:solidFill>
                    <w14:schemeClr w14:val="tx1"/>
                  </w14:solidFill>
                </w14:textFill>
              </w:rPr>
            </w:pPr>
            <w:r>
              <w:rPr>
                <w:rFonts w:hint="eastAsia" w:cs="Times New Roman"/>
                <w:color w:val="000000" w:themeColor="text1"/>
                <w:kern w:val="0"/>
                <w:sz w:val="24"/>
                <w:lang w:val="en-US" w:eastAsia="zh-CN" w:bidi="ar"/>
                <w14:textFill>
                  <w14:solidFill>
                    <w14:schemeClr w14:val="tx1"/>
                  </w14:solidFill>
                </w14:textFill>
              </w:rPr>
              <w:t>本环评建议现有污水处理站安装除臭装置，</w:t>
            </w:r>
            <w:r>
              <w:rPr>
                <w:rFonts w:ascii="Times New Roman" w:hAnsi="Times New Roman" w:cs="Times New Roman"/>
                <w:color w:val="000000" w:themeColor="text1"/>
                <w:kern w:val="0"/>
                <w:sz w:val="24"/>
                <w:lang w:bidi="ar"/>
                <w14:textFill>
                  <w14:solidFill>
                    <w14:schemeClr w14:val="tx1"/>
                  </w14:solidFill>
                </w14:textFill>
              </w:rPr>
              <w:t>产生的恶臭气体通过在废水处理设施各出气口顶部安装捕集装置，被捕集的气体进入生物过滤除臭系统进行除臭和消毒处理后引至高空排放，排放高度约15m。</w:t>
            </w:r>
          </w:p>
          <w:p>
            <w:pPr>
              <w:keepNext w:val="0"/>
              <w:keepLines w:val="0"/>
              <w:pageBreakBefore w:val="0"/>
              <w:widowControl/>
              <w:kinsoku/>
              <w:wordWrap/>
              <w:overflowPunct/>
              <w:topLinePunct w:val="0"/>
              <w:autoSpaceDE/>
              <w:autoSpaceDN/>
              <w:bidi w:val="0"/>
              <w:adjustRightInd/>
              <w:snapToGrid/>
              <w:spacing w:line="520" w:lineRule="exact"/>
              <w:ind w:firstLine="420" w:firstLineChars="175"/>
              <w:jc w:val="both"/>
              <w:textAlignment w:val="auto"/>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kern w:val="0"/>
                <w:sz w:val="24"/>
                <w:lang w:bidi="ar"/>
                <w14:textFill>
                  <w14:solidFill>
                    <w14:schemeClr w14:val="tx1"/>
                  </w14:solidFill>
                </w14:textFill>
              </w:rPr>
              <w:t>污水处理站产生的废气受季节、温度、风速等因素影响较大，通过对同类型医院污水处理站废气污染物产生情况的调查，并参照《城镇污水处理厂臭气处理技术规程》中规定的污水厂臭气浓度范围进行取值，</w:t>
            </w:r>
            <w:r>
              <w:rPr>
                <w:rFonts w:hint="eastAsia" w:cs="Times New Roman"/>
                <w:color w:val="000000" w:themeColor="text1"/>
                <w:kern w:val="0"/>
                <w:sz w:val="24"/>
                <w:lang w:val="en-US" w:eastAsia="zh-CN" w:bidi="ar"/>
                <w14:textFill>
                  <w14:solidFill>
                    <w14:schemeClr w14:val="tx1"/>
                  </w14:solidFill>
                </w14:textFill>
              </w:rPr>
              <w:t>中医医院</w:t>
            </w:r>
            <w:r>
              <w:rPr>
                <w:rFonts w:ascii="Times New Roman" w:hAnsi="Times New Roman" w:cs="Times New Roman"/>
                <w:color w:val="000000" w:themeColor="text1"/>
                <w:kern w:val="0"/>
                <w:sz w:val="24"/>
                <w:lang w:bidi="ar"/>
                <w14:textFill>
                  <w14:solidFill>
                    <w14:schemeClr w14:val="tx1"/>
                  </w14:solidFill>
                </w14:textFill>
              </w:rPr>
              <w:t>污水处理站恶臭污染物浓度源强见下表。污水处理站地下占地面积约</w:t>
            </w:r>
            <w:r>
              <w:rPr>
                <w:rFonts w:hint="eastAsia" w:ascii="Times New Roman" w:hAnsi="Times New Roman" w:cs="Times New Roman"/>
                <w:color w:val="000000" w:themeColor="text1"/>
                <w:kern w:val="0"/>
                <w:sz w:val="24"/>
                <w:lang w:val="en-US" w:eastAsia="zh-CN" w:bidi="ar"/>
                <w14:textFill>
                  <w14:solidFill>
                    <w14:schemeClr w14:val="tx1"/>
                  </w14:solidFill>
                </w14:textFill>
              </w:rPr>
              <w:t>5</w:t>
            </w:r>
            <w:r>
              <w:rPr>
                <w:rFonts w:ascii="Times New Roman" w:hAnsi="Times New Roman" w:cs="Times New Roman"/>
                <w:color w:val="000000" w:themeColor="text1"/>
                <w:kern w:val="0"/>
                <w:sz w:val="24"/>
                <w:lang w:bidi="ar"/>
                <w14:textFill>
                  <w14:solidFill>
                    <w14:schemeClr w14:val="tx1"/>
                  </w14:solidFill>
                </w14:textFill>
              </w:rPr>
              <w:t>00m</w:t>
            </w:r>
            <w:r>
              <w:rPr>
                <w:rFonts w:ascii="Times New Roman" w:hAnsi="Times New Roman" w:cs="Times New Roman"/>
                <w:color w:val="000000" w:themeColor="text1"/>
                <w:kern w:val="0"/>
                <w:sz w:val="24"/>
                <w:vertAlign w:val="superscript"/>
                <w:lang w:bidi="ar"/>
                <w14:textFill>
                  <w14:solidFill>
                    <w14:schemeClr w14:val="tx1"/>
                  </w14:solidFill>
                </w14:textFill>
              </w:rPr>
              <w:t>2</w:t>
            </w:r>
            <w:r>
              <w:rPr>
                <w:rFonts w:ascii="Times New Roman" w:hAnsi="Times New Roman" w:cs="Times New Roman"/>
                <w:color w:val="000000" w:themeColor="text1"/>
                <w:kern w:val="0"/>
                <w:sz w:val="24"/>
                <w:lang w:bidi="ar"/>
                <w14:textFill>
                  <w14:solidFill>
                    <w14:schemeClr w14:val="tx1"/>
                  </w14:solidFill>
                </w14:textFill>
              </w:rPr>
              <w:t>，恶臭气体收集系统风量500</w:t>
            </w:r>
            <w:r>
              <w:rPr>
                <w:rFonts w:hint="eastAsia" w:ascii="Times New Roman" w:hAnsi="Times New Roman" w:cs="Times New Roman"/>
                <w:color w:val="000000" w:themeColor="text1"/>
                <w:kern w:val="0"/>
                <w:sz w:val="24"/>
                <w:lang w:val="en-US" w:eastAsia="zh-CN" w:bidi="ar"/>
                <w14:textFill>
                  <w14:solidFill>
                    <w14:schemeClr w14:val="tx1"/>
                  </w14:solidFill>
                </w14:textFill>
              </w:rPr>
              <w:t>0</w:t>
            </w:r>
            <w:r>
              <w:rPr>
                <w:rFonts w:ascii="Times New Roman" w:hAnsi="Times New Roman" w:cs="Times New Roman"/>
                <w:color w:val="000000" w:themeColor="text1"/>
                <w:kern w:val="0"/>
                <w:sz w:val="24"/>
                <w:lang w:bidi="ar"/>
                <w14:textFill>
                  <w14:solidFill>
                    <w14:schemeClr w14:val="tx1"/>
                  </w14:solidFill>
                </w14:textFill>
              </w:rPr>
              <w:t>m</w:t>
            </w:r>
            <w:r>
              <w:rPr>
                <w:rFonts w:ascii="Times New Roman" w:hAnsi="Times New Roman" w:cs="Times New Roman"/>
                <w:color w:val="000000" w:themeColor="text1"/>
                <w:kern w:val="0"/>
                <w:sz w:val="24"/>
                <w:vertAlign w:val="superscript"/>
                <w:lang w:bidi="ar"/>
                <w14:textFill>
                  <w14:solidFill>
                    <w14:schemeClr w14:val="tx1"/>
                  </w14:solidFill>
                </w14:textFill>
              </w:rPr>
              <w:t>3</w:t>
            </w:r>
            <w:r>
              <w:rPr>
                <w:rFonts w:ascii="Times New Roman" w:hAnsi="Times New Roman" w:cs="Times New Roman"/>
                <w:color w:val="000000" w:themeColor="text1"/>
                <w:kern w:val="0"/>
                <w:sz w:val="24"/>
                <w:lang w:bidi="ar"/>
                <w14:textFill>
                  <w14:solidFill>
                    <w14:schemeClr w14:val="tx1"/>
                  </w14:solidFill>
                </w14:textFill>
              </w:rPr>
              <w:t>/h，生物过滤除臭系统净化效率为90%</w:t>
            </w:r>
            <w:r>
              <w:rPr>
                <w:rFonts w:hint="eastAsia" w:ascii="Times New Roman" w:hAnsi="Times New Roman" w:cs="Times New Roman"/>
                <w:color w:val="000000" w:themeColor="text1"/>
                <w:kern w:val="0"/>
                <w:sz w:val="24"/>
                <w:lang w:bidi="ar"/>
                <w14:textFill>
                  <w14:solidFill>
                    <w14:schemeClr w14:val="tx1"/>
                  </w14:solidFill>
                </w14:textFill>
              </w:rPr>
              <w:t>。处理后排放速率</w:t>
            </w:r>
            <w:r>
              <w:rPr>
                <w:rFonts w:hint="eastAsia" w:cs="Times New Roman"/>
                <w:color w:val="000000" w:themeColor="text1"/>
                <w:kern w:val="0"/>
                <w:sz w:val="24"/>
                <w:lang w:val="en-US" w:eastAsia="zh-CN" w:bidi="ar"/>
                <w14:textFill>
                  <w14:solidFill>
                    <w14:schemeClr w14:val="tx1"/>
                  </w14:solidFill>
                </w14:textFill>
              </w:rPr>
              <w:t>可</w:t>
            </w:r>
            <w:r>
              <w:rPr>
                <w:rFonts w:hint="eastAsia" w:ascii="Times New Roman" w:hAnsi="Times New Roman" w:cs="Times New Roman"/>
                <w:color w:val="000000" w:themeColor="text1"/>
                <w:kern w:val="0"/>
                <w:sz w:val="24"/>
                <w:lang w:bidi="ar"/>
                <w14:textFill>
                  <w14:solidFill>
                    <w14:schemeClr w14:val="tx1"/>
                  </w14:solidFill>
                </w14:textFill>
              </w:rPr>
              <w:t>满足《恶臭污染物排放标准》（GB14554-93）表2中污染物排放标准值。</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项目有组织废气排放情况见表</w:t>
            </w:r>
            <w:r>
              <w:rPr>
                <w:rFonts w:hint="eastAsia" w:ascii="Times New Roman" w:hAnsi="Times New Roman" w:cs="Times New Roman"/>
                <w:color w:val="000000" w:themeColor="text1"/>
                <w:sz w:val="24"/>
                <w:szCs w:val="24"/>
                <w:lang w:val="en-US" w:eastAsia="zh-CN"/>
                <w14:textFill>
                  <w14:solidFill>
                    <w14:schemeClr w14:val="tx1"/>
                  </w14:solidFill>
                </w14:textFill>
              </w:rPr>
              <w:t>4-2</w:t>
            </w:r>
            <w:r>
              <w:rPr>
                <w:rFonts w:hint="default" w:ascii="Times New Roman" w:hAnsi="Times New Roman" w:cs="Times New Roman"/>
                <w:color w:val="000000" w:themeColor="text1"/>
                <w:sz w:val="24"/>
                <w:szCs w:val="24"/>
                <w14:textFill>
                  <w14:solidFill>
                    <w14:schemeClr w14:val="tx1"/>
                  </w14:solidFill>
                </w14:textFill>
              </w:rPr>
              <w:t>。</w:t>
            </w:r>
          </w:p>
          <w:p>
            <w:pPr>
              <w:ind w:firstLine="482" w:firstLineChars="200"/>
              <w:jc w:val="center"/>
              <w:rPr>
                <w:rFonts w:ascii="Times New Roman" w:hAnsi="Times New Roman" w:cs="Times New Roman"/>
                <w:b/>
                <w:bCs/>
                <w:sz w:val="24"/>
              </w:rPr>
            </w:pPr>
            <w:r>
              <w:rPr>
                <w:rFonts w:ascii="Times New Roman" w:hAnsi="Times New Roman" w:cs="Times New Roman"/>
                <w:b/>
                <w:bCs/>
                <w:sz w:val="24"/>
              </w:rPr>
              <w:t>表</w:t>
            </w:r>
            <w:r>
              <w:rPr>
                <w:rFonts w:hint="eastAsia" w:ascii="Times New Roman" w:hAnsi="Times New Roman" w:cs="Times New Roman"/>
                <w:b/>
                <w:bCs/>
                <w:sz w:val="24"/>
                <w:lang w:val="en-US" w:eastAsia="zh-CN"/>
              </w:rPr>
              <w:t>4-2</w:t>
            </w:r>
            <w:r>
              <w:rPr>
                <w:rFonts w:hint="eastAsia" w:ascii="Times New Roman" w:hAnsi="Times New Roman" w:cs="Times New Roman"/>
                <w:b/>
                <w:bCs/>
                <w:sz w:val="24"/>
              </w:rPr>
              <w:t xml:space="preserve">    污水站有组织恶臭气体产生、排放一览表</w:t>
            </w:r>
          </w:p>
          <w:tbl>
            <w:tblPr>
              <w:tblStyle w:val="2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4"/>
              <w:gridCol w:w="802"/>
              <w:gridCol w:w="1169"/>
              <w:gridCol w:w="971"/>
              <w:gridCol w:w="818"/>
              <w:gridCol w:w="1085"/>
              <w:gridCol w:w="967"/>
              <w:gridCol w:w="838"/>
              <w:gridCol w:w="11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514"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大气污染物</w:t>
                  </w:r>
                </w:p>
              </w:tc>
              <w:tc>
                <w:tcPr>
                  <w:tcW w:w="461"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风量（m</w:t>
                  </w:r>
                  <w:r>
                    <w:rPr>
                      <w:rFonts w:ascii="Times New Roman" w:cs="Times New Roman"/>
                      <w:sz w:val="21"/>
                      <w:szCs w:val="21"/>
                      <w:vertAlign w:val="superscript"/>
                    </w:rPr>
                    <w:t>3</w:t>
                  </w:r>
                  <w:r>
                    <w:rPr>
                      <w:rFonts w:ascii="Times New Roman" w:cs="Times New Roman"/>
                      <w:sz w:val="21"/>
                      <w:szCs w:val="21"/>
                    </w:rPr>
                    <w:t>）</w:t>
                  </w:r>
                </w:p>
              </w:tc>
              <w:tc>
                <w:tcPr>
                  <w:tcW w:w="672"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单位产生量（mg/s·m</w:t>
                  </w:r>
                  <w:r>
                    <w:rPr>
                      <w:rFonts w:hint="default" w:ascii="Times New Roman" w:cs="Times New Roman"/>
                      <w:sz w:val="21"/>
                      <w:szCs w:val="21"/>
                      <w:vertAlign w:val="superscript"/>
                    </w:rPr>
                    <w:t>2</w:t>
                  </w:r>
                  <w:r>
                    <w:rPr>
                      <w:rFonts w:ascii="Times New Roman" w:cs="Times New Roman"/>
                      <w:sz w:val="21"/>
                      <w:szCs w:val="21"/>
                    </w:rPr>
                    <w:t>）</w:t>
                  </w:r>
                </w:p>
              </w:tc>
              <w:tc>
                <w:tcPr>
                  <w:tcW w:w="558" w:type="pct"/>
                  <w:noWrap w:val="0"/>
                  <w:vAlign w:val="top"/>
                </w:tcPr>
                <w:p>
                  <w:pPr>
                    <w:pStyle w:val="2"/>
                    <w:ind w:left="-105" w:leftChars="-50" w:right="-105" w:rightChars="-50"/>
                    <w:jc w:val="center"/>
                    <w:rPr>
                      <w:rFonts w:hint="default" w:ascii="Times New Roman" w:cs="Times New Roman"/>
                      <w:sz w:val="21"/>
                      <w:szCs w:val="21"/>
                    </w:rPr>
                  </w:pPr>
                  <w:r>
                    <w:rPr>
                      <w:rFonts w:ascii="Times New Roman" w:cs="Times New Roman"/>
                      <w:sz w:val="21"/>
                      <w:szCs w:val="21"/>
                    </w:rPr>
                    <w:t>产生速率（kg/h）</w:t>
                  </w:r>
                </w:p>
              </w:tc>
              <w:tc>
                <w:tcPr>
                  <w:tcW w:w="470"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产生量（t/a）</w:t>
                  </w:r>
                </w:p>
              </w:tc>
              <w:tc>
                <w:tcPr>
                  <w:tcW w:w="624"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产生浓度（mg/m</w:t>
                  </w:r>
                  <w:r>
                    <w:rPr>
                      <w:rFonts w:ascii="Times New Roman" w:cs="Times New Roman"/>
                      <w:sz w:val="21"/>
                      <w:szCs w:val="21"/>
                      <w:vertAlign w:val="superscript"/>
                    </w:rPr>
                    <w:t>3</w:t>
                  </w:r>
                  <w:r>
                    <w:rPr>
                      <w:rFonts w:ascii="Times New Roman" w:cs="Times New Roman"/>
                      <w:sz w:val="21"/>
                      <w:szCs w:val="21"/>
                    </w:rPr>
                    <w:t>）</w:t>
                  </w:r>
                </w:p>
              </w:tc>
              <w:tc>
                <w:tcPr>
                  <w:tcW w:w="556"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排放速率（kg/h）</w:t>
                  </w:r>
                </w:p>
              </w:tc>
              <w:tc>
                <w:tcPr>
                  <w:tcW w:w="482"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排放量（t/a）</w:t>
                  </w:r>
                </w:p>
              </w:tc>
              <w:tc>
                <w:tcPr>
                  <w:tcW w:w="659" w:type="pct"/>
                  <w:noWrap w:val="0"/>
                  <w:vAlign w:val="top"/>
                </w:tcPr>
                <w:p>
                  <w:pPr>
                    <w:pStyle w:val="2"/>
                    <w:ind w:left="-105" w:leftChars="-50" w:right="-105" w:rightChars="-50"/>
                    <w:jc w:val="center"/>
                    <w:rPr>
                      <w:rFonts w:ascii="Times New Roman" w:cs="Times New Roman"/>
                      <w:sz w:val="21"/>
                      <w:szCs w:val="21"/>
                    </w:rPr>
                  </w:pPr>
                  <w:r>
                    <w:rPr>
                      <w:rFonts w:ascii="Times New Roman" w:cs="Times New Roman"/>
                      <w:sz w:val="21"/>
                      <w:szCs w:val="21"/>
                    </w:rPr>
                    <w:t>排放浓度（mg/m</w:t>
                  </w:r>
                  <w:r>
                    <w:rPr>
                      <w:rFonts w:ascii="Times New Roman" w:cs="Times New Roman"/>
                      <w:sz w:val="21"/>
                      <w:szCs w:val="21"/>
                      <w:vertAlign w:val="superscript"/>
                    </w:rPr>
                    <w:t>3</w:t>
                  </w:r>
                  <w:r>
                    <w:rPr>
                      <w:rFonts w:ascii="Times New Roman"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514" w:type="pct"/>
                  <w:noWrap w:val="0"/>
                  <w:vAlign w:val="center"/>
                </w:tcPr>
                <w:p>
                  <w:pPr>
                    <w:pStyle w:val="2"/>
                    <w:jc w:val="center"/>
                    <w:rPr>
                      <w:rFonts w:ascii="Times New Roman" w:cs="Times New Roman"/>
                      <w:sz w:val="21"/>
                      <w:szCs w:val="21"/>
                    </w:rPr>
                  </w:pPr>
                  <w:r>
                    <w:rPr>
                      <w:rFonts w:hint="default" w:ascii="Times New Roman" w:cs="Times New Roman"/>
                      <w:sz w:val="21"/>
                      <w:szCs w:val="21"/>
                    </w:rPr>
                    <w:t>H</w:t>
                  </w:r>
                  <w:r>
                    <w:rPr>
                      <w:rFonts w:hint="default" w:ascii="Times New Roman" w:cs="Times New Roman"/>
                      <w:sz w:val="21"/>
                      <w:szCs w:val="21"/>
                      <w:vertAlign w:val="subscript"/>
                    </w:rPr>
                    <w:t>2</w:t>
                  </w:r>
                  <w:r>
                    <w:rPr>
                      <w:rFonts w:hint="default" w:ascii="Times New Roman" w:cs="Times New Roman"/>
                      <w:sz w:val="21"/>
                      <w:szCs w:val="21"/>
                    </w:rPr>
                    <w:t>S</w:t>
                  </w:r>
                </w:p>
              </w:tc>
              <w:tc>
                <w:tcPr>
                  <w:tcW w:w="461" w:type="pct"/>
                  <w:vMerge w:val="restart"/>
                  <w:noWrap w:val="0"/>
                  <w:vAlign w:val="center"/>
                </w:tcPr>
                <w:p>
                  <w:pPr>
                    <w:pStyle w:val="2"/>
                    <w:jc w:val="center"/>
                    <w:rPr>
                      <w:rFonts w:hint="eastAsia" w:ascii="Times New Roman" w:eastAsia="宋体" w:cs="Times New Roman"/>
                      <w:sz w:val="21"/>
                      <w:szCs w:val="21"/>
                      <w:lang w:val="en-US" w:eastAsia="zh-CN"/>
                    </w:rPr>
                  </w:pPr>
                  <w:r>
                    <w:rPr>
                      <w:rFonts w:hint="default" w:ascii="Times New Roman" w:cs="Times New Roman"/>
                      <w:sz w:val="21"/>
                      <w:szCs w:val="21"/>
                    </w:rPr>
                    <w:t>500</w:t>
                  </w:r>
                  <w:r>
                    <w:rPr>
                      <w:rFonts w:hint="eastAsia" w:ascii="Times New Roman" w:cs="Times New Roman"/>
                      <w:sz w:val="21"/>
                      <w:szCs w:val="21"/>
                      <w:lang w:val="en-US" w:eastAsia="zh-CN"/>
                    </w:rPr>
                    <w:t>0</w:t>
                  </w:r>
                </w:p>
              </w:tc>
              <w:tc>
                <w:tcPr>
                  <w:tcW w:w="672" w:type="pct"/>
                  <w:noWrap w:val="0"/>
                  <w:vAlign w:val="center"/>
                </w:tcPr>
                <w:p>
                  <w:pPr>
                    <w:pStyle w:val="2"/>
                    <w:jc w:val="center"/>
                    <w:rPr>
                      <w:rFonts w:hint="default" w:ascii="Times New Roman" w:cs="Times New Roman"/>
                      <w:sz w:val="21"/>
                      <w:szCs w:val="21"/>
                    </w:rPr>
                  </w:pPr>
                  <w:r>
                    <w:rPr>
                      <w:rFonts w:hint="default" w:ascii="Times New Roman" w:cs="Times New Roman"/>
                      <w:sz w:val="21"/>
                      <w:szCs w:val="21"/>
                    </w:rPr>
                    <w:t>0.02</w:t>
                  </w:r>
                </w:p>
              </w:tc>
              <w:tc>
                <w:tcPr>
                  <w:tcW w:w="558"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0.036</w:t>
                  </w:r>
                </w:p>
              </w:tc>
              <w:tc>
                <w:tcPr>
                  <w:tcW w:w="470"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0.315</w:t>
                  </w:r>
                </w:p>
              </w:tc>
              <w:tc>
                <w:tcPr>
                  <w:tcW w:w="624"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7.2</w:t>
                  </w:r>
                </w:p>
              </w:tc>
              <w:tc>
                <w:tcPr>
                  <w:tcW w:w="556"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0.0036</w:t>
                  </w:r>
                </w:p>
              </w:tc>
              <w:tc>
                <w:tcPr>
                  <w:tcW w:w="482"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0.0315</w:t>
                  </w:r>
                </w:p>
              </w:tc>
              <w:tc>
                <w:tcPr>
                  <w:tcW w:w="659" w:type="pct"/>
                  <w:noWrap w:val="0"/>
                  <w:vAlign w:val="center"/>
                </w:tcPr>
                <w:p>
                  <w:pPr>
                    <w:pStyle w:val="2"/>
                    <w:jc w:val="center"/>
                    <w:rPr>
                      <w:rFonts w:hint="default" w:ascii="Times New Roman" w:eastAsia="宋体" w:cs="Times New Roman"/>
                      <w:color w:val="000000" w:themeColor="text1"/>
                      <w:sz w:val="21"/>
                      <w:szCs w:val="21"/>
                      <w:lang w:val="en-US" w:eastAsia="zh-CN"/>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0.72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14" w:type="pct"/>
                  <w:noWrap w:val="0"/>
                  <w:vAlign w:val="center"/>
                </w:tcPr>
                <w:p>
                  <w:pPr>
                    <w:pStyle w:val="2"/>
                    <w:jc w:val="center"/>
                    <w:rPr>
                      <w:rFonts w:ascii="Times New Roman" w:cs="Times New Roman"/>
                      <w:sz w:val="21"/>
                      <w:szCs w:val="21"/>
                    </w:rPr>
                  </w:pPr>
                  <w:r>
                    <w:rPr>
                      <w:rFonts w:hint="default" w:ascii="Times New Roman" w:cs="Times New Roman"/>
                      <w:sz w:val="21"/>
                      <w:szCs w:val="21"/>
                    </w:rPr>
                    <w:t>NH</w:t>
                  </w:r>
                  <w:r>
                    <w:rPr>
                      <w:rFonts w:hint="default" w:ascii="Times New Roman" w:cs="Times New Roman"/>
                      <w:sz w:val="21"/>
                      <w:szCs w:val="21"/>
                      <w:vertAlign w:val="subscript"/>
                    </w:rPr>
                    <w:t>3</w:t>
                  </w:r>
                </w:p>
              </w:tc>
              <w:tc>
                <w:tcPr>
                  <w:tcW w:w="461" w:type="pct"/>
                  <w:vMerge w:val="continue"/>
                  <w:noWrap w:val="0"/>
                  <w:vAlign w:val="center"/>
                </w:tcPr>
                <w:p>
                  <w:pPr>
                    <w:pStyle w:val="2"/>
                    <w:jc w:val="center"/>
                    <w:rPr>
                      <w:rFonts w:ascii="Times New Roman" w:cs="Times New Roman"/>
                      <w:sz w:val="21"/>
                      <w:szCs w:val="21"/>
                    </w:rPr>
                  </w:pPr>
                </w:p>
              </w:tc>
              <w:tc>
                <w:tcPr>
                  <w:tcW w:w="672" w:type="pct"/>
                  <w:noWrap w:val="0"/>
                  <w:vAlign w:val="center"/>
                </w:tcPr>
                <w:p>
                  <w:pPr>
                    <w:pStyle w:val="2"/>
                    <w:jc w:val="center"/>
                    <w:rPr>
                      <w:rFonts w:hint="default" w:ascii="Times New Roman" w:cs="Times New Roman"/>
                      <w:sz w:val="21"/>
                      <w:szCs w:val="21"/>
                    </w:rPr>
                  </w:pPr>
                  <w:r>
                    <w:rPr>
                      <w:rFonts w:hint="default" w:ascii="Times New Roman" w:cs="Times New Roman"/>
                      <w:sz w:val="21"/>
                      <w:szCs w:val="21"/>
                    </w:rPr>
                    <w:t>0.0012</w:t>
                  </w:r>
                </w:p>
              </w:tc>
              <w:tc>
                <w:tcPr>
                  <w:tcW w:w="558"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0.005</w:t>
                  </w:r>
                </w:p>
              </w:tc>
              <w:tc>
                <w:tcPr>
                  <w:tcW w:w="470"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0.046</w:t>
                  </w:r>
                </w:p>
              </w:tc>
              <w:tc>
                <w:tcPr>
                  <w:tcW w:w="624"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1.0</w:t>
                  </w:r>
                </w:p>
              </w:tc>
              <w:tc>
                <w:tcPr>
                  <w:tcW w:w="556" w:type="pct"/>
                  <w:noWrap w:val="0"/>
                  <w:vAlign w:val="center"/>
                </w:tcPr>
                <w:p>
                  <w:pPr>
                    <w:pStyle w:val="2"/>
                    <w:jc w:val="center"/>
                    <w:rPr>
                      <w:rFonts w:hint="eastAsia" w:ascii="Times New Roman" w:eastAsia="宋体" w:cs="Times New Roman"/>
                      <w:sz w:val="21"/>
                      <w:szCs w:val="21"/>
                      <w:lang w:eastAsia="zh-CN"/>
                    </w:rPr>
                  </w:pPr>
                  <w:r>
                    <w:rPr>
                      <w:rFonts w:ascii="Times New Roman" w:cs="Times New Roman"/>
                      <w:sz w:val="21"/>
                      <w:szCs w:val="21"/>
                    </w:rPr>
                    <w:t>0.000</w:t>
                  </w:r>
                  <w:r>
                    <w:rPr>
                      <w:rFonts w:hint="eastAsia" w:ascii="Times New Roman" w:cs="Times New Roman"/>
                      <w:sz w:val="21"/>
                      <w:szCs w:val="21"/>
                      <w:lang w:val="en-US" w:eastAsia="zh-CN"/>
                    </w:rPr>
                    <w:t>5</w:t>
                  </w:r>
                </w:p>
              </w:tc>
              <w:tc>
                <w:tcPr>
                  <w:tcW w:w="482" w:type="pct"/>
                  <w:noWrap w:val="0"/>
                  <w:vAlign w:val="center"/>
                </w:tcPr>
                <w:p>
                  <w:pPr>
                    <w:pStyle w:val="2"/>
                    <w:jc w:val="center"/>
                    <w:rPr>
                      <w:rFonts w:hint="default" w:ascii="Times New Roman" w:eastAsia="宋体" w:cs="Times New Roman"/>
                      <w:sz w:val="21"/>
                      <w:szCs w:val="21"/>
                      <w:lang w:val="en-US" w:eastAsia="zh-CN"/>
                    </w:rPr>
                  </w:pPr>
                  <w:r>
                    <w:rPr>
                      <w:rFonts w:hint="eastAsia" w:ascii="Times New Roman" w:cs="Times New Roman"/>
                      <w:sz w:val="21"/>
                      <w:szCs w:val="21"/>
                      <w:lang w:val="en-US" w:eastAsia="zh-CN"/>
                    </w:rPr>
                    <w:t>0.0046</w:t>
                  </w:r>
                </w:p>
              </w:tc>
              <w:tc>
                <w:tcPr>
                  <w:tcW w:w="659" w:type="pct"/>
                  <w:noWrap w:val="0"/>
                  <w:vAlign w:val="center"/>
                </w:tcPr>
                <w:p>
                  <w:pPr>
                    <w:pStyle w:val="2"/>
                    <w:jc w:val="center"/>
                    <w:rPr>
                      <w:rFonts w:hint="default" w:ascii="Times New Roman" w:eastAsia="宋体" w:cs="Times New Roman"/>
                      <w:color w:val="000000" w:themeColor="text1"/>
                      <w:sz w:val="21"/>
                      <w:szCs w:val="21"/>
                      <w:lang w:val="en-US" w:eastAsia="zh-CN"/>
                      <w14:textFill>
                        <w14:solidFill>
                          <w14:schemeClr w14:val="tx1"/>
                        </w14:solidFill>
                      </w14:textFill>
                    </w:rPr>
                  </w:pPr>
                  <w:r>
                    <w:rPr>
                      <w:rFonts w:hint="eastAsia" w:ascii="Times New Roman" w:cs="Times New Roman"/>
                      <w:color w:val="000000" w:themeColor="text1"/>
                      <w:sz w:val="21"/>
                      <w:szCs w:val="21"/>
                      <w:lang w:val="en-US" w:eastAsia="zh-CN"/>
                      <w14:textFill>
                        <w14:solidFill>
                          <w14:schemeClr w14:val="tx1"/>
                        </w14:solidFill>
                      </w14:textFill>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514" w:type="pct"/>
                  <w:noWrap w:val="0"/>
                  <w:vAlign w:val="center"/>
                </w:tcPr>
                <w:p>
                  <w:pPr>
                    <w:pStyle w:val="2"/>
                    <w:jc w:val="center"/>
                    <w:rPr>
                      <w:rFonts w:ascii="Times New Roman" w:cs="Times New Roman"/>
                      <w:sz w:val="21"/>
                      <w:szCs w:val="21"/>
                    </w:rPr>
                  </w:pPr>
                  <w:r>
                    <w:rPr>
                      <w:rFonts w:ascii="Times New Roman" w:cs="Times New Roman"/>
                      <w:sz w:val="21"/>
                      <w:szCs w:val="21"/>
                    </w:rPr>
                    <w:t>臭气</w:t>
                  </w:r>
                </w:p>
                <w:p>
                  <w:pPr>
                    <w:pStyle w:val="2"/>
                    <w:jc w:val="center"/>
                    <w:rPr>
                      <w:rFonts w:ascii="Times New Roman" w:cs="Times New Roman"/>
                      <w:sz w:val="21"/>
                      <w:szCs w:val="21"/>
                    </w:rPr>
                  </w:pPr>
                  <w:r>
                    <w:rPr>
                      <w:rFonts w:ascii="Times New Roman" w:cs="Times New Roman"/>
                      <w:sz w:val="21"/>
                      <w:szCs w:val="21"/>
                    </w:rPr>
                    <w:t>浓度</w:t>
                  </w:r>
                </w:p>
              </w:tc>
              <w:tc>
                <w:tcPr>
                  <w:tcW w:w="461" w:type="pct"/>
                  <w:vMerge w:val="continue"/>
                  <w:noWrap w:val="0"/>
                  <w:vAlign w:val="center"/>
                </w:tcPr>
                <w:p>
                  <w:pPr>
                    <w:pStyle w:val="2"/>
                    <w:jc w:val="center"/>
                    <w:rPr>
                      <w:rFonts w:ascii="Times New Roman" w:cs="Times New Roman"/>
                      <w:sz w:val="21"/>
                      <w:szCs w:val="21"/>
                    </w:rPr>
                  </w:pPr>
                </w:p>
              </w:tc>
              <w:tc>
                <w:tcPr>
                  <w:tcW w:w="672" w:type="pct"/>
                  <w:noWrap w:val="0"/>
                  <w:vAlign w:val="center"/>
                </w:tcPr>
                <w:p>
                  <w:pPr>
                    <w:pStyle w:val="2"/>
                    <w:jc w:val="center"/>
                    <w:rPr>
                      <w:rFonts w:hint="default" w:ascii="Times New Roman" w:cs="Times New Roman"/>
                      <w:sz w:val="21"/>
                      <w:szCs w:val="21"/>
                    </w:rPr>
                  </w:pPr>
                  <w:r>
                    <w:rPr>
                      <w:rFonts w:ascii="Times New Roman" w:cs="Times New Roman"/>
                      <w:sz w:val="21"/>
                      <w:szCs w:val="21"/>
                    </w:rPr>
                    <w:t>/</w:t>
                  </w:r>
                </w:p>
              </w:tc>
              <w:tc>
                <w:tcPr>
                  <w:tcW w:w="558" w:type="pct"/>
                  <w:noWrap w:val="0"/>
                  <w:vAlign w:val="center"/>
                </w:tcPr>
                <w:p>
                  <w:pPr>
                    <w:pStyle w:val="2"/>
                    <w:jc w:val="center"/>
                    <w:rPr>
                      <w:rFonts w:ascii="Times New Roman" w:cs="Times New Roman"/>
                      <w:sz w:val="21"/>
                      <w:szCs w:val="21"/>
                    </w:rPr>
                  </w:pPr>
                  <w:r>
                    <w:rPr>
                      <w:rFonts w:ascii="Times New Roman" w:cs="Times New Roman"/>
                      <w:sz w:val="21"/>
                      <w:szCs w:val="21"/>
                    </w:rPr>
                    <w:t>/</w:t>
                  </w:r>
                </w:p>
              </w:tc>
              <w:tc>
                <w:tcPr>
                  <w:tcW w:w="470" w:type="pct"/>
                  <w:noWrap w:val="0"/>
                  <w:vAlign w:val="center"/>
                </w:tcPr>
                <w:p>
                  <w:pPr>
                    <w:pStyle w:val="2"/>
                    <w:jc w:val="center"/>
                    <w:rPr>
                      <w:rFonts w:hint="default" w:ascii="Times New Roman" w:cs="Times New Roman"/>
                      <w:sz w:val="21"/>
                      <w:szCs w:val="21"/>
                    </w:rPr>
                  </w:pPr>
                  <w:r>
                    <w:rPr>
                      <w:rFonts w:ascii="Times New Roman" w:cs="Times New Roman"/>
                      <w:sz w:val="21"/>
                      <w:szCs w:val="21"/>
                    </w:rPr>
                    <w:t>7500</w:t>
                  </w:r>
                </w:p>
              </w:tc>
              <w:tc>
                <w:tcPr>
                  <w:tcW w:w="624" w:type="pct"/>
                  <w:noWrap w:val="0"/>
                  <w:vAlign w:val="center"/>
                </w:tcPr>
                <w:p>
                  <w:pPr>
                    <w:pStyle w:val="2"/>
                    <w:jc w:val="center"/>
                    <w:rPr>
                      <w:rFonts w:ascii="Times New Roman" w:cs="Times New Roman"/>
                      <w:sz w:val="21"/>
                      <w:szCs w:val="21"/>
                    </w:rPr>
                  </w:pPr>
                  <w:r>
                    <w:rPr>
                      <w:rFonts w:ascii="Times New Roman" w:cs="Times New Roman"/>
                      <w:sz w:val="21"/>
                      <w:szCs w:val="21"/>
                    </w:rPr>
                    <w:t>/</w:t>
                  </w:r>
                </w:p>
              </w:tc>
              <w:tc>
                <w:tcPr>
                  <w:tcW w:w="556" w:type="pct"/>
                  <w:noWrap w:val="0"/>
                  <w:vAlign w:val="center"/>
                </w:tcPr>
                <w:p>
                  <w:pPr>
                    <w:pStyle w:val="2"/>
                    <w:jc w:val="center"/>
                    <w:rPr>
                      <w:rFonts w:ascii="Times New Roman" w:cs="Times New Roman"/>
                      <w:sz w:val="21"/>
                      <w:szCs w:val="21"/>
                    </w:rPr>
                  </w:pPr>
                  <w:r>
                    <w:rPr>
                      <w:rFonts w:ascii="Times New Roman" w:cs="Times New Roman"/>
                      <w:sz w:val="21"/>
                      <w:szCs w:val="21"/>
                    </w:rPr>
                    <w:t>/</w:t>
                  </w:r>
                </w:p>
              </w:tc>
              <w:tc>
                <w:tcPr>
                  <w:tcW w:w="482" w:type="pct"/>
                  <w:noWrap w:val="0"/>
                  <w:vAlign w:val="center"/>
                </w:tcPr>
                <w:p>
                  <w:pPr>
                    <w:pStyle w:val="2"/>
                    <w:jc w:val="center"/>
                    <w:rPr>
                      <w:rFonts w:hint="default" w:ascii="Times New Roman" w:cs="Times New Roman"/>
                      <w:sz w:val="21"/>
                      <w:szCs w:val="21"/>
                    </w:rPr>
                  </w:pPr>
                  <w:r>
                    <w:rPr>
                      <w:rFonts w:ascii="Times New Roman" w:cs="Times New Roman"/>
                      <w:sz w:val="21"/>
                      <w:szCs w:val="21"/>
                    </w:rPr>
                    <w:t>/</w:t>
                  </w:r>
                </w:p>
              </w:tc>
              <w:tc>
                <w:tcPr>
                  <w:tcW w:w="659" w:type="pct"/>
                  <w:noWrap w:val="0"/>
                  <w:vAlign w:val="center"/>
                </w:tcPr>
                <w:p>
                  <w:pPr>
                    <w:pStyle w:val="2"/>
                    <w:jc w:val="center"/>
                    <w:rPr>
                      <w:rFonts w:hint="default" w:ascii="Times New Roman" w:cs="Times New Roman"/>
                      <w:sz w:val="21"/>
                      <w:szCs w:val="21"/>
                    </w:rPr>
                  </w:pPr>
                  <w:r>
                    <w:rPr>
                      <w:rFonts w:ascii="Times New Roman" w:cs="Times New Roman"/>
                      <w:sz w:val="21"/>
                      <w:szCs w:val="21"/>
                    </w:rPr>
                    <w:t>10</w:t>
                  </w:r>
                </w:p>
              </w:tc>
            </w:tr>
          </w:tbl>
          <w:p>
            <w:pPr>
              <w:keepNext w:val="0"/>
              <w:keepLines w:val="0"/>
              <w:pageBreakBefore w:val="0"/>
              <w:kinsoku/>
              <w:wordWrap/>
              <w:overflowPunct/>
              <w:topLinePunct w:val="0"/>
              <w:bidi w:val="0"/>
              <w:snapToGrid w:val="0"/>
              <w:spacing w:line="520" w:lineRule="exact"/>
              <w:ind w:firstLine="480" w:firstLineChars="200"/>
              <w:textAlignment w:val="auto"/>
              <w:rPr>
                <w:rStyle w:val="63"/>
                <w:rFonts w:hint="default" w:ascii="Times New Roman" w:hAnsi="Times New Roman" w:cs="Times New Roman"/>
                <w:b/>
                <w:bCs/>
                <w:color w:val="auto"/>
                <w:sz w:val="24"/>
                <w:szCs w:val="24"/>
                <w:lang w:val="en-US" w:eastAsia="zh-CN"/>
              </w:rPr>
            </w:pPr>
            <w:r>
              <w:rPr>
                <w:rFonts w:hint="eastAsia" w:cs="Times New Roman"/>
                <w:color w:val="auto"/>
                <w:sz w:val="24"/>
                <w:szCs w:val="24"/>
                <w:lang w:val="en-US" w:eastAsia="zh-CN"/>
              </w:rPr>
              <w:t>除采取上述措施外，中医医院运营期还</w:t>
            </w:r>
            <w:r>
              <w:rPr>
                <w:rFonts w:hint="default" w:ascii="Times New Roman" w:hAnsi="Times New Roman" w:cs="Times New Roman"/>
                <w:color w:val="auto"/>
                <w:sz w:val="24"/>
                <w:szCs w:val="24"/>
              </w:rPr>
              <w:t>应加强污水处理站恶臭的管理，加强污水处理</w:t>
            </w:r>
            <w:r>
              <w:rPr>
                <w:rFonts w:hint="eastAsia" w:ascii="Times New Roman" w:hAnsi="Times New Roman" w:cs="Times New Roman"/>
                <w:color w:val="auto"/>
                <w:sz w:val="24"/>
                <w:szCs w:val="24"/>
                <w:lang w:eastAsia="zh-CN"/>
              </w:rPr>
              <w:t>站</w:t>
            </w:r>
            <w:r>
              <w:rPr>
                <w:rFonts w:hint="default" w:ascii="Times New Roman" w:hAnsi="Times New Roman" w:cs="Times New Roman"/>
                <w:color w:val="auto"/>
                <w:sz w:val="24"/>
                <w:szCs w:val="24"/>
              </w:rPr>
              <w:t>周边绿化</w:t>
            </w:r>
            <w:r>
              <w:rPr>
                <w:rFonts w:hint="eastAsia" w:ascii="Times New Roman" w:hAnsi="Times New Roman" w:cs="Times New Roman"/>
                <w:color w:val="auto"/>
                <w:sz w:val="24"/>
                <w:szCs w:val="24"/>
                <w:lang w:eastAsia="zh-CN"/>
              </w:rPr>
              <w:t>（建议</w:t>
            </w:r>
            <w:r>
              <w:rPr>
                <w:rFonts w:hint="eastAsia" w:eastAsia="宋体"/>
                <w:color w:val="auto"/>
                <w:sz w:val="24"/>
                <w:szCs w:val="24"/>
              </w:rPr>
              <w:t>种植能吸收臭气、有净化空气作用的绿化隔离带，以减少臭气对病人或居民的干扰</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等措施，并定期请专业机构对底泥进行清掏，以保证处理效果和防治臭气排放不畅而外溢。</w:t>
            </w:r>
          </w:p>
          <w:p>
            <w:pPr>
              <w:keepNext w:val="0"/>
              <w:keepLines w:val="0"/>
              <w:pageBreakBefore w:val="0"/>
              <w:kinsoku/>
              <w:wordWrap/>
              <w:overflowPunct/>
              <w:topLinePunct w:val="0"/>
              <w:bidi w:val="0"/>
              <w:snapToGrid w:val="0"/>
              <w:spacing w:line="520" w:lineRule="exact"/>
              <w:ind w:firstLine="482" w:firstLineChars="200"/>
              <w:textAlignment w:val="auto"/>
              <w:rPr>
                <w:rStyle w:val="63"/>
                <w:rFonts w:hint="eastAsia" w:ascii="Times New Roman" w:hAnsi="Times New Roman"/>
                <w:b/>
                <w:bCs/>
                <w:color w:val="auto"/>
                <w:sz w:val="24"/>
                <w:szCs w:val="24"/>
                <w:lang w:val="en-US" w:eastAsia="zh-CN"/>
              </w:rPr>
            </w:pPr>
            <w:r>
              <w:rPr>
                <w:rStyle w:val="63"/>
                <w:rFonts w:hint="default" w:ascii="Times New Roman" w:hAnsi="Times New Roman" w:cs="Times New Roman"/>
                <w:b/>
                <w:bCs/>
                <w:color w:val="auto"/>
                <w:sz w:val="24"/>
                <w:szCs w:val="24"/>
                <w:lang w:val="en-US" w:eastAsia="zh-CN"/>
              </w:rPr>
              <w:t>1.2</w:t>
            </w:r>
            <w:r>
              <w:rPr>
                <w:rStyle w:val="63"/>
                <w:rFonts w:hint="eastAsia" w:ascii="Times New Roman" w:hAnsi="Times New Roman"/>
                <w:b/>
                <w:bCs/>
                <w:color w:val="auto"/>
                <w:sz w:val="24"/>
                <w:szCs w:val="24"/>
                <w:lang w:val="en-US" w:eastAsia="zh-CN"/>
              </w:rPr>
              <w:t>医疗垃圾产生的恶臭</w:t>
            </w:r>
          </w:p>
          <w:p>
            <w:pPr>
              <w:spacing w:line="520" w:lineRule="exact"/>
              <w:ind w:firstLine="480" w:firstLineChars="200"/>
              <w:rPr>
                <w:rStyle w:val="63"/>
                <w:rFonts w:hint="eastAsia" w:ascii="Times New Roman" w:hAnsi="宋体"/>
                <w:color w:val="auto"/>
                <w:sz w:val="24"/>
                <w:szCs w:val="24"/>
              </w:rPr>
            </w:pPr>
            <w:r>
              <w:rPr>
                <w:rFonts w:hint="eastAsia"/>
                <w:b w:val="0"/>
                <w:bCs w:val="0"/>
                <w:sz w:val="24"/>
              </w:rPr>
              <w:t>医疗垃圾日常收集和转运时有臭气产生，主要影响项目周边的空气环境，</w:t>
            </w:r>
            <w:r>
              <w:rPr>
                <w:rFonts w:hint="eastAsia" w:cs="Times New Roman"/>
                <w:color w:val="auto"/>
                <w:sz w:val="24"/>
                <w:szCs w:val="24"/>
                <w:lang w:val="en-US" w:eastAsia="zh-CN"/>
              </w:rPr>
              <w:t>中医医院</w:t>
            </w:r>
            <w:r>
              <w:rPr>
                <w:rFonts w:hint="eastAsia"/>
                <w:b w:val="0"/>
                <w:bCs w:val="0"/>
                <w:sz w:val="24"/>
              </w:rPr>
              <w:t>应采取必要的措施加以减轻、控制。根据《医疗卫生机构医疗废物管理办法》（卫生部〔2003〕第36号）：医疗废物须日产日清，常温下暂时贮存的时间不得超过两天。为此，建议医院应加强对医疗垃圾暂存间的日常卫生管理，对医疗垃圾暂存间及四周应定时清理，经常喷洒除臭剂和消毒剂，医疗垃圾由具有收集处理资质的单位妥善处理，以尽量减轻臭气对周围环境的影响。</w:t>
            </w:r>
          </w:p>
          <w:p>
            <w:pPr>
              <w:keepNext w:val="0"/>
              <w:keepLines w:val="0"/>
              <w:pageBreakBefore w:val="0"/>
              <w:kinsoku/>
              <w:wordWrap/>
              <w:overflowPunct/>
              <w:topLinePunct w:val="0"/>
              <w:bidi w:val="0"/>
              <w:snapToGrid w:val="0"/>
              <w:spacing w:line="520" w:lineRule="exact"/>
              <w:ind w:firstLine="482" w:firstLineChars="200"/>
              <w:textAlignment w:val="auto"/>
              <w:rPr>
                <w:rStyle w:val="63"/>
                <w:rFonts w:hint="eastAsia" w:ascii="Times New Roman" w:hAnsi="Times New Roman" w:cs="Times New Roman"/>
                <w:b/>
                <w:bCs/>
                <w:color w:val="auto"/>
                <w:sz w:val="24"/>
                <w:szCs w:val="24"/>
                <w:lang w:val="en-US" w:eastAsia="zh-CN"/>
              </w:rPr>
            </w:pPr>
            <w:r>
              <w:rPr>
                <w:rStyle w:val="63"/>
                <w:rFonts w:hint="eastAsia" w:ascii="Times New Roman" w:hAnsi="Times New Roman" w:cs="Times New Roman"/>
                <w:b/>
                <w:bCs/>
                <w:color w:val="auto"/>
                <w:sz w:val="24"/>
                <w:szCs w:val="24"/>
                <w:lang w:val="en-US" w:eastAsia="zh-CN"/>
              </w:rPr>
              <w:t>1.3汽车尾气</w:t>
            </w:r>
          </w:p>
          <w:p>
            <w:pPr>
              <w:pStyle w:val="2"/>
              <w:spacing w:line="520" w:lineRule="exact"/>
              <w:ind w:firstLine="480" w:firstLineChars="200"/>
              <w:rPr>
                <w:rStyle w:val="63"/>
                <w:rFonts w:hint="eastAsia" w:ascii="Times New Roman" w:hAnsi="宋体"/>
                <w:color w:val="auto"/>
                <w:sz w:val="24"/>
                <w:szCs w:val="24"/>
              </w:rPr>
            </w:pPr>
            <w:r>
              <w:rPr>
                <w:rStyle w:val="63"/>
                <w:rFonts w:hint="eastAsia" w:ascii="Times New Roman" w:hAnsi="宋体"/>
                <w:color w:val="auto"/>
                <w:sz w:val="24"/>
                <w:szCs w:val="24"/>
              </w:rPr>
              <w:t>本项目设有地面停车位为4</w:t>
            </w:r>
            <w:r>
              <w:rPr>
                <w:rStyle w:val="63"/>
                <w:rFonts w:hint="eastAsia" w:ascii="Times New Roman" w:hAnsi="宋体"/>
                <w:color w:val="auto"/>
                <w:sz w:val="24"/>
                <w:szCs w:val="24"/>
                <w:lang w:val="en-US" w:eastAsia="zh-CN"/>
              </w:rPr>
              <w:t>0</w:t>
            </w:r>
            <w:r>
              <w:rPr>
                <w:rStyle w:val="63"/>
                <w:rFonts w:hint="eastAsia" w:ascii="Times New Roman" w:hAnsi="宋体"/>
                <w:color w:val="auto"/>
                <w:sz w:val="24"/>
                <w:szCs w:val="24"/>
              </w:rPr>
              <w:t>个，汽车尾气是本项目的大气污染之一，汽车尾气主要是指汽车行驶时，汽车怠速及慢速（≤5km/h）状态下的尾气排放，包括排气管尾气、曲轴箱漏气及油箱和化油箱等燃料系统的泄漏等。汽车排放尾气中的污染物有NO</w:t>
            </w:r>
            <w:r>
              <w:rPr>
                <w:rStyle w:val="63"/>
                <w:rFonts w:hint="eastAsia" w:ascii="Times New Roman" w:hAnsi="宋体"/>
                <w:color w:val="auto"/>
                <w:sz w:val="24"/>
                <w:szCs w:val="24"/>
                <w:vertAlign w:val="subscript"/>
              </w:rPr>
              <w:t>2</w:t>
            </w:r>
            <w:r>
              <w:rPr>
                <w:rStyle w:val="63"/>
                <w:rFonts w:hint="eastAsia" w:ascii="Times New Roman" w:hAnsi="宋体"/>
                <w:color w:val="auto"/>
                <w:sz w:val="24"/>
                <w:szCs w:val="24"/>
              </w:rPr>
              <w:t>、CO、总碳氢化合物等。属间歇无组织排放，对区域环境空气会造成一定的影响。一般最高浓度值基本靠近停车区及道路，随着离开停车区及道路的距离越远浓度也逐渐递减。</w:t>
            </w:r>
          </w:p>
          <w:p>
            <w:pPr>
              <w:pStyle w:val="2"/>
              <w:spacing w:line="520" w:lineRule="exact"/>
              <w:ind w:firstLine="480" w:firstLineChars="200"/>
              <w:jc w:val="both"/>
              <w:rPr>
                <w:rStyle w:val="63"/>
                <w:rFonts w:hint="eastAsia" w:ascii="Times New Roman" w:hAnsi="宋体"/>
                <w:color w:val="auto"/>
                <w:sz w:val="24"/>
                <w:szCs w:val="24"/>
              </w:rPr>
            </w:pPr>
            <w:r>
              <w:rPr>
                <w:rStyle w:val="63"/>
                <w:rFonts w:hint="eastAsia" w:ascii="Times New Roman" w:hAnsi="宋体"/>
                <w:color w:val="auto"/>
                <w:sz w:val="24"/>
                <w:szCs w:val="24"/>
                <w:lang w:val="en-US" w:eastAsia="zh-CN"/>
              </w:rPr>
              <w:t>中医医院</w:t>
            </w:r>
            <w:r>
              <w:rPr>
                <w:rStyle w:val="63"/>
                <w:rFonts w:hint="eastAsia" w:ascii="Times New Roman" w:hAnsi="宋体"/>
                <w:color w:val="auto"/>
                <w:sz w:val="24"/>
                <w:szCs w:val="24"/>
              </w:rPr>
              <w:t>周围开阔，项目区道路空气流动性好，且污染物产生量较小，故露天停车场汽车产生的尾气通过大气扩散，对周围大气环境影响不大。</w:t>
            </w:r>
          </w:p>
          <w:p>
            <w:pPr>
              <w:keepNext w:val="0"/>
              <w:keepLines w:val="0"/>
              <w:pageBreakBefore w:val="0"/>
              <w:kinsoku/>
              <w:wordWrap/>
              <w:overflowPunct/>
              <w:topLinePunct w:val="0"/>
              <w:bidi w:val="0"/>
              <w:snapToGrid w:val="0"/>
              <w:spacing w:line="520" w:lineRule="exact"/>
              <w:ind w:firstLine="482" w:firstLineChars="200"/>
              <w:textAlignment w:val="auto"/>
              <w:rPr>
                <w:rStyle w:val="63"/>
                <w:rFonts w:hint="eastAsia" w:ascii="Times New Roman" w:hAnsi="Times New Roman" w:cs="Times New Roman"/>
                <w:b/>
                <w:bCs/>
                <w:color w:val="auto"/>
                <w:sz w:val="24"/>
                <w:szCs w:val="24"/>
                <w:lang w:val="en-US" w:eastAsia="zh-CN"/>
              </w:rPr>
            </w:pPr>
            <w:r>
              <w:rPr>
                <w:rStyle w:val="63"/>
                <w:rFonts w:hint="eastAsia" w:ascii="Times New Roman" w:hAnsi="Times New Roman" w:cs="Times New Roman"/>
                <w:b/>
                <w:bCs/>
                <w:color w:val="auto"/>
                <w:sz w:val="24"/>
                <w:szCs w:val="24"/>
                <w:lang w:val="en-US" w:eastAsia="zh-CN"/>
              </w:rPr>
              <w:t>1.4废</w:t>
            </w:r>
            <w:r>
              <w:rPr>
                <w:rStyle w:val="63"/>
                <w:rFonts w:hint="eastAsia" w:cs="Times New Roman"/>
                <w:b/>
                <w:bCs/>
                <w:color w:val="auto"/>
                <w:sz w:val="24"/>
                <w:szCs w:val="24"/>
                <w:lang w:val="en-US" w:eastAsia="zh-CN"/>
              </w:rPr>
              <w:t>气</w:t>
            </w:r>
            <w:r>
              <w:rPr>
                <w:rStyle w:val="63"/>
                <w:rFonts w:hint="eastAsia" w:ascii="Times New Roman" w:hAnsi="Times New Roman" w:cs="Times New Roman"/>
                <w:b/>
                <w:bCs/>
                <w:color w:val="auto"/>
                <w:sz w:val="24"/>
                <w:szCs w:val="24"/>
                <w:lang w:val="en-US" w:eastAsia="zh-CN"/>
              </w:rPr>
              <w:t>排放监测计划</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color w:val="auto"/>
                <w:sz w:val="24"/>
              </w:rPr>
            </w:pPr>
            <w:r>
              <w:rPr>
                <w:rFonts w:hint="eastAsia"/>
                <w:color w:val="auto"/>
                <w:sz w:val="24"/>
              </w:rPr>
              <w:t>根据《</w:t>
            </w:r>
            <w:r>
              <w:rPr>
                <w:rFonts w:hint="eastAsia"/>
                <w:color w:val="auto"/>
                <w:sz w:val="24"/>
                <w:lang w:val="en-US" w:eastAsia="zh-CN"/>
              </w:rPr>
              <w:t>排污许可证申请与核发技术规范 医疗机构</w:t>
            </w:r>
            <w:r>
              <w:rPr>
                <w:rFonts w:hint="eastAsia"/>
                <w:color w:val="auto"/>
                <w:sz w:val="24"/>
              </w:rPr>
              <w:t>》（</w:t>
            </w:r>
            <w:r>
              <w:rPr>
                <w:rFonts w:hint="eastAsia"/>
                <w:color w:val="auto"/>
                <w:sz w:val="24"/>
                <w:lang w:val="en-US" w:eastAsia="zh-CN"/>
              </w:rPr>
              <w:t>HJ1105-2020</w:t>
            </w:r>
            <w:r>
              <w:rPr>
                <w:rFonts w:hint="eastAsia"/>
                <w:color w:val="auto"/>
                <w:sz w:val="24"/>
              </w:rPr>
              <w:t>）相关规定，本次评价确定本项目废</w:t>
            </w:r>
            <w:r>
              <w:rPr>
                <w:rFonts w:hint="eastAsia"/>
                <w:color w:val="auto"/>
                <w:sz w:val="24"/>
                <w:lang w:val="en-US" w:eastAsia="zh-CN"/>
              </w:rPr>
              <w:t>气</w:t>
            </w:r>
            <w:r>
              <w:rPr>
                <w:rFonts w:hint="eastAsia"/>
                <w:color w:val="auto"/>
                <w:sz w:val="24"/>
              </w:rPr>
              <w:t>排放自行监测方案见表4</w:t>
            </w:r>
            <w:r>
              <w:rPr>
                <w:color w:val="auto"/>
                <w:sz w:val="24"/>
              </w:rPr>
              <w:t>-</w:t>
            </w:r>
            <w:r>
              <w:rPr>
                <w:rFonts w:hint="eastAsia"/>
                <w:color w:val="auto"/>
                <w:sz w:val="24"/>
                <w:lang w:val="en-US" w:eastAsia="zh-CN"/>
              </w:rPr>
              <w:t>3</w:t>
            </w:r>
            <w:r>
              <w:rPr>
                <w:rFonts w:hint="eastAsia"/>
                <w:color w:val="auto"/>
                <w:sz w:val="24"/>
              </w:rPr>
              <w:t>。</w:t>
            </w:r>
          </w:p>
          <w:p>
            <w:pPr>
              <w:widowControl/>
              <w:ind w:firstLine="480" w:firstLineChars="200"/>
              <w:jc w:val="center"/>
              <w:rPr>
                <w:rFonts w:eastAsia="黑体"/>
                <w:color w:val="auto"/>
                <w:sz w:val="24"/>
                <w:szCs w:val="24"/>
              </w:rPr>
            </w:pPr>
            <w:r>
              <w:rPr>
                <w:rFonts w:hint="eastAsia" w:eastAsia="黑体"/>
                <w:color w:val="auto"/>
                <w:sz w:val="24"/>
                <w:szCs w:val="24"/>
              </w:rPr>
              <w:t>表4-</w:t>
            </w:r>
            <w:r>
              <w:rPr>
                <w:rFonts w:hint="eastAsia" w:eastAsia="黑体"/>
                <w:color w:val="auto"/>
                <w:sz w:val="24"/>
                <w:szCs w:val="24"/>
                <w:lang w:val="en-US" w:eastAsia="zh-CN"/>
              </w:rPr>
              <w:t xml:space="preserve">3 </w:t>
            </w:r>
            <w:r>
              <w:rPr>
                <w:rFonts w:hint="eastAsia" w:eastAsia="黑体"/>
                <w:color w:val="auto"/>
                <w:sz w:val="24"/>
                <w:szCs w:val="24"/>
              </w:rPr>
              <w:t xml:space="preserve">   废</w:t>
            </w:r>
            <w:r>
              <w:rPr>
                <w:rFonts w:hint="eastAsia" w:eastAsia="黑体"/>
                <w:color w:val="auto"/>
                <w:sz w:val="24"/>
                <w:szCs w:val="24"/>
                <w:lang w:val="en-US" w:eastAsia="zh-CN"/>
              </w:rPr>
              <w:t>气</w:t>
            </w:r>
            <w:r>
              <w:rPr>
                <w:rFonts w:hint="eastAsia" w:eastAsia="黑体"/>
                <w:color w:val="auto"/>
                <w:sz w:val="24"/>
                <w:szCs w:val="24"/>
              </w:rPr>
              <w:t>排放监测方案</w:t>
            </w:r>
          </w:p>
          <w:tbl>
            <w:tblPr>
              <w:tblStyle w:val="2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95"/>
              <w:gridCol w:w="2408"/>
              <w:gridCol w:w="1268"/>
              <w:gridCol w:w="2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20" w:type="pct"/>
                  <w:tcBorders>
                    <w:tl2br w:val="nil"/>
                    <w:tr2bl w:val="nil"/>
                  </w:tcBorders>
                  <w:vAlign w:val="center"/>
                </w:tcPr>
                <w:p>
                  <w:pPr>
                    <w:pStyle w:val="76"/>
                    <w:rPr>
                      <w:iCs/>
                      <w:color w:val="auto"/>
                      <w:sz w:val="21"/>
                      <w:szCs w:val="21"/>
                    </w:rPr>
                  </w:pPr>
                  <w:r>
                    <w:rPr>
                      <w:rFonts w:hint="eastAsia"/>
                      <w:iCs/>
                      <w:color w:val="auto"/>
                      <w:sz w:val="21"/>
                      <w:szCs w:val="21"/>
                    </w:rPr>
                    <w:t>监测位置</w:t>
                  </w:r>
                </w:p>
              </w:tc>
              <w:tc>
                <w:tcPr>
                  <w:tcW w:w="1385" w:type="pct"/>
                  <w:tcBorders>
                    <w:tl2br w:val="nil"/>
                    <w:tr2bl w:val="nil"/>
                  </w:tcBorders>
                  <w:vAlign w:val="center"/>
                </w:tcPr>
                <w:p>
                  <w:pPr>
                    <w:pStyle w:val="76"/>
                    <w:rPr>
                      <w:iCs/>
                      <w:color w:val="auto"/>
                      <w:sz w:val="21"/>
                      <w:szCs w:val="21"/>
                    </w:rPr>
                  </w:pPr>
                  <w:r>
                    <w:rPr>
                      <w:rFonts w:hint="eastAsia"/>
                      <w:iCs/>
                      <w:color w:val="auto"/>
                      <w:sz w:val="21"/>
                      <w:szCs w:val="21"/>
                    </w:rPr>
                    <w:t>监测项目</w:t>
                  </w:r>
                </w:p>
              </w:tc>
              <w:tc>
                <w:tcPr>
                  <w:tcW w:w="729" w:type="pct"/>
                  <w:tcBorders>
                    <w:tl2br w:val="nil"/>
                    <w:tr2bl w:val="nil"/>
                  </w:tcBorders>
                  <w:vAlign w:val="center"/>
                </w:tcPr>
                <w:p>
                  <w:pPr>
                    <w:pStyle w:val="76"/>
                    <w:rPr>
                      <w:iCs/>
                      <w:color w:val="auto"/>
                      <w:sz w:val="21"/>
                      <w:szCs w:val="21"/>
                    </w:rPr>
                  </w:pPr>
                  <w:r>
                    <w:rPr>
                      <w:rFonts w:hint="eastAsia"/>
                      <w:iCs/>
                      <w:color w:val="auto"/>
                      <w:sz w:val="21"/>
                      <w:szCs w:val="21"/>
                    </w:rPr>
                    <w:t>监测频率</w:t>
                  </w:r>
                </w:p>
              </w:tc>
              <w:tc>
                <w:tcPr>
                  <w:tcW w:w="1565" w:type="pct"/>
                  <w:tcBorders>
                    <w:tl2br w:val="nil"/>
                    <w:tr2bl w:val="nil"/>
                  </w:tcBorders>
                  <w:vAlign w:val="center"/>
                </w:tcPr>
                <w:p>
                  <w:pPr>
                    <w:pStyle w:val="76"/>
                    <w:rPr>
                      <w:iCs/>
                      <w:color w:val="auto"/>
                      <w:sz w:val="21"/>
                      <w:szCs w:val="21"/>
                    </w:rPr>
                  </w:pPr>
                  <w:r>
                    <w:rPr>
                      <w:rFonts w:hint="eastAsia"/>
                      <w:iCs/>
                      <w:color w:val="auto"/>
                      <w:sz w:val="21"/>
                      <w:szCs w:val="21"/>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20" w:type="pct"/>
                  <w:tcBorders>
                    <w:tl2br w:val="nil"/>
                    <w:tr2bl w:val="nil"/>
                  </w:tcBorders>
                  <w:vAlign w:val="center"/>
                </w:tcPr>
                <w:p>
                  <w:pPr>
                    <w:pStyle w:val="76"/>
                    <w:rPr>
                      <w:rFonts w:hint="default"/>
                      <w:iCs/>
                      <w:color w:val="auto"/>
                      <w:sz w:val="21"/>
                      <w:szCs w:val="21"/>
                      <w:lang w:val="en-US"/>
                    </w:rPr>
                  </w:pPr>
                  <w:r>
                    <w:rPr>
                      <w:rFonts w:hint="eastAsia"/>
                      <w:iCs/>
                      <w:color w:val="auto"/>
                      <w:sz w:val="21"/>
                      <w:szCs w:val="21"/>
                      <w:lang w:val="en-US" w:eastAsia="zh-CN"/>
                    </w:rPr>
                    <w:t>除臭装置排气筒出口</w:t>
                  </w:r>
                </w:p>
              </w:tc>
              <w:tc>
                <w:tcPr>
                  <w:tcW w:w="1385" w:type="pct"/>
                  <w:tcBorders>
                    <w:tl2br w:val="nil"/>
                    <w:tr2bl w:val="nil"/>
                  </w:tcBorders>
                  <w:vAlign w:val="center"/>
                </w:tcPr>
                <w:p>
                  <w:pPr>
                    <w:pStyle w:val="76"/>
                    <w:rPr>
                      <w:rFonts w:hint="default" w:eastAsia="宋体"/>
                      <w:iCs/>
                      <w:color w:val="auto"/>
                      <w:sz w:val="21"/>
                      <w:szCs w:val="21"/>
                      <w:lang w:val="en-US" w:eastAsia="zh-CN"/>
                    </w:rPr>
                  </w:pPr>
                  <w:r>
                    <w:rPr>
                      <w:rFonts w:hint="eastAsia"/>
                      <w:iCs/>
                      <w:color w:val="auto"/>
                      <w:sz w:val="21"/>
                      <w:szCs w:val="21"/>
                      <w:lang w:val="en-US" w:eastAsia="zh-CN"/>
                    </w:rPr>
                    <w:t>臭气浓度、氨、硫化氢</w:t>
                  </w:r>
                </w:p>
              </w:tc>
              <w:tc>
                <w:tcPr>
                  <w:tcW w:w="729" w:type="pct"/>
                  <w:tcBorders>
                    <w:tl2br w:val="nil"/>
                    <w:tr2bl w:val="nil"/>
                  </w:tcBorders>
                  <w:vAlign w:val="center"/>
                </w:tcPr>
                <w:p>
                  <w:pPr>
                    <w:pStyle w:val="76"/>
                    <w:rPr>
                      <w:rFonts w:hint="default" w:eastAsia="宋体"/>
                      <w:iCs/>
                      <w:color w:val="auto"/>
                      <w:sz w:val="21"/>
                      <w:szCs w:val="21"/>
                      <w:lang w:val="en-US" w:eastAsia="zh-CN"/>
                    </w:rPr>
                  </w:pPr>
                  <w:r>
                    <w:rPr>
                      <w:rFonts w:hint="eastAsia"/>
                      <w:iCs/>
                      <w:color w:val="auto"/>
                      <w:sz w:val="21"/>
                      <w:szCs w:val="21"/>
                    </w:rPr>
                    <w:t>1次</w:t>
                  </w:r>
                  <w:r>
                    <w:rPr>
                      <w:rFonts w:hint="eastAsia"/>
                      <w:iCs/>
                      <w:color w:val="auto"/>
                      <w:sz w:val="21"/>
                      <w:szCs w:val="21"/>
                      <w:lang w:val="en-US" w:eastAsia="zh-CN"/>
                    </w:rPr>
                    <w:t>/季度</w:t>
                  </w:r>
                </w:p>
              </w:tc>
              <w:tc>
                <w:tcPr>
                  <w:tcW w:w="1565" w:type="pct"/>
                  <w:tcBorders>
                    <w:tl2br w:val="nil"/>
                    <w:tr2bl w:val="nil"/>
                  </w:tcBorders>
                  <w:vAlign w:val="center"/>
                </w:tcPr>
                <w:p>
                  <w:pPr>
                    <w:pStyle w:val="76"/>
                    <w:rPr>
                      <w:iCs/>
                      <w:color w:val="auto"/>
                      <w:sz w:val="21"/>
                      <w:szCs w:val="21"/>
                    </w:rPr>
                  </w:pPr>
                  <w:r>
                    <w:rPr>
                      <w:rFonts w:hint="eastAsia"/>
                      <w:iCs/>
                      <w:color w:val="auto"/>
                      <w:sz w:val="21"/>
                      <w:szCs w:val="21"/>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320" w:type="pct"/>
                  <w:tcBorders>
                    <w:tl2br w:val="nil"/>
                    <w:tr2bl w:val="nil"/>
                  </w:tcBorders>
                  <w:vAlign w:val="center"/>
                </w:tcPr>
                <w:p>
                  <w:pPr>
                    <w:pStyle w:val="76"/>
                    <w:rPr>
                      <w:rFonts w:hint="default"/>
                      <w:iCs/>
                      <w:color w:val="auto"/>
                      <w:sz w:val="21"/>
                      <w:szCs w:val="21"/>
                      <w:lang w:val="en-US" w:eastAsia="zh-CN"/>
                    </w:rPr>
                  </w:pPr>
                  <w:r>
                    <w:rPr>
                      <w:rFonts w:hint="eastAsia"/>
                      <w:iCs/>
                      <w:color w:val="auto"/>
                      <w:sz w:val="21"/>
                      <w:szCs w:val="21"/>
                      <w:lang w:val="en-US" w:eastAsia="zh-CN"/>
                    </w:rPr>
                    <w:t>厂界或防护带边缘的浓度最高点</w:t>
                  </w:r>
                </w:p>
              </w:tc>
              <w:tc>
                <w:tcPr>
                  <w:tcW w:w="1385" w:type="pct"/>
                  <w:tcBorders>
                    <w:tl2br w:val="nil"/>
                    <w:tr2bl w:val="nil"/>
                  </w:tcBorders>
                  <w:vAlign w:val="center"/>
                </w:tcPr>
                <w:p>
                  <w:pPr>
                    <w:pStyle w:val="76"/>
                    <w:rPr>
                      <w:rFonts w:hint="default"/>
                      <w:iCs/>
                      <w:color w:val="auto"/>
                      <w:sz w:val="21"/>
                      <w:szCs w:val="21"/>
                      <w:lang w:val="en-US" w:eastAsia="zh-CN"/>
                    </w:rPr>
                  </w:pPr>
                  <w:r>
                    <w:rPr>
                      <w:rFonts w:hint="eastAsia"/>
                      <w:iCs/>
                      <w:color w:val="auto"/>
                      <w:sz w:val="21"/>
                      <w:szCs w:val="21"/>
                      <w:lang w:val="en-US" w:eastAsia="zh-CN"/>
                    </w:rPr>
                    <w:t>臭气浓度、氨、硫化氢、甲烷、氯气</w:t>
                  </w:r>
                </w:p>
              </w:tc>
              <w:tc>
                <w:tcPr>
                  <w:tcW w:w="729" w:type="pct"/>
                  <w:tcBorders>
                    <w:tl2br w:val="nil"/>
                    <w:tr2bl w:val="nil"/>
                  </w:tcBorders>
                  <w:vAlign w:val="center"/>
                </w:tcPr>
                <w:p>
                  <w:pPr>
                    <w:pStyle w:val="76"/>
                    <w:rPr>
                      <w:rFonts w:hint="eastAsia"/>
                      <w:iCs/>
                      <w:color w:val="auto"/>
                      <w:sz w:val="21"/>
                      <w:szCs w:val="21"/>
                    </w:rPr>
                  </w:pPr>
                  <w:r>
                    <w:rPr>
                      <w:rFonts w:hint="eastAsia"/>
                      <w:iCs/>
                      <w:color w:val="auto"/>
                      <w:sz w:val="21"/>
                      <w:szCs w:val="21"/>
                    </w:rPr>
                    <w:t>1次</w:t>
                  </w:r>
                  <w:r>
                    <w:rPr>
                      <w:rFonts w:hint="eastAsia"/>
                      <w:iCs/>
                      <w:color w:val="auto"/>
                      <w:sz w:val="21"/>
                      <w:szCs w:val="21"/>
                      <w:lang w:val="en-US" w:eastAsia="zh-CN"/>
                    </w:rPr>
                    <w:t>/季度</w:t>
                  </w:r>
                </w:p>
              </w:tc>
              <w:tc>
                <w:tcPr>
                  <w:tcW w:w="1565" w:type="pct"/>
                  <w:tcBorders>
                    <w:tl2br w:val="nil"/>
                    <w:tr2bl w:val="nil"/>
                  </w:tcBorders>
                  <w:vAlign w:val="center"/>
                </w:tcPr>
                <w:p>
                  <w:pPr>
                    <w:pStyle w:val="76"/>
                    <w:rPr>
                      <w:rFonts w:hint="eastAsia"/>
                      <w:iCs/>
                      <w:color w:val="auto"/>
                      <w:sz w:val="21"/>
                      <w:szCs w:val="21"/>
                    </w:rPr>
                  </w:pPr>
                  <w:r>
                    <w:rPr>
                      <w:rFonts w:hint="eastAsia"/>
                      <w:iCs/>
                      <w:color w:val="auto"/>
                      <w:sz w:val="21"/>
                      <w:szCs w:val="21"/>
                    </w:rPr>
                    <w:t>委托第三方监测单位监测</w:t>
                  </w:r>
                </w:p>
              </w:tc>
            </w:tr>
          </w:tbl>
          <w:p>
            <w:pPr>
              <w:keepNext w:val="0"/>
              <w:keepLines w:val="0"/>
              <w:pageBreakBefore w:val="0"/>
              <w:widowControl/>
              <w:numPr>
                <w:ilvl w:val="0"/>
                <w:numId w:val="0"/>
              </w:numPr>
              <w:kinsoku/>
              <w:wordWrap/>
              <w:overflowPunct/>
              <w:topLinePunct w:val="0"/>
              <w:autoSpaceDE/>
              <w:autoSpaceDN/>
              <w:bidi w:val="0"/>
              <w:adjustRightInd/>
              <w:snapToGrid/>
              <w:spacing w:line="520" w:lineRule="exact"/>
              <w:ind w:firstLine="482" w:firstLineChars="200"/>
              <w:textAlignment w:val="auto"/>
              <w:rPr>
                <w:b/>
                <w:bCs/>
                <w:sz w:val="24"/>
              </w:rPr>
            </w:pPr>
            <w:r>
              <w:rPr>
                <w:rFonts w:hint="eastAsia"/>
                <w:b/>
                <w:bCs/>
                <w:sz w:val="24"/>
              </w:rPr>
              <w:t>2</w:t>
            </w:r>
            <w:r>
              <w:rPr>
                <w:rFonts w:hint="eastAsia"/>
                <w:b/>
                <w:bCs/>
                <w:sz w:val="24"/>
                <w:lang w:val="en-US" w:eastAsia="zh-CN"/>
              </w:rPr>
              <w:t>.</w:t>
            </w:r>
            <w:r>
              <w:rPr>
                <w:rFonts w:hint="eastAsia"/>
                <w:b/>
                <w:bCs/>
                <w:sz w:val="24"/>
              </w:rPr>
              <w:t>废水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color w:val="000000"/>
                <w:sz w:val="24"/>
                <w:szCs w:val="22"/>
                <w:lang w:val="en-US"/>
              </w:rPr>
            </w:pPr>
            <w:r>
              <w:rPr>
                <w:color w:val="000000"/>
                <w:sz w:val="24"/>
                <w:szCs w:val="22"/>
              </w:rPr>
              <w:t>医院</w:t>
            </w:r>
            <w:r>
              <w:rPr>
                <w:rFonts w:hint="eastAsia"/>
                <w:color w:val="000000"/>
                <w:sz w:val="24"/>
                <w:szCs w:val="22"/>
              </w:rPr>
              <w:t>污水</w:t>
            </w:r>
            <w:r>
              <w:rPr>
                <w:color w:val="000000"/>
                <w:sz w:val="24"/>
                <w:szCs w:val="22"/>
              </w:rPr>
              <w:t>主要成分为有机物、悬浮物、</w:t>
            </w:r>
            <w:r>
              <w:rPr>
                <w:rFonts w:hint="eastAsia"/>
                <w:color w:val="000000"/>
                <w:sz w:val="24"/>
                <w:szCs w:val="22"/>
              </w:rPr>
              <w:t>细菌、</w:t>
            </w:r>
            <w:r>
              <w:rPr>
                <w:color w:val="000000"/>
                <w:sz w:val="24"/>
                <w:szCs w:val="22"/>
              </w:rPr>
              <w:t>pH等，成分复杂，门诊和病区排水因沾染病人的血、尿、便等而具有传染性，有些污水还含有多种致病菌、病毒和寄生虫卵。</w:t>
            </w:r>
            <w:r>
              <w:rPr>
                <w:rFonts w:hint="eastAsia"/>
                <w:color w:val="000000"/>
                <w:sz w:val="24"/>
                <w:szCs w:val="22"/>
              </w:rPr>
              <w:t>它们</w:t>
            </w:r>
            <w:r>
              <w:rPr>
                <w:color w:val="000000"/>
                <w:sz w:val="24"/>
                <w:szCs w:val="22"/>
              </w:rPr>
              <w:t>在环境中具有一定的适应能力，有的甚至在污水中存活时间较长，必须经过消毒灭菌</w:t>
            </w:r>
            <w:r>
              <w:rPr>
                <w:rFonts w:hint="eastAsia"/>
                <w:color w:val="000000"/>
                <w:sz w:val="24"/>
                <w:szCs w:val="22"/>
                <w:lang w:val="en-US" w:eastAsia="zh-CN"/>
              </w:rPr>
              <w:t>达标</w:t>
            </w:r>
            <w:r>
              <w:rPr>
                <w:rFonts w:hint="eastAsia"/>
                <w:color w:val="000000"/>
                <w:sz w:val="24"/>
                <w:szCs w:val="22"/>
              </w:rPr>
              <w:t>后</w:t>
            </w:r>
            <w:r>
              <w:rPr>
                <w:color w:val="000000"/>
                <w:sz w:val="24"/>
                <w:szCs w:val="22"/>
              </w:rPr>
              <w:t>才可</w:t>
            </w:r>
            <w:r>
              <w:rPr>
                <w:rFonts w:hint="eastAsia"/>
                <w:color w:val="000000"/>
                <w:sz w:val="24"/>
                <w:szCs w:val="22"/>
                <w:lang w:val="en-US" w:eastAsia="zh-CN"/>
              </w:rPr>
              <w:t>排入市政下水管网。</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olor w:val="000000"/>
                <w:sz w:val="24"/>
                <w:szCs w:val="22"/>
              </w:rPr>
            </w:pPr>
            <w:r>
              <w:rPr>
                <w:rFonts w:hint="eastAsia"/>
                <w:color w:val="000000"/>
                <w:sz w:val="24"/>
                <w:szCs w:val="22"/>
                <w:lang w:val="en-US" w:eastAsia="zh-CN"/>
              </w:rPr>
              <w:t>本</w:t>
            </w:r>
            <w:r>
              <w:rPr>
                <w:rFonts w:hint="eastAsia"/>
                <w:color w:val="000000"/>
                <w:sz w:val="24"/>
                <w:szCs w:val="22"/>
              </w:rPr>
              <w:t>项目</w:t>
            </w:r>
            <w:r>
              <w:rPr>
                <w:rFonts w:hint="eastAsia"/>
                <w:color w:val="000000"/>
                <w:sz w:val="24"/>
                <w:szCs w:val="22"/>
                <w:lang w:val="en-US" w:eastAsia="zh-CN"/>
              </w:rPr>
              <w:t>建成后</w:t>
            </w:r>
            <w:r>
              <w:rPr>
                <w:rFonts w:hint="eastAsia"/>
                <w:color w:val="000000"/>
                <w:sz w:val="24"/>
                <w:szCs w:val="22"/>
              </w:rPr>
              <w:t>医疗废水</w:t>
            </w:r>
            <w:r>
              <w:rPr>
                <w:rFonts w:hint="eastAsia"/>
                <w:color w:val="000000"/>
                <w:sz w:val="24"/>
                <w:szCs w:val="22"/>
                <w:lang w:val="en-US" w:eastAsia="zh-CN"/>
              </w:rPr>
              <w:t>产生</w:t>
            </w:r>
            <w:r>
              <w:rPr>
                <w:rFonts w:hint="eastAsia"/>
                <w:color w:val="000000"/>
                <w:sz w:val="24"/>
                <w:szCs w:val="22"/>
              </w:rPr>
              <w:t>量为</w:t>
            </w:r>
            <w:r>
              <w:rPr>
                <w:rFonts w:hint="eastAsia"/>
                <w:color w:val="000000" w:themeColor="text1"/>
                <w:sz w:val="24"/>
                <w:szCs w:val="22"/>
                <w:lang w:val="en-US" w:eastAsia="zh-CN"/>
                <w14:textFill>
                  <w14:solidFill>
                    <w14:schemeClr w14:val="tx1"/>
                  </w14:solidFill>
                </w14:textFill>
              </w:rPr>
              <w:t>49.25</w:t>
            </w:r>
            <w:r>
              <w:rPr>
                <w:rFonts w:hint="default" w:ascii="Times New Roman" w:hAnsi="Times New Roman" w:cs="Times New Roman"/>
                <w:snapToGrid w:val="0"/>
                <w:color w:val="000000"/>
                <w:kern w:val="0"/>
                <w:sz w:val="24"/>
                <w:szCs w:val="24"/>
              </w:rPr>
              <w:t>m</w:t>
            </w:r>
            <w:r>
              <w:rPr>
                <w:rFonts w:hint="eastAsia" w:ascii="Times New Roman" w:hAnsi="Times New Roman" w:cs="Times New Roman"/>
                <w:snapToGrid w:val="0"/>
                <w:color w:val="000000"/>
                <w:kern w:val="0"/>
                <w:sz w:val="24"/>
                <w:szCs w:val="24"/>
                <w:vertAlign w:val="superscript"/>
                <w:lang w:val="en-US" w:eastAsia="zh-CN"/>
              </w:rPr>
              <w:t>3</w:t>
            </w:r>
            <w:r>
              <w:rPr>
                <w:rFonts w:hint="default" w:ascii="Times New Roman" w:hAnsi="Times New Roman" w:cs="Times New Roman"/>
                <w:snapToGrid w:val="0"/>
                <w:color w:val="000000"/>
                <w:kern w:val="0"/>
                <w:sz w:val="24"/>
                <w:szCs w:val="24"/>
              </w:rPr>
              <w:t>/d</w:t>
            </w:r>
            <w:r>
              <w:rPr>
                <w:rFonts w:hint="eastAsia" w:cs="Times New Roman"/>
                <w:snapToGrid w:val="0"/>
                <w:color w:val="000000"/>
                <w:kern w:val="0"/>
                <w:sz w:val="24"/>
                <w:szCs w:val="24"/>
                <w:lang w:eastAsia="zh-CN"/>
              </w:rPr>
              <w:t>，</w:t>
            </w:r>
            <w:r>
              <w:rPr>
                <w:rFonts w:hint="eastAsia"/>
                <w:color w:val="000000"/>
                <w:sz w:val="24"/>
                <w:szCs w:val="22"/>
              </w:rPr>
              <w:t>通过对部分医院废水的调研，医院废水的水质特征是：①含有大量的病原体</w:t>
            </w:r>
            <w:r>
              <w:rPr>
                <w:rFonts w:hint="eastAsia"/>
                <w:color w:val="000000"/>
                <w:sz w:val="24"/>
                <w:szCs w:val="22"/>
                <w:lang w:val="en-US" w:eastAsia="zh-CN"/>
              </w:rPr>
              <w:t>-</w:t>
            </w:r>
            <w:r>
              <w:rPr>
                <w:rFonts w:hint="eastAsia"/>
                <w:color w:val="000000"/>
                <w:sz w:val="24"/>
                <w:szCs w:val="22"/>
              </w:rPr>
              <w:t>病菌、病毒及寄生虫卵等；②含有多种化学物质，如消毒剂、药剂、试剂等。废水中主要的污染因子为COD</w:t>
            </w:r>
            <w:r>
              <w:rPr>
                <w:rFonts w:hint="eastAsia"/>
                <w:color w:val="000000"/>
                <w:sz w:val="24"/>
                <w:szCs w:val="22"/>
                <w:vertAlign w:val="subscript"/>
              </w:rPr>
              <w:t>Cr</w:t>
            </w:r>
            <w:r>
              <w:rPr>
                <w:rFonts w:hint="eastAsia"/>
                <w:color w:val="000000"/>
                <w:sz w:val="24"/>
                <w:szCs w:val="22"/>
              </w:rPr>
              <w:t>、BOD</w:t>
            </w:r>
            <w:r>
              <w:rPr>
                <w:rFonts w:hint="eastAsia"/>
                <w:color w:val="000000"/>
                <w:sz w:val="24"/>
                <w:szCs w:val="22"/>
                <w:vertAlign w:val="subscript"/>
              </w:rPr>
              <w:t>5</w:t>
            </w:r>
            <w:r>
              <w:rPr>
                <w:rFonts w:hint="eastAsia"/>
                <w:color w:val="000000"/>
                <w:sz w:val="24"/>
                <w:szCs w:val="22"/>
              </w:rPr>
              <w:t>、SS、NH</w:t>
            </w:r>
            <w:r>
              <w:rPr>
                <w:rFonts w:hint="eastAsia"/>
                <w:color w:val="000000"/>
                <w:sz w:val="24"/>
                <w:szCs w:val="22"/>
                <w:vertAlign w:val="subscript"/>
              </w:rPr>
              <w:t>3</w:t>
            </w:r>
            <w:r>
              <w:rPr>
                <w:rFonts w:hint="eastAsia"/>
                <w:color w:val="000000"/>
                <w:sz w:val="24"/>
                <w:szCs w:val="22"/>
              </w:rPr>
              <w:t>-N、粪大肠菌群、余氯等。</w:t>
            </w:r>
          </w:p>
          <w:p>
            <w:pPr>
              <w:pStyle w:val="64"/>
              <w:keepNext w:val="0"/>
              <w:keepLines w:val="0"/>
              <w:pageBreakBefore w:val="0"/>
              <w:widowControl w:val="0"/>
              <w:kinsoku/>
              <w:wordWrap/>
              <w:overflowPunct/>
              <w:topLinePunct w:val="0"/>
              <w:autoSpaceDE/>
              <w:autoSpaceDN/>
              <w:bidi w:val="0"/>
              <w:spacing w:line="520" w:lineRule="exact"/>
              <w:ind w:firstLine="482"/>
              <w:rPr>
                <w:sz w:val="24"/>
              </w:rPr>
            </w:pPr>
            <w:r>
              <w:rPr>
                <w:sz w:val="24"/>
              </w:rPr>
              <w:t>本项目</w:t>
            </w:r>
            <w:r>
              <w:rPr>
                <w:rFonts w:hint="eastAsia"/>
                <w:sz w:val="24"/>
                <w:lang w:val="en-US" w:eastAsia="zh-CN"/>
              </w:rPr>
              <w:t>废水</w:t>
            </w:r>
            <w:r>
              <w:rPr>
                <w:sz w:val="24"/>
              </w:rPr>
              <w:t>主要</w:t>
            </w:r>
            <w:r>
              <w:rPr>
                <w:rFonts w:hint="eastAsia"/>
                <w:sz w:val="24"/>
                <w:lang w:val="en-US" w:eastAsia="zh-CN"/>
              </w:rPr>
              <w:t>为</w:t>
            </w:r>
            <w:r>
              <w:rPr>
                <w:sz w:val="24"/>
              </w:rPr>
              <w:t>病房和卫生间排水。</w:t>
            </w:r>
          </w:p>
          <w:p>
            <w:pPr>
              <w:keepNext w:val="0"/>
              <w:keepLines w:val="0"/>
              <w:pageBreakBefore w:val="0"/>
              <w:widowControl w:val="0"/>
              <w:kinsoku/>
              <w:wordWrap/>
              <w:overflowPunct/>
              <w:topLinePunct w:val="0"/>
              <w:autoSpaceDE/>
              <w:autoSpaceDN/>
              <w:bidi w:val="0"/>
              <w:spacing w:line="520" w:lineRule="exact"/>
              <w:ind w:firstLine="482" w:firstLineChars="200"/>
              <w:rPr>
                <w:b/>
                <w:color w:val="000000"/>
                <w:sz w:val="24"/>
                <w:szCs w:val="22"/>
              </w:rPr>
            </w:pPr>
            <w:r>
              <w:rPr>
                <w:rFonts w:hint="eastAsia"/>
                <w:b/>
                <w:color w:val="000000"/>
                <w:sz w:val="24"/>
                <w:szCs w:val="22"/>
                <w:lang w:val="en-US" w:eastAsia="zh-CN"/>
              </w:rPr>
              <w:t>2</w:t>
            </w:r>
            <w:r>
              <w:rPr>
                <w:rFonts w:hint="eastAsia"/>
                <w:b/>
                <w:color w:val="000000"/>
                <w:sz w:val="24"/>
                <w:szCs w:val="22"/>
              </w:rPr>
              <w:t>.1</w:t>
            </w:r>
            <w:r>
              <w:rPr>
                <w:b/>
                <w:color w:val="000000"/>
                <w:sz w:val="24"/>
                <w:szCs w:val="22"/>
              </w:rPr>
              <w:t>主要污染物分析</w:t>
            </w:r>
          </w:p>
          <w:p>
            <w:pPr>
              <w:keepNext w:val="0"/>
              <w:keepLines w:val="0"/>
              <w:pageBreakBefore w:val="0"/>
              <w:widowControl w:val="0"/>
              <w:kinsoku/>
              <w:wordWrap/>
              <w:overflowPunct/>
              <w:topLinePunct w:val="0"/>
              <w:autoSpaceDE/>
              <w:autoSpaceDN/>
              <w:bidi w:val="0"/>
              <w:spacing w:line="520" w:lineRule="exact"/>
              <w:ind w:firstLine="480" w:firstLineChars="200"/>
              <w:rPr>
                <w:rFonts w:hint="eastAsia"/>
                <w:color w:val="000000"/>
                <w:sz w:val="24"/>
                <w:szCs w:val="22"/>
              </w:rPr>
            </w:pPr>
            <w:r>
              <w:rPr>
                <w:color w:val="000000"/>
                <w:sz w:val="24"/>
                <w:szCs w:val="22"/>
              </w:rPr>
              <w:t>医院污水水质十分复杂，其中理化指标、生物指标、毒理指标等与工业废水和生活污水完全不同，医院污水中不同程度地含有多种病菌、病毒、寄生虫和一些有害有毒物质。医院各部门排放废水中主要的污染物情况见表</w:t>
            </w:r>
            <w:r>
              <w:rPr>
                <w:rFonts w:hint="eastAsia"/>
                <w:color w:val="000000"/>
                <w:sz w:val="24"/>
                <w:szCs w:val="22"/>
                <w:lang w:val="en-US" w:eastAsia="zh-CN"/>
              </w:rPr>
              <w:t>4-4</w:t>
            </w:r>
            <w:r>
              <w:rPr>
                <w:color w:val="000000"/>
                <w:sz w:val="24"/>
                <w:szCs w:val="22"/>
              </w:rPr>
              <w:t>。</w:t>
            </w:r>
          </w:p>
          <w:p>
            <w:pPr>
              <w:pStyle w:val="99"/>
              <w:adjustRightInd w:val="0"/>
              <w:spacing w:line="240" w:lineRule="auto"/>
              <w:jc w:val="center"/>
              <w:rPr>
                <w:rFonts w:hint="eastAsia" w:ascii="黑体" w:hAnsi="黑体" w:eastAsia="黑体" w:cs="黑体"/>
                <w:b w:val="0"/>
                <w:bCs/>
                <w:sz w:val="24"/>
                <w:szCs w:val="24"/>
              </w:rPr>
            </w:pPr>
            <w:r>
              <w:rPr>
                <w:rFonts w:hint="eastAsia" w:ascii="黑体" w:hAnsi="黑体" w:eastAsia="黑体" w:cs="黑体"/>
                <w:b w:val="0"/>
                <w:bCs/>
                <w:sz w:val="24"/>
                <w:szCs w:val="24"/>
              </w:rPr>
              <w:t>表</w:t>
            </w:r>
            <w:r>
              <w:rPr>
                <w:rFonts w:hint="default" w:ascii="Times New Roman" w:hAnsi="Times New Roman" w:eastAsia="黑体" w:cs="Times New Roman"/>
                <w:b w:val="0"/>
                <w:bCs/>
                <w:sz w:val="24"/>
                <w:szCs w:val="24"/>
                <w:lang w:val="en-US" w:eastAsia="zh-CN"/>
              </w:rPr>
              <w:t>4-</w:t>
            </w:r>
            <w:r>
              <w:rPr>
                <w:rFonts w:hint="eastAsia" w:ascii="Times New Roman" w:hAnsi="Times New Roman" w:eastAsia="黑体" w:cs="Times New Roman"/>
                <w:b w:val="0"/>
                <w:bCs/>
                <w:sz w:val="24"/>
                <w:szCs w:val="24"/>
                <w:lang w:val="en-US" w:eastAsia="zh-CN"/>
              </w:rPr>
              <w:t>4</w:t>
            </w:r>
            <w:r>
              <w:rPr>
                <w:rFonts w:hint="eastAsia" w:ascii="黑体" w:hAnsi="黑体" w:eastAsia="黑体" w:cs="黑体"/>
                <w:b w:val="0"/>
                <w:bCs/>
                <w:sz w:val="24"/>
                <w:szCs w:val="24"/>
              </w:rPr>
              <w:t xml:space="preserve">   医院各部门排水中主要污染物情况</w:t>
            </w:r>
          </w:p>
          <w:tbl>
            <w:tblPr>
              <w:tblStyle w:val="28"/>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05"/>
              <w:gridCol w:w="1153"/>
              <w:gridCol w:w="1207"/>
              <w:gridCol w:w="1207"/>
              <w:gridCol w:w="1207"/>
              <w:gridCol w:w="1207"/>
              <w:gridCol w:w="12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866" w:type="pct"/>
                  <w:vMerge w:val="restart"/>
                  <w:vAlign w:val="center"/>
                </w:tcPr>
                <w:p>
                  <w:pPr>
                    <w:jc w:val="center"/>
                    <w:rPr>
                      <w:color w:val="000000"/>
                      <w:szCs w:val="21"/>
                    </w:rPr>
                  </w:pPr>
                  <w:r>
                    <w:rPr>
                      <w:color w:val="000000"/>
                      <w:szCs w:val="21"/>
                    </w:rPr>
                    <w:t>部   门</w:t>
                  </w:r>
                </w:p>
              </w:tc>
              <w:tc>
                <w:tcPr>
                  <w:tcW w:w="663" w:type="pct"/>
                  <w:vMerge w:val="restart"/>
                  <w:vAlign w:val="center"/>
                </w:tcPr>
                <w:p>
                  <w:pPr>
                    <w:jc w:val="center"/>
                    <w:rPr>
                      <w:color w:val="000000"/>
                      <w:szCs w:val="21"/>
                    </w:rPr>
                  </w:pPr>
                  <w:r>
                    <w:rPr>
                      <w:color w:val="000000"/>
                      <w:szCs w:val="21"/>
                    </w:rPr>
                    <w:t>污水类别</w:t>
                  </w:r>
                </w:p>
              </w:tc>
              <w:tc>
                <w:tcPr>
                  <w:tcW w:w="3470" w:type="pct"/>
                  <w:gridSpan w:val="5"/>
                  <w:vAlign w:val="top"/>
                </w:tcPr>
                <w:p>
                  <w:pPr>
                    <w:jc w:val="center"/>
                    <w:rPr>
                      <w:color w:val="000000"/>
                      <w:szCs w:val="21"/>
                    </w:rPr>
                  </w:pPr>
                  <w:r>
                    <w:rPr>
                      <w:color w:val="000000"/>
                      <w:szCs w:val="21"/>
                    </w:rPr>
                    <w:t>主要污染物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866" w:type="pct"/>
                  <w:vMerge w:val="continue"/>
                  <w:vAlign w:val="center"/>
                </w:tcPr>
                <w:p>
                  <w:pPr>
                    <w:jc w:val="center"/>
                    <w:rPr>
                      <w:color w:val="000000"/>
                      <w:szCs w:val="21"/>
                    </w:rPr>
                  </w:pPr>
                </w:p>
              </w:tc>
              <w:tc>
                <w:tcPr>
                  <w:tcW w:w="663" w:type="pct"/>
                  <w:vMerge w:val="continue"/>
                  <w:vAlign w:val="center"/>
                </w:tcPr>
                <w:p>
                  <w:pPr>
                    <w:jc w:val="center"/>
                    <w:rPr>
                      <w:color w:val="000000"/>
                      <w:szCs w:val="21"/>
                    </w:rPr>
                  </w:pPr>
                </w:p>
              </w:tc>
              <w:tc>
                <w:tcPr>
                  <w:tcW w:w="694" w:type="pct"/>
                  <w:vAlign w:val="top"/>
                </w:tcPr>
                <w:p>
                  <w:pPr>
                    <w:jc w:val="center"/>
                    <w:rPr>
                      <w:color w:val="000000"/>
                      <w:szCs w:val="21"/>
                    </w:rPr>
                  </w:pPr>
                  <w:r>
                    <w:rPr>
                      <w:color w:val="000000"/>
                      <w:szCs w:val="21"/>
                    </w:rPr>
                    <w:t>SS</w:t>
                  </w:r>
                </w:p>
              </w:tc>
              <w:tc>
                <w:tcPr>
                  <w:tcW w:w="694" w:type="pct"/>
                  <w:vAlign w:val="top"/>
                </w:tcPr>
                <w:p>
                  <w:pPr>
                    <w:jc w:val="center"/>
                    <w:rPr>
                      <w:color w:val="000000"/>
                      <w:szCs w:val="21"/>
                    </w:rPr>
                  </w:pPr>
                  <w:r>
                    <w:rPr>
                      <w:color w:val="000000"/>
                      <w:szCs w:val="21"/>
                    </w:rPr>
                    <w:t>COD</w:t>
                  </w:r>
                </w:p>
              </w:tc>
              <w:tc>
                <w:tcPr>
                  <w:tcW w:w="694" w:type="pct"/>
                  <w:vAlign w:val="top"/>
                </w:tcPr>
                <w:p>
                  <w:pPr>
                    <w:jc w:val="center"/>
                    <w:rPr>
                      <w:color w:val="000000"/>
                      <w:szCs w:val="21"/>
                    </w:rPr>
                  </w:pPr>
                  <w:r>
                    <w:rPr>
                      <w:color w:val="000000"/>
                      <w:szCs w:val="21"/>
                    </w:rPr>
                    <w:t>BOD</w:t>
                  </w:r>
                </w:p>
              </w:tc>
              <w:tc>
                <w:tcPr>
                  <w:tcW w:w="694" w:type="pct"/>
                  <w:vAlign w:val="top"/>
                </w:tcPr>
                <w:p>
                  <w:pPr>
                    <w:jc w:val="center"/>
                    <w:rPr>
                      <w:color w:val="000000"/>
                      <w:szCs w:val="21"/>
                    </w:rPr>
                  </w:pPr>
                  <w:r>
                    <w:rPr>
                      <w:color w:val="000000"/>
                      <w:szCs w:val="21"/>
                    </w:rPr>
                    <w:t>病原体</w:t>
                  </w:r>
                </w:p>
              </w:tc>
              <w:tc>
                <w:tcPr>
                  <w:tcW w:w="694" w:type="pct"/>
                  <w:vAlign w:val="top"/>
                </w:tcPr>
                <w:p>
                  <w:pPr>
                    <w:jc w:val="center"/>
                    <w:rPr>
                      <w:color w:val="000000"/>
                      <w:szCs w:val="21"/>
                    </w:rPr>
                  </w:pPr>
                  <w:r>
                    <w:rPr>
                      <w:color w:val="000000"/>
                      <w:szCs w:val="21"/>
                    </w:rPr>
                    <w:t>化学品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866" w:type="pct"/>
                  <w:vAlign w:val="center"/>
                </w:tcPr>
                <w:p>
                  <w:pPr>
                    <w:jc w:val="center"/>
                    <w:rPr>
                      <w:color w:val="000000"/>
                      <w:szCs w:val="21"/>
                    </w:rPr>
                  </w:pPr>
                  <w:r>
                    <w:rPr>
                      <w:color w:val="000000"/>
                      <w:szCs w:val="21"/>
                    </w:rPr>
                    <w:t>病</w:t>
                  </w:r>
                  <w:r>
                    <w:rPr>
                      <w:rFonts w:hint="eastAsia"/>
                      <w:color w:val="000000"/>
                      <w:szCs w:val="21"/>
                    </w:rPr>
                    <w:t xml:space="preserve">   </w:t>
                  </w:r>
                  <w:r>
                    <w:rPr>
                      <w:color w:val="000000"/>
                      <w:szCs w:val="21"/>
                    </w:rPr>
                    <w:t>房</w:t>
                  </w:r>
                </w:p>
              </w:tc>
              <w:tc>
                <w:tcPr>
                  <w:tcW w:w="663" w:type="pct"/>
                  <w:vAlign w:val="center"/>
                </w:tcPr>
                <w:p>
                  <w:pPr>
                    <w:jc w:val="center"/>
                    <w:rPr>
                      <w:color w:val="000000"/>
                      <w:szCs w:val="21"/>
                    </w:rPr>
                  </w:pPr>
                  <w:r>
                    <w:rPr>
                      <w:color w:val="000000"/>
                      <w:szCs w:val="21"/>
                    </w:rPr>
                    <w:t>生活污水</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866" w:type="pct"/>
                  <w:vAlign w:val="center"/>
                </w:tcPr>
                <w:p>
                  <w:pPr>
                    <w:jc w:val="center"/>
                    <w:rPr>
                      <w:color w:val="000000"/>
                      <w:szCs w:val="21"/>
                    </w:rPr>
                  </w:pPr>
                  <w:r>
                    <w:rPr>
                      <w:color w:val="000000"/>
                      <w:szCs w:val="21"/>
                    </w:rPr>
                    <w:t xml:space="preserve">门 </w:t>
                  </w:r>
                  <w:r>
                    <w:rPr>
                      <w:rFonts w:hint="eastAsia"/>
                      <w:color w:val="000000"/>
                      <w:szCs w:val="21"/>
                    </w:rPr>
                    <w:t xml:space="preserve">  </w:t>
                  </w:r>
                  <w:r>
                    <w:rPr>
                      <w:color w:val="000000"/>
                      <w:szCs w:val="21"/>
                    </w:rPr>
                    <w:t>诊</w:t>
                  </w:r>
                </w:p>
              </w:tc>
              <w:tc>
                <w:tcPr>
                  <w:tcW w:w="663" w:type="pct"/>
                  <w:vAlign w:val="center"/>
                </w:tcPr>
                <w:p>
                  <w:pPr>
                    <w:jc w:val="center"/>
                    <w:rPr>
                      <w:color w:val="000000"/>
                      <w:szCs w:val="21"/>
                    </w:rPr>
                  </w:pPr>
                  <w:r>
                    <w:rPr>
                      <w:color w:val="000000"/>
                      <w:szCs w:val="21"/>
                    </w:rPr>
                    <w:t>含菌污水</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hint="eastAsia" w:cs="宋体"/>
                      <w:color w:val="000000"/>
                      <w:szCs w:val="21"/>
                    </w:rPr>
                    <w:t>△</w:t>
                  </w:r>
                </w:p>
              </w:tc>
              <w:tc>
                <w:tcPr>
                  <w:tcW w:w="694" w:type="pct"/>
                  <w:vAlign w:val="center"/>
                </w:tcPr>
                <w:p>
                  <w:pPr>
                    <w:jc w:val="center"/>
                    <w:rPr>
                      <w:color w:val="000000"/>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866" w:type="pct"/>
                  <w:vAlign w:val="center"/>
                </w:tcPr>
                <w:p>
                  <w:pPr>
                    <w:jc w:val="center"/>
                    <w:rPr>
                      <w:color w:val="000000"/>
                      <w:spacing w:val="40"/>
                      <w:szCs w:val="21"/>
                    </w:rPr>
                  </w:pPr>
                  <w:r>
                    <w:rPr>
                      <w:color w:val="000000"/>
                      <w:spacing w:val="40"/>
                      <w:szCs w:val="21"/>
                    </w:rPr>
                    <w:t>检验室</w:t>
                  </w:r>
                </w:p>
              </w:tc>
              <w:tc>
                <w:tcPr>
                  <w:tcW w:w="663" w:type="pct"/>
                  <w:vAlign w:val="center"/>
                </w:tcPr>
                <w:p>
                  <w:pPr>
                    <w:jc w:val="center"/>
                    <w:rPr>
                      <w:color w:val="000000"/>
                      <w:szCs w:val="21"/>
                    </w:rPr>
                  </w:pPr>
                  <w:r>
                    <w:rPr>
                      <w:color w:val="000000"/>
                      <w:szCs w:val="21"/>
                    </w:rPr>
                    <w:t>含菌污水</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866" w:type="pct"/>
                  <w:vAlign w:val="center"/>
                </w:tcPr>
                <w:p>
                  <w:pPr>
                    <w:jc w:val="center"/>
                    <w:rPr>
                      <w:color w:val="000000"/>
                      <w:spacing w:val="40"/>
                      <w:szCs w:val="21"/>
                    </w:rPr>
                  </w:pPr>
                  <w:r>
                    <w:rPr>
                      <w:color w:val="000000"/>
                      <w:spacing w:val="40"/>
                      <w:szCs w:val="21"/>
                    </w:rPr>
                    <w:t>办公室</w:t>
                  </w:r>
                </w:p>
              </w:tc>
              <w:tc>
                <w:tcPr>
                  <w:tcW w:w="663" w:type="pct"/>
                  <w:vAlign w:val="center"/>
                </w:tcPr>
                <w:p>
                  <w:pPr>
                    <w:jc w:val="center"/>
                    <w:rPr>
                      <w:color w:val="000000"/>
                      <w:szCs w:val="21"/>
                    </w:rPr>
                  </w:pPr>
                  <w:r>
                    <w:rPr>
                      <w:color w:val="000000"/>
                      <w:szCs w:val="21"/>
                    </w:rPr>
                    <w:t>生活污水</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r>
                    <w:rPr>
                      <w:rFonts w:ascii="Cambria Math" w:hAnsi="Cambria Math" w:cs="Cambria Math"/>
                      <w:color w:val="000000"/>
                      <w:szCs w:val="21"/>
                    </w:rPr>
                    <w:t>△</w:t>
                  </w:r>
                </w:p>
              </w:tc>
              <w:tc>
                <w:tcPr>
                  <w:tcW w:w="694" w:type="pct"/>
                  <w:vAlign w:val="center"/>
                </w:tcPr>
                <w:p>
                  <w:pPr>
                    <w:jc w:val="center"/>
                    <w:rPr>
                      <w:color w:val="000000"/>
                      <w:szCs w:val="21"/>
                    </w:rPr>
                  </w:pPr>
                </w:p>
              </w:tc>
              <w:tc>
                <w:tcPr>
                  <w:tcW w:w="694" w:type="pct"/>
                  <w:vAlign w:val="center"/>
                </w:tcPr>
                <w:p>
                  <w:pPr>
                    <w:jc w:val="center"/>
                    <w:rPr>
                      <w:color w:val="000000"/>
                      <w:szCs w:val="21"/>
                    </w:rPr>
                  </w:pPr>
                </w:p>
              </w:tc>
            </w:tr>
          </w:tbl>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b/>
                <w:color w:val="000000"/>
                <w:sz w:val="24"/>
                <w:szCs w:val="22"/>
              </w:rPr>
            </w:pPr>
            <w:r>
              <w:rPr>
                <w:rFonts w:hint="eastAsia"/>
                <w:b/>
                <w:color w:val="000000"/>
                <w:sz w:val="24"/>
                <w:szCs w:val="22"/>
                <w:lang w:val="en-US" w:eastAsia="zh-CN"/>
              </w:rPr>
              <w:t>2</w:t>
            </w:r>
            <w:r>
              <w:rPr>
                <w:rFonts w:hint="eastAsia"/>
                <w:b/>
                <w:color w:val="000000"/>
                <w:sz w:val="24"/>
                <w:szCs w:val="22"/>
              </w:rPr>
              <w:t>.</w:t>
            </w:r>
            <w:r>
              <w:rPr>
                <w:rFonts w:hint="eastAsia"/>
                <w:b/>
                <w:color w:val="000000"/>
                <w:sz w:val="24"/>
                <w:szCs w:val="22"/>
                <w:lang w:val="en-US" w:eastAsia="zh-CN"/>
              </w:rPr>
              <w:t>2</w:t>
            </w:r>
            <w:r>
              <w:rPr>
                <w:rFonts w:hint="eastAsia"/>
                <w:b/>
                <w:color w:val="000000"/>
                <w:sz w:val="24"/>
                <w:szCs w:val="22"/>
              </w:rPr>
              <w:t>污染物排放情况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olor w:val="000000"/>
                <w:sz w:val="24"/>
                <w:szCs w:val="22"/>
                <w:lang w:eastAsia="zh-CN"/>
              </w:rPr>
            </w:pPr>
            <w:r>
              <w:rPr>
                <w:rFonts w:hint="eastAsia"/>
                <w:bCs/>
                <w:color w:val="000000"/>
                <w:sz w:val="24"/>
                <w:szCs w:val="24"/>
                <w:lang w:val="en-US" w:eastAsia="zh-CN"/>
              </w:rPr>
              <w:t>本项目</w:t>
            </w:r>
            <w:r>
              <w:rPr>
                <w:rFonts w:hint="eastAsia" w:ascii="Times New Roman" w:hAnsi="Times New Roman"/>
                <w:bCs/>
                <w:color w:val="000000"/>
                <w:sz w:val="24"/>
                <w:szCs w:val="24"/>
              </w:rPr>
              <w:t>检验科废水主要为酸性废水，须经化学中和预处理。检验科</w:t>
            </w:r>
            <w:r>
              <w:rPr>
                <w:rFonts w:ascii="Times New Roman" w:hAnsi="Times New Roman"/>
                <w:color w:val="000000"/>
                <w:sz w:val="24"/>
                <w:szCs w:val="22"/>
              </w:rPr>
              <w:t>使用的药剂均不含重金属，</w:t>
            </w:r>
            <w:r>
              <w:rPr>
                <w:rFonts w:hint="eastAsia" w:ascii="Times New Roman" w:hAnsi="Times New Roman"/>
                <w:bCs/>
                <w:color w:val="000000"/>
                <w:sz w:val="24"/>
                <w:szCs w:val="24"/>
              </w:rPr>
              <w:t>不使用</w:t>
            </w:r>
            <w:r>
              <w:rPr>
                <w:rFonts w:hint="eastAsia" w:ascii="Times New Roman" w:hAnsi="Times New Roman"/>
                <w:color w:val="000000"/>
                <w:sz w:val="24"/>
                <w:szCs w:val="22"/>
              </w:rPr>
              <w:t>氰化钾、氰化钠等</w:t>
            </w:r>
            <w:r>
              <w:rPr>
                <w:rFonts w:hint="eastAsia" w:ascii="Times New Roman" w:hAnsi="Times New Roman"/>
                <w:bCs/>
                <w:color w:val="000000"/>
                <w:sz w:val="24"/>
                <w:szCs w:val="24"/>
              </w:rPr>
              <w:t>含氰物质及含铬化学品，因此无含氰废水、含铬废水产生；</w:t>
            </w:r>
            <w:r>
              <w:rPr>
                <w:rFonts w:ascii="Times New Roman" w:hAnsi="Times New Roman"/>
                <w:color w:val="000000"/>
                <w:sz w:val="24"/>
                <w:szCs w:val="22"/>
              </w:rPr>
              <w:t>在做B超、彩超等检查过程中均采用彩色打印机打印图片，无洗片过程的含银废水产生</w:t>
            </w:r>
            <w:r>
              <w:rPr>
                <w:rFonts w:hint="eastAsia" w:ascii="Times New Roman" w:hAnsi="Times New Roman"/>
                <w:color w:val="000000"/>
                <w:sz w:val="24"/>
                <w:szCs w:val="22"/>
              </w:rPr>
              <w:t>。项目产生的医疗废水及工作人员生活废水经</w:t>
            </w:r>
            <w:r>
              <w:rPr>
                <w:rFonts w:hint="eastAsia"/>
                <w:color w:val="000000"/>
                <w:sz w:val="24"/>
                <w:szCs w:val="22"/>
                <w:lang w:val="en-US" w:eastAsia="zh-CN"/>
              </w:rPr>
              <w:t>中医医院现有</w:t>
            </w:r>
            <w:r>
              <w:rPr>
                <w:rFonts w:hint="eastAsia" w:ascii="Times New Roman" w:hAnsi="Times New Roman"/>
                <w:color w:val="000000"/>
                <w:sz w:val="24"/>
                <w:szCs w:val="22"/>
              </w:rPr>
              <w:t>污水处理设备处理</w:t>
            </w:r>
            <w:r>
              <w:rPr>
                <w:rFonts w:hint="eastAsia"/>
                <w:color w:val="000000"/>
                <w:sz w:val="24"/>
                <w:szCs w:val="22"/>
                <w:lang w:val="en-US" w:eastAsia="zh-CN"/>
              </w:rPr>
              <w:t>达到</w:t>
            </w:r>
            <w:r>
              <w:rPr>
                <w:b w:val="0"/>
                <w:bCs w:val="0"/>
                <w:sz w:val="24"/>
              </w:rPr>
              <w:t>《医疗机构水污染物排放标准》（GB18466-2005）中表</w:t>
            </w:r>
            <w:r>
              <w:rPr>
                <w:rFonts w:hint="eastAsia"/>
                <w:b w:val="0"/>
                <w:bCs w:val="0"/>
                <w:sz w:val="24"/>
                <w:lang w:val="en-US" w:eastAsia="zh-CN"/>
              </w:rPr>
              <w:t>2预处理标准</w:t>
            </w:r>
            <w:r>
              <w:rPr>
                <w:rFonts w:hint="eastAsia" w:ascii="Times New Roman" w:hAnsi="Times New Roman"/>
                <w:color w:val="000000"/>
                <w:sz w:val="24"/>
                <w:szCs w:val="22"/>
              </w:rPr>
              <w:t>后</w:t>
            </w:r>
            <w:r>
              <w:rPr>
                <w:rFonts w:hint="eastAsia"/>
                <w:color w:val="000000"/>
                <w:sz w:val="24"/>
                <w:szCs w:val="22"/>
                <w:lang w:val="en-US" w:eastAsia="zh-CN"/>
              </w:rPr>
              <w:t>，排入市政下水管网</w:t>
            </w:r>
            <w:r>
              <w:rPr>
                <w:rFonts w:hint="eastAsia" w:ascii="Times New Roman" w:hAnsi="Times New Roman"/>
                <w:color w:val="000000"/>
                <w:sz w:val="24"/>
                <w:szCs w:val="22"/>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b/>
                <w:color w:val="000000"/>
                <w:sz w:val="24"/>
                <w:szCs w:val="24"/>
              </w:rPr>
            </w:pPr>
            <w:r>
              <w:rPr>
                <w:rFonts w:hint="eastAsia"/>
                <w:b/>
                <w:color w:val="000000"/>
                <w:sz w:val="24"/>
                <w:szCs w:val="24"/>
                <w:lang w:val="en-US" w:eastAsia="zh-CN"/>
              </w:rPr>
              <w:t>2</w:t>
            </w:r>
            <w:r>
              <w:rPr>
                <w:rFonts w:hint="eastAsia"/>
                <w:b/>
                <w:color w:val="000000"/>
                <w:sz w:val="24"/>
                <w:szCs w:val="24"/>
              </w:rPr>
              <w:t>.</w:t>
            </w:r>
            <w:r>
              <w:rPr>
                <w:rFonts w:hint="eastAsia"/>
                <w:b/>
                <w:color w:val="000000"/>
                <w:sz w:val="24"/>
                <w:szCs w:val="24"/>
                <w:lang w:val="en-US" w:eastAsia="zh-CN"/>
              </w:rPr>
              <w:t>3</w:t>
            </w:r>
            <w:r>
              <w:rPr>
                <w:rFonts w:hint="eastAsia"/>
                <w:b/>
                <w:color w:val="000000"/>
                <w:sz w:val="24"/>
                <w:szCs w:val="24"/>
              </w:rPr>
              <w:t>污水处理站处理措施及可行性分析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olor w:val="000000"/>
                <w:sz w:val="24"/>
                <w:szCs w:val="22"/>
              </w:rPr>
            </w:pPr>
            <w:r>
              <w:rPr>
                <w:rFonts w:hint="eastAsia"/>
                <w:color w:val="000000"/>
                <w:sz w:val="24"/>
                <w:szCs w:val="22"/>
              </w:rPr>
              <w:t>（1）污水处理站工艺分析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olor w:val="000000"/>
                <w:sz w:val="24"/>
                <w:szCs w:val="22"/>
                <w:lang w:val="en-US" w:eastAsia="zh-CN"/>
              </w:rPr>
            </w:pPr>
            <w:r>
              <w:rPr>
                <w:rFonts w:hint="eastAsia" w:cs="Times New Roman"/>
                <w:color w:val="auto"/>
                <w:sz w:val="24"/>
                <w:lang w:val="en-US" w:eastAsia="zh-CN"/>
              </w:rPr>
              <w:t>玛纳斯县中医医</w:t>
            </w:r>
            <w:r>
              <w:rPr>
                <w:rFonts w:hint="eastAsia" w:ascii="Times New Roman" w:hAnsi="Times New Roman" w:eastAsia="宋体" w:cs="Times New Roman"/>
                <w:color w:val="auto"/>
                <w:sz w:val="24"/>
                <w:lang w:val="en-US" w:eastAsia="zh-CN"/>
              </w:rPr>
              <w:t>院</w:t>
            </w:r>
            <w:r>
              <w:rPr>
                <w:rFonts w:hint="eastAsia"/>
                <w:color w:val="000000"/>
                <w:sz w:val="24"/>
                <w:szCs w:val="22"/>
              </w:rPr>
              <w:t>现有的污水处理站处理规模为</w:t>
            </w:r>
            <w:r>
              <w:rPr>
                <w:rFonts w:hint="eastAsia"/>
                <w:color w:val="000000"/>
                <w:sz w:val="24"/>
                <w:szCs w:val="22"/>
                <w:lang w:val="en-US" w:eastAsia="zh-CN"/>
              </w:rPr>
              <w:t>300</w:t>
            </w:r>
            <w:r>
              <w:rPr>
                <w:rFonts w:hint="eastAsia"/>
                <w:color w:val="000000"/>
                <w:sz w:val="24"/>
                <w:szCs w:val="22"/>
              </w:rPr>
              <w:t>m³/d，</w:t>
            </w:r>
            <w:r>
              <w:rPr>
                <w:rFonts w:hint="eastAsia"/>
                <w:color w:val="000000"/>
                <w:sz w:val="24"/>
                <w:szCs w:val="22"/>
                <w:lang w:val="en-US" w:eastAsia="zh-CN"/>
              </w:rPr>
              <w:t>根据《玛纳斯县中医医院标准化建设项目竣工环境保护验收监测报告》可知，玛纳斯县中医医院</w:t>
            </w:r>
            <w:r>
              <w:rPr>
                <w:rFonts w:hint="eastAsia"/>
                <w:color w:val="000000"/>
                <w:sz w:val="24"/>
                <w:szCs w:val="22"/>
              </w:rPr>
              <w:t>现</w:t>
            </w:r>
            <w:r>
              <w:rPr>
                <w:rFonts w:hint="eastAsia"/>
                <w:color w:val="000000"/>
                <w:sz w:val="24"/>
                <w:szCs w:val="22"/>
                <w:lang w:val="en-US" w:eastAsia="zh-CN"/>
              </w:rPr>
              <w:t>有废水产生总量约</w:t>
            </w:r>
            <w:r>
              <w:rPr>
                <w:rFonts w:hint="eastAsia"/>
                <w:color w:val="000000"/>
                <w:sz w:val="24"/>
                <w:szCs w:val="22"/>
              </w:rPr>
              <w:t>为</w:t>
            </w:r>
            <w:r>
              <w:rPr>
                <w:rFonts w:hint="eastAsia"/>
                <w:color w:val="000000"/>
                <w:sz w:val="24"/>
                <w:szCs w:val="22"/>
                <w:lang w:val="en-US" w:eastAsia="zh-CN"/>
              </w:rPr>
              <w:t>17</w:t>
            </w:r>
            <w:r>
              <w:rPr>
                <w:rFonts w:hint="eastAsia"/>
                <w:color w:val="000000"/>
                <w:sz w:val="24"/>
                <w:szCs w:val="22"/>
              </w:rPr>
              <w:t>m³/d</w:t>
            </w:r>
            <w:r>
              <w:rPr>
                <w:rFonts w:hint="eastAsia"/>
                <w:color w:val="000000"/>
                <w:sz w:val="24"/>
                <w:szCs w:val="22"/>
                <w:lang w:eastAsia="zh-CN"/>
              </w:rPr>
              <w:t>（</w:t>
            </w:r>
            <w:r>
              <w:rPr>
                <w:rFonts w:hint="eastAsia"/>
                <w:color w:val="000000"/>
                <w:sz w:val="24"/>
                <w:szCs w:val="22"/>
                <w:lang w:val="en-US" w:eastAsia="zh-CN"/>
              </w:rPr>
              <w:t>6200</w:t>
            </w:r>
            <w:r>
              <w:rPr>
                <w:rFonts w:hint="eastAsia"/>
                <w:color w:val="000000"/>
                <w:sz w:val="24"/>
                <w:szCs w:val="22"/>
              </w:rPr>
              <w:t>m³/</w:t>
            </w:r>
            <w:r>
              <w:rPr>
                <w:rFonts w:hint="eastAsia"/>
                <w:color w:val="000000"/>
                <w:sz w:val="24"/>
                <w:szCs w:val="22"/>
                <w:lang w:val="en-US" w:eastAsia="zh-CN"/>
              </w:rPr>
              <w:t>a</w:t>
            </w:r>
            <w:r>
              <w:rPr>
                <w:rFonts w:hint="eastAsia"/>
                <w:color w:val="000000"/>
                <w:sz w:val="24"/>
                <w:szCs w:val="22"/>
                <w:lang w:eastAsia="zh-CN"/>
              </w:rPr>
              <w:t>）</w:t>
            </w:r>
            <w:r>
              <w:rPr>
                <w:rFonts w:hint="eastAsia"/>
                <w:color w:val="000000"/>
                <w:sz w:val="24"/>
                <w:szCs w:val="22"/>
              </w:rPr>
              <w:t>，</w:t>
            </w:r>
            <w:r>
              <w:rPr>
                <w:rFonts w:hint="eastAsia"/>
                <w:color w:val="000000"/>
                <w:sz w:val="24"/>
                <w:szCs w:val="22"/>
                <w:lang w:val="en-US" w:eastAsia="zh-CN"/>
              </w:rPr>
              <w:t>本</w:t>
            </w:r>
            <w:r>
              <w:rPr>
                <w:rFonts w:hint="eastAsia"/>
                <w:color w:val="000000"/>
                <w:sz w:val="24"/>
                <w:szCs w:val="22"/>
              </w:rPr>
              <w:t>项目</w:t>
            </w:r>
            <w:r>
              <w:rPr>
                <w:rFonts w:hint="eastAsia"/>
                <w:color w:val="000000"/>
                <w:sz w:val="24"/>
                <w:szCs w:val="22"/>
                <w:lang w:val="en-US" w:eastAsia="zh-CN"/>
              </w:rPr>
              <w:t>建成后</w:t>
            </w:r>
            <w:r>
              <w:rPr>
                <w:rFonts w:hint="eastAsia"/>
                <w:color w:val="000000"/>
                <w:sz w:val="24"/>
                <w:szCs w:val="22"/>
              </w:rPr>
              <w:t>废水</w:t>
            </w:r>
            <w:r>
              <w:rPr>
                <w:rFonts w:hint="eastAsia"/>
                <w:color w:val="000000"/>
                <w:sz w:val="24"/>
                <w:szCs w:val="22"/>
                <w:lang w:val="en-US" w:eastAsia="zh-CN"/>
              </w:rPr>
              <w:t>产生量约为</w:t>
            </w:r>
            <w:r>
              <w:rPr>
                <w:rFonts w:hint="eastAsia"/>
                <w:color w:val="000000" w:themeColor="text1"/>
                <w:sz w:val="24"/>
                <w:szCs w:val="22"/>
                <w:lang w:val="en-US" w:eastAsia="zh-CN"/>
                <w14:textFill>
                  <w14:solidFill>
                    <w14:schemeClr w14:val="tx1"/>
                  </w14:solidFill>
                </w14:textFill>
              </w:rPr>
              <w:t>49.25</w:t>
            </w:r>
            <w:r>
              <w:rPr>
                <w:rFonts w:hint="eastAsia"/>
                <w:color w:val="000000"/>
                <w:sz w:val="24"/>
                <w:szCs w:val="22"/>
              </w:rPr>
              <w:t>m³/d</w:t>
            </w:r>
            <w:r>
              <w:rPr>
                <w:rFonts w:hint="eastAsia"/>
                <w:color w:val="000000"/>
                <w:sz w:val="24"/>
                <w:szCs w:val="22"/>
                <w:lang w:eastAsia="zh-CN"/>
              </w:rPr>
              <w:t>（</w:t>
            </w:r>
            <w:r>
              <w:rPr>
                <w:rFonts w:hint="eastAsia"/>
                <w:color w:val="000000"/>
                <w:sz w:val="24"/>
                <w:szCs w:val="22"/>
                <w:lang w:val="en-US" w:eastAsia="zh-CN"/>
              </w:rPr>
              <w:t>17976.25</w:t>
            </w:r>
            <w:r>
              <w:rPr>
                <w:rFonts w:hint="eastAsia"/>
                <w:color w:val="000000"/>
                <w:sz w:val="24"/>
                <w:szCs w:val="22"/>
              </w:rPr>
              <w:t>m³/</w:t>
            </w:r>
            <w:r>
              <w:rPr>
                <w:rFonts w:hint="eastAsia"/>
                <w:color w:val="000000"/>
                <w:sz w:val="24"/>
                <w:szCs w:val="22"/>
                <w:lang w:val="en-US" w:eastAsia="zh-CN"/>
              </w:rPr>
              <w:t>a</w:t>
            </w:r>
            <w:r>
              <w:rPr>
                <w:rFonts w:hint="eastAsia"/>
                <w:color w:val="000000"/>
                <w:sz w:val="24"/>
                <w:szCs w:val="22"/>
                <w:lang w:eastAsia="zh-CN"/>
              </w:rPr>
              <w:t>），</w:t>
            </w:r>
            <w:r>
              <w:rPr>
                <w:rFonts w:hint="eastAsia"/>
                <w:color w:val="000000"/>
                <w:sz w:val="24"/>
                <w:szCs w:val="22"/>
                <w:lang w:val="en-US" w:eastAsia="zh-CN"/>
              </w:rPr>
              <w:t>废水</w:t>
            </w:r>
            <w:r>
              <w:rPr>
                <w:rFonts w:hint="eastAsia"/>
                <w:color w:val="000000"/>
                <w:sz w:val="24"/>
                <w:szCs w:val="22"/>
              </w:rPr>
              <w:t>水质和</w:t>
            </w:r>
            <w:r>
              <w:rPr>
                <w:rFonts w:hint="eastAsia"/>
                <w:color w:val="000000"/>
                <w:sz w:val="24"/>
                <w:szCs w:val="22"/>
                <w:lang w:val="en-US" w:eastAsia="zh-CN"/>
              </w:rPr>
              <w:t>中医院现有</w:t>
            </w:r>
            <w:r>
              <w:rPr>
                <w:rFonts w:hint="eastAsia"/>
                <w:color w:val="000000"/>
                <w:sz w:val="24"/>
                <w:szCs w:val="22"/>
              </w:rPr>
              <w:t>废水水质类似</w:t>
            </w:r>
            <w:r>
              <w:rPr>
                <w:rFonts w:hint="eastAsia"/>
                <w:color w:val="000000"/>
                <w:sz w:val="24"/>
                <w:szCs w:val="22"/>
                <w:lang w:eastAsia="zh-CN"/>
              </w:rPr>
              <w:t>。</w:t>
            </w:r>
            <w:r>
              <w:rPr>
                <w:rFonts w:hint="eastAsia" w:cs="Times New Roman"/>
                <w:b w:val="0"/>
                <w:bCs w:val="0"/>
                <w:color w:val="000000"/>
                <w:kern w:val="2"/>
                <w:sz w:val="24"/>
                <w:szCs w:val="22"/>
                <w:lang w:val="en-US" w:eastAsia="zh-CN" w:bidi="ar-SA"/>
              </w:rPr>
              <w:t>本</w:t>
            </w:r>
            <w:r>
              <w:rPr>
                <w:rFonts w:hint="eastAsia" w:ascii="Times New Roman" w:hAnsi="Times New Roman" w:eastAsia="宋体" w:cs="Times New Roman"/>
                <w:b w:val="0"/>
                <w:bCs w:val="0"/>
                <w:color w:val="000000"/>
                <w:kern w:val="2"/>
                <w:sz w:val="24"/>
                <w:szCs w:val="22"/>
                <w:lang w:val="en-US" w:eastAsia="zh-CN" w:bidi="ar-SA"/>
              </w:rPr>
              <w:t>项目建成后</w:t>
            </w:r>
            <w:r>
              <w:rPr>
                <w:rFonts w:hint="eastAsia" w:cs="Times New Roman"/>
                <w:b w:val="0"/>
                <w:bCs w:val="0"/>
                <w:color w:val="000000"/>
                <w:kern w:val="2"/>
                <w:sz w:val="24"/>
                <w:szCs w:val="22"/>
                <w:lang w:val="en-US" w:eastAsia="zh-CN" w:bidi="ar-SA"/>
              </w:rPr>
              <w:t>玛纳斯县中医医院</w:t>
            </w:r>
            <w:r>
              <w:rPr>
                <w:rFonts w:hint="eastAsia" w:ascii="Times New Roman" w:hAnsi="Times New Roman" w:eastAsia="宋体" w:cs="Times New Roman"/>
                <w:b w:val="0"/>
                <w:bCs w:val="0"/>
                <w:color w:val="000000"/>
                <w:kern w:val="2"/>
                <w:sz w:val="24"/>
                <w:szCs w:val="22"/>
                <w:lang w:val="en-US" w:eastAsia="zh-CN" w:bidi="ar-SA"/>
              </w:rPr>
              <w:t>废水</w:t>
            </w:r>
            <w:r>
              <w:rPr>
                <w:rFonts w:hint="eastAsia" w:cs="Times New Roman"/>
                <w:b w:val="0"/>
                <w:bCs w:val="0"/>
                <w:color w:val="000000"/>
                <w:kern w:val="2"/>
                <w:sz w:val="24"/>
                <w:szCs w:val="22"/>
                <w:lang w:val="en-US" w:eastAsia="zh-CN" w:bidi="ar-SA"/>
              </w:rPr>
              <w:t>产生</w:t>
            </w:r>
            <w:r>
              <w:rPr>
                <w:rFonts w:hint="eastAsia" w:ascii="Times New Roman" w:hAnsi="Times New Roman" w:eastAsia="宋体" w:cs="Times New Roman"/>
                <w:b w:val="0"/>
                <w:bCs w:val="0"/>
                <w:color w:val="000000"/>
                <w:kern w:val="2"/>
                <w:sz w:val="24"/>
                <w:szCs w:val="22"/>
                <w:lang w:val="en-US" w:eastAsia="zh-CN" w:bidi="ar-SA"/>
              </w:rPr>
              <w:t>总量</w:t>
            </w:r>
            <w:r>
              <w:rPr>
                <w:rFonts w:hint="eastAsia" w:cs="Times New Roman"/>
                <w:b w:val="0"/>
                <w:bCs w:val="0"/>
                <w:color w:val="000000"/>
                <w:kern w:val="2"/>
                <w:sz w:val="24"/>
                <w:szCs w:val="22"/>
                <w:lang w:val="en-US" w:eastAsia="zh-CN" w:bidi="ar-SA"/>
              </w:rPr>
              <w:t>约</w:t>
            </w:r>
            <w:r>
              <w:rPr>
                <w:rFonts w:hint="eastAsia" w:ascii="Times New Roman" w:hAnsi="Times New Roman" w:eastAsia="宋体" w:cs="Times New Roman"/>
                <w:b w:val="0"/>
                <w:bCs w:val="0"/>
                <w:color w:val="000000" w:themeColor="text1"/>
                <w:kern w:val="2"/>
                <w:sz w:val="24"/>
                <w:szCs w:val="22"/>
                <w:lang w:val="en-US" w:eastAsia="zh-CN" w:bidi="ar-SA"/>
                <w14:textFill>
                  <w14:solidFill>
                    <w14:schemeClr w14:val="tx1"/>
                  </w14:solidFill>
                </w14:textFill>
              </w:rPr>
              <w:t>为</w:t>
            </w:r>
            <w:r>
              <w:rPr>
                <w:rFonts w:hint="eastAsia" w:cs="Times New Roman"/>
                <w:b w:val="0"/>
                <w:bCs w:val="0"/>
                <w:color w:val="000000" w:themeColor="text1"/>
                <w:kern w:val="2"/>
                <w:sz w:val="24"/>
                <w:szCs w:val="22"/>
                <w:lang w:val="en-US" w:eastAsia="zh-CN" w:bidi="ar-SA"/>
                <w14:textFill>
                  <w14:solidFill>
                    <w14:schemeClr w14:val="tx1"/>
                  </w14:solidFill>
                </w14:textFill>
              </w:rPr>
              <w:t>66.25</w:t>
            </w:r>
            <w:r>
              <w:rPr>
                <w:rFonts w:hint="eastAsia" w:ascii="Times New Roman" w:hAnsi="Times New Roman" w:eastAsia="宋体" w:cs="Times New Roman"/>
                <w:b w:val="0"/>
                <w:bCs w:val="0"/>
                <w:color w:val="000000" w:themeColor="text1"/>
                <w:kern w:val="2"/>
                <w:sz w:val="24"/>
                <w:szCs w:val="22"/>
                <w:lang w:val="en-US" w:eastAsia="zh-CN" w:bidi="ar-SA"/>
                <w14:textFill>
                  <w14:solidFill>
                    <w14:schemeClr w14:val="tx1"/>
                  </w14:solidFill>
                </w14:textFill>
              </w:rPr>
              <w:t>m³/d（</w:t>
            </w:r>
            <w:r>
              <w:rPr>
                <w:rFonts w:hint="eastAsia" w:cs="Times New Roman"/>
                <w:b w:val="0"/>
                <w:bCs w:val="0"/>
                <w:color w:val="000000" w:themeColor="text1"/>
                <w:kern w:val="2"/>
                <w:sz w:val="24"/>
                <w:szCs w:val="22"/>
                <w:lang w:val="en-US" w:eastAsia="zh-CN" w:bidi="ar-SA"/>
                <w14:textFill>
                  <w14:solidFill>
                    <w14:schemeClr w14:val="tx1"/>
                  </w14:solidFill>
                </w14:textFill>
              </w:rPr>
              <w:t>24176.25</w:t>
            </w:r>
            <w:r>
              <w:rPr>
                <w:rFonts w:hint="eastAsia" w:ascii="Times New Roman" w:hAnsi="Times New Roman" w:eastAsia="宋体" w:cs="Times New Roman"/>
                <w:b w:val="0"/>
                <w:bCs w:val="0"/>
                <w:color w:val="000000" w:themeColor="text1"/>
                <w:kern w:val="2"/>
                <w:sz w:val="24"/>
                <w:szCs w:val="22"/>
                <w:lang w:val="en-US" w:eastAsia="zh-CN" w:bidi="ar-SA"/>
                <w14:textFill>
                  <w14:solidFill>
                    <w14:schemeClr w14:val="tx1"/>
                  </w14:solidFill>
                </w14:textFill>
              </w:rPr>
              <w:t>m³/a），</w:t>
            </w:r>
            <w:r>
              <w:rPr>
                <w:rFonts w:hint="eastAsia" w:cs="Times New Roman"/>
                <w:b w:val="0"/>
                <w:bCs w:val="0"/>
                <w:color w:val="000000" w:themeColor="text1"/>
                <w:kern w:val="2"/>
                <w:sz w:val="24"/>
                <w:szCs w:val="22"/>
                <w:lang w:val="en-US" w:eastAsia="zh-CN" w:bidi="ar-SA"/>
                <w14:textFill>
                  <w14:solidFill>
                    <w14:schemeClr w14:val="tx1"/>
                  </w14:solidFill>
                </w14:textFill>
              </w:rPr>
              <w:t>中医医院</w:t>
            </w:r>
            <w:r>
              <w:rPr>
                <w:rFonts w:hint="eastAsia"/>
                <w:color w:val="000000"/>
                <w:sz w:val="24"/>
                <w:szCs w:val="22"/>
              </w:rPr>
              <w:t>现有污水处理站</w:t>
            </w:r>
            <w:r>
              <w:rPr>
                <w:rFonts w:hint="eastAsia"/>
                <w:color w:val="000000"/>
                <w:sz w:val="24"/>
                <w:szCs w:val="22"/>
                <w:lang w:val="en-US" w:eastAsia="zh-CN"/>
              </w:rPr>
              <w:t>能完全接纳</w:t>
            </w:r>
            <w:r>
              <w:rPr>
                <w:rFonts w:hint="eastAsia"/>
                <w:color w:val="000000"/>
                <w:sz w:val="24"/>
                <w:szCs w:val="22"/>
              </w:rPr>
              <w:t>本项目</w:t>
            </w:r>
            <w:r>
              <w:rPr>
                <w:rFonts w:hint="eastAsia"/>
                <w:color w:val="000000"/>
                <w:sz w:val="24"/>
                <w:szCs w:val="22"/>
                <w:lang w:val="en-US" w:eastAsia="zh-CN"/>
              </w:rPr>
              <w:t>废</w:t>
            </w:r>
            <w:r>
              <w:rPr>
                <w:rFonts w:hint="eastAsia"/>
                <w:color w:val="000000"/>
                <w:sz w:val="24"/>
                <w:szCs w:val="22"/>
              </w:rPr>
              <w:t>水</w:t>
            </w:r>
            <w:r>
              <w:rPr>
                <w:rFonts w:hint="eastAsia"/>
                <w:color w:val="000000"/>
                <w:sz w:val="24"/>
                <w:szCs w:val="22"/>
                <w:lang w:val="en-US" w:eastAsia="zh-CN"/>
              </w:rPr>
              <w:t>排入。</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olor w:val="auto"/>
                <w:sz w:val="24"/>
                <w:szCs w:val="24"/>
                <w:lang w:val="en-US" w:eastAsia="zh-CN"/>
              </w:rPr>
            </w:pPr>
            <w:r>
              <w:rPr>
                <w:rFonts w:hint="eastAsia"/>
                <w:sz w:val="24"/>
                <w:lang w:val="en-US" w:eastAsia="zh-CN"/>
              </w:rPr>
              <w:t>中医院现有</w:t>
            </w:r>
            <w:r>
              <w:rPr>
                <w:sz w:val="24"/>
              </w:rPr>
              <w:t>污水处理</w:t>
            </w:r>
            <w:r>
              <w:rPr>
                <w:rFonts w:hint="eastAsia"/>
                <w:sz w:val="24"/>
                <w:lang w:val="en-US" w:eastAsia="zh-CN"/>
              </w:rPr>
              <w:t>设施处理工艺为</w:t>
            </w:r>
            <w:r>
              <w:rPr>
                <w:rFonts w:hint="eastAsia"/>
                <w:sz w:val="24"/>
              </w:rPr>
              <w:t>“</w:t>
            </w:r>
            <w:r>
              <w:rPr>
                <w:rFonts w:hint="eastAsia"/>
                <w:sz w:val="24"/>
                <w:lang w:val="en-US" w:eastAsia="zh-CN"/>
              </w:rPr>
              <w:t>化粪池</w:t>
            </w:r>
            <w:r>
              <w:rPr>
                <w:sz w:val="24"/>
              </w:rPr>
              <w:t>+调节池+</w:t>
            </w:r>
            <w:r>
              <w:rPr>
                <w:rFonts w:hint="eastAsia"/>
                <w:sz w:val="24"/>
                <w:lang w:val="en-US" w:eastAsia="zh-CN"/>
              </w:rPr>
              <w:t>厌氧</w:t>
            </w:r>
            <w:r>
              <w:rPr>
                <w:sz w:val="24"/>
              </w:rPr>
              <w:t>池+</w:t>
            </w:r>
            <w:r>
              <w:rPr>
                <w:rFonts w:hint="eastAsia"/>
                <w:sz w:val="24"/>
                <w:lang w:val="en-US" w:eastAsia="zh-CN"/>
              </w:rPr>
              <w:t>生</w:t>
            </w:r>
            <w:r>
              <w:rPr>
                <w:sz w:val="24"/>
              </w:rPr>
              <w:t>化池+</w:t>
            </w:r>
            <w:r>
              <w:rPr>
                <w:rFonts w:hint="eastAsia"/>
                <w:sz w:val="24"/>
              </w:rPr>
              <w:t>沉淀</w:t>
            </w:r>
            <w:r>
              <w:rPr>
                <w:sz w:val="24"/>
              </w:rPr>
              <w:t>池+</w:t>
            </w:r>
            <w:r>
              <w:rPr>
                <w:rFonts w:hint="eastAsia"/>
                <w:sz w:val="24"/>
                <w:lang w:val="en-US" w:eastAsia="zh-CN"/>
              </w:rPr>
              <w:t>MBR膜池+清水消毒池+清水池</w:t>
            </w:r>
            <w:r>
              <w:rPr>
                <w:rFonts w:hint="eastAsia"/>
                <w:sz w:val="24"/>
              </w:rPr>
              <w:t>”</w:t>
            </w:r>
            <w:r>
              <w:rPr>
                <w:sz w:val="24"/>
              </w:rPr>
              <w:t>，</w:t>
            </w:r>
            <w:r>
              <w:rPr>
                <w:rFonts w:hint="eastAsia"/>
                <w:sz w:val="24"/>
              </w:rPr>
              <w:t>污水处理工艺设计出水</w:t>
            </w:r>
            <w:r>
              <w:rPr>
                <w:rFonts w:hint="eastAsia"/>
                <w:sz w:val="24"/>
                <w:lang w:val="en-US" w:eastAsia="zh-CN"/>
              </w:rPr>
              <w:t>水质</w:t>
            </w:r>
            <w:r>
              <w:rPr>
                <w:rFonts w:hint="eastAsia"/>
                <w:sz w:val="24"/>
              </w:rPr>
              <w:t>达到</w:t>
            </w:r>
            <w:r>
              <w:rPr>
                <w:rFonts w:hint="eastAsia" w:ascii="Times New Roman" w:hAnsi="Times New Roman" w:eastAsia="宋体"/>
                <w:color w:val="auto"/>
                <w:sz w:val="24"/>
                <w:szCs w:val="24"/>
                <w:lang w:val="en-US" w:eastAsia="zh-CN"/>
              </w:rPr>
              <w:t>《医疗机构水污染物排放标准》（GB18466-2005）</w:t>
            </w:r>
            <w:r>
              <w:rPr>
                <w:rFonts w:hint="eastAsia"/>
                <w:color w:val="auto"/>
                <w:sz w:val="24"/>
                <w:szCs w:val="24"/>
                <w:lang w:val="en-US" w:eastAsia="zh-CN"/>
              </w:rPr>
              <w:t>表2预处理标准</w:t>
            </w:r>
            <w:r>
              <w:rPr>
                <w:rFonts w:hint="eastAsia" w:ascii="Times New Roman" w:hAnsi="Times New Roman" w:eastAsia="宋体"/>
                <w:color w:val="auto"/>
                <w:sz w:val="24"/>
                <w:szCs w:val="24"/>
                <w:lang w:val="en-US" w:eastAsia="zh-CN"/>
              </w:rPr>
              <w:t>后</w:t>
            </w:r>
            <w:r>
              <w:rPr>
                <w:rFonts w:hint="eastAsia"/>
                <w:color w:val="auto"/>
                <w:sz w:val="24"/>
                <w:szCs w:val="24"/>
                <w:lang w:val="en-US" w:eastAsia="zh-CN"/>
              </w:rPr>
              <w:t>，排入市政下水管网。</w:t>
            </w:r>
          </w:p>
          <w:p>
            <w:pPr>
              <w:spacing w:line="520" w:lineRule="exact"/>
              <w:ind w:firstLine="480" w:firstLineChars="200"/>
            </w:pPr>
            <w:r>
              <w:rPr>
                <w:rFonts w:hint="eastAsia"/>
                <w:sz w:val="24"/>
                <w:lang w:val="en-US" w:eastAsia="zh-CN"/>
              </w:rPr>
              <w:t>本项目</w:t>
            </w:r>
            <w:r>
              <w:rPr>
                <w:sz w:val="24"/>
              </w:rPr>
              <w:t>废水主要污染物产生量及排放量</w:t>
            </w:r>
            <w:r>
              <w:rPr>
                <w:rFonts w:hint="eastAsia"/>
                <w:sz w:val="24"/>
                <w:lang w:val="en-US" w:eastAsia="zh-CN"/>
              </w:rPr>
              <w:t>详</w:t>
            </w:r>
            <w:r>
              <w:rPr>
                <w:sz w:val="24"/>
              </w:rPr>
              <w:t>见表</w:t>
            </w:r>
            <w:r>
              <w:rPr>
                <w:rFonts w:hint="eastAsia"/>
                <w:sz w:val="24"/>
                <w:lang w:val="en-US" w:eastAsia="zh-CN"/>
              </w:rPr>
              <w:t>4-5</w:t>
            </w:r>
            <w:r>
              <w:rPr>
                <w:sz w:val="24"/>
              </w:rPr>
              <w:t>。</w:t>
            </w:r>
          </w:p>
          <w:p>
            <w:pPr>
              <w:adjustRightInd w:val="0"/>
              <w:snapToGrid w:val="0"/>
              <w:ind w:right="63" w:rightChars="30" w:firstLine="480" w:firstLineChars="200"/>
              <w:jc w:val="center"/>
              <w:rPr>
                <w:rStyle w:val="63"/>
                <w:rFonts w:hint="default" w:ascii="Times New Roman" w:hAnsi="Times New Roman" w:eastAsia="黑体" w:cs="Times New Roman"/>
                <w:bCs/>
                <w:color w:val="000000" w:themeColor="text1"/>
                <w:sz w:val="24"/>
                <w:szCs w:val="24"/>
                <w14:textFill>
                  <w14:solidFill>
                    <w14:schemeClr w14:val="tx1"/>
                  </w14:solidFill>
                </w14:textFill>
              </w:rPr>
            </w:pPr>
            <w:r>
              <w:rPr>
                <w:rStyle w:val="63"/>
                <w:rFonts w:hint="default" w:ascii="Times New Roman" w:hAnsi="Times New Roman" w:eastAsia="黑体" w:cs="Times New Roman"/>
                <w:bCs/>
                <w:color w:val="000000" w:themeColor="text1"/>
                <w:sz w:val="24"/>
                <w:szCs w:val="24"/>
                <w14:textFill>
                  <w14:solidFill>
                    <w14:schemeClr w14:val="tx1"/>
                  </w14:solidFill>
                </w14:textFill>
              </w:rPr>
              <w:t>表</w:t>
            </w:r>
            <w:r>
              <w:rPr>
                <w:rStyle w:val="63"/>
                <w:rFonts w:hint="default" w:ascii="Times New Roman" w:hAnsi="Times New Roman" w:eastAsia="黑体" w:cs="Times New Roman"/>
                <w:bCs/>
                <w:color w:val="000000" w:themeColor="text1"/>
                <w:sz w:val="24"/>
                <w:szCs w:val="24"/>
                <w:lang w:val="en-US" w:eastAsia="zh-CN"/>
                <w14:textFill>
                  <w14:solidFill>
                    <w14:schemeClr w14:val="tx1"/>
                  </w14:solidFill>
                </w14:textFill>
              </w:rPr>
              <w:t>4-5</w:t>
            </w:r>
            <w:r>
              <w:rPr>
                <w:rStyle w:val="63"/>
                <w:rFonts w:hint="default" w:ascii="Times New Roman" w:hAnsi="Times New Roman" w:eastAsia="黑体" w:cs="Times New Roman"/>
                <w:bCs/>
                <w:color w:val="000000" w:themeColor="text1"/>
                <w:sz w:val="24"/>
                <w:szCs w:val="24"/>
                <w14:textFill>
                  <w14:solidFill>
                    <w14:schemeClr w14:val="tx1"/>
                  </w14:solidFill>
                </w14:textFill>
              </w:rPr>
              <w:t xml:space="preserve">    </w:t>
            </w:r>
            <w:r>
              <w:rPr>
                <w:rStyle w:val="63"/>
                <w:rFonts w:hint="eastAsia" w:eastAsia="黑体" w:cs="Times New Roman"/>
                <w:bCs/>
                <w:color w:val="000000" w:themeColor="text1"/>
                <w:sz w:val="24"/>
                <w:szCs w:val="24"/>
                <w:lang w:val="en-US" w:eastAsia="zh-CN"/>
                <w14:textFill>
                  <w14:solidFill>
                    <w14:schemeClr w14:val="tx1"/>
                  </w14:solidFill>
                </w14:textFill>
              </w:rPr>
              <w:t>本项目</w:t>
            </w:r>
            <w:r>
              <w:rPr>
                <w:rStyle w:val="63"/>
                <w:rFonts w:hint="default" w:ascii="Times New Roman" w:hAnsi="Times New Roman" w:eastAsia="黑体" w:cs="Times New Roman"/>
                <w:bCs/>
                <w:color w:val="000000" w:themeColor="text1"/>
                <w:sz w:val="24"/>
                <w:szCs w:val="24"/>
                <w14:textFill>
                  <w14:solidFill>
                    <w14:schemeClr w14:val="tx1"/>
                  </w14:solidFill>
                </w14:textFill>
              </w:rPr>
              <w:t>各单元污染物去除率</w:t>
            </w:r>
          </w:p>
          <w:tbl>
            <w:tblPr>
              <w:tblStyle w:val="2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92"/>
              <w:gridCol w:w="461"/>
              <w:gridCol w:w="766"/>
              <w:gridCol w:w="720"/>
              <w:gridCol w:w="636"/>
              <w:gridCol w:w="690"/>
              <w:gridCol w:w="973"/>
              <w:gridCol w:w="667"/>
              <w:gridCol w:w="760"/>
              <w:gridCol w:w="633"/>
              <w:gridCol w:w="859"/>
              <w:gridCol w:w="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污染物名称</w:t>
                  </w:r>
                </w:p>
              </w:tc>
              <w:tc>
                <w:tcPr>
                  <w:tcW w:w="706" w:type="pct"/>
                  <w:gridSpan w:val="2"/>
                  <w:vAlign w:val="center"/>
                </w:tcPr>
                <w:p>
                  <w:pPr>
                    <w:adjustRightInd w:val="0"/>
                    <w:snapToGrid w:val="0"/>
                    <w:ind w:left="-105" w:leftChars="-50" w:right="-105" w:rightChars="-50"/>
                    <w:jc w:val="center"/>
                  </w:pPr>
                  <w:r>
                    <w:t>COD</w:t>
                  </w:r>
                </w:p>
              </w:tc>
              <w:tc>
                <w:tcPr>
                  <w:tcW w:w="780" w:type="pct"/>
                  <w:gridSpan w:val="2"/>
                  <w:vAlign w:val="center"/>
                </w:tcPr>
                <w:p>
                  <w:pPr>
                    <w:adjustRightInd w:val="0"/>
                    <w:snapToGrid w:val="0"/>
                    <w:ind w:left="-105" w:leftChars="-50" w:right="-105" w:rightChars="-50"/>
                    <w:jc w:val="center"/>
                  </w:pPr>
                  <w:r>
                    <w:t>BOD</w:t>
                  </w:r>
                  <w:r>
                    <w:rPr>
                      <w:vertAlign w:val="subscript"/>
                    </w:rPr>
                    <w:t>5</w:t>
                  </w:r>
                </w:p>
              </w:tc>
              <w:tc>
                <w:tcPr>
                  <w:tcW w:w="957" w:type="pct"/>
                  <w:gridSpan w:val="2"/>
                  <w:vAlign w:val="center"/>
                </w:tcPr>
                <w:p>
                  <w:pPr>
                    <w:adjustRightInd w:val="0"/>
                    <w:snapToGrid w:val="0"/>
                    <w:ind w:left="-105" w:leftChars="-50" w:right="-105" w:rightChars="-50"/>
                    <w:jc w:val="center"/>
                  </w:pPr>
                  <w:r>
                    <w:t>SS</w:t>
                  </w:r>
                </w:p>
              </w:tc>
              <w:tc>
                <w:tcPr>
                  <w:tcW w:w="821" w:type="pct"/>
                  <w:gridSpan w:val="2"/>
                  <w:vAlign w:val="center"/>
                </w:tcPr>
                <w:p>
                  <w:pPr>
                    <w:adjustRightInd w:val="0"/>
                    <w:snapToGrid w:val="0"/>
                    <w:ind w:left="-105" w:leftChars="-50" w:right="-105" w:rightChars="-50"/>
                    <w:jc w:val="center"/>
                  </w:pPr>
                  <w:r>
                    <w:t>NH</w:t>
                  </w:r>
                  <w:r>
                    <w:rPr>
                      <w:vertAlign w:val="subscript"/>
                    </w:rPr>
                    <w:t>3</w:t>
                  </w:r>
                  <w:r>
                    <w:t>-N</w:t>
                  </w:r>
                </w:p>
              </w:tc>
              <w:tc>
                <w:tcPr>
                  <w:tcW w:w="873" w:type="pct"/>
                  <w:gridSpan w:val="3"/>
                  <w:vAlign w:val="center"/>
                </w:tcPr>
                <w:p>
                  <w:pPr>
                    <w:adjustRightInd w:val="0"/>
                    <w:snapToGrid w:val="0"/>
                    <w:ind w:left="-105" w:leftChars="-50" w:right="-105" w:rightChars="-50"/>
                    <w:jc w:val="center"/>
                  </w:pPr>
                  <w:r>
                    <w:t>粪大肠菌群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废水量（m</w:t>
                  </w:r>
                  <w:r>
                    <w:rPr>
                      <w:rFonts w:hint="eastAsia"/>
                      <w:vertAlign w:val="superscript"/>
                      <w:lang w:val="en-US" w:eastAsia="zh-CN"/>
                    </w:rPr>
                    <w:t>3</w:t>
                  </w:r>
                  <w:r>
                    <w:rPr>
                      <w:rFonts w:hint="eastAsia"/>
                      <w:lang w:val="en-US" w:eastAsia="zh-CN"/>
                    </w:rPr>
                    <w:t>/a）</w:t>
                  </w:r>
                </w:p>
              </w:tc>
              <w:tc>
                <w:tcPr>
                  <w:tcW w:w="4140" w:type="pct"/>
                  <w:gridSpan w:val="11"/>
                  <w:vAlign w:val="center"/>
                </w:tcPr>
                <w:p>
                  <w:pPr>
                    <w:adjustRightInd w:val="0"/>
                    <w:snapToGrid w:val="0"/>
                    <w:ind w:left="-105" w:leftChars="-50" w:right="-105" w:rightChars="-50"/>
                    <w:jc w:val="center"/>
                    <w:rPr>
                      <w:rFonts w:hint="default" w:eastAsia="宋体"/>
                      <w:lang w:val="en-US" w:eastAsia="zh-CN"/>
                    </w:rPr>
                  </w:pPr>
                  <w:r>
                    <w:rPr>
                      <w:rFonts w:hint="eastAsia"/>
                      <w:color w:val="000000" w:themeColor="text1"/>
                      <w:lang w:val="en-US" w:eastAsia="zh-CN"/>
                      <w14:textFill>
                        <w14:solidFill>
                          <w14:schemeClr w14:val="tx1"/>
                        </w14:solidFill>
                      </w14:textFill>
                    </w:rPr>
                    <w:t>17976.25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pPr>
                    <w:adjustRightInd w:val="0"/>
                    <w:snapToGrid w:val="0"/>
                    <w:ind w:left="-105" w:leftChars="-50" w:right="-105" w:rightChars="-50"/>
                    <w:jc w:val="center"/>
                    <w:rPr>
                      <w:rFonts w:hint="default"/>
                      <w:lang w:val="en-US" w:eastAsia="zh-CN"/>
                    </w:rPr>
                  </w:pPr>
                  <w:r>
                    <w:rPr>
                      <w:rFonts w:hint="eastAsia"/>
                      <w:lang w:val="en-US" w:eastAsia="zh-CN"/>
                    </w:rPr>
                    <w:t>处理工艺设施</w:t>
                  </w:r>
                </w:p>
              </w:tc>
              <w:tc>
                <w:tcPr>
                  <w:tcW w:w="4140" w:type="pct"/>
                  <w:gridSpan w:val="11"/>
                  <w:vAlign w:val="center"/>
                </w:tcPr>
                <w:p>
                  <w:pPr>
                    <w:adjustRightInd w:val="0"/>
                    <w:snapToGrid w:val="0"/>
                    <w:ind w:left="-105" w:leftChars="-50" w:right="-105" w:rightChars="-50"/>
                    <w:jc w:val="center"/>
                  </w:pPr>
                  <w:r>
                    <w:rPr>
                      <w:rFonts w:hint="eastAsia"/>
                      <w:color w:val="000000" w:themeColor="text1"/>
                      <w:lang w:val="en-US" w:eastAsia="zh-CN"/>
                      <w14:textFill>
                        <w14:solidFill>
                          <w14:schemeClr w14:val="tx1"/>
                        </w14:solidFill>
                      </w14:textFill>
                    </w:rPr>
                    <w:t>“化粪池+调节池+厌氧池+生化池+沉淀池+MBR膜池+清水消毒池+清水池”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Pr>
              <w:tc>
                <w:tcPr>
                  <w:tcW w:w="859" w:type="pct"/>
                  <w:vMerge w:val="restart"/>
                  <w:vAlign w:val="center"/>
                </w:tcPr>
                <w:p>
                  <w:pPr>
                    <w:adjustRightInd w:val="0"/>
                    <w:snapToGrid w:val="0"/>
                    <w:ind w:left="-105" w:leftChars="-50" w:right="-105" w:rightChars="-50"/>
                    <w:jc w:val="center"/>
                  </w:pPr>
                  <w:r>
                    <w:t>阶段名称</w:t>
                  </w:r>
                </w:p>
              </w:tc>
              <w:tc>
                <w:tcPr>
                  <w:tcW w:w="265" w:type="pct"/>
                  <w:vAlign w:val="center"/>
                </w:tcPr>
                <w:p>
                  <w:pPr>
                    <w:adjustRightInd w:val="0"/>
                    <w:snapToGrid w:val="0"/>
                    <w:ind w:left="-105" w:leftChars="-50" w:right="-105" w:rightChars="-50"/>
                    <w:jc w:val="center"/>
                  </w:pPr>
                  <w:r>
                    <w:t>去除率</w:t>
                  </w:r>
                </w:p>
              </w:tc>
              <w:tc>
                <w:tcPr>
                  <w:tcW w:w="441" w:type="pct"/>
                  <w:vAlign w:val="center"/>
                </w:tcPr>
                <w:p>
                  <w:pPr>
                    <w:adjustRightInd w:val="0"/>
                    <w:snapToGrid w:val="0"/>
                    <w:ind w:left="-105" w:leftChars="-50" w:right="-105" w:rightChars="-50"/>
                    <w:jc w:val="center"/>
                  </w:pPr>
                  <w:r>
                    <w:t>浓度</w:t>
                  </w:r>
                </w:p>
              </w:tc>
              <w:tc>
                <w:tcPr>
                  <w:tcW w:w="414" w:type="pct"/>
                  <w:vAlign w:val="center"/>
                </w:tcPr>
                <w:p>
                  <w:pPr>
                    <w:adjustRightInd w:val="0"/>
                    <w:snapToGrid w:val="0"/>
                    <w:ind w:left="-105" w:leftChars="-50" w:right="-105" w:rightChars="-50"/>
                    <w:jc w:val="center"/>
                  </w:pPr>
                  <w:r>
                    <w:t>去除率</w:t>
                  </w:r>
                </w:p>
              </w:tc>
              <w:tc>
                <w:tcPr>
                  <w:tcW w:w="365" w:type="pct"/>
                  <w:vAlign w:val="center"/>
                </w:tcPr>
                <w:p>
                  <w:pPr>
                    <w:adjustRightInd w:val="0"/>
                    <w:snapToGrid w:val="0"/>
                    <w:ind w:left="-105" w:leftChars="-50" w:right="-105" w:rightChars="-50"/>
                    <w:jc w:val="center"/>
                  </w:pPr>
                  <w:r>
                    <w:t>浓度</w:t>
                  </w:r>
                </w:p>
              </w:tc>
              <w:tc>
                <w:tcPr>
                  <w:tcW w:w="397" w:type="pct"/>
                  <w:vAlign w:val="center"/>
                </w:tcPr>
                <w:p>
                  <w:pPr>
                    <w:adjustRightInd w:val="0"/>
                    <w:snapToGrid w:val="0"/>
                    <w:ind w:left="-105" w:leftChars="-50" w:right="-105" w:rightChars="-50"/>
                    <w:jc w:val="center"/>
                  </w:pPr>
                  <w:r>
                    <w:t>去除率</w:t>
                  </w:r>
                </w:p>
              </w:tc>
              <w:tc>
                <w:tcPr>
                  <w:tcW w:w="560" w:type="pct"/>
                  <w:vAlign w:val="center"/>
                </w:tcPr>
                <w:p>
                  <w:pPr>
                    <w:adjustRightInd w:val="0"/>
                    <w:snapToGrid w:val="0"/>
                    <w:ind w:left="-105" w:leftChars="-50" w:right="-105" w:rightChars="-50"/>
                    <w:jc w:val="center"/>
                  </w:pPr>
                  <w:r>
                    <w:t>浓度</w:t>
                  </w:r>
                </w:p>
              </w:tc>
              <w:tc>
                <w:tcPr>
                  <w:tcW w:w="384" w:type="pct"/>
                  <w:vAlign w:val="center"/>
                </w:tcPr>
                <w:p>
                  <w:pPr>
                    <w:adjustRightInd w:val="0"/>
                    <w:snapToGrid w:val="0"/>
                    <w:ind w:left="-105" w:leftChars="-50" w:right="-105" w:rightChars="-50"/>
                    <w:jc w:val="center"/>
                  </w:pPr>
                  <w:r>
                    <w:t>去除率</w:t>
                  </w:r>
                </w:p>
              </w:tc>
              <w:tc>
                <w:tcPr>
                  <w:tcW w:w="437" w:type="pct"/>
                  <w:vAlign w:val="center"/>
                </w:tcPr>
                <w:p>
                  <w:pPr>
                    <w:adjustRightInd w:val="0"/>
                    <w:snapToGrid w:val="0"/>
                    <w:ind w:left="-105" w:leftChars="-50" w:right="-105" w:rightChars="-50"/>
                    <w:jc w:val="center"/>
                  </w:pPr>
                  <w:r>
                    <w:t>浓度</w:t>
                  </w:r>
                </w:p>
              </w:tc>
              <w:tc>
                <w:tcPr>
                  <w:tcW w:w="364" w:type="pct"/>
                  <w:vAlign w:val="center"/>
                </w:tcPr>
                <w:p>
                  <w:pPr>
                    <w:adjustRightInd w:val="0"/>
                    <w:snapToGrid w:val="0"/>
                    <w:ind w:left="-105" w:leftChars="-50" w:right="-105" w:rightChars="-50"/>
                    <w:jc w:val="center"/>
                  </w:pPr>
                  <w:r>
                    <w:t>去除率</w:t>
                  </w:r>
                </w:p>
              </w:tc>
              <w:tc>
                <w:tcPr>
                  <w:tcW w:w="494" w:type="pct"/>
                  <w:vAlign w:val="center"/>
                </w:tcPr>
                <w:p>
                  <w:pPr>
                    <w:adjustRightInd w:val="0"/>
                    <w:snapToGrid w:val="0"/>
                    <w:ind w:left="-105" w:leftChars="-50" w:right="-105" w:rightChars="-50"/>
                    <w:jc w:val="center"/>
                  </w:pPr>
                  <w:r>
                    <w:t>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Pr>
              <w:tc>
                <w:tcPr>
                  <w:tcW w:w="859" w:type="pct"/>
                  <w:vMerge w:val="continue"/>
                  <w:vAlign w:val="center"/>
                </w:tcPr>
                <w:p>
                  <w:pPr>
                    <w:adjustRightInd w:val="0"/>
                    <w:snapToGrid w:val="0"/>
                    <w:ind w:left="-105" w:leftChars="-50" w:right="-105" w:rightChars="-50"/>
                    <w:jc w:val="center"/>
                  </w:pPr>
                </w:p>
              </w:tc>
              <w:tc>
                <w:tcPr>
                  <w:tcW w:w="265" w:type="pct"/>
                  <w:vAlign w:val="center"/>
                </w:tcPr>
                <w:p>
                  <w:pPr>
                    <w:adjustRightInd w:val="0"/>
                    <w:snapToGrid w:val="0"/>
                    <w:ind w:left="-105" w:leftChars="-50" w:right="-105" w:rightChars="-50"/>
                    <w:jc w:val="center"/>
                  </w:pPr>
                  <w:r>
                    <w:t>%</w:t>
                  </w:r>
                </w:p>
              </w:tc>
              <w:tc>
                <w:tcPr>
                  <w:tcW w:w="441" w:type="pct"/>
                  <w:vAlign w:val="center"/>
                </w:tcPr>
                <w:p>
                  <w:pPr>
                    <w:adjustRightInd w:val="0"/>
                    <w:snapToGrid w:val="0"/>
                    <w:ind w:left="-105" w:leftChars="-50" w:right="-105" w:rightChars="-50"/>
                    <w:jc w:val="center"/>
                  </w:pPr>
                  <w:r>
                    <w:t>mg/L</w:t>
                  </w:r>
                </w:p>
              </w:tc>
              <w:tc>
                <w:tcPr>
                  <w:tcW w:w="414" w:type="pct"/>
                  <w:vAlign w:val="center"/>
                </w:tcPr>
                <w:p>
                  <w:pPr>
                    <w:adjustRightInd w:val="0"/>
                    <w:snapToGrid w:val="0"/>
                    <w:ind w:left="-105" w:leftChars="-50" w:right="-105" w:rightChars="-50"/>
                    <w:jc w:val="center"/>
                  </w:pPr>
                  <w:r>
                    <w:t>%</w:t>
                  </w:r>
                </w:p>
              </w:tc>
              <w:tc>
                <w:tcPr>
                  <w:tcW w:w="365" w:type="pct"/>
                  <w:vAlign w:val="center"/>
                </w:tcPr>
                <w:p>
                  <w:pPr>
                    <w:adjustRightInd w:val="0"/>
                    <w:snapToGrid w:val="0"/>
                    <w:ind w:left="-105" w:leftChars="-50" w:right="-105" w:rightChars="-50"/>
                    <w:jc w:val="center"/>
                  </w:pPr>
                  <w:r>
                    <w:t>mg/L</w:t>
                  </w:r>
                </w:p>
              </w:tc>
              <w:tc>
                <w:tcPr>
                  <w:tcW w:w="397" w:type="pct"/>
                  <w:vAlign w:val="center"/>
                </w:tcPr>
                <w:p>
                  <w:pPr>
                    <w:adjustRightInd w:val="0"/>
                    <w:snapToGrid w:val="0"/>
                    <w:ind w:left="-105" w:leftChars="-50" w:right="-105" w:rightChars="-50"/>
                    <w:jc w:val="center"/>
                  </w:pPr>
                  <w:r>
                    <w:t>%</w:t>
                  </w:r>
                </w:p>
              </w:tc>
              <w:tc>
                <w:tcPr>
                  <w:tcW w:w="560" w:type="pct"/>
                  <w:vAlign w:val="center"/>
                </w:tcPr>
                <w:p>
                  <w:pPr>
                    <w:adjustRightInd w:val="0"/>
                    <w:snapToGrid w:val="0"/>
                    <w:ind w:left="-105" w:leftChars="-50" w:right="-105" w:rightChars="-50"/>
                    <w:jc w:val="center"/>
                  </w:pPr>
                  <w:r>
                    <w:t>mg/L</w:t>
                  </w:r>
                </w:p>
              </w:tc>
              <w:tc>
                <w:tcPr>
                  <w:tcW w:w="384" w:type="pct"/>
                  <w:vAlign w:val="center"/>
                </w:tcPr>
                <w:p>
                  <w:pPr>
                    <w:adjustRightInd w:val="0"/>
                    <w:snapToGrid w:val="0"/>
                    <w:ind w:left="-105" w:leftChars="-50" w:right="-105" w:rightChars="-50"/>
                    <w:jc w:val="center"/>
                  </w:pPr>
                  <w:r>
                    <w:t>%</w:t>
                  </w:r>
                </w:p>
              </w:tc>
              <w:tc>
                <w:tcPr>
                  <w:tcW w:w="437" w:type="pct"/>
                  <w:vAlign w:val="center"/>
                </w:tcPr>
                <w:p>
                  <w:pPr>
                    <w:adjustRightInd w:val="0"/>
                    <w:snapToGrid w:val="0"/>
                    <w:ind w:left="-105" w:leftChars="-50" w:right="-105" w:rightChars="-50"/>
                    <w:jc w:val="center"/>
                  </w:pPr>
                  <w:r>
                    <w:t>mg/L</w:t>
                  </w:r>
                </w:p>
              </w:tc>
              <w:tc>
                <w:tcPr>
                  <w:tcW w:w="364" w:type="pct"/>
                  <w:vAlign w:val="center"/>
                </w:tcPr>
                <w:p>
                  <w:pPr>
                    <w:adjustRightInd w:val="0"/>
                    <w:snapToGrid w:val="0"/>
                    <w:ind w:left="-105" w:leftChars="-50" w:right="-105" w:rightChars="-50"/>
                    <w:jc w:val="center"/>
                  </w:pPr>
                  <w:r>
                    <w:t>%</w:t>
                  </w:r>
                </w:p>
              </w:tc>
              <w:tc>
                <w:tcPr>
                  <w:tcW w:w="494" w:type="pct"/>
                  <w:vAlign w:val="center"/>
                </w:tcPr>
                <w:p>
                  <w:pPr>
                    <w:adjustRightInd w:val="0"/>
                    <w:snapToGrid w:val="0"/>
                    <w:ind w:left="-105" w:leftChars="-50" w:right="-105" w:rightChars="-50"/>
                    <w:jc w:val="center"/>
                  </w:pPr>
                  <w: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Pr>
              <w:tc>
                <w:tcPr>
                  <w:tcW w:w="859" w:type="pct"/>
                  <w:vAlign w:val="center"/>
                </w:tcPr>
                <w:p>
                  <w:pPr>
                    <w:adjustRightInd w:val="0"/>
                    <w:snapToGrid w:val="0"/>
                    <w:ind w:left="-105" w:leftChars="-50" w:right="-105" w:rightChars="-50"/>
                    <w:jc w:val="center"/>
                  </w:pPr>
                  <w:r>
                    <w:t>原水</w:t>
                  </w:r>
                </w:p>
              </w:tc>
              <w:tc>
                <w:tcPr>
                  <w:tcW w:w="265" w:type="pct"/>
                  <w:vAlign w:val="center"/>
                </w:tcPr>
                <w:p>
                  <w:pPr>
                    <w:adjustRightInd w:val="0"/>
                    <w:snapToGrid w:val="0"/>
                    <w:ind w:left="-105" w:leftChars="-50" w:right="-105" w:rightChars="-50"/>
                    <w:jc w:val="center"/>
                  </w:pPr>
                  <w:r>
                    <w:t>-</w:t>
                  </w:r>
                </w:p>
              </w:tc>
              <w:tc>
                <w:tcPr>
                  <w:tcW w:w="441"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300</w:t>
                  </w:r>
                </w:p>
              </w:tc>
              <w:tc>
                <w:tcPr>
                  <w:tcW w:w="414" w:type="pct"/>
                  <w:vAlign w:val="center"/>
                </w:tcPr>
                <w:p>
                  <w:pPr>
                    <w:adjustRightInd w:val="0"/>
                    <w:snapToGrid w:val="0"/>
                    <w:ind w:left="-105" w:leftChars="-50" w:right="-105" w:rightChars="-50"/>
                    <w:jc w:val="center"/>
                  </w:pPr>
                  <w:r>
                    <w:t>-</w:t>
                  </w:r>
                </w:p>
              </w:tc>
              <w:tc>
                <w:tcPr>
                  <w:tcW w:w="365" w:type="pct"/>
                  <w:vAlign w:val="center"/>
                </w:tcPr>
                <w:p>
                  <w:pPr>
                    <w:adjustRightInd w:val="0"/>
                    <w:snapToGrid w:val="0"/>
                    <w:ind w:left="-105" w:leftChars="-50" w:right="-105" w:rightChars="-50"/>
                    <w:jc w:val="center"/>
                  </w:pPr>
                  <w:r>
                    <w:t>150</w:t>
                  </w:r>
                </w:p>
              </w:tc>
              <w:tc>
                <w:tcPr>
                  <w:tcW w:w="397" w:type="pct"/>
                  <w:vAlign w:val="center"/>
                </w:tcPr>
                <w:p>
                  <w:pPr>
                    <w:adjustRightInd w:val="0"/>
                    <w:snapToGrid w:val="0"/>
                    <w:ind w:left="-105" w:leftChars="-50" w:right="-105" w:rightChars="-50"/>
                    <w:jc w:val="center"/>
                  </w:pPr>
                  <w:r>
                    <w:t>-</w:t>
                  </w:r>
                </w:p>
              </w:tc>
              <w:tc>
                <w:tcPr>
                  <w:tcW w:w="560" w:type="pct"/>
                  <w:vAlign w:val="top"/>
                </w:tcPr>
                <w:p>
                  <w:pPr>
                    <w:adjustRightInd w:val="0"/>
                    <w:snapToGrid w:val="0"/>
                    <w:ind w:left="-105" w:leftChars="-50" w:right="-105" w:rightChars="-50"/>
                    <w:jc w:val="center"/>
                  </w:pPr>
                  <w:r>
                    <w:rPr>
                      <w:rFonts w:hint="eastAsia"/>
                      <w:lang w:val="en-US" w:eastAsia="zh-CN"/>
                    </w:rPr>
                    <w:t>200</w:t>
                  </w:r>
                </w:p>
              </w:tc>
              <w:tc>
                <w:tcPr>
                  <w:tcW w:w="384" w:type="pct"/>
                  <w:vAlign w:val="center"/>
                </w:tcPr>
                <w:p>
                  <w:pPr>
                    <w:adjustRightInd w:val="0"/>
                    <w:snapToGrid w:val="0"/>
                    <w:ind w:left="-105" w:leftChars="-50" w:right="-105" w:rightChars="-50"/>
                    <w:jc w:val="center"/>
                  </w:pPr>
                  <w:r>
                    <w:t>-</w:t>
                  </w:r>
                </w:p>
              </w:tc>
              <w:tc>
                <w:tcPr>
                  <w:tcW w:w="437" w:type="pct"/>
                  <w:vAlign w:val="center"/>
                </w:tcPr>
                <w:p>
                  <w:pPr>
                    <w:adjustRightInd w:val="0"/>
                    <w:snapToGrid w:val="0"/>
                    <w:ind w:left="-105" w:leftChars="-50" w:right="-105" w:rightChars="-50"/>
                    <w:jc w:val="center"/>
                  </w:pPr>
                  <w:r>
                    <w:t>30</w:t>
                  </w:r>
                </w:p>
              </w:tc>
              <w:tc>
                <w:tcPr>
                  <w:tcW w:w="364" w:type="pct"/>
                  <w:vAlign w:val="center"/>
                </w:tcPr>
                <w:p>
                  <w:pPr>
                    <w:adjustRightInd w:val="0"/>
                    <w:snapToGrid w:val="0"/>
                    <w:ind w:left="-105" w:leftChars="-50" w:right="-105" w:rightChars="-50"/>
                    <w:jc w:val="center"/>
                  </w:pPr>
                  <w:r>
                    <w:t>-</w:t>
                  </w:r>
                </w:p>
              </w:tc>
              <w:tc>
                <w:tcPr>
                  <w:tcW w:w="494" w:type="pct"/>
                  <w:vAlign w:val="center"/>
                </w:tcPr>
                <w:p>
                  <w:pPr>
                    <w:adjustRightInd w:val="0"/>
                    <w:snapToGrid w:val="0"/>
                    <w:ind w:left="-105" w:leftChars="-50" w:right="-105" w:rightChars="-50"/>
                    <w:jc w:val="center"/>
                  </w:pPr>
                  <w:r>
                    <w:t>1.6×10</w:t>
                  </w:r>
                  <w:r>
                    <w:rPr>
                      <w:vertAlign w:val="superscript"/>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Pr>
              <w:tc>
                <w:tcPr>
                  <w:tcW w:w="859" w:type="pct"/>
                  <w:vAlign w:val="center"/>
                </w:tcPr>
                <w:p>
                  <w:pPr>
                    <w:adjustRightInd w:val="0"/>
                    <w:snapToGrid w:val="0"/>
                    <w:ind w:left="-105" w:leftChars="-50" w:right="-105" w:rightChars="-50"/>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化粪池</w:t>
                  </w:r>
                  <w:r>
                    <w:rPr>
                      <w:color w:val="000000" w:themeColor="text1"/>
                      <w14:textFill>
                        <w14:solidFill>
                          <w14:schemeClr w14:val="tx1"/>
                        </w14:solidFill>
                      </w14:textFill>
                    </w:rPr>
                    <w:t>/调节池</w:t>
                  </w:r>
                </w:p>
              </w:tc>
              <w:tc>
                <w:tcPr>
                  <w:tcW w:w="265" w:type="pct"/>
                  <w:vAlign w:val="center"/>
                </w:tcPr>
                <w:p>
                  <w:pPr>
                    <w:adjustRightInd w:val="0"/>
                    <w:snapToGrid w:val="0"/>
                    <w:ind w:left="-105" w:leftChars="-50" w:right="-105" w:rightChars="-50"/>
                    <w:jc w:val="center"/>
                  </w:pPr>
                  <w:r>
                    <w:t>25</w:t>
                  </w:r>
                </w:p>
              </w:tc>
              <w:tc>
                <w:tcPr>
                  <w:tcW w:w="441" w:type="pct"/>
                  <w:vAlign w:val="center"/>
                </w:tcPr>
                <w:p>
                  <w:pPr>
                    <w:adjustRightInd w:val="0"/>
                    <w:snapToGrid w:val="0"/>
                    <w:ind w:left="-105" w:leftChars="-50" w:right="-105" w:rightChars="-50"/>
                    <w:jc w:val="center"/>
                    <w:rPr>
                      <w:rFonts w:hint="default"/>
                      <w:lang w:val="en-US"/>
                    </w:rPr>
                  </w:pPr>
                  <w:r>
                    <w:rPr>
                      <w:rFonts w:hint="eastAsia"/>
                      <w:lang w:val="en-US" w:eastAsia="zh-CN"/>
                    </w:rPr>
                    <w:t>225</w:t>
                  </w:r>
                </w:p>
              </w:tc>
              <w:tc>
                <w:tcPr>
                  <w:tcW w:w="414" w:type="pct"/>
                  <w:vAlign w:val="center"/>
                </w:tcPr>
                <w:p>
                  <w:pPr>
                    <w:adjustRightInd w:val="0"/>
                    <w:snapToGrid w:val="0"/>
                    <w:ind w:left="-105" w:leftChars="-50" w:right="-105" w:rightChars="-50"/>
                    <w:jc w:val="center"/>
                  </w:pPr>
                  <w:r>
                    <w:t>15</w:t>
                  </w:r>
                </w:p>
              </w:tc>
              <w:tc>
                <w:tcPr>
                  <w:tcW w:w="365" w:type="pct"/>
                  <w:vAlign w:val="center"/>
                </w:tcPr>
                <w:p>
                  <w:pPr>
                    <w:adjustRightInd w:val="0"/>
                    <w:snapToGrid w:val="0"/>
                    <w:ind w:left="-105" w:leftChars="-50" w:right="-105" w:rightChars="-50"/>
                    <w:jc w:val="center"/>
                  </w:pPr>
                  <w:r>
                    <w:t>127.5</w:t>
                  </w:r>
                </w:p>
              </w:tc>
              <w:tc>
                <w:tcPr>
                  <w:tcW w:w="397" w:type="pct"/>
                  <w:vAlign w:val="center"/>
                </w:tcPr>
                <w:p>
                  <w:pPr>
                    <w:adjustRightInd w:val="0"/>
                    <w:snapToGrid w:val="0"/>
                    <w:ind w:left="-105" w:leftChars="-50" w:right="-105" w:rightChars="-50"/>
                    <w:jc w:val="center"/>
                  </w:pPr>
                  <w:r>
                    <w:t>85</w:t>
                  </w:r>
                </w:p>
              </w:tc>
              <w:tc>
                <w:tcPr>
                  <w:tcW w:w="560" w:type="pct"/>
                  <w:vAlign w:val="center"/>
                </w:tcPr>
                <w:p>
                  <w:pPr>
                    <w:adjustRightInd w:val="0"/>
                    <w:snapToGrid w:val="0"/>
                    <w:ind w:left="-105" w:leftChars="-50" w:right="-105" w:rightChars="-50"/>
                    <w:jc w:val="center"/>
                  </w:pPr>
                  <w:r>
                    <w:rPr>
                      <w:rFonts w:hint="eastAsia"/>
                      <w:lang w:val="en-US" w:eastAsia="zh-CN"/>
                    </w:rPr>
                    <w:t>30</w:t>
                  </w:r>
                </w:p>
              </w:tc>
              <w:tc>
                <w:tcPr>
                  <w:tcW w:w="384" w:type="pct"/>
                  <w:vAlign w:val="center"/>
                </w:tcPr>
                <w:p>
                  <w:pPr>
                    <w:adjustRightInd w:val="0"/>
                    <w:snapToGrid w:val="0"/>
                    <w:ind w:left="-105" w:leftChars="-50" w:right="-105" w:rightChars="-50"/>
                    <w:jc w:val="center"/>
                  </w:pPr>
                  <w:r>
                    <w:t>-</w:t>
                  </w:r>
                </w:p>
              </w:tc>
              <w:tc>
                <w:tcPr>
                  <w:tcW w:w="437" w:type="pct"/>
                  <w:vAlign w:val="center"/>
                </w:tcPr>
                <w:p>
                  <w:pPr>
                    <w:adjustRightInd w:val="0"/>
                    <w:snapToGrid w:val="0"/>
                    <w:ind w:left="-105" w:leftChars="-50" w:right="-105" w:rightChars="-50"/>
                    <w:jc w:val="center"/>
                  </w:pPr>
                  <w:r>
                    <w:t>30</w:t>
                  </w:r>
                </w:p>
              </w:tc>
              <w:tc>
                <w:tcPr>
                  <w:tcW w:w="364" w:type="pct"/>
                  <w:vAlign w:val="center"/>
                </w:tcPr>
                <w:p>
                  <w:pPr>
                    <w:adjustRightInd w:val="0"/>
                    <w:snapToGrid w:val="0"/>
                    <w:ind w:left="-105" w:leftChars="-50" w:right="-105" w:rightChars="-50"/>
                    <w:jc w:val="center"/>
                  </w:pPr>
                  <w:r>
                    <w:t>-</w:t>
                  </w:r>
                </w:p>
              </w:tc>
              <w:tc>
                <w:tcPr>
                  <w:tcW w:w="494" w:type="pct"/>
                  <w:vAlign w:val="center"/>
                </w:tcPr>
                <w:p>
                  <w:pPr>
                    <w:adjustRightInd w:val="0"/>
                    <w:snapToGrid w:val="0"/>
                    <w:ind w:left="-105" w:leftChars="-50" w:right="-105" w:rightChars="-50"/>
                    <w:jc w:val="center"/>
                  </w:pPr>
                  <w:r>
                    <w:t>1.6×10</w:t>
                  </w:r>
                  <w:r>
                    <w:rPr>
                      <w:vertAlign w:val="superscript"/>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Pr>
              <w:tc>
                <w:tcPr>
                  <w:tcW w:w="859" w:type="pct"/>
                  <w:vAlign w:val="center"/>
                </w:tcPr>
                <w:p>
                  <w:pPr>
                    <w:adjustRightInd w:val="0"/>
                    <w:snapToGrid w:val="0"/>
                    <w:ind w:left="-105" w:leftChars="-50" w:right="-105" w:rightChars="-50"/>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厌氧</w:t>
                  </w:r>
                  <w:r>
                    <w:rPr>
                      <w:color w:val="000000" w:themeColor="text1"/>
                      <w14:textFill>
                        <w14:solidFill>
                          <w14:schemeClr w14:val="tx1"/>
                        </w14:solidFill>
                      </w14:textFill>
                    </w:rPr>
                    <w:t>池</w:t>
                  </w:r>
                </w:p>
              </w:tc>
              <w:tc>
                <w:tcPr>
                  <w:tcW w:w="265" w:type="pct"/>
                  <w:vAlign w:val="center"/>
                </w:tcPr>
                <w:p>
                  <w:pPr>
                    <w:adjustRightInd w:val="0"/>
                    <w:snapToGrid w:val="0"/>
                    <w:ind w:left="-105" w:leftChars="-50" w:right="-105" w:rightChars="-50"/>
                    <w:jc w:val="center"/>
                  </w:pPr>
                  <w:r>
                    <w:t>40</w:t>
                  </w:r>
                </w:p>
              </w:tc>
              <w:tc>
                <w:tcPr>
                  <w:tcW w:w="441"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135</w:t>
                  </w:r>
                </w:p>
              </w:tc>
              <w:tc>
                <w:tcPr>
                  <w:tcW w:w="414" w:type="pct"/>
                  <w:vAlign w:val="center"/>
                </w:tcPr>
                <w:p>
                  <w:pPr>
                    <w:adjustRightInd w:val="0"/>
                    <w:snapToGrid w:val="0"/>
                    <w:ind w:left="-105" w:leftChars="-50" w:right="-105" w:rightChars="-50"/>
                    <w:jc w:val="center"/>
                    <w:rPr>
                      <w:rFonts w:hint="eastAsia" w:eastAsia="宋体"/>
                      <w:lang w:eastAsia="zh-CN"/>
                    </w:rPr>
                  </w:pPr>
                  <w:r>
                    <w:t>6</w:t>
                  </w:r>
                  <w:r>
                    <w:rPr>
                      <w:rFonts w:hint="eastAsia"/>
                      <w:lang w:val="en-US" w:eastAsia="zh-CN"/>
                    </w:rPr>
                    <w:t>5</w:t>
                  </w:r>
                </w:p>
              </w:tc>
              <w:tc>
                <w:tcPr>
                  <w:tcW w:w="365"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44</w:t>
                  </w:r>
                </w:p>
              </w:tc>
              <w:tc>
                <w:tcPr>
                  <w:tcW w:w="397" w:type="pct"/>
                  <w:vAlign w:val="center"/>
                </w:tcPr>
                <w:p>
                  <w:pPr>
                    <w:adjustRightInd w:val="0"/>
                    <w:snapToGrid w:val="0"/>
                    <w:ind w:left="-105" w:leftChars="-50" w:right="-105" w:rightChars="-50"/>
                    <w:jc w:val="center"/>
                  </w:pPr>
                  <w:r>
                    <w:t>10</w:t>
                  </w:r>
                </w:p>
              </w:tc>
              <w:tc>
                <w:tcPr>
                  <w:tcW w:w="560" w:type="pct"/>
                  <w:vAlign w:val="center"/>
                </w:tcPr>
                <w:p>
                  <w:pPr>
                    <w:adjustRightInd w:val="0"/>
                    <w:snapToGrid w:val="0"/>
                    <w:ind w:left="-105" w:leftChars="-50" w:right="-105" w:rightChars="-50"/>
                    <w:jc w:val="center"/>
                  </w:pPr>
                  <w:r>
                    <w:rPr>
                      <w:rFonts w:hint="eastAsia"/>
                      <w:lang w:val="en-US" w:eastAsia="zh-CN"/>
                    </w:rPr>
                    <w:t>17</w:t>
                  </w:r>
                </w:p>
              </w:tc>
              <w:tc>
                <w:tcPr>
                  <w:tcW w:w="384" w:type="pct"/>
                  <w:vAlign w:val="center"/>
                </w:tcPr>
                <w:p>
                  <w:pPr>
                    <w:adjustRightInd w:val="0"/>
                    <w:snapToGrid w:val="0"/>
                    <w:ind w:left="-105" w:leftChars="-50" w:right="-105" w:rightChars="-50"/>
                    <w:jc w:val="center"/>
                  </w:pPr>
                  <w:r>
                    <w:t>40</w:t>
                  </w:r>
                </w:p>
              </w:tc>
              <w:tc>
                <w:tcPr>
                  <w:tcW w:w="437" w:type="pct"/>
                  <w:vAlign w:val="center"/>
                </w:tcPr>
                <w:p>
                  <w:pPr>
                    <w:adjustRightInd w:val="0"/>
                    <w:snapToGrid w:val="0"/>
                    <w:ind w:left="-105" w:leftChars="-50" w:right="-105" w:rightChars="-50"/>
                    <w:jc w:val="center"/>
                  </w:pPr>
                  <w:r>
                    <w:t>18</w:t>
                  </w:r>
                </w:p>
              </w:tc>
              <w:tc>
                <w:tcPr>
                  <w:tcW w:w="364" w:type="pct"/>
                  <w:vAlign w:val="center"/>
                </w:tcPr>
                <w:p>
                  <w:pPr>
                    <w:adjustRightInd w:val="0"/>
                    <w:snapToGrid w:val="0"/>
                    <w:ind w:left="-105" w:leftChars="-50" w:right="-105" w:rightChars="-50"/>
                    <w:jc w:val="center"/>
                  </w:pPr>
                </w:p>
              </w:tc>
              <w:tc>
                <w:tcPr>
                  <w:tcW w:w="494" w:type="pct"/>
                  <w:vAlign w:val="center"/>
                </w:tcPr>
                <w:p>
                  <w:pPr>
                    <w:adjustRightInd w:val="0"/>
                    <w:snapToGrid w:val="0"/>
                    <w:ind w:left="-105" w:leftChars="-50" w:right="-105" w:rightChars="-50"/>
                    <w:jc w:val="center"/>
                  </w:pPr>
                  <w:r>
                    <w:t>1.6×10</w:t>
                  </w:r>
                  <w:r>
                    <w:rPr>
                      <w:vertAlign w:val="superscript"/>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Pr>
              <w:tc>
                <w:tcPr>
                  <w:tcW w:w="859" w:type="pct"/>
                  <w:vAlign w:val="center"/>
                </w:tcPr>
                <w:p>
                  <w:pPr>
                    <w:adjustRightInd w:val="0"/>
                    <w:snapToGrid w:val="0"/>
                    <w:ind w:left="-105" w:leftChars="-50" w:right="-105" w:rightChars="-50"/>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生</w:t>
                  </w:r>
                  <w:r>
                    <w:rPr>
                      <w:color w:val="000000" w:themeColor="text1"/>
                      <w14:textFill>
                        <w14:solidFill>
                          <w14:schemeClr w14:val="tx1"/>
                        </w14:solidFill>
                      </w14:textFill>
                    </w:rPr>
                    <w:t>化池</w:t>
                  </w:r>
                </w:p>
              </w:tc>
              <w:tc>
                <w:tcPr>
                  <w:tcW w:w="265" w:type="pct"/>
                  <w:vAlign w:val="center"/>
                </w:tcPr>
                <w:p>
                  <w:pPr>
                    <w:adjustRightInd w:val="0"/>
                    <w:snapToGrid w:val="0"/>
                    <w:ind w:left="-105" w:leftChars="-50" w:right="-105" w:rightChars="-50"/>
                    <w:jc w:val="center"/>
                  </w:pPr>
                  <w:r>
                    <w:t>60</w:t>
                  </w:r>
                </w:p>
              </w:tc>
              <w:tc>
                <w:tcPr>
                  <w:tcW w:w="441"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54</w:t>
                  </w:r>
                </w:p>
              </w:tc>
              <w:tc>
                <w:tcPr>
                  <w:tcW w:w="414" w:type="pct"/>
                  <w:vAlign w:val="center"/>
                </w:tcPr>
                <w:p>
                  <w:pPr>
                    <w:adjustRightInd w:val="0"/>
                    <w:snapToGrid w:val="0"/>
                    <w:ind w:left="-105" w:leftChars="-50" w:right="-105" w:rightChars="-50"/>
                    <w:jc w:val="center"/>
                    <w:rPr>
                      <w:rFonts w:hint="eastAsia" w:eastAsia="宋体"/>
                      <w:lang w:eastAsia="zh-CN"/>
                    </w:rPr>
                  </w:pPr>
                  <w:r>
                    <w:t>8</w:t>
                  </w:r>
                  <w:r>
                    <w:rPr>
                      <w:rFonts w:hint="eastAsia"/>
                      <w:lang w:val="en-US" w:eastAsia="zh-CN"/>
                    </w:rPr>
                    <w:t>5</w:t>
                  </w:r>
                </w:p>
              </w:tc>
              <w:tc>
                <w:tcPr>
                  <w:tcW w:w="365"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6.6</w:t>
                  </w:r>
                </w:p>
              </w:tc>
              <w:tc>
                <w:tcPr>
                  <w:tcW w:w="397" w:type="pct"/>
                  <w:vAlign w:val="center"/>
                </w:tcPr>
                <w:p>
                  <w:pPr>
                    <w:adjustRightInd w:val="0"/>
                    <w:snapToGrid w:val="0"/>
                    <w:ind w:left="-105" w:leftChars="-50" w:right="-105" w:rightChars="-50"/>
                    <w:jc w:val="center"/>
                    <w:rPr>
                      <w:rFonts w:hint="eastAsia" w:eastAsia="宋体"/>
                      <w:lang w:val="en-US" w:eastAsia="zh-CN"/>
                    </w:rPr>
                  </w:pPr>
                  <w:r>
                    <w:rPr>
                      <w:rFonts w:hint="eastAsia"/>
                      <w:lang w:val="en-US" w:eastAsia="zh-CN"/>
                    </w:rPr>
                    <w:t>-</w:t>
                  </w:r>
                </w:p>
              </w:tc>
              <w:tc>
                <w:tcPr>
                  <w:tcW w:w="560" w:type="pct"/>
                  <w:vAlign w:val="center"/>
                </w:tcPr>
                <w:p>
                  <w:pPr>
                    <w:adjustRightInd w:val="0"/>
                    <w:snapToGrid w:val="0"/>
                    <w:ind w:left="-105" w:leftChars="-50" w:right="-105" w:rightChars="-50"/>
                    <w:jc w:val="center"/>
                  </w:pPr>
                  <w:r>
                    <w:rPr>
                      <w:rFonts w:hint="eastAsia"/>
                      <w:lang w:val="en-US" w:eastAsia="zh-CN"/>
                    </w:rPr>
                    <w:t>17</w:t>
                  </w:r>
                </w:p>
              </w:tc>
              <w:tc>
                <w:tcPr>
                  <w:tcW w:w="384" w:type="pct"/>
                  <w:vAlign w:val="center"/>
                </w:tcPr>
                <w:p>
                  <w:pPr>
                    <w:adjustRightInd w:val="0"/>
                    <w:snapToGrid w:val="0"/>
                    <w:ind w:left="-105" w:leftChars="-50" w:right="-105" w:rightChars="-50"/>
                    <w:jc w:val="center"/>
                  </w:pPr>
                  <w:r>
                    <w:t>30</w:t>
                  </w:r>
                </w:p>
              </w:tc>
              <w:tc>
                <w:tcPr>
                  <w:tcW w:w="437"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7.2</w:t>
                  </w:r>
                </w:p>
              </w:tc>
              <w:tc>
                <w:tcPr>
                  <w:tcW w:w="364" w:type="pct"/>
                  <w:vAlign w:val="center"/>
                </w:tcPr>
                <w:p>
                  <w:pPr>
                    <w:adjustRightInd w:val="0"/>
                    <w:snapToGrid w:val="0"/>
                    <w:ind w:left="-105" w:leftChars="-50" w:right="-105" w:rightChars="-50"/>
                    <w:jc w:val="center"/>
                  </w:pPr>
                  <w:r>
                    <w:t>-</w:t>
                  </w:r>
                </w:p>
              </w:tc>
              <w:tc>
                <w:tcPr>
                  <w:tcW w:w="494" w:type="pct"/>
                  <w:vAlign w:val="center"/>
                </w:tcPr>
                <w:p>
                  <w:pPr>
                    <w:adjustRightInd w:val="0"/>
                    <w:snapToGrid w:val="0"/>
                    <w:ind w:left="-105" w:leftChars="-50" w:right="-105" w:rightChars="-50"/>
                    <w:jc w:val="center"/>
                  </w:pPr>
                  <w:r>
                    <w:t>1.6×10</w:t>
                  </w:r>
                  <w:r>
                    <w:rPr>
                      <w:vertAlign w:val="superscript"/>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Pr>
              <w:tc>
                <w:tcPr>
                  <w:tcW w:w="859" w:type="pct"/>
                  <w:vAlign w:val="center"/>
                </w:tcPr>
                <w:p>
                  <w:pPr>
                    <w:adjustRightInd w:val="0"/>
                    <w:snapToGrid w:val="0"/>
                    <w:ind w:left="-105" w:leftChars="-50" w:right="-105" w:rightChars="-50"/>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MBR膜池</w:t>
                  </w:r>
                </w:p>
              </w:tc>
              <w:tc>
                <w:tcPr>
                  <w:tcW w:w="265"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70</w:t>
                  </w:r>
                </w:p>
              </w:tc>
              <w:tc>
                <w:tcPr>
                  <w:tcW w:w="441"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12.2</w:t>
                  </w:r>
                </w:p>
              </w:tc>
              <w:tc>
                <w:tcPr>
                  <w:tcW w:w="414" w:type="pct"/>
                  <w:vAlign w:val="center"/>
                </w:tcPr>
                <w:p>
                  <w:pPr>
                    <w:adjustRightInd w:val="0"/>
                    <w:snapToGrid w:val="0"/>
                    <w:ind w:left="-105" w:leftChars="-50" w:right="-105" w:rightChars="-50"/>
                    <w:jc w:val="center"/>
                    <w:rPr>
                      <w:rFonts w:hint="eastAsia" w:eastAsia="宋体"/>
                      <w:lang w:val="en-US" w:eastAsia="zh-CN"/>
                    </w:rPr>
                  </w:pPr>
                  <w:r>
                    <w:rPr>
                      <w:rFonts w:hint="eastAsia"/>
                      <w:lang w:val="en-US" w:eastAsia="zh-CN"/>
                    </w:rPr>
                    <w:t>-</w:t>
                  </w:r>
                </w:p>
              </w:tc>
              <w:tc>
                <w:tcPr>
                  <w:tcW w:w="365" w:type="pct"/>
                  <w:vAlign w:val="center"/>
                </w:tcPr>
                <w:p>
                  <w:pPr>
                    <w:adjustRightInd w:val="0"/>
                    <w:snapToGrid w:val="0"/>
                    <w:ind w:left="-105" w:leftChars="-50" w:right="-105" w:rightChars="-50"/>
                    <w:jc w:val="center"/>
                    <w:rPr>
                      <w:rFonts w:hint="default"/>
                      <w:lang w:val="en-US" w:eastAsia="zh-CN"/>
                    </w:rPr>
                  </w:pPr>
                  <w:r>
                    <w:rPr>
                      <w:rFonts w:hint="eastAsia"/>
                      <w:lang w:val="en-US" w:eastAsia="zh-CN"/>
                    </w:rPr>
                    <w:t>6.6</w:t>
                  </w:r>
                </w:p>
              </w:tc>
              <w:tc>
                <w:tcPr>
                  <w:tcW w:w="397"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80</w:t>
                  </w:r>
                </w:p>
              </w:tc>
              <w:tc>
                <w:tcPr>
                  <w:tcW w:w="560" w:type="pct"/>
                  <w:vAlign w:val="center"/>
                </w:tcPr>
                <w:p>
                  <w:pPr>
                    <w:adjustRightInd w:val="0"/>
                    <w:snapToGrid w:val="0"/>
                    <w:ind w:left="-105" w:leftChars="-50" w:right="-105" w:rightChars="-50"/>
                    <w:jc w:val="center"/>
                    <w:rPr>
                      <w:rFonts w:hint="default"/>
                      <w:lang w:val="en-US" w:eastAsia="zh-CN"/>
                    </w:rPr>
                  </w:pPr>
                  <w:r>
                    <w:rPr>
                      <w:rFonts w:hint="eastAsia"/>
                      <w:lang w:val="en-US" w:eastAsia="zh-CN"/>
                    </w:rPr>
                    <w:t>3.4</w:t>
                  </w:r>
                </w:p>
              </w:tc>
              <w:tc>
                <w:tcPr>
                  <w:tcW w:w="384"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90</w:t>
                  </w:r>
                </w:p>
              </w:tc>
              <w:tc>
                <w:tcPr>
                  <w:tcW w:w="437" w:type="pct"/>
                  <w:vAlign w:val="center"/>
                </w:tcPr>
                <w:p>
                  <w:pPr>
                    <w:adjustRightInd w:val="0"/>
                    <w:snapToGrid w:val="0"/>
                    <w:ind w:left="-105" w:leftChars="-50" w:right="-105" w:rightChars="-50"/>
                    <w:jc w:val="center"/>
                    <w:rPr>
                      <w:rFonts w:hint="default"/>
                      <w:lang w:val="en-US" w:eastAsia="zh-CN"/>
                    </w:rPr>
                  </w:pPr>
                  <w:r>
                    <w:rPr>
                      <w:rFonts w:hint="eastAsia"/>
                      <w:lang w:val="en-US" w:eastAsia="zh-CN"/>
                    </w:rPr>
                    <w:t>0.72</w:t>
                  </w:r>
                </w:p>
              </w:tc>
              <w:tc>
                <w:tcPr>
                  <w:tcW w:w="364" w:type="pct"/>
                  <w:vAlign w:val="center"/>
                </w:tcPr>
                <w:p>
                  <w:pPr>
                    <w:adjustRightInd w:val="0"/>
                    <w:snapToGrid w:val="0"/>
                    <w:ind w:left="-105" w:leftChars="-50" w:right="-105" w:rightChars="-50"/>
                    <w:jc w:val="center"/>
                  </w:pPr>
                </w:p>
              </w:tc>
              <w:tc>
                <w:tcPr>
                  <w:tcW w:w="494" w:type="pct"/>
                  <w:vAlign w:val="center"/>
                </w:tcPr>
                <w:p>
                  <w:pPr>
                    <w:adjustRightInd w:val="0"/>
                    <w:snapToGrid w:val="0"/>
                    <w:ind w:left="-105" w:leftChars="-50" w:right="-105" w:rightChars="-50"/>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4" w:type="pct"/>
                <w:trHeight w:val="247" w:hRule="atLeast"/>
              </w:trPr>
              <w:tc>
                <w:tcPr>
                  <w:tcW w:w="859" w:type="pct"/>
                  <w:vAlign w:val="center"/>
                </w:tcPr>
                <w:p>
                  <w:pPr>
                    <w:adjustRightInd w:val="0"/>
                    <w:snapToGrid w:val="0"/>
                    <w:ind w:left="-105" w:leftChars="-50" w:right="-105" w:rightChars="-50"/>
                    <w:jc w:val="center"/>
                    <w:rPr>
                      <w:color w:val="000000" w:themeColor="text1"/>
                      <w14:textFill>
                        <w14:solidFill>
                          <w14:schemeClr w14:val="tx1"/>
                        </w14:solidFill>
                      </w14:textFill>
                    </w:rPr>
                  </w:pPr>
                  <w:r>
                    <w:rPr>
                      <w:color w:val="000000" w:themeColor="text1"/>
                      <w14:textFill>
                        <w14:solidFill>
                          <w14:schemeClr w14:val="tx1"/>
                        </w14:solidFill>
                      </w14:textFill>
                    </w:rPr>
                    <w:t>消毒池</w:t>
                  </w:r>
                </w:p>
              </w:tc>
              <w:tc>
                <w:tcPr>
                  <w:tcW w:w="265" w:type="pct"/>
                  <w:vAlign w:val="center"/>
                </w:tcPr>
                <w:p>
                  <w:pPr>
                    <w:adjustRightInd w:val="0"/>
                    <w:snapToGrid w:val="0"/>
                    <w:ind w:left="-105" w:leftChars="-50" w:right="-105" w:rightChars="-50"/>
                    <w:jc w:val="center"/>
                  </w:pPr>
                  <w:r>
                    <w:t>-</w:t>
                  </w:r>
                </w:p>
              </w:tc>
              <w:tc>
                <w:tcPr>
                  <w:tcW w:w="441"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12.2</w:t>
                  </w:r>
                </w:p>
              </w:tc>
              <w:tc>
                <w:tcPr>
                  <w:tcW w:w="414" w:type="pct"/>
                  <w:vAlign w:val="center"/>
                </w:tcPr>
                <w:p>
                  <w:pPr>
                    <w:adjustRightInd w:val="0"/>
                    <w:snapToGrid w:val="0"/>
                    <w:ind w:left="-105" w:leftChars="-50" w:right="-105" w:rightChars="-50"/>
                    <w:jc w:val="center"/>
                  </w:pPr>
                  <w:r>
                    <w:t>-</w:t>
                  </w:r>
                </w:p>
              </w:tc>
              <w:tc>
                <w:tcPr>
                  <w:tcW w:w="365"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6.6</w:t>
                  </w:r>
                </w:p>
              </w:tc>
              <w:tc>
                <w:tcPr>
                  <w:tcW w:w="397" w:type="pct"/>
                  <w:vAlign w:val="center"/>
                </w:tcPr>
                <w:p>
                  <w:pPr>
                    <w:adjustRightInd w:val="0"/>
                    <w:snapToGrid w:val="0"/>
                    <w:ind w:left="-105" w:leftChars="-50" w:right="-105" w:rightChars="-50"/>
                    <w:jc w:val="center"/>
                  </w:pPr>
                  <w:r>
                    <w:t>-</w:t>
                  </w:r>
                </w:p>
              </w:tc>
              <w:tc>
                <w:tcPr>
                  <w:tcW w:w="560" w:type="pct"/>
                  <w:vAlign w:val="center"/>
                </w:tcPr>
                <w:p>
                  <w:pPr>
                    <w:adjustRightInd w:val="0"/>
                    <w:snapToGrid w:val="0"/>
                    <w:ind w:left="-105" w:leftChars="-50" w:right="-105" w:rightChars="-50"/>
                    <w:jc w:val="center"/>
                    <w:rPr>
                      <w:rFonts w:hint="default"/>
                      <w:lang w:val="en-US"/>
                    </w:rPr>
                  </w:pPr>
                  <w:r>
                    <w:rPr>
                      <w:rFonts w:hint="eastAsia"/>
                      <w:lang w:val="en-US" w:eastAsia="zh-CN"/>
                    </w:rPr>
                    <w:t>3.4</w:t>
                  </w:r>
                </w:p>
              </w:tc>
              <w:tc>
                <w:tcPr>
                  <w:tcW w:w="384" w:type="pct"/>
                  <w:vAlign w:val="center"/>
                </w:tcPr>
                <w:p>
                  <w:pPr>
                    <w:adjustRightInd w:val="0"/>
                    <w:snapToGrid w:val="0"/>
                    <w:ind w:left="-105" w:leftChars="-50" w:right="-105" w:rightChars="-50"/>
                    <w:jc w:val="center"/>
                  </w:pPr>
                  <w:r>
                    <w:t>-</w:t>
                  </w:r>
                </w:p>
              </w:tc>
              <w:tc>
                <w:tcPr>
                  <w:tcW w:w="437"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0.72</w:t>
                  </w:r>
                </w:p>
              </w:tc>
              <w:tc>
                <w:tcPr>
                  <w:tcW w:w="364" w:type="pct"/>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100</w:t>
                  </w:r>
                </w:p>
              </w:tc>
              <w:tc>
                <w:tcPr>
                  <w:tcW w:w="494" w:type="pct"/>
                  <w:vAlign w:val="center"/>
                </w:tcPr>
                <w:p>
                  <w:pPr>
                    <w:adjustRightInd w:val="0"/>
                    <w:snapToGrid w:val="0"/>
                    <w:ind w:left="-105" w:leftChars="-50" w:right="-105" w:rightChars="-50"/>
                    <w:jc w:val="center"/>
                    <w:rPr>
                      <w:rFonts w:hint="eastAsia" w:eastAsia="宋体"/>
                      <w:lang w:eastAsia="zh-CN"/>
                    </w:rPr>
                  </w:pPr>
                  <w:r>
                    <w:rPr>
                      <w:rFonts w:hint="eastAsia"/>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859" w:type="pct"/>
                  <w:vAlign w:val="center"/>
                </w:tcPr>
                <w:p>
                  <w:pPr>
                    <w:adjustRightInd w:val="0"/>
                    <w:snapToGrid w:val="0"/>
                    <w:ind w:left="-105" w:leftChars="-50" w:right="-105" w:rightChars="-50"/>
                    <w:jc w:val="center"/>
                  </w:pPr>
                  <w:r>
                    <w:t>出水</w:t>
                  </w:r>
                </w:p>
              </w:tc>
              <w:tc>
                <w:tcPr>
                  <w:tcW w:w="706" w:type="pct"/>
                  <w:gridSpan w:val="2"/>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12.2</w:t>
                  </w:r>
                </w:p>
              </w:tc>
              <w:tc>
                <w:tcPr>
                  <w:tcW w:w="780" w:type="pct"/>
                  <w:gridSpan w:val="2"/>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6.6</w:t>
                  </w:r>
                </w:p>
              </w:tc>
              <w:tc>
                <w:tcPr>
                  <w:tcW w:w="957" w:type="pct"/>
                  <w:gridSpan w:val="2"/>
                  <w:vAlign w:val="center"/>
                </w:tcPr>
                <w:p>
                  <w:pPr>
                    <w:adjustRightInd w:val="0"/>
                    <w:snapToGrid w:val="0"/>
                    <w:ind w:left="-105" w:leftChars="-50" w:right="-105" w:rightChars="-50"/>
                    <w:jc w:val="center"/>
                    <w:rPr>
                      <w:rFonts w:hint="default"/>
                      <w:lang w:val="en-US"/>
                    </w:rPr>
                  </w:pPr>
                  <w:r>
                    <w:rPr>
                      <w:rFonts w:hint="eastAsia"/>
                      <w:lang w:val="en-US" w:eastAsia="zh-CN"/>
                    </w:rPr>
                    <w:t>3.4</w:t>
                  </w:r>
                </w:p>
              </w:tc>
              <w:tc>
                <w:tcPr>
                  <w:tcW w:w="821" w:type="pct"/>
                  <w:gridSpan w:val="2"/>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0.72</w:t>
                  </w:r>
                </w:p>
              </w:tc>
              <w:tc>
                <w:tcPr>
                  <w:tcW w:w="873" w:type="pct"/>
                  <w:gridSpan w:val="3"/>
                  <w:vAlign w:val="center"/>
                </w:tcPr>
                <w:p>
                  <w:pPr>
                    <w:adjustRightInd w:val="0"/>
                    <w:snapToGrid w:val="0"/>
                    <w:ind w:left="-105" w:leftChars="-50" w:right="-105" w:rightChars="-50"/>
                    <w:jc w:val="center"/>
                  </w:pPr>
                  <w:r>
                    <w:rPr>
                      <w:rFonts w:hint="eastAsia"/>
                      <w:lang w:val="en-US" w:eastAsia="zh-CN"/>
                    </w:rPr>
                    <w:t>0</w:t>
                  </w:r>
                  <w:r>
                    <w:t>个/L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pPr>
                    <w:adjustRightInd w:val="0"/>
                    <w:snapToGrid w:val="0"/>
                    <w:ind w:left="-105" w:leftChars="-50" w:right="-105" w:rightChars="-50"/>
                    <w:jc w:val="center"/>
                  </w:pPr>
                  <w:r>
                    <w:t>总去除率</w:t>
                  </w:r>
                </w:p>
              </w:tc>
              <w:tc>
                <w:tcPr>
                  <w:tcW w:w="706" w:type="pct"/>
                  <w:gridSpan w:val="2"/>
                  <w:vAlign w:val="center"/>
                </w:tcPr>
                <w:p>
                  <w:pPr>
                    <w:adjustRightInd w:val="0"/>
                    <w:snapToGrid w:val="0"/>
                    <w:ind w:left="-105" w:leftChars="-50" w:right="-105" w:rightChars="-50"/>
                    <w:jc w:val="center"/>
                  </w:pPr>
                  <w:r>
                    <w:t>约</w:t>
                  </w:r>
                  <w:r>
                    <w:rPr>
                      <w:rFonts w:hint="eastAsia"/>
                      <w:lang w:val="en-US" w:eastAsia="zh-CN"/>
                    </w:rPr>
                    <w:t>96</w:t>
                  </w:r>
                  <w:r>
                    <w:t>%</w:t>
                  </w:r>
                </w:p>
              </w:tc>
              <w:tc>
                <w:tcPr>
                  <w:tcW w:w="780" w:type="pct"/>
                  <w:gridSpan w:val="2"/>
                  <w:vAlign w:val="center"/>
                </w:tcPr>
                <w:p>
                  <w:pPr>
                    <w:adjustRightInd w:val="0"/>
                    <w:snapToGrid w:val="0"/>
                    <w:ind w:left="-105" w:leftChars="-50" w:right="-105" w:rightChars="-50"/>
                    <w:jc w:val="center"/>
                  </w:pPr>
                  <w:r>
                    <w:t>约</w:t>
                  </w:r>
                  <w:r>
                    <w:rPr>
                      <w:rFonts w:hint="eastAsia"/>
                      <w:lang w:val="en-US" w:eastAsia="zh-CN"/>
                    </w:rPr>
                    <w:t>95.6</w:t>
                  </w:r>
                  <w:r>
                    <w:t>%</w:t>
                  </w:r>
                </w:p>
              </w:tc>
              <w:tc>
                <w:tcPr>
                  <w:tcW w:w="957" w:type="pct"/>
                  <w:gridSpan w:val="2"/>
                  <w:vAlign w:val="center"/>
                </w:tcPr>
                <w:p>
                  <w:pPr>
                    <w:adjustRightInd w:val="0"/>
                    <w:snapToGrid w:val="0"/>
                    <w:ind w:left="-105" w:leftChars="-50" w:right="-105" w:rightChars="-50"/>
                    <w:jc w:val="center"/>
                  </w:pPr>
                  <w:r>
                    <w:t>约</w:t>
                  </w:r>
                  <w:r>
                    <w:rPr>
                      <w:rFonts w:hint="eastAsia"/>
                      <w:lang w:val="en-US" w:eastAsia="zh-CN"/>
                    </w:rPr>
                    <w:t>98</w:t>
                  </w:r>
                  <w:r>
                    <w:t>%</w:t>
                  </w:r>
                </w:p>
              </w:tc>
              <w:tc>
                <w:tcPr>
                  <w:tcW w:w="821" w:type="pct"/>
                  <w:gridSpan w:val="2"/>
                  <w:vAlign w:val="center"/>
                </w:tcPr>
                <w:p>
                  <w:pPr>
                    <w:adjustRightInd w:val="0"/>
                    <w:snapToGrid w:val="0"/>
                    <w:ind w:left="-105" w:leftChars="-50" w:right="-105" w:rightChars="-50"/>
                    <w:jc w:val="center"/>
                  </w:pPr>
                  <w:r>
                    <w:t>约</w:t>
                  </w:r>
                  <w:r>
                    <w:rPr>
                      <w:rFonts w:hint="eastAsia"/>
                      <w:lang w:val="en-US" w:eastAsia="zh-CN"/>
                    </w:rPr>
                    <w:t>97.6</w:t>
                  </w:r>
                  <w:r>
                    <w:t>%</w:t>
                  </w:r>
                </w:p>
              </w:tc>
              <w:tc>
                <w:tcPr>
                  <w:tcW w:w="873" w:type="pct"/>
                  <w:gridSpan w:val="3"/>
                  <w:vAlign w:val="center"/>
                </w:tcPr>
                <w:p>
                  <w:pPr>
                    <w:adjustRightInd w:val="0"/>
                    <w:snapToGrid w:val="0"/>
                    <w:ind w:left="-105" w:leftChars="-50" w:right="-105" w:rightChars="-50"/>
                    <w:jc w:val="center"/>
                  </w:pPr>
                  <w:r>
                    <w:rPr>
                      <w:rFonts w:hint="eastAsia"/>
                      <w:lang w:val="en-US" w:eastAsia="zh-CN"/>
                    </w:rPr>
                    <w:t>100</w:t>
                  </w: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pPr>
                    <w:adjustRightInd w:val="0"/>
                    <w:snapToGrid w:val="0"/>
                    <w:ind w:left="-105" w:leftChars="-50" w:right="-105" w:rightChars="-50"/>
                    <w:jc w:val="center"/>
                    <w:rPr>
                      <w:rFonts w:hint="eastAsia" w:eastAsia="宋体"/>
                      <w:lang w:val="en-US" w:eastAsia="zh-CN"/>
                    </w:rPr>
                  </w:pPr>
                  <w:r>
                    <w:rPr>
                      <w:rFonts w:hint="eastAsia"/>
                      <w:lang w:val="en-US" w:eastAsia="zh-CN"/>
                    </w:rPr>
                    <w:t>排放量（t/a）</w:t>
                  </w:r>
                </w:p>
              </w:tc>
              <w:tc>
                <w:tcPr>
                  <w:tcW w:w="706" w:type="pct"/>
                  <w:gridSpan w:val="2"/>
                  <w:vAlign w:val="center"/>
                </w:tcPr>
                <w:p>
                  <w:pPr>
                    <w:adjustRightInd w:val="0"/>
                    <w:snapToGrid w:val="0"/>
                    <w:ind w:left="-105" w:leftChars="-50" w:right="-105" w:rightChars="-5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0.219</w:t>
                  </w:r>
                </w:p>
              </w:tc>
              <w:tc>
                <w:tcPr>
                  <w:tcW w:w="780" w:type="pct"/>
                  <w:gridSpan w:val="2"/>
                  <w:vAlign w:val="center"/>
                </w:tcPr>
                <w:p>
                  <w:pPr>
                    <w:adjustRightInd w:val="0"/>
                    <w:snapToGrid w:val="0"/>
                    <w:ind w:left="-105" w:leftChars="-50" w:right="-105" w:rightChars="-5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0.118</w:t>
                  </w:r>
                </w:p>
              </w:tc>
              <w:tc>
                <w:tcPr>
                  <w:tcW w:w="957" w:type="pct"/>
                  <w:gridSpan w:val="2"/>
                  <w:vAlign w:val="center"/>
                </w:tcPr>
                <w:p>
                  <w:pPr>
                    <w:adjustRightInd w:val="0"/>
                    <w:snapToGrid w:val="0"/>
                    <w:ind w:left="-105" w:leftChars="-50" w:right="-105" w:rightChars="-50"/>
                    <w:jc w:val="center"/>
                    <w:rPr>
                      <w:rFonts w:hint="default"/>
                      <w:color w:val="000000" w:themeColor="text1"/>
                      <w:lang w:val="en-US"/>
                      <w14:textFill>
                        <w14:solidFill>
                          <w14:schemeClr w14:val="tx1"/>
                        </w14:solidFill>
                      </w14:textFill>
                    </w:rPr>
                  </w:pPr>
                  <w:r>
                    <w:rPr>
                      <w:rFonts w:hint="eastAsia"/>
                      <w:color w:val="000000" w:themeColor="text1"/>
                      <w:lang w:val="en-US" w:eastAsia="zh-CN"/>
                      <w14:textFill>
                        <w14:solidFill>
                          <w14:schemeClr w14:val="tx1"/>
                        </w14:solidFill>
                      </w14:textFill>
                    </w:rPr>
                    <w:t>0.061</w:t>
                  </w:r>
                </w:p>
              </w:tc>
              <w:tc>
                <w:tcPr>
                  <w:tcW w:w="821" w:type="pct"/>
                  <w:gridSpan w:val="2"/>
                  <w:vAlign w:val="center"/>
                </w:tcPr>
                <w:p>
                  <w:pPr>
                    <w:adjustRightInd w:val="0"/>
                    <w:snapToGrid w:val="0"/>
                    <w:ind w:left="-105" w:leftChars="-50" w:right="-105" w:rightChars="-5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0.013</w:t>
                  </w:r>
                </w:p>
              </w:tc>
              <w:tc>
                <w:tcPr>
                  <w:tcW w:w="873" w:type="pct"/>
                  <w:gridSpan w:val="3"/>
                  <w:vAlign w:val="center"/>
                </w:tcPr>
                <w:p>
                  <w:pPr>
                    <w:adjustRightInd w:val="0"/>
                    <w:snapToGrid w:val="0"/>
                    <w:ind w:left="-105" w:leftChars="-50" w:right="-105" w:rightChars="-50"/>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59" w:type="pct"/>
                  <w:vAlign w:val="center"/>
                </w:tcPr>
                <w:p>
                  <w:pPr>
                    <w:adjustRightInd w:val="0"/>
                    <w:snapToGrid w:val="0"/>
                    <w:ind w:left="-105" w:leftChars="-50" w:right="-105" w:rightChars="-50"/>
                    <w:jc w:val="center"/>
                    <w:rPr>
                      <w:sz w:val="21"/>
                      <w:szCs w:val="21"/>
                    </w:rPr>
                  </w:pPr>
                  <w:r>
                    <w:rPr>
                      <w:rFonts w:hint="eastAsia" w:ascii="Times New Roman" w:hAnsi="Times New Roman" w:eastAsia="宋体"/>
                      <w:color w:val="auto"/>
                      <w:sz w:val="21"/>
                      <w:szCs w:val="21"/>
                      <w:lang w:val="en-US" w:eastAsia="zh-CN"/>
                    </w:rPr>
                    <w:t>GB18466-2005</w:t>
                  </w:r>
                  <w:r>
                    <w:rPr>
                      <w:sz w:val="21"/>
                      <w:szCs w:val="21"/>
                    </w:rPr>
                    <w:t>标准</w:t>
                  </w:r>
                </w:p>
              </w:tc>
              <w:tc>
                <w:tcPr>
                  <w:tcW w:w="706" w:type="pct"/>
                  <w:gridSpan w:val="2"/>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250</w:t>
                  </w:r>
                </w:p>
              </w:tc>
              <w:tc>
                <w:tcPr>
                  <w:tcW w:w="780" w:type="pct"/>
                  <w:gridSpan w:val="2"/>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100</w:t>
                  </w:r>
                </w:p>
              </w:tc>
              <w:tc>
                <w:tcPr>
                  <w:tcW w:w="957" w:type="pct"/>
                  <w:gridSpan w:val="2"/>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60</w:t>
                  </w:r>
                </w:p>
              </w:tc>
              <w:tc>
                <w:tcPr>
                  <w:tcW w:w="821" w:type="pct"/>
                  <w:gridSpan w:val="2"/>
                  <w:vAlign w:val="center"/>
                </w:tcPr>
                <w:p>
                  <w:pPr>
                    <w:adjustRightInd w:val="0"/>
                    <w:snapToGrid w:val="0"/>
                    <w:ind w:left="-105" w:leftChars="-50" w:right="-105" w:rightChars="-50"/>
                    <w:jc w:val="center"/>
                    <w:rPr>
                      <w:rFonts w:hint="default" w:eastAsia="宋体"/>
                      <w:lang w:val="en-US" w:eastAsia="zh-CN"/>
                    </w:rPr>
                  </w:pPr>
                  <w:r>
                    <w:rPr>
                      <w:rFonts w:hint="eastAsia"/>
                      <w:lang w:val="en-US" w:eastAsia="zh-CN"/>
                    </w:rPr>
                    <w:t>-</w:t>
                  </w:r>
                </w:p>
              </w:tc>
              <w:tc>
                <w:tcPr>
                  <w:tcW w:w="873" w:type="pct"/>
                  <w:gridSpan w:val="3"/>
                  <w:vAlign w:val="center"/>
                </w:tcPr>
                <w:p>
                  <w:pPr>
                    <w:adjustRightInd w:val="0"/>
                    <w:snapToGrid w:val="0"/>
                    <w:ind w:left="-105" w:leftChars="-50" w:right="-105" w:rightChars="-50"/>
                    <w:jc w:val="center"/>
                  </w:pPr>
                  <w:r>
                    <w:rPr>
                      <w:rFonts w:hint="eastAsia"/>
                      <w:lang w:val="en-US" w:eastAsia="zh-CN"/>
                    </w:rPr>
                    <w:t>5000</w:t>
                  </w:r>
                  <w:r>
                    <w:t>个/L</w:t>
                  </w:r>
                </w:p>
              </w:tc>
            </w:tr>
          </w:tbl>
          <w:p>
            <w:pPr>
              <w:adjustRightInd w:val="0"/>
              <w:snapToGrid w:val="0"/>
              <w:spacing w:line="520" w:lineRule="exact"/>
              <w:ind w:firstLine="472" w:firstLineChars="197"/>
              <w:rPr>
                <w:sz w:val="24"/>
              </w:rPr>
            </w:pPr>
            <w:r>
              <w:rPr>
                <w:sz w:val="24"/>
              </w:rPr>
              <w:t>本项目排放污水的主要部门有诊疗室、病房和卫生间排水，同时医务人员排放少量生活污水。生活污水和医疗废水混合排放，全部视为医疗废水。</w:t>
            </w:r>
          </w:p>
          <w:p>
            <w:pPr>
              <w:adjustRightInd w:val="0"/>
              <w:snapToGrid w:val="0"/>
              <w:spacing w:line="520" w:lineRule="exact"/>
              <w:ind w:firstLine="472" w:firstLineChars="197"/>
              <w:rPr>
                <w:sz w:val="24"/>
              </w:rPr>
            </w:pPr>
            <w:r>
              <w:rPr>
                <w:sz w:val="24"/>
              </w:rPr>
              <w:t>医疗废水水质特征是：</w:t>
            </w:r>
          </w:p>
          <w:p>
            <w:pPr>
              <w:adjustRightInd w:val="0"/>
              <w:snapToGrid w:val="0"/>
              <w:spacing w:line="520" w:lineRule="exact"/>
              <w:ind w:firstLine="472" w:firstLineChars="197"/>
              <w:rPr>
                <w:sz w:val="24"/>
              </w:rPr>
            </w:pPr>
            <w:r>
              <w:rPr>
                <w:sz w:val="24"/>
              </w:rPr>
              <w:t>——含有病原体病菌、病毒和寄生虫卵等；</w:t>
            </w:r>
          </w:p>
          <w:p>
            <w:pPr>
              <w:adjustRightInd w:val="0"/>
              <w:snapToGrid w:val="0"/>
              <w:spacing w:line="520" w:lineRule="exact"/>
              <w:ind w:firstLine="472" w:firstLineChars="197"/>
              <w:rPr>
                <w:sz w:val="24"/>
              </w:rPr>
            </w:pPr>
            <w:r>
              <w:rPr>
                <w:sz w:val="24"/>
              </w:rPr>
              <w:t>——含有消毒剂、药剂、试剂等多种化学物质。</w:t>
            </w:r>
          </w:p>
          <w:p>
            <w:pPr>
              <w:adjustRightInd w:val="0"/>
              <w:snapToGrid w:val="0"/>
              <w:spacing w:line="520" w:lineRule="exact"/>
              <w:ind w:firstLine="480" w:firstLineChars="200"/>
              <w:rPr>
                <w:sz w:val="24"/>
              </w:rPr>
            </w:pPr>
            <w:r>
              <w:rPr>
                <w:sz w:val="24"/>
              </w:rPr>
              <w:t>污染因子主要表现在COD</w:t>
            </w:r>
            <w:r>
              <w:rPr>
                <w:sz w:val="24"/>
                <w:vertAlign w:val="subscript"/>
              </w:rPr>
              <w:t>Cr</w:t>
            </w:r>
            <w:r>
              <w:rPr>
                <w:sz w:val="24"/>
              </w:rPr>
              <w:t>、BOD</w:t>
            </w:r>
            <w:r>
              <w:rPr>
                <w:sz w:val="24"/>
                <w:vertAlign w:val="subscript"/>
              </w:rPr>
              <w:t>5</w:t>
            </w:r>
            <w:r>
              <w:rPr>
                <w:sz w:val="24"/>
              </w:rPr>
              <w:t>、SS、氨氮、</w:t>
            </w:r>
            <w:r>
              <w:rPr>
                <w:rFonts w:hint="eastAsia"/>
                <w:sz w:val="24"/>
              </w:rPr>
              <w:t>粪大肠菌群</w:t>
            </w:r>
            <w:r>
              <w:rPr>
                <w:sz w:val="24"/>
              </w:rPr>
              <w:t>等。</w:t>
            </w:r>
          </w:p>
          <w:p>
            <w:pPr>
              <w:adjustRightInd w:val="0"/>
              <w:snapToGrid w:val="0"/>
              <w:spacing w:line="520" w:lineRule="exact"/>
              <w:ind w:firstLine="482" w:firstLineChars="200"/>
              <w:rPr>
                <w:b/>
                <w:bCs/>
                <w:sz w:val="24"/>
              </w:rPr>
            </w:pPr>
            <w:r>
              <w:rPr>
                <w:b/>
                <w:bCs/>
                <w:sz w:val="24"/>
              </w:rPr>
              <w:t>2.</w:t>
            </w:r>
            <w:r>
              <w:rPr>
                <w:rFonts w:hint="eastAsia"/>
                <w:b/>
                <w:bCs/>
                <w:sz w:val="24"/>
                <w:lang w:val="en-US" w:eastAsia="zh-CN"/>
              </w:rPr>
              <w:t>4</w:t>
            </w:r>
            <w:r>
              <w:rPr>
                <w:rFonts w:hint="eastAsia"/>
                <w:b/>
                <w:bCs/>
                <w:sz w:val="24"/>
              </w:rPr>
              <w:t>污水处理工艺可行性分析</w:t>
            </w:r>
          </w:p>
          <w:p>
            <w:pPr>
              <w:spacing w:line="520" w:lineRule="exact"/>
              <w:ind w:firstLine="480" w:firstLineChars="200"/>
              <w:rPr>
                <w:sz w:val="24"/>
              </w:rPr>
            </w:pPr>
            <w:r>
              <w:rPr>
                <w:rFonts w:hint="eastAsia"/>
                <w:sz w:val="24"/>
              </w:rPr>
              <w:t>（1）污水处理站处理工艺简介</w:t>
            </w:r>
          </w:p>
          <w:p>
            <w:pPr>
              <w:spacing w:line="520" w:lineRule="exact"/>
              <w:ind w:firstLine="480" w:firstLineChars="200"/>
              <w:rPr>
                <w:rFonts w:hint="eastAsia"/>
                <w:color w:val="auto"/>
                <w:sz w:val="24"/>
                <w:szCs w:val="24"/>
                <w:lang w:val="en-US" w:eastAsia="zh-CN"/>
              </w:rPr>
            </w:pPr>
            <w:r>
              <w:rPr>
                <w:rFonts w:hint="eastAsia"/>
                <w:color w:val="000000" w:themeColor="text1"/>
                <w:sz w:val="24"/>
                <w14:textFill>
                  <w14:solidFill>
                    <w14:schemeClr w14:val="tx1"/>
                  </w14:solidFill>
                </w14:textFill>
              </w:rPr>
              <w:t>工艺流程简介</w:t>
            </w:r>
            <w:r>
              <w:rPr>
                <w:rFonts w:hint="eastAsia"/>
                <w:sz w:val="24"/>
              </w:rPr>
              <w:t>：</w:t>
            </w:r>
            <w:r>
              <w:rPr>
                <w:rFonts w:hint="eastAsia"/>
                <w:sz w:val="24"/>
                <w:lang w:val="en-US" w:eastAsia="zh-CN"/>
              </w:rPr>
              <w:t>医院</w:t>
            </w:r>
            <w:r>
              <w:rPr>
                <w:sz w:val="24"/>
              </w:rPr>
              <w:t>污水流出后，经过</w:t>
            </w:r>
            <w:r>
              <w:rPr>
                <w:rFonts w:hint="eastAsia"/>
                <w:sz w:val="24"/>
                <w:lang w:val="en-US" w:eastAsia="zh-CN"/>
              </w:rPr>
              <w:t>化粪池预处理</w:t>
            </w:r>
            <w:r>
              <w:rPr>
                <w:sz w:val="24"/>
              </w:rPr>
              <w:t>后，进入调节池，</w:t>
            </w:r>
            <w:r>
              <w:rPr>
                <w:rFonts w:hint="eastAsia"/>
                <w:sz w:val="24"/>
              </w:rPr>
              <w:t>进行均质均量，由提升泵送至</w:t>
            </w:r>
            <w:r>
              <w:rPr>
                <w:rFonts w:hint="eastAsia"/>
                <w:sz w:val="24"/>
                <w:lang w:val="en-US" w:eastAsia="zh-CN"/>
              </w:rPr>
              <w:t>厌氧</w:t>
            </w:r>
            <w:r>
              <w:rPr>
                <w:rFonts w:hint="eastAsia"/>
                <w:sz w:val="24"/>
              </w:rPr>
              <w:t>池，废水自流至生化池，</w:t>
            </w:r>
            <w:r>
              <w:rPr>
                <w:rFonts w:hint="eastAsia"/>
                <w:sz w:val="24"/>
                <w:lang w:val="en-US" w:eastAsia="zh-CN"/>
              </w:rPr>
              <w:t>经处理</w:t>
            </w:r>
            <w:r>
              <w:rPr>
                <w:rFonts w:hint="eastAsia"/>
                <w:sz w:val="24"/>
              </w:rPr>
              <w:t>降低有机物浓度，然后入流</w:t>
            </w:r>
            <w:r>
              <w:rPr>
                <w:rFonts w:hint="eastAsia"/>
                <w:sz w:val="24"/>
                <w:lang w:val="en-US" w:eastAsia="zh-CN"/>
              </w:rPr>
              <w:t>沉淀</w:t>
            </w:r>
            <w:r>
              <w:rPr>
                <w:rFonts w:hint="eastAsia"/>
                <w:sz w:val="24"/>
              </w:rPr>
              <w:t>池，</w:t>
            </w:r>
            <w:r>
              <w:rPr>
                <w:rFonts w:hint="eastAsia"/>
                <w:sz w:val="24"/>
                <w:lang w:val="en-US" w:eastAsia="zh-CN"/>
              </w:rPr>
              <w:t>废水经沉淀处理后，流入MBR膜池</w:t>
            </w:r>
            <w:r>
              <w:rPr>
                <w:rFonts w:hint="eastAsia"/>
                <w:sz w:val="24"/>
              </w:rPr>
              <w:t>，</w:t>
            </w:r>
            <w:r>
              <w:rPr>
                <w:rFonts w:hint="eastAsia"/>
                <w:sz w:val="24"/>
                <w:lang w:val="en-US" w:eastAsia="zh-CN"/>
              </w:rPr>
              <w:t>处理后的</w:t>
            </w:r>
            <w:r>
              <w:rPr>
                <w:sz w:val="24"/>
              </w:rPr>
              <w:t>出水</w:t>
            </w:r>
            <w:r>
              <w:rPr>
                <w:rFonts w:hint="eastAsia"/>
                <w:sz w:val="24"/>
                <w:lang w:val="en-US" w:eastAsia="zh-CN"/>
              </w:rPr>
              <w:t>流入清水消毒池，经自动加药装置加入</w:t>
            </w:r>
            <w:r>
              <w:rPr>
                <w:rFonts w:hint="eastAsia"/>
                <w:sz w:val="24"/>
              </w:rPr>
              <w:t>消毒剂，</w:t>
            </w:r>
            <w:r>
              <w:rPr>
                <w:rFonts w:hint="eastAsia"/>
                <w:sz w:val="24"/>
                <w:lang w:val="en-US" w:eastAsia="zh-CN"/>
              </w:rPr>
              <w:t>经消毒处理后，排入清水池，出水</w:t>
            </w:r>
            <w:r>
              <w:rPr>
                <w:rFonts w:hint="eastAsia"/>
                <w:sz w:val="24"/>
              </w:rPr>
              <w:t>水质</w:t>
            </w:r>
            <w:r>
              <w:rPr>
                <w:sz w:val="24"/>
              </w:rPr>
              <w:t>达到</w:t>
            </w:r>
            <w:r>
              <w:rPr>
                <w:rFonts w:hint="eastAsia" w:ascii="Times New Roman" w:hAnsi="Times New Roman" w:eastAsia="宋体"/>
                <w:color w:val="auto"/>
                <w:sz w:val="24"/>
                <w:szCs w:val="24"/>
                <w:lang w:val="en-US" w:eastAsia="zh-CN"/>
              </w:rPr>
              <w:t>《医疗机构水污染物排放标准》（GB18466-2005）</w:t>
            </w:r>
            <w:r>
              <w:rPr>
                <w:rFonts w:hint="eastAsia"/>
                <w:color w:val="auto"/>
                <w:sz w:val="24"/>
                <w:szCs w:val="24"/>
                <w:lang w:val="en-US" w:eastAsia="zh-CN"/>
              </w:rPr>
              <w:t>表2预处理标准</w:t>
            </w:r>
            <w:r>
              <w:rPr>
                <w:rFonts w:hint="eastAsia" w:ascii="Times New Roman" w:hAnsi="Times New Roman" w:eastAsia="宋体"/>
                <w:color w:val="auto"/>
                <w:sz w:val="24"/>
                <w:szCs w:val="24"/>
                <w:lang w:val="en-US" w:eastAsia="zh-CN"/>
              </w:rPr>
              <w:t>后</w:t>
            </w:r>
            <w:r>
              <w:rPr>
                <w:rFonts w:hint="eastAsia"/>
                <w:color w:val="auto"/>
                <w:sz w:val="24"/>
                <w:szCs w:val="24"/>
                <w:lang w:val="en-US" w:eastAsia="zh-CN"/>
              </w:rPr>
              <w:t>，排入市政下水管网，最终进入玛纳斯县污水处理厂处理。</w:t>
            </w:r>
          </w:p>
          <w:p>
            <w:pPr>
              <w:pStyle w:val="35"/>
            </w:pPr>
          </w:p>
          <w:p>
            <w:pPr>
              <w:pStyle w:val="35"/>
            </w:pPr>
          </w:p>
          <w:p>
            <w:pPr>
              <w:pStyle w:val="35"/>
            </w:pPr>
          </w:p>
          <w:p>
            <w:pPr>
              <w:pStyle w:val="35"/>
            </w:pPr>
          </w:p>
          <w:p>
            <w:pPr>
              <w:pStyle w:val="35"/>
            </w:pPr>
          </w:p>
          <w:p>
            <w:pPr>
              <w:pStyle w:val="35"/>
            </w:pPr>
          </w:p>
          <w:p>
            <w:pPr>
              <w:pStyle w:val="13"/>
              <w:rPr>
                <w:b/>
                <w:bCs/>
                <w:sz w:val="28"/>
                <w:szCs w:val="28"/>
              </w:rPr>
            </w:pPr>
            <w:r>
              <w:drawing>
                <wp:anchor distT="0" distB="0" distL="114300" distR="114300" simplePos="0" relativeHeight="251668480" behindDoc="0" locked="0" layoutInCell="1" allowOverlap="1">
                  <wp:simplePos x="0" y="0"/>
                  <wp:positionH relativeFrom="column">
                    <wp:posOffset>-4445</wp:posOffset>
                  </wp:positionH>
                  <wp:positionV relativeFrom="paragraph">
                    <wp:posOffset>70485</wp:posOffset>
                  </wp:positionV>
                  <wp:extent cx="5532755" cy="3933190"/>
                  <wp:effectExtent l="9525" t="9525" r="20320" b="19685"/>
                  <wp:wrapNone/>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20"/>
                          <a:stretch>
                            <a:fillRect/>
                          </a:stretch>
                        </pic:blipFill>
                        <pic:spPr>
                          <a:xfrm>
                            <a:off x="0" y="0"/>
                            <a:ext cx="5532755" cy="3933190"/>
                          </a:xfrm>
                          <a:prstGeom prst="rect">
                            <a:avLst/>
                          </a:prstGeom>
                          <a:noFill/>
                          <a:ln w="6350" cmpd="sng">
                            <a:solidFill>
                              <a:schemeClr val="tx1"/>
                            </a:solidFill>
                            <a:prstDash val="solid"/>
                          </a:ln>
                        </pic:spPr>
                      </pic:pic>
                    </a:graphicData>
                  </a:graphic>
                </wp:anchor>
              </w:drawing>
            </w: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p>
          <w:p>
            <w:pPr>
              <w:jc w:val="center"/>
              <w:rPr>
                <w:rFonts w:eastAsia="黑体"/>
                <w:bCs/>
                <w:sz w:val="24"/>
              </w:rPr>
            </w:pPr>
            <w:r>
              <w:rPr>
                <w:rFonts w:eastAsia="黑体"/>
                <w:bCs/>
                <w:sz w:val="24"/>
              </w:rPr>
              <w:t>图</w:t>
            </w:r>
            <w:r>
              <w:rPr>
                <w:rFonts w:hint="eastAsia" w:eastAsia="黑体"/>
                <w:bCs/>
                <w:sz w:val="24"/>
                <w:lang w:val="en-US" w:eastAsia="zh-CN"/>
              </w:rPr>
              <w:t>4-1</w:t>
            </w:r>
            <w:r>
              <w:rPr>
                <w:rFonts w:eastAsia="黑体"/>
                <w:bCs/>
                <w:sz w:val="24"/>
              </w:rPr>
              <w:t xml:space="preserve">    </w:t>
            </w:r>
            <w:r>
              <w:rPr>
                <w:rFonts w:hint="eastAsia" w:eastAsia="黑体"/>
                <w:bCs/>
                <w:sz w:val="24"/>
              </w:rPr>
              <w:t>污水处理</w:t>
            </w:r>
            <w:r>
              <w:rPr>
                <w:rFonts w:eastAsia="黑体"/>
                <w:bCs/>
                <w:sz w:val="24"/>
              </w:rPr>
              <w:t>工艺流程示意图</w:t>
            </w:r>
          </w:p>
          <w:p>
            <w:pPr>
              <w:spacing w:line="520" w:lineRule="exact"/>
              <w:ind w:firstLine="480" w:firstLineChars="200"/>
              <w:rPr>
                <w:b w:val="0"/>
                <w:bCs w:val="0"/>
                <w:sz w:val="24"/>
              </w:rPr>
            </w:pPr>
            <w:r>
              <w:rPr>
                <w:rFonts w:hint="eastAsia"/>
                <w:b w:val="0"/>
                <w:bCs w:val="0"/>
                <w:sz w:val="24"/>
              </w:rPr>
              <w:t>污水处理各构筑物简介：</w:t>
            </w:r>
          </w:p>
          <w:p>
            <w:pPr>
              <w:snapToGrid w:val="0"/>
              <w:spacing w:line="520" w:lineRule="exact"/>
              <w:ind w:firstLine="480" w:firstLineChars="200"/>
              <w:rPr>
                <w:sz w:val="24"/>
              </w:rPr>
            </w:pPr>
            <w:r>
              <w:rPr>
                <w:rFonts w:hint="eastAsia"/>
                <w:sz w:val="24"/>
                <w:lang w:val="en-US" w:eastAsia="zh-CN"/>
              </w:rPr>
              <w:t>1</w:t>
            </w:r>
            <w:r>
              <w:rPr>
                <w:rFonts w:hint="eastAsia"/>
                <w:sz w:val="24"/>
                <w:lang w:eastAsia="zh-CN"/>
              </w:rPr>
              <w:t>）</w:t>
            </w:r>
            <w:r>
              <w:rPr>
                <w:rFonts w:hint="eastAsia"/>
                <w:sz w:val="24"/>
                <w:lang w:val="en-US" w:eastAsia="zh-CN"/>
              </w:rPr>
              <w:t>化粪池</w:t>
            </w:r>
            <w:r>
              <w:rPr>
                <w:rFonts w:hint="eastAsia"/>
                <w:sz w:val="24"/>
              </w:rPr>
              <w:t>：污水首先经过</w:t>
            </w:r>
            <w:r>
              <w:rPr>
                <w:rFonts w:hint="eastAsia"/>
                <w:sz w:val="24"/>
                <w:lang w:val="en-US" w:eastAsia="zh-CN"/>
              </w:rPr>
              <w:t>化粪池</w:t>
            </w:r>
            <w:r>
              <w:rPr>
                <w:rFonts w:hint="eastAsia"/>
                <w:sz w:val="24"/>
              </w:rPr>
              <w:t>，去除污水中较大的漂浮物以及固体大颗粒物，以免其对后续处理单元的水泵或工艺管线造成损害，保证后续设备的正常运行。</w:t>
            </w:r>
          </w:p>
          <w:p>
            <w:pPr>
              <w:snapToGrid w:val="0"/>
              <w:spacing w:line="520" w:lineRule="exact"/>
              <w:ind w:firstLine="480" w:firstLineChars="200"/>
              <w:rPr>
                <w:sz w:val="24"/>
              </w:rPr>
            </w:pPr>
            <w:r>
              <w:rPr>
                <w:rFonts w:hint="eastAsia"/>
                <w:sz w:val="24"/>
                <w:lang w:val="en-US" w:eastAsia="zh-CN"/>
              </w:rPr>
              <w:t>2</w:t>
            </w:r>
            <w:r>
              <w:rPr>
                <w:rFonts w:hint="eastAsia"/>
                <w:sz w:val="24"/>
                <w:lang w:eastAsia="zh-CN"/>
              </w:rPr>
              <w:t>）</w:t>
            </w:r>
            <w:r>
              <w:rPr>
                <w:rFonts w:hint="eastAsia"/>
                <w:sz w:val="24"/>
              </w:rPr>
              <w:t>调节池：生活污水经</w:t>
            </w:r>
            <w:r>
              <w:rPr>
                <w:rFonts w:hint="eastAsia"/>
                <w:sz w:val="24"/>
                <w:lang w:val="en-US" w:eastAsia="zh-CN"/>
              </w:rPr>
              <w:t>化粪池</w:t>
            </w:r>
            <w:r>
              <w:rPr>
                <w:rFonts w:hint="eastAsia"/>
                <w:sz w:val="24"/>
              </w:rPr>
              <w:t>处理后进入调节池迸行水量、水质的调节均化，保证后续生化处理系统水量、水质的均衡、稳定，并设置预曝气系统，用于充氧搅拌，以防止污水中悬浮颗粒沉淀而发臭，又对污水中有机物起到一定的降解功效，提高整个系统的抗冲击性能和处理效果。调节池内设穿孔曝气管，对池内水体搅动、充氧，防止悬浮杂质沉淀，出水有内设污水提升泵提升进入</w:t>
            </w:r>
            <w:r>
              <w:rPr>
                <w:rFonts w:hint="eastAsia"/>
                <w:sz w:val="24"/>
                <w:lang w:val="en-US" w:eastAsia="zh-CN"/>
              </w:rPr>
              <w:t>厌氧</w:t>
            </w:r>
            <w:r>
              <w:rPr>
                <w:rFonts w:hint="eastAsia"/>
                <w:sz w:val="24"/>
              </w:rPr>
              <w:t>池。</w:t>
            </w:r>
          </w:p>
          <w:p>
            <w:pPr>
              <w:snapToGrid w:val="0"/>
              <w:spacing w:line="520" w:lineRule="exact"/>
              <w:ind w:firstLine="480" w:firstLineChars="200"/>
              <w:rPr>
                <w:rFonts w:hint="default" w:eastAsia="宋体"/>
                <w:sz w:val="24"/>
                <w:lang w:val="en-US" w:eastAsia="zh-CN"/>
              </w:rPr>
            </w:pPr>
            <w:r>
              <w:rPr>
                <w:rFonts w:hint="eastAsia"/>
                <w:sz w:val="24"/>
                <w:lang w:val="en-US" w:eastAsia="zh-CN"/>
              </w:rPr>
              <w:t>3</w:t>
            </w:r>
            <w:r>
              <w:rPr>
                <w:rFonts w:hint="eastAsia"/>
                <w:sz w:val="24"/>
                <w:lang w:eastAsia="zh-CN"/>
              </w:rPr>
              <w:t>）</w:t>
            </w:r>
            <w:r>
              <w:rPr>
                <w:rFonts w:hint="eastAsia"/>
                <w:sz w:val="24"/>
                <w:lang w:val="en-US" w:eastAsia="zh-CN"/>
              </w:rPr>
              <w:t>厌氧</w:t>
            </w:r>
            <w:r>
              <w:rPr>
                <w:rFonts w:hint="eastAsia"/>
                <w:sz w:val="24"/>
              </w:rPr>
              <w:t>池</w:t>
            </w:r>
            <w:r>
              <w:rPr>
                <w:rFonts w:hint="eastAsia"/>
                <w:sz w:val="24"/>
                <w:lang w:eastAsia="zh-CN"/>
              </w:rPr>
              <w:t>：</w:t>
            </w:r>
            <w:r>
              <w:rPr>
                <w:rFonts w:hint="eastAsia"/>
                <w:sz w:val="24"/>
                <w:lang w:val="en-US" w:eastAsia="zh-CN"/>
              </w:rPr>
              <w:t>废水进入厌氧池后，进行反硝化反应，有效脱氮。</w:t>
            </w:r>
          </w:p>
          <w:p>
            <w:pPr>
              <w:snapToGrid w:val="0"/>
              <w:spacing w:line="520" w:lineRule="exact"/>
              <w:ind w:firstLine="480" w:firstLineChars="200"/>
              <w:rPr>
                <w:rFonts w:hint="eastAsia"/>
                <w:sz w:val="24"/>
              </w:rPr>
            </w:pPr>
            <w:r>
              <w:rPr>
                <w:rFonts w:hint="eastAsia"/>
                <w:sz w:val="24"/>
                <w:lang w:val="en-US" w:eastAsia="zh-CN"/>
              </w:rPr>
              <w:t>4</w:t>
            </w:r>
            <w:r>
              <w:rPr>
                <w:rFonts w:hint="eastAsia"/>
                <w:sz w:val="24"/>
                <w:lang w:eastAsia="zh-CN"/>
              </w:rPr>
              <w:t>）</w:t>
            </w:r>
            <w:r>
              <w:rPr>
                <w:rFonts w:hint="eastAsia"/>
                <w:sz w:val="24"/>
                <w:lang w:val="en-US" w:eastAsia="zh-CN"/>
              </w:rPr>
              <w:t>生</w:t>
            </w:r>
            <w:r>
              <w:rPr>
                <w:rFonts w:hint="eastAsia"/>
                <w:sz w:val="24"/>
              </w:rPr>
              <w:t>化池：污水中的大分子有机物经</w:t>
            </w:r>
            <w:r>
              <w:rPr>
                <w:rFonts w:hint="eastAsia"/>
                <w:sz w:val="24"/>
                <w:lang w:val="en-US" w:eastAsia="zh-CN"/>
              </w:rPr>
              <w:t>微生物降解</w:t>
            </w:r>
            <w:r>
              <w:rPr>
                <w:rFonts w:hint="eastAsia"/>
                <w:sz w:val="24"/>
              </w:rPr>
              <w:t>作用后</w:t>
            </w:r>
            <w:r>
              <w:rPr>
                <w:rFonts w:hint="eastAsia"/>
                <w:sz w:val="24"/>
                <w:lang w:eastAsia="zh-CN"/>
              </w:rPr>
              <w:t>，</w:t>
            </w:r>
            <w:r>
              <w:rPr>
                <w:rFonts w:hint="eastAsia"/>
                <w:sz w:val="24"/>
                <w:lang w:val="en-US" w:eastAsia="zh-CN"/>
              </w:rPr>
              <w:t>将废水中的有机物去除</w:t>
            </w:r>
            <w:r>
              <w:rPr>
                <w:rFonts w:hint="eastAsia"/>
                <w:sz w:val="24"/>
              </w:rPr>
              <w:t>，出水自流进入</w:t>
            </w:r>
            <w:r>
              <w:rPr>
                <w:rFonts w:hint="eastAsia"/>
                <w:sz w:val="24"/>
                <w:lang w:val="en-US" w:eastAsia="zh-CN"/>
              </w:rPr>
              <w:t>沉淀</w:t>
            </w:r>
            <w:r>
              <w:rPr>
                <w:rFonts w:hint="eastAsia"/>
                <w:sz w:val="24"/>
              </w:rPr>
              <w:t>池。</w:t>
            </w:r>
          </w:p>
          <w:p>
            <w:pPr>
              <w:pStyle w:val="13"/>
              <w:ind w:firstLine="480" w:firstLineChars="200"/>
              <w:rPr>
                <w:rFonts w:hint="default" w:ascii="Times New Roman" w:hAnsi="Times New Roman" w:eastAsia="宋体" w:cs="Times New Roman"/>
                <w:kern w:val="2"/>
                <w:sz w:val="24"/>
                <w:szCs w:val="24"/>
                <w:lang w:val="en-US" w:eastAsia="zh-CN" w:bidi="ar-SA"/>
              </w:rPr>
            </w:pPr>
            <w:r>
              <w:rPr>
                <w:rFonts w:hint="eastAsia"/>
                <w:sz w:val="24"/>
                <w:lang w:val="en-US" w:eastAsia="zh-CN"/>
              </w:rPr>
              <w:t>5</w:t>
            </w:r>
            <w:r>
              <w:rPr>
                <w:rFonts w:hint="eastAsia"/>
                <w:sz w:val="24"/>
                <w:lang w:eastAsia="zh-CN"/>
              </w:rPr>
              <w:t>）</w:t>
            </w:r>
            <w:r>
              <w:rPr>
                <w:rFonts w:hint="eastAsia" w:cs="Times New Roman"/>
                <w:kern w:val="2"/>
                <w:sz w:val="24"/>
                <w:szCs w:val="24"/>
                <w:lang w:val="en-US" w:eastAsia="zh-CN" w:bidi="ar-SA"/>
              </w:rPr>
              <w:t>废水进入沉淀池，经沉淀后，污泥回流至厌氧池，沉淀后的废水进入</w:t>
            </w:r>
            <w:r>
              <w:rPr>
                <w:rFonts w:hint="eastAsia"/>
                <w:sz w:val="24"/>
                <w:lang w:val="en-US" w:eastAsia="zh-CN"/>
              </w:rPr>
              <w:t>MBR膜池，其能有效去除废水中的细菌及大分子有机物。</w:t>
            </w:r>
          </w:p>
          <w:p>
            <w:pPr>
              <w:keepNext w:val="0"/>
              <w:keepLines w:val="0"/>
              <w:pageBreakBefore w:val="0"/>
              <w:widowControl w:val="0"/>
              <w:kinsoku/>
              <w:wordWrap/>
              <w:overflowPunct/>
              <w:topLinePunct w:val="0"/>
              <w:autoSpaceDE/>
              <w:autoSpaceDN/>
              <w:bidi w:val="0"/>
              <w:snapToGrid w:val="0"/>
              <w:spacing w:line="520" w:lineRule="exact"/>
              <w:ind w:firstLine="480" w:firstLineChars="200"/>
              <w:textAlignment w:val="auto"/>
              <w:rPr>
                <w:sz w:val="24"/>
              </w:rPr>
            </w:pPr>
            <w:r>
              <w:rPr>
                <w:rFonts w:hint="eastAsia"/>
                <w:sz w:val="24"/>
                <w:lang w:val="en-US" w:eastAsia="zh-CN"/>
              </w:rPr>
              <w:t>5</w:t>
            </w:r>
            <w:r>
              <w:rPr>
                <w:rFonts w:hint="eastAsia"/>
                <w:sz w:val="24"/>
                <w:lang w:eastAsia="zh-CN"/>
              </w:rPr>
              <w:t>）</w:t>
            </w:r>
            <w:r>
              <w:rPr>
                <w:rFonts w:hint="eastAsia"/>
                <w:sz w:val="24"/>
              </w:rPr>
              <w:t>消毒池：出水流入消毒池进行消毒，使出水水质符合</w:t>
            </w:r>
            <w:r>
              <w:rPr>
                <w:rFonts w:hint="eastAsia"/>
                <w:sz w:val="24"/>
                <w:lang w:val="en-US" w:eastAsia="zh-CN"/>
              </w:rPr>
              <w:t>预处理</w:t>
            </w:r>
            <w:r>
              <w:rPr>
                <w:rFonts w:hint="eastAsia"/>
                <w:sz w:val="24"/>
              </w:rPr>
              <w:t>标准要求</w:t>
            </w:r>
            <w:r>
              <w:rPr>
                <w:rFonts w:hint="eastAsia"/>
                <w:sz w:val="24"/>
                <w:lang w:val="en-US" w:eastAsia="zh-CN"/>
              </w:rPr>
              <w:t>后，排入下水管网</w:t>
            </w:r>
            <w:r>
              <w:rPr>
                <w:rFonts w:hint="eastAsia"/>
                <w:sz w:val="24"/>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（2）污水处理站</w:t>
            </w:r>
            <w:r>
              <w:rPr>
                <w:color w:val="000000" w:themeColor="text1"/>
                <w:sz w:val="24"/>
                <w14:textFill>
                  <w14:solidFill>
                    <w14:schemeClr w14:val="tx1"/>
                  </w14:solidFill>
                </w14:textFill>
              </w:rPr>
              <w:t>可行性分析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color w:val="000000" w:themeColor="text1"/>
                <w:sz w:val="24"/>
                <w14:textFill>
                  <w14:solidFill>
                    <w14:schemeClr w14:val="tx1"/>
                  </w14:solidFill>
                </w14:textFill>
              </w:rPr>
            </w:pPr>
            <w:r>
              <w:rPr>
                <w:rFonts w:hint="eastAsia"/>
                <w:sz w:val="24"/>
                <w:lang w:val="en-US" w:eastAsia="zh-CN"/>
              </w:rPr>
              <w:t>中医院现有</w:t>
            </w:r>
            <w:r>
              <w:rPr>
                <w:sz w:val="24"/>
              </w:rPr>
              <w:t>污水处理</w:t>
            </w:r>
            <w:r>
              <w:rPr>
                <w:rFonts w:hint="eastAsia"/>
                <w:sz w:val="24"/>
                <w:lang w:val="en-US" w:eastAsia="zh-CN"/>
              </w:rPr>
              <w:t>设施处理工艺为</w:t>
            </w:r>
            <w:r>
              <w:rPr>
                <w:rFonts w:hint="eastAsia"/>
                <w:sz w:val="24"/>
              </w:rPr>
              <w:t>“</w:t>
            </w:r>
            <w:r>
              <w:rPr>
                <w:rFonts w:hint="eastAsia"/>
                <w:sz w:val="24"/>
                <w:lang w:val="en-US" w:eastAsia="zh-CN"/>
              </w:rPr>
              <w:t>化粪池</w:t>
            </w:r>
            <w:r>
              <w:rPr>
                <w:sz w:val="24"/>
              </w:rPr>
              <w:t>+调节池+</w:t>
            </w:r>
            <w:r>
              <w:rPr>
                <w:rFonts w:hint="eastAsia"/>
                <w:sz w:val="24"/>
                <w:lang w:val="en-US" w:eastAsia="zh-CN"/>
              </w:rPr>
              <w:t>厌氧</w:t>
            </w:r>
            <w:r>
              <w:rPr>
                <w:sz w:val="24"/>
              </w:rPr>
              <w:t>池+</w:t>
            </w:r>
            <w:r>
              <w:rPr>
                <w:rFonts w:hint="eastAsia"/>
                <w:sz w:val="24"/>
                <w:lang w:val="en-US" w:eastAsia="zh-CN"/>
              </w:rPr>
              <w:t>生</w:t>
            </w:r>
            <w:r>
              <w:rPr>
                <w:sz w:val="24"/>
              </w:rPr>
              <w:t>化池+</w:t>
            </w:r>
            <w:r>
              <w:rPr>
                <w:rFonts w:hint="eastAsia"/>
                <w:sz w:val="24"/>
              </w:rPr>
              <w:t>沉淀</w:t>
            </w:r>
            <w:r>
              <w:rPr>
                <w:sz w:val="24"/>
              </w:rPr>
              <w:t>池+</w:t>
            </w:r>
            <w:r>
              <w:rPr>
                <w:rFonts w:hint="eastAsia"/>
                <w:sz w:val="24"/>
                <w:lang w:val="en-US" w:eastAsia="zh-CN"/>
              </w:rPr>
              <w:t>MBR膜池+清水消毒池+清水池</w:t>
            </w:r>
            <w:r>
              <w:rPr>
                <w:rFonts w:hint="eastAsia"/>
                <w:sz w:val="24"/>
              </w:rPr>
              <w:t>”</w:t>
            </w:r>
            <w:r>
              <w:rPr>
                <w:rFonts w:hint="eastAsia"/>
                <w:sz w:val="24"/>
                <w:lang w:eastAsia="zh-CN"/>
              </w:rPr>
              <w:t>，</w:t>
            </w:r>
            <w:r>
              <w:rPr>
                <w:rFonts w:hint="eastAsia"/>
                <w:sz w:val="24"/>
                <w:lang w:val="en-US" w:eastAsia="zh-CN"/>
              </w:rPr>
              <w:t>处理能力为300</w:t>
            </w:r>
            <w:r>
              <w:rPr>
                <w:rFonts w:hint="eastAsia" w:ascii="Times New Roman" w:hAnsi="Times New Roman" w:eastAsia="宋体" w:cs="Times New Roman"/>
                <w:b w:val="0"/>
                <w:bCs w:val="0"/>
                <w:color w:val="000000" w:themeColor="text1"/>
                <w:kern w:val="2"/>
                <w:sz w:val="24"/>
                <w:szCs w:val="22"/>
                <w:lang w:val="en-US" w:eastAsia="zh-CN" w:bidi="ar-SA"/>
                <w14:textFill>
                  <w14:solidFill>
                    <w14:schemeClr w14:val="tx1"/>
                  </w14:solidFill>
                </w14:textFill>
              </w:rPr>
              <w:t>m³/d</w:t>
            </w:r>
            <w:r>
              <w:rPr>
                <w:rFonts w:hint="eastAsia" w:cs="Times New Roman"/>
                <w:b w:val="0"/>
                <w:bCs w:val="0"/>
                <w:color w:val="000000" w:themeColor="text1"/>
                <w:kern w:val="2"/>
                <w:sz w:val="24"/>
                <w:szCs w:val="22"/>
                <w:lang w:val="en-US" w:eastAsia="zh-CN" w:bidi="ar-SA"/>
                <w14:textFill>
                  <w14:solidFill>
                    <w14:schemeClr w14:val="tx1"/>
                  </w14:solidFill>
                </w14:textFill>
              </w:rPr>
              <w:t>，处理设施</w:t>
            </w:r>
            <w:r>
              <w:rPr>
                <w:rFonts w:hint="eastAsia"/>
                <w:color w:val="000000" w:themeColor="text1"/>
                <w:sz w:val="24"/>
                <w:lang w:val="en-US" w:eastAsia="zh-CN"/>
                <w14:textFill>
                  <w14:solidFill>
                    <w14:schemeClr w14:val="tx1"/>
                  </w14:solidFill>
                </w14:textFill>
              </w:rPr>
              <w:t>为</w:t>
            </w:r>
            <w:r>
              <w:rPr>
                <w:rFonts w:hint="eastAsia"/>
                <w:color w:val="000000" w:themeColor="text1"/>
                <w:sz w:val="24"/>
                <w14:textFill>
                  <w14:solidFill>
                    <w14:schemeClr w14:val="tx1"/>
                  </w14:solidFill>
                </w14:textFill>
              </w:rPr>
              <w:t>地埋式，污水处理站</w:t>
            </w:r>
            <w:r>
              <w:rPr>
                <w:rFonts w:cs="Arial"/>
                <w:color w:val="000000" w:themeColor="text1"/>
                <w:sz w:val="24"/>
                <w:shd w:val="clear" w:color="auto" w:fill="FFFFFF"/>
                <w14:textFill>
                  <w14:solidFill>
                    <w14:schemeClr w14:val="tx1"/>
                  </w14:solidFill>
                </w14:textFill>
              </w:rPr>
              <w:t>土建</w:t>
            </w:r>
            <w:r>
              <w:rPr>
                <w:rFonts w:hint="eastAsia" w:cs="Arial"/>
                <w:color w:val="000000" w:themeColor="text1"/>
                <w:sz w:val="24"/>
                <w:shd w:val="clear" w:color="auto" w:fill="FFFFFF"/>
                <w14:textFill>
                  <w14:solidFill>
                    <w14:schemeClr w14:val="tx1"/>
                  </w14:solidFill>
                </w14:textFill>
              </w:rPr>
              <w:t>施工时</w:t>
            </w:r>
            <w:r>
              <w:rPr>
                <w:rFonts w:cs="Arial"/>
                <w:color w:val="000000" w:themeColor="text1"/>
                <w:sz w:val="24"/>
                <w:shd w:val="clear" w:color="auto" w:fill="FFFFFF"/>
                <w14:textFill>
                  <w14:solidFill>
                    <w14:schemeClr w14:val="tx1"/>
                  </w14:solidFill>
                </w14:textFill>
              </w:rPr>
              <w:t>埋在冻土层以下，</w:t>
            </w:r>
            <w:r>
              <w:rPr>
                <w:rFonts w:hint="eastAsia" w:cs="Arial"/>
                <w:color w:val="000000" w:themeColor="text1"/>
                <w:sz w:val="24"/>
                <w:shd w:val="clear" w:color="auto" w:fill="FFFFFF"/>
                <w14:textFill>
                  <w14:solidFill>
                    <w14:schemeClr w14:val="tx1"/>
                  </w14:solidFill>
                </w14:textFill>
              </w:rPr>
              <w:t>可确保污水处理站正常运营</w:t>
            </w:r>
            <w:r>
              <w:rPr>
                <w:rFonts w:cs="Arial"/>
                <w:color w:val="000000" w:themeColor="text1"/>
                <w:sz w:val="24"/>
                <w:shd w:val="clear" w:color="auto" w:fill="FFFFFF"/>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Style w:val="63"/>
                <w:rFonts w:ascii="Times New Roman" w:hAnsi="Times New Roman"/>
                <w:color w:val="auto"/>
                <w:sz w:val="24"/>
                <w:szCs w:val="24"/>
              </w:rPr>
            </w:pPr>
            <w:r>
              <w:rPr>
                <w:sz w:val="24"/>
              </w:rPr>
              <w:t>根据</w:t>
            </w:r>
            <w:r>
              <w:rPr>
                <w:rFonts w:hint="eastAsia"/>
                <w:sz w:val="24"/>
              </w:rPr>
              <w:t>《</w:t>
            </w:r>
            <w:r>
              <w:rPr>
                <w:rStyle w:val="63"/>
                <w:rFonts w:hint="eastAsia" w:ascii="Times New Roman" w:hAnsi="Times New Roman"/>
                <w:color w:val="auto"/>
                <w:sz w:val="24"/>
                <w:szCs w:val="24"/>
              </w:rPr>
              <w:t>医院污水处理工程技术规范</w:t>
            </w:r>
            <w:r>
              <w:rPr>
                <w:rFonts w:hint="eastAsia"/>
                <w:sz w:val="24"/>
              </w:rPr>
              <w:t>》</w:t>
            </w:r>
            <w:r>
              <w:rPr>
                <w:rStyle w:val="63"/>
                <w:rFonts w:hint="eastAsia" w:ascii="Times New Roman" w:hAnsi="Times New Roman"/>
                <w:color w:val="auto"/>
                <w:sz w:val="24"/>
                <w:szCs w:val="24"/>
              </w:rPr>
              <w:t>（HJ2029-2013）</w:t>
            </w:r>
            <w:r>
              <w:rPr>
                <w:rStyle w:val="63"/>
                <w:rFonts w:ascii="Times New Roman" w:hAnsi="Times New Roman"/>
                <w:color w:val="auto"/>
                <w:sz w:val="24"/>
                <w:szCs w:val="24"/>
              </w:rPr>
              <w:t>可知，</w:t>
            </w:r>
            <w:r>
              <w:rPr>
                <w:rStyle w:val="63"/>
                <w:rFonts w:hint="eastAsia" w:ascii="Times New Roman" w:hAnsi="Times New Roman"/>
                <w:color w:val="auto"/>
                <w:sz w:val="24"/>
                <w:szCs w:val="24"/>
              </w:rPr>
              <w:t>出水排入城市污水管网的非传染病医院污水，可采用一级强化处理工艺。</w:t>
            </w:r>
            <w:r>
              <w:rPr>
                <w:rStyle w:val="63"/>
                <w:rFonts w:ascii="Times New Roman" w:hAnsi="Times New Roman"/>
                <w:color w:val="auto"/>
                <w:sz w:val="24"/>
                <w:szCs w:val="24"/>
              </w:rPr>
              <w:t>综上，</w:t>
            </w:r>
            <w:r>
              <w:rPr>
                <w:rStyle w:val="63"/>
                <w:rFonts w:hint="eastAsia"/>
                <w:color w:val="auto"/>
                <w:sz w:val="24"/>
                <w:szCs w:val="24"/>
                <w:lang w:val="en-US" w:eastAsia="zh-CN"/>
              </w:rPr>
              <w:t>中医医院</w:t>
            </w:r>
            <w:r>
              <w:rPr>
                <w:rStyle w:val="63"/>
                <w:rFonts w:ascii="Times New Roman" w:hAnsi="Times New Roman"/>
                <w:color w:val="auto"/>
                <w:sz w:val="24"/>
                <w:szCs w:val="24"/>
              </w:rPr>
              <w:t>污水处理工艺</w:t>
            </w:r>
            <w:r>
              <w:rPr>
                <w:rStyle w:val="63"/>
                <w:rFonts w:hint="eastAsia"/>
                <w:color w:val="auto"/>
                <w:sz w:val="24"/>
                <w:szCs w:val="24"/>
                <w:lang w:val="en-US" w:eastAsia="zh-CN"/>
              </w:rPr>
              <w:t>出水水质能满足《</w:t>
            </w:r>
            <w:r>
              <w:rPr>
                <w:rFonts w:hint="eastAsia"/>
                <w:color w:val="000000" w:themeColor="text1"/>
                <w:sz w:val="24"/>
                <w14:textFill>
                  <w14:solidFill>
                    <w14:schemeClr w14:val="tx1"/>
                  </w14:solidFill>
                </w14:textFill>
              </w:rPr>
              <w:t>医疗机构水污染物排放标准》（GB18466-2005）表2</w:t>
            </w:r>
            <w:r>
              <w:rPr>
                <w:rFonts w:hint="eastAsia"/>
                <w:color w:val="000000" w:themeColor="text1"/>
                <w:sz w:val="24"/>
                <w:lang w:val="en-US" w:eastAsia="zh-CN"/>
                <w14:textFill>
                  <w14:solidFill>
                    <w14:schemeClr w14:val="tx1"/>
                  </w14:solidFill>
                </w14:textFill>
              </w:rPr>
              <w:t>预处理</w:t>
            </w:r>
            <w:r>
              <w:rPr>
                <w:rFonts w:hint="eastAsia"/>
                <w:color w:val="000000" w:themeColor="text1"/>
                <w:sz w:val="24"/>
                <w14:textFill>
                  <w14:solidFill>
                    <w14:schemeClr w14:val="tx1"/>
                  </w14:solidFill>
                </w14:textFill>
              </w:rPr>
              <w:t>标准</w:t>
            </w:r>
            <w:r>
              <w:rPr>
                <w:rFonts w:hint="eastAsia"/>
                <w:color w:val="auto"/>
                <w:sz w:val="24"/>
                <w:szCs w:val="24"/>
                <w:lang w:val="en-US" w:eastAsia="zh-CN"/>
              </w:rPr>
              <w:t>限值</w:t>
            </w:r>
            <w:r>
              <w:rPr>
                <w:rStyle w:val="63"/>
                <w:rFonts w:ascii="Times New Roman" w:hAnsi="Times New Roman"/>
                <w:color w:val="auto"/>
                <w:sz w:val="24"/>
                <w:szCs w:val="24"/>
              </w:rPr>
              <w:t>，处理工艺可行。</w:t>
            </w:r>
          </w:p>
          <w:p>
            <w:pPr>
              <w:keepNext w:val="0"/>
              <w:keepLines w:val="0"/>
              <w:pageBreakBefore w:val="0"/>
              <w:widowControl w:val="0"/>
              <w:kinsoku/>
              <w:wordWrap/>
              <w:overflowPunct/>
              <w:topLinePunct w:val="0"/>
              <w:autoSpaceDE/>
              <w:autoSpaceDN/>
              <w:bidi w:val="0"/>
              <w:adjustRightInd/>
              <w:snapToGrid w:val="0"/>
              <w:spacing w:line="520" w:lineRule="exact"/>
              <w:ind w:firstLine="456" w:firstLineChars="200"/>
              <w:textAlignment w:val="auto"/>
              <w:rPr>
                <w:sz w:val="24"/>
              </w:rPr>
            </w:pPr>
            <w:r>
              <w:rPr>
                <w:rFonts w:hint="eastAsia" w:ascii="Times New Roman" w:hAnsi="Times New Roman"/>
                <w:b w:val="0"/>
                <w:bCs w:val="0"/>
                <w:spacing w:val="-6"/>
                <w:sz w:val="24"/>
                <w:szCs w:val="24"/>
              </w:rPr>
              <w:t>地下水污染防治措施：</w:t>
            </w:r>
            <w:r>
              <w:rPr>
                <w:rFonts w:hint="eastAsia"/>
                <w:b w:val="0"/>
                <w:bCs w:val="0"/>
                <w:spacing w:val="-6"/>
                <w:sz w:val="24"/>
                <w:szCs w:val="24"/>
                <w:lang w:val="en-US" w:eastAsia="zh-CN"/>
              </w:rPr>
              <w:t>污水处理设施</w:t>
            </w:r>
            <w:r>
              <w:rPr>
                <w:sz w:val="24"/>
              </w:rPr>
              <w:t>的所有主体构筑物均按照重点污染防渗区进行防渗处理，正常情况下废水不会泄漏进入地下水含水层导致地下水污染，因此不会对地下水产生影响。</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color w:val="000000" w:themeColor="text1"/>
                <w:sz w:val="24"/>
                <w14:textFill>
                  <w14:solidFill>
                    <w14:schemeClr w14:val="tx1"/>
                  </w14:solidFill>
                </w14:textFill>
              </w:rPr>
            </w:pPr>
            <w:r>
              <w:rPr>
                <w:sz w:val="24"/>
              </w:rPr>
              <w:t>按照《环境影响评价技术导则</w:t>
            </w:r>
            <w:r>
              <w:rPr>
                <w:rFonts w:hint="eastAsia"/>
                <w:sz w:val="24"/>
                <w:lang w:val="en-US" w:eastAsia="zh-CN"/>
              </w:rPr>
              <w:t xml:space="preserve"> </w:t>
            </w:r>
            <w:r>
              <w:rPr>
                <w:sz w:val="24"/>
              </w:rPr>
              <w:t>地下水环境》（HJ610-2016）要求，根据防渗参照的标准和规范，</w:t>
            </w:r>
            <w:r>
              <w:rPr>
                <w:rFonts w:hint="eastAsia"/>
                <w:sz w:val="24"/>
                <w:lang w:val="en-US" w:eastAsia="zh-CN"/>
              </w:rPr>
              <w:t>本项目</w:t>
            </w:r>
            <w:r>
              <w:rPr>
                <w:sz w:val="24"/>
              </w:rPr>
              <w:t>防渗区域</w:t>
            </w:r>
            <w:r>
              <w:rPr>
                <w:rFonts w:hint="eastAsia"/>
                <w:sz w:val="24"/>
                <w:lang w:val="en-US" w:eastAsia="zh-CN"/>
              </w:rPr>
              <w:t>属于</w:t>
            </w:r>
            <w:r>
              <w:rPr>
                <w:color w:val="000000" w:themeColor="text1"/>
                <w:sz w:val="24"/>
                <w14:textFill>
                  <w14:solidFill>
                    <w14:schemeClr w14:val="tx1"/>
                  </w14:solidFill>
                </w14:textFill>
              </w:rPr>
              <w:t>简单防渗区，只需要进行一般地面硬化即可。</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综上所述，本项目运行对周边水环境影响较小。</w:t>
            </w:r>
          </w:p>
          <w:p>
            <w:pPr>
              <w:keepNext w:val="0"/>
              <w:keepLines w:val="0"/>
              <w:pageBreakBefore w:val="0"/>
              <w:widowControl w:val="0"/>
              <w:kinsoku/>
              <w:wordWrap/>
              <w:overflowPunct/>
              <w:topLinePunct w:val="0"/>
              <w:autoSpaceDE/>
              <w:autoSpaceDN/>
              <w:bidi w:val="0"/>
              <w:adjustRightInd/>
              <w:snapToGrid w:val="0"/>
              <w:spacing w:line="520" w:lineRule="exact"/>
              <w:ind w:firstLine="482" w:firstLineChars="200"/>
              <w:textAlignment w:val="auto"/>
              <w:rPr>
                <w:b/>
                <w:bCs/>
                <w:sz w:val="24"/>
              </w:rPr>
            </w:pPr>
            <w:r>
              <w:rPr>
                <w:b/>
                <w:bCs/>
                <w:sz w:val="24"/>
              </w:rPr>
              <w:t>2.</w:t>
            </w:r>
            <w:r>
              <w:rPr>
                <w:rFonts w:hint="eastAsia"/>
                <w:b/>
                <w:bCs/>
                <w:sz w:val="24"/>
                <w:lang w:val="en-US" w:eastAsia="zh-CN"/>
              </w:rPr>
              <w:t>5</w:t>
            </w:r>
            <w:r>
              <w:rPr>
                <w:rFonts w:hint="eastAsia"/>
                <w:b/>
                <w:bCs/>
                <w:sz w:val="24"/>
              </w:rPr>
              <w:t>废水排放监测计划</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textAlignment w:val="auto"/>
              <w:rPr>
                <w:rFonts w:hint="eastAsia"/>
                <w:sz w:val="24"/>
              </w:rPr>
            </w:pPr>
            <w:r>
              <w:rPr>
                <w:rFonts w:hint="eastAsia"/>
                <w:sz w:val="24"/>
              </w:rPr>
              <w:t>根据</w:t>
            </w:r>
            <w:r>
              <w:rPr>
                <w:rFonts w:hint="eastAsia"/>
                <w:color w:val="auto"/>
                <w:sz w:val="24"/>
              </w:rPr>
              <w:t>《</w:t>
            </w:r>
            <w:r>
              <w:rPr>
                <w:rFonts w:hint="eastAsia"/>
                <w:color w:val="auto"/>
                <w:sz w:val="24"/>
                <w:lang w:val="en-US" w:eastAsia="zh-CN"/>
              </w:rPr>
              <w:t>排污许可证申请与核发技术规范 医疗机构</w:t>
            </w:r>
            <w:r>
              <w:rPr>
                <w:rFonts w:hint="eastAsia"/>
                <w:color w:val="auto"/>
                <w:sz w:val="24"/>
              </w:rPr>
              <w:t>》（</w:t>
            </w:r>
            <w:r>
              <w:rPr>
                <w:rFonts w:hint="eastAsia"/>
                <w:color w:val="auto"/>
                <w:sz w:val="24"/>
                <w:lang w:val="en-US" w:eastAsia="zh-CN"/>
              </w:rPr>
              <w:t>HJ1105-2020</w:t>
            </w:r>
            <w:r>
              <w:rPr>
                <w:rFonts w:hint="eastAsia"/>
                <w:color w:val="auto"/>
                <w:sz w:val="24"/>
              </w:rPr>
              <w:t>）</w:t>
            </w:r>
            <w:r>
              <w:rPr>
                <w:rFonts w:hint="eastAsia"/>
                <w:sz w:val="24"/>
              </w:rPr>
              <w:t>相关规定，本次评价确定本项目废水排放自行监测方案见表4</w:t>
            </w:r>
            <w:r>
              <w:rPr>
                <w:sz w:val="24"/>
              </w:rPr>
              <w:t>-</w:t>
            </w:r>
            <w:r>
              <w:rPr>
                <w:rFonts w:hint="eastAsia"/>
                <w:sz w:val="24"/>
                <w:lang w:val="en-US" w:eastAsia="zh-CN"/>
              </w:rPr>
              <w:t>6</w:t>
            </w:r>
            <w:r>
              <w:rPr>
                <w:rFonts w:hint="eastAsia"/>
                <w:sz w:val="24"/>
              </w:rPr>
              <w:t>。</w:t>
            </w:r>
          </w:p>
          <w:p>
            <w:pPr>
              <w:keepNext w:val="0"/>
              <w:keepLines w:val="0"/>
              <w:pageBreakBefore w:val="0"/>
              <w:widowControl/>
              <w:kinsoku/>
              <w:wordWrap/>
              <w:overflowPunct/>
              <w:topLinePunct w:val="0"/>
              <w:autoSpaceDE/>
              <w:autoSpaceDN/>
              <w:bidi w:val="0"/>
              <w:adjustRightInd/>
              <w:snapToGrid/>
              <w:spacing w:line="520" w:lineRule="exact"/>
              <w:ind w:firstLine="480" w:firstLineChars="200"/>
              <w:jc w:val="center"/>
              <w:textAlignment w:val="auto"/>
              <w:rPr>
                <w:rFonts w:eastAsia="黑体"/>
                <w:color w:val="auto"/>
                <w:sz w:val="24"/>
                <w:szCs w:val="24"/>
              </w:rPr>
            </w:pPr>
            <w:r>
              <w:rPr>
                <w:rFonts w:hint="eastAsia" w:eastAsia="黑体"/>
                <w:color w:val="auto"/>
                <w:sz w:val="24"/>
                <w:szCs w:val="24"/>
              </w:rPr>
              <w:t>表4-</w:t>
            </w:r>
            <w:r>
              <w:rPr>
                <w:rFonts w:hint="eastAsia" w:eastAsia="黑体"/>
                <w:color w:val="auto"/>
                <w:sz w:val="24"/>
                <w:szCs w:val="24"/>
                <w:lang w:val="en-US" w:eastAsia="zh-CN"/>
              </w:rPr>
              <w:t xml:space="preserve">6 </w:t>
            </w:r>
            <w:r>
              <w:rPr>
                <w:rFonts w:hint="eastAsia" w:eastAsia="黑体"/>
                <w:color w:val="auto"/>
                <w:sz w:val="24"/>
                <w:szCs w:val="24"/>
              </w:rPr>
              <w:t xml:space="preserve">   废水排放监测方案</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4"/>
              <w:gridCol w:w="3133"/>
              <w:gridCol w:w="1294"/>
              <w:gridCol w:w="2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888" w:type="pct"/>
                  <w:tcBorders>
                    <w:tl2br w:val="nil"/>
                    <w:tr2bl w:val="nil"/>
                  </w:tcBorders>
                  <w:vAlign w:val="center"/>
                </w:tcPr>
                <w:p>
                  <w:pPr>
                    <w:pStyle w:val="76"/>
                    <w:rPr>
                      <w:iCs/>
                      <w:color w:val="auto"/>
                    </w:rPr>
                  </w:pPr>
                  <w:r>
                    <w:rPr>
                      <w:rFonts w:hint="eastAsia"/>
                      <w:iCs/>
                      <w:color w:val="auto"/>
                    </w:rPr>
                    <w:t>监测位置</w:t>
                  </w:r>
                </w:p>
              </w:tc>
              <w:tc>
                <w:tcPr>
                  <w:tcW w:w="1802" w:type="pct"/>
                  <w:tcBorders>
                    <w:tl2br w:val="nil"/>
                    <w:tr2bl w:val="nil"/>
                  </w:tcBorders>
                  <w:vAlign w:val="center"/>
                </w:tcPr>
                <w:p>
                  <w:pPr>
                    <w:pStyle w:val="76"/>
                    <w:rPr>
                      <w:iCs/>
                      <w:color w:val="auto"/>
                    </w:rPr>
                  </w:pPr>
                  <w:r>
                    <w:rPr>
                      <w:rFonts w:hint="eastAsia"/>
                      <w:iCs/>
                      <w:color w:val="auto"/>
                    </w:rPr>
                    <w:t>监测项目</w:t>
                  </w:r>
                </w:p>
              </w:tc>
              <w:tc>
                <w:tcPr>
                  <w:tcW w:w="744" w:type="pct"/>
                  <w:tcBorders>
                    <w:tl2br w:val="nil"/>
                    <w:tr2bl w:val="nil"/>
                  </w:tcBorders>
                  <w:vAlign w:val="center"/>
                </w:tcPr>
                <w:p>
                  <w:pPr>
                    <w:pStyle w:val="76"/>
                    <w:rPr>
                      <w:iCs/>
                      <w:color w:val="auto"/>
                    </w:rPr>
                  </w:pPr>
                  <w:r>
                    <w:rPr>
                      <w:rFonts w:hint="eastAsia"/>
                      <w:iCs/>
                      <w:color w:val="auto"/>
                    </w:rPr>
                    <w:t>监测频率</w:t>
                  </w:r>
                </w:p>
              </w:tc>
              <w:tc>
                <w:tcPr>
                  <w:tcW w:w="1565" w:type="pct"/>
                  <w:tcBorders>
                    <w:tl2br w:val="nil"/>
                    <w:tr2bl w:val="nil"/>
                  </w:tcBorders>
                  <w:vAlign w:val="center"/>
                </w:tcPr>
                <w:p>
                  <w:pPr>
                    <w:pStyle w:val="76"/>
                    <w:rPr>
                      <w:iCs/>
                      <w:color w:val="auto"/>
                    </w:rPr>
                  </w:pPr>
                  <w:r>
                    <w:rPr>
                      <w:rFonts w:hint="eastAsia"/>
                      <w:iCs/>
                      <w:color w:val="auto"/>
                    </w:rPr>
                    <w:t>监测方式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888" w:type="pct"/>
                  <w:vMerge w:val="restart"/>
                  <w:tcBorders>
                    <w:tl2br w:val="nil"/>
                    <w:tr2bl w:val="nil"/>
                  </w:tcBorders>
                  <w:vAlign w:val="center"/>
                </w:tcPr>
                <w:p>
                  <w:pPr>
                    <w:pStyle w:val="76"/>
                    <w:rPr>
                      <w:iCs/>
                      <w:color w:val="auto"/>
                    </w:rPr>
                  </w:pPr>
                  <w:r>
                    <w:rPr>
                      <w:rFonts w:hint="eastAsia"/>
                      <w:iCs/>
                      <w:color w:val="auto"/>
                      <w:lang w:val="en-US" w:eastAsia="zh-CN"/>
                    </w:rPr>
                    <w:t>污水处理设施</w:t>
                  </w:r>
                  <w:r>
                    <w:rPr>
                      <w:rFonts w:hint="eastAsia"/>
                      <w:iCs/>
                      <w:color w:val="auto"/>
                    </w:rPr>
                    <w:t>总排放口</w:t>
                  </w:r>
                </w:p>
              </w:tc>
              <w:tc>
                <w:tcPr>
                  <w:tcW w:w="1802" w:type="pct"/>
                  <w:tcBorders>
                    <w:tl2br w:val="nil"/>
                    <w:tr2bl w:val="nil"/>
                  </w:tcBorders>
                  <w:vAlign w:val="center"/>
                </w:tcPr>
                <w:p>
                  <w:pPr>
                    <w:pStyle w:val="76"/>
                    <w:rPr>
                      <w:rFonts w:hint="eastAsia"/>
                      <w:iCs/>
                      <w:color w:val="auto"/>
                    </w:rPr>
                  </w:pPr>
                  <w:r>
                    <w:rPr>
                      <w:rFonts w:hint="eastAsia"/>
                      <w:iCs/>
                      <w:color w:val="auto"/>
                    </w:rPr>
                    <w:t>pH值</w:t>
                  </w:r>
                </w:p>
              </w:tc>
              <w:tc>
                <w:tcPr>
                  <w:tcW w:w="744" w:type="pct"/>
                  <w:tcBorders>
                    <w:tl2br w:val="nil"/>
                    <w:tr2bl w:val="nil"/>
                  </w:tcBorders>
                  <w:vAlign w:val="center"/>
                </w:tcPr>
                <w:p>
                  <w:pPr>
                    <w:pStyle w:val="76"/>
                    <w:rPr>
                      <w:rFonts w:hint="default" w:eastAsia="宋体"/>
                      <w:iCs/>
                      <w:color w:val="auto"/>
                      <w:lang w:val="en-US" w:eastAsia="zh-CN"/>
                    </w:rPr>
                  </w:pPr>
                  <w:r>
                    <w:rPr>
                      <w:rFonts w:hint="eastAsia"/>
                      <w:iCs/>
                      <w:color w:val="auto"/>
                      <w:lang w:val="en-US" w:eastAsia="zh-CN"/>
                    </w:rPr>
                    <w:t>1次/12h</w:t>
                  </w:r>
                </w:p>
              </w:tc>
              <w:tc>
                <w:tcPr>
                  <w:tcW w:w="1565" w:type="pct"/>
                  <w:vMerge w:val="restart"/>
                  <w:tcBorders>
                    <w:tl2br w:val="nil"/>
                    <w:tr2bl w:val="nil"/>
                  </w:tcBorders>
                  <w:vAlign w:val="center"/>
                </w:tcPr>
                <w:p>
                  <w:pPr>
                    <w:pStyle w:val="76"/>
                    <w:rPr>
                      <w:iCs/>
                      <w:color w:val="auto"/>
                    </w:rPr>
                  </w:pPr>
                  <w:r>
                    <w:rPr>
                      <w:rFonts w:hint="eastAsia"/>
                      <w:iCs/>
                      <w:color w:val="auto"/>
                    </w:rPr>
                    <w:t>委托第三方监测单位监测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888" w:type="pct"/>
                  <w:vMerge w:val="continue"/>
                  <w:tcBorders>
                    <w:tl2br w:val="nil"/>
                    <w:tr2bl w:val="nil"/>
                  </w:tcBorders>
                  <w:vAlign w:val="center"/>
                </w:tcPr>
                <w:p>
                  <w:pPr>
                    <w:pStyle w:val="76"/>
                    <w:rPr>
                      <w:rFonts w:hint="eastAsia"/>
                      <w:iCs/>
                      <w:color w:val="auto"/>
                    </w:rPr>
                  </w:pPr>
                </w:p>
              </w:tc>
              <w:tc>
                <w:tcPr>
                  <w:tcW w:w="1802" w:type="pct"/>
                  <w:tcBorders>
                    <w:tl2br w:val="nil"/>
                    <w:tr2bl w:val="nil"/>
                  </w:tcBorders>
                  <w:vAlign w:val="center"/>
                </w:tcPr>
                <w:p>
                  <w:pPr>
                    <w:pStyle w:val="76"/>
                    <w:rPr>
                      <w:rFonts w:hint="eastAsia"/>
                      <w:iCs/>
                      <w:color w:val="auto"/>
                    </w:rPr>
                  </w:pPr>
                  <w:r>
                    <w:rPr>
                      <w:rFonts w:hint="eastAsia"/>
                      <w:iCs/>
                      <w:color w:val="auto"/>
                    </w:rPr>
                    <w:t>化学需氧量、悬浮物</w:t>
                  </w:r>
                </w:p>
              </w:tc>
              <w:tc>
                <w:tcPr>
                  <w:tcW w:w="744" w:type="pct"/>
                  <w:tcBorders>
                    <w:tl2br w:val="nil"/>
                    <w:tr2bl w:val="nil"/>
                  </w:tcBorders>
                  <w:vAlign w:val="center"/>
                </w:tcPr>
                <w:p>
                  <w:pPr>
                    <w:pStyle w:val="76"/>
                    <w:rPr>
                      <w:rFonts w:hint="default"/>
                      <w:iCs/>
                      <w:color w:val="auto"/>
                      <w:lang w:val="en-US" w:eastAsia="zh-CN"/>
                    </w:rPr>
                  </w:pPr>
                  <w:r>
                    <w:rPr>
                      <w:rFonts w:hint="eastAsia"/>
                      <w:iCs/>
                      <w:color w:val="auto"/>
                      <w:lang w:val="en-US" w:eastAsia="zh-CN"/>
                    </w:rPr>
                    <w:t>1次/周</w:t>
                  </w:r>
                </w:p>
              </w:tc>
              <w:tc>
                <w:tcPr>
                  <w:tcW w:w="1565" w:type="pct"/>
                  <w:vMerge w:val="continue"/>
                  <w:tcBorders>
                    <w:tl2br w:val="nil"/>
                    <w:tr2bl w:val="nil"/>
                  </w:tcBorders>
                  <w:vAlign w:val="center"/>
                </w:tcPr>
                <w:p>
                  <w:pPr>
                    <w:pStyle w:val="76"/>
                    <w:rPr>
                      <w:rFonts w:hint="eastAsia"/>
                      <w:iCs/>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888" w:type="pct"/>
                  <w:vMerge w:val="continue"/>
                  <w:tcBorders>
                    <w:tl2br w:val="nil"/>
                    <w:tr2bl w:val="nil"/>
                  </w:tcBorders>
                  <w:vAlign w:val="center"/>
                </w:tcPr>
                <w:p>
                  <w:pPr>
                    <w:pStyle w:val="76"/>
                    <w:rPr>
                      <w:rFonts w:hint="eastAsia"/>
                      <w:iCs/>
                      <w:color w:val="auto"/>
                    </w:rPr>
                  </w:pPr>
                </w:p>
              </w:tc>
              <w:tc>
                <w:tcPr>
                  <w:tcW w:w="1802" w:type="pct"/>
                  <w:tcBorders>
                    <w:tl2br w:val="nil"/>
                    <w:tr2bl w:val="nil"/>
                  </w:tcBorders>
                  <w:vAlign w:val="center"/>
                </w:tcPr>
                <w:p>
                  <w:pPr>
                    <w:pStyle w:val="76"/>
                    <w:rPr>
                      <w:rFonts w:hint="default" w:eastAsia="宋体"/>
                      <w:iCs/>
                      <w:color w:val="auto"/>
                      <w:lang w:val="en-US" w:eastAsia="zh-CN"/>
                    </w:rPr>
                  </w:pPr>
                  <w:r>
                    <w:rPr>
                      <w:rFonts w:hint="eastAsia"/>
                      <w:iCs/>
                      <w:color w:val="auto"/>
                      <w:lang w:val="en-US" w:eastAsia="zh-CN"/>
                    </w:rPr>
                    <w:t>粪大肠菌群</w:t>
                  </w:r>
                </w:p>
              </w:tc>
              <w:tc>
                <w:tcPr>
                  <w:tcW w:w="744" w:type="pct"/>
                  <w:tcBorders>
                    <w:tl2br w:val="nil"/>
                    <w:tr2bl w:val="nil"/>
                  </w:tcBorders>
                  <w:vAlign w:val="center"/>
                </w:tcPr>
                <w:p>
                  <w:pPr>
                    <w:pStyle w:val="76"/>
                    <w:rPr>
                      <w:rFonts w:hint="default"/>
                      <w:iCs/>
                      <w:color w:val="auto"/>
                      <w:lang w:val="en-US" w:eastAsia="zh-CN"/>
                    </w:rPr>
                  </w:pPr>
                  <w:r>
                    <w:rPr>
                      <w:rFonts w:hint="eastAsia"/>
                      <w:iCs/>
                      <w:color w:val="auto"/>
                      <w:lang w:val="en-US" w:eastAsia="zh-CN"/>
                    </w:rPr>
                    <w:t>1次/月</w:t>
                  </w:r>
                </w:p>
              </w:tc>
              <w:tc>
                <w:tcPr>
                  <w:tcW w:w="1565" w:type="pct"/>
                  <w:vMerge w:val="continue"/>
                  <w:tcBorders>
                    <w:tl2br w:val="nil"/>
                    <w:tr2bl w:val="nil"/>
                  </w:tcBorders>
                  <w:vAlign w:val="center"/>
                </w:tcPr>
                <w:p>
                  <w:pPr>
                    <w:pStyle w:val="76"/>
                    <w:rPr>
                      <w:rFonts w:hint="eastAsia"/>
                      <w:iCs/>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888" w:type="pct"/>
                  <w:vMerge w:val="continue"/>
                  <w:tcBorders>
                    <w:tl2br w:val="nil"/>
                    <w:tr2bl w:val="nil"/>
                  </w:tcBorders>
                  <w:vAlign w:val="center"/>
                </w:tcPr>
                <w:p>
                  <w:pPr>
                    <w:pStyle w:val="76"/>
                    <w:rPr>
                      <w:rFonts w:hint="eastAsia"/>
                      <w:iCs/>
                      <w:color w:val="auto"/>
                    </w:rPr>
                  </w:pPr>
                </w:p>
              </w:tc>
              <w:tc>
                <w:tcPr>
                  <w:tcW w:w="1802" w:type="pct"/>
                  <w:tcBorders>
                    <w:tl2br w:val="nil"/>
                    <w:tr2bl w:val="nil"/>
                  </w:tcBorders>
                  <w:vAlign w:val="center"/>
                </w:tcPr>
                <w:p>
                  <w:pPr>
                    <w:pStyle w:val="76"/>
                    <w:rPr>
                      <w:rFonts w:hint="default"/>
                      <w:iCs/>
                      <w:color w:val="auto"/>
                      <w:lang w:val="en-US" w:eastAsia="zh-CN"/>
                    </w:rPr>
                  </w:pPr>
                  <w:r>
                    <w:rPr>
                      <w:rFonts w:hint="eastAsia"/>
                      <w:iCs/>
                      <w:color w:val="auto"/>
                      <w:lang w:val="en-US" w:eastAsia="zh-CN"/>
                    </w:rPr>
                    <w:t>五日生化需氧量、石油类、挥发酚、动植物油、阴离子表面活性剂、总氰化物、沙门氏菌、</w:t>
                  </w:r>
                  <w:r>
                    <w:rPr>
                      <w:rFonts w:hint="eastAsia"/>
                      <w:iCs/>
                      <w:color w:val="auto"/>
                    </w:rPr>
                    <w:t>氨氮、</w:t>
                  </w:r>
                  <w:r>
                    <w:rPr>
                      <w:rFonts w:hint="eastAsia"/>
                      <w:iCs/>
                      <w:color w:val="auto"/>
                      <w:lang w:val="en-US" w:eastAsia="zh-CN"/>
                    </w:rPr>
                    <w:t>色度、总余氯</w:t>
                  </w:r>
                </w:p>
              </w:tc>
              <w:tc>
                <w:tcPr>
                  <w:tcW w:w="744" w:type="pct"/>
                  <w:tcBorders>
                    <w:tl2br w:val="nil"/>
                    <w:tr2bl w:val="nil"/>
                  </w:tcBorders>
                  <w:vAlign w:val="center"/>
                </w:tcPr>
                <w:p>
                  <w:pPr>
                    <w:pStyle w:val="76"/>
                    <w:rPr>
                      <w:rFonts w:hint="eastAsia"/>
                      <w:iCs/>
                      <w:color w:val="auto"/>
                      <w:lang w:val="en-US" w:eastAsia="zh-CN"/>
                    </w:rPr>
                  </w:pPr>
                  <w:r>
                    <w:rPr>
                      <w:rFonts w:hint="eastAsia"/>
                      <w:iCs/>
                      <w:color w:val="auto"/>
                      <w:lang w:val="en-US" w:eastAsia="zh-CN"/>
                    </w:rPr>
                    <w:t>1次/季度</w:t>
                  </w:r>
                </w:p>
              </w:tc>
              <w:tc>
                <w:tcPr>
                  <w:tcW w:w="1565" w:type="pct"/>
                  <w:vMerge w:val="continue"/>
                  <w:tcBorders>
                    <w:tl2br w:val="nil"/>
                    <w:tr2bl w:val="nil"/>
                  </w:tcBorders>
                  <w:vAlign w:val="center"/>
                </w:tcPr>
                <w:p>
                  <w:pPr>
                    <w:pStyle w:val="76"/>
                    <w:rPr>
                      <w:rFonts w:hint="eastAsia"/>
                      <w:iCs/>
                      <w:color w:val="auto"/>
                    </w:rPr>
                  </w:pPr>
                </w:p>
              </w:tc>
            </w:tr>
          </w:tbl>
          <w:p>
            <w:pPr>
              <w:pStyle w:val="13"/>
              <w:keepNext w:val="0"/>
              <w:keepLines w:val="0"/>
              <w:pageBreakBefore w:val="0"/>
              <w:kinsoku/>
              <w:wordWrap/>
              <w:overflowPunct/>
              <w:topLinePunct w:val="0"/>
              <w:autoSpaceDE/>
              <w:autoSpaceDN/>
              <w:bidi w:val="0"/>
              <w:spacing w:before="0" w:after="0" w:line="520" w:lineRule="exact"/>
              <w:ind w:left="0" w:right="0" w:firstLine="482" w:firstLineChars="200"/>
              <w:textAlignment w:val="auto"/>
              <w:rPr>
                <w:b/>
                <w:bCs/>
                <w:kern w:val="2"/>
                <w:sz w:val="24"/>
                <w:szCs w:val="24"/>
              </w:rPr>
            </w:pPr>
            <w:r>
              <w:rPr>
                <w:rFonts w:hint="eastAsia"/>
                <w:b/>
                <w:bCs/>
                <w:kern w:val="2"/>
                <w:sz w:val="24"/>
                <w:szCs w:val="24"/>
              </w:rPr>
              <w:t>3</w:t>
            </w:r>
            <w:r>
              <w:rPr>
                <w:rFonts w:hint="eastAsia"/>
                <w:b/>
                <w:bCs/>
                <w:kern w:val="2"/>
                <w:sz w:val="24"/>
                <w:szCs w:val="24"/>
                <w:lang w:eastAsia="zh-CN"/>
              </w:rPr>
              <w:t>.</w:t>
            </w:r>
            <w:r>
              <w:rPr>
                <w:rFonts w:hint="eastAsia"/>
                <w:b/>
                <w:bCs/>
                <w:kern w:val="2"/>
                <w:sz w:val="24"/>
                <w:szCs w:val="24"/>
              </w:rPr>
              <w:t>声环境影响分析</w:t>
            </w:r>
          </w:p>
          <w:p>
            <w:pPr>
              <w:adjustRightInd w:val="0"/>
              <w:snapToGrid w:val="0"/>
              <w:spacing w:line="520" w:lineRule="exact"/>
              <w:ind w:firstLine="482" w:firstLineChars="200"/>
              <w:rPr>
                <w:rFonts w:ascii="Times New Roman" w:hAnsi="Times New Roman" w:cs="Times New Roman"/>
                <w:b/>
                <w:sz w:val="24"/>
              </w:rPr>
            </w:pPr>
            <w:r>
              <w:rPr>
                <w:rFonts w:ascii="Times New Roman" w:hAnsi="Times New Roman" w:cs="Times New Roman"/>
                <w:b/>
                <w:sz w:val="24"/>
              </w:rPr>
              <w:t>3.1噪声源分析</w:t>
            </w:r>
          </w:p>
          <w:p>
            <w:pPr>
              <w:pStyle w:val="107"/>
              <w:spacing w:line="520" w:lineRule="exact"/>
              <w:rPr>
                <w:rFonts w:ascii="Times New Roman" w:hAnsi="Times New Roman" w:cs="Times New Roman"/>
              </w:rPr>
            </w:pPr>
            <w:r>
              <w:rPr>
                <w:rFonts w:ascii="Times New Roman" w:hAnsi="Times New Roman" w:cs="Times New Roman"/>
              </w:rPr>
              <w:t>本项目营运期噪声主要来自医院内各医疗设备运行时产生的噪声，声源强度较低，对周围环境影响较小。</w:t>
            </w:r>
          </w:p>
          <w:p>
            <w:pPr>
              <w:adjustRightInd w:val="0"/>
              <w:snapToGrid w:val="0"/>
              <w:spacing w:line="520" w:lineRule="exact"/>
              <w:ind w:firstLine="482" w:firstLineChars="200"/>
              <w:rPr>
                <w:rFonts w:ascii="Times New Roman" w:hAnsi="Times New Roman" w:cs="Times New Roman"/>
                <w:b/>
                <w:sz w:val="24"/>
              </w:rPr>
            </w:pPr>
            <w:r>
              <w:rPr>
                <w:rFonts w:ascii="Times New Roman" w:hAnsi="Times New Roman" w:cs="Times New Roman"/>
                <w:b/>
                <w:sz w:val="24"/>
              </w:rPr>
              <w:t>3.2噪声适用标准</w:t>
            </w:r>
          </w:p>
          <w:p>
            <w:pPr>
              <w:pStyle w:val="107"/>
              <w:spacing w:line="520" w:lineRule="exact"/>
              <w:rPr>
                <w:rFonts w:ascii="Times New Roman" w:hAnsi="Times New Roman" w:cs="Times New Roman"/>
              </w:rPr>
            </w:pPr>
            <w:r>
              <w:rPr>
                <w:rFonts w:ascii="Times New Roman" w:hAnsi="Times New Roman" w:cs="Times New Roman"/>
              </w:rPr>
              <w:t>本项目运营期噪声执行《工业企业厂界环境噪声排放标准》（GB12348-2008）中的</w:t>
            </w:r>
            <w:r>
              <w:rPr>
                <w:rFonts w:hint="eastAsia" w:ascii="Times New Roman" w:hAnsi="Times New Roman" w:cs="Times New Roman"/>
              </w:rPr>
              <w:t>1</w:t>
            </w:r>
            <w:r>
              <w:rPr>
                <w:rFonts w:ascii="Times New Roman" w:hAnsi="Times New Roman" w:cs="Times New Roman"/>
              </w:rPr>
              <w:t>类标准，即白天</w:t>
            </w:r>
            <w:r>
              <w:rPr>
                <w:rFonts w:hint="eastAsia" w:ascii="Times New Roman" w:hAnsi="Times New Roman" w:cs="Times New Roman"/>
              </w:rPr>
              <w:t>55</w:t>
            </w:r>
            <w:r>
              <w:rPr>
                <w:rFonts w:ascii="Times New Roman" w:hAnsi="Times New Roman" w:cs="Times New Roman"/>
              </w:rPr>
              <w:t>dB（A），夜间</w:t>
            </w:r>
            <w:r>
              <w:rPr>
                <w:rFonts w:hint="eastAsia" w:ascii="Times New Roman" w:hAnsi="Times New Roman" w:cs="Times New Roman"/>
              </w:rPr>
              <w:t>4</w:t>
            </w:r>
            <w:r>
              <w:rPr>
                <w:rFonts w:ascii="Times New Roman" w:hAnsi="Times New Roman" w:cs="Times New Roman"/>
              </w:rPr>
              <w:t>5dB（A）。</w:t>
            </w:r>
          </w:p>
          <w:p>
            <w:pPr>
              <w:adjustRightInd w:val="0"/>
              <w:snapToGrid w:val="0"/>
              <w:spacing w:line="520" w:lineRule="exact"/>
              <w:ind w:firstLine="482" w:firstLineChars="200"/>
              <w:rPr>
                <w:rFonts w:ascii="Times New Roman" w:hAnsi="Times New Roman" w:cs="Times New Roman"/>
                <w:b/>
                <w:sz w:val="24"/>
              </w:rPr>
            </w:pPr>
            <w:r>
              <w:rPr>
                <w:rFonts w:ascii="Times New Roman" w:hAnsi="Times New Roman" w:cs="Times New Roman"/>
                <w:b/>
                <w:sz w:val="24"/>
              </w:rPr>
              <w:t>3.3噪声影响评价分析</w:t>
            </w:r>
          </w:p>
          <w:p>
            <w:pPr>
              <w:pStyle w:val="107"/>
              <w:spacing w:line="520" w:lineRule="exact"/>
              <w:rPr>
                <w:rFonts w:ascii="Times New Roman" w:hAnsi="Times New Roman" w:cs="Times New Roman"/>
              </w:rPr>
            </w:pPr>
            <w:r>
              <w:rPr>
                <w:rFonts w:ascii="Times New Roman" w:hAnsi="Times New Roman" w:cs="Times New Roman"/>
              </w:rPr>
              <w:t>本项目营运期间，噪声源主要为医疗设备运行噪声，以及来自门诊病人及陪护人员产生的社会生活噪声。</w:t>
            </w:r>
          </w:p>
          <w:p>
            <w:pPr>
              <w:pStyle w:val="13"/>
              <w:spacing w:line="240" w:lineRule="auto"/>
              <w:jc w:val="center"/>
              <w:rPr>
                <w:rFonts w:hint="eastAsia" w:ascii="Times New Roman" w:hAnsi="Times New Roman" w:cs="Times New Roman"/>
                <w:b/>
                <w:bCs/>
                <w:kern w:val="2"/>
                <w:sz w:val="24"/>
              </w:rPr>
            </w:pPr>
            <w:r>
              <w:rPr>
                <w:rFonts w:hint="eastAsia" w:ascii="Times New Roman" w:hAnsi="Times New Roman" w:cs="Times New Roman"/>
                <w:b/>
                <w:bCs/>
                <w:kern w:val="2"/>
                <w:sz w:val="24"/>
              </w:rPr>
              <w:t>表</w:t>
            </w:r>
            <w:r>
              <w:rPr>
                <w:rFonts w:hint="eastAsia" w:ascii="Times New Roman" w:hAnsi="Times New Roman" w:cs="Times New Roman"/>
                <w:b/>
                <w:bCs/>
                <w:kern w:val="2"/>
                <w:sz w:val="24"/>
                <w:lang w:val="en-US" w:eastAsia="zh-CN"/>
              </w:rPr>
              <w:t>4-7</w:t>
            </w:r>
            <w:r>
              <w:rPr>
                <w:rFonts w:hint="eastAsia" w:ascii="Times New Roman" w:hAnsi="Times New Roman" w:cs="Times New Roman"/>
                <w:b/>
                <w:bCs/>
                <w:kern w:val="2"/>
                <w:sz w:val="24"/>
              </w:rPr>
              <w:t xml:space="preserve">    项目噪声源强及治理措施一览表</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517"/>
              <w:gridCol w:w="1188"/>
              <w:gridCol w:w="1364"/>
              <w:gridCol w:w="1150"/>
              <w:gridCol w:w="3027"/>
              <w:gridCol w:w="144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297" w:type="pct"/>
                  <w:noWrap w:val="0"/>
                  <w:vAlign w:val="center"/>
                </w:tcPr>
                <w:p>
                  <w:pPr>
                    <w:pStyle w:val="102"/>
                    <w:rPr>
                      <w:rFonts w:ascii="Times New Roman" w:hAnsi="Times New Roman" w:cs="Times New Roman"/>
                    </w:rPr>
                  </w:pPr>
                  <w:r>
                    <w:rPr>
                      <w:rFonts w:ascii="Times New Roman" w:hAnsi="Times New Roman" w:cs="Times New Roman"/>
                    </w:rPr>
                    <w:t>编号</w:t>
                  </w:r>
                </w:p>
              </w:tc>
              <w:tc>
                <w:tcPr>
                  <w:tcW w:w="683" w:type="pct"/>
                  <w:noWrap w:val="0"/>
                  <w:vAlign w:val="center"/>
                </w:tcPr>
                <w:p>
                  <w:pPr>
                    <w:pStyle w:val="102"/>
                    <w:rPr>
                      <w:rFonts w:ascii="Times New Roman" w:hAnsi="Times New Roman" w:cs="Times New Roman"/>
                    </w:rPr>
                  </w:pPr>
                  <w:r>
                    <w:rPr>
                      <w:rFonts w:ascii="Times New Roman" w:hAnsi="Times New Roman" w:cs="Times New Roman"/>
                    </w:rPr>
                    <w:t>装置</w:t>
                  </w:r>
                </w:p>
              </w:tc>
              <w:tc>
                <w:tcPr>
                  <w:tcW w:w="784" w:type="pct"/>
                  <w:noWrap w:val="0"/>
                  <w:vAlign w:val="center"/>
                </w:tcPr>
                <w:p>
                  <w:pPr>
                    <w:pStyle w:val="102"/>
                    <w:rPr>
                      <w:rFonts w:ascii="Times New Roman" w:hAnsi="Times New Roman" w:cs="Times New Roman"/>
                    </w:rPr>
                  </w:pPr>
                  <w:r>
                    <w:rPr>
                      <w:rFonts w:ascii="Times New Roman" w:hAnsi="Times New Roman" w:cs="Times New Roman"/>
                    </w:rPr>
                    <w:t>源强dB（A）</w:t>
                  </w:r>
                </w:p>
              </w:tc>
              <w:tc>
                <w:tcPr>
                  <w:tcW w:w="661" w:type="pct"/>
                  <w:noWrap w:val="0"/>
                  <w:vAlign w:val="center"/>
                </w:tcPr>
                <w:p>
                  <w:pPr>
                    <w:pStyle w:val="102"/>
                    <w:rPr>
                      <w:rFonts w:ascii="Times New Roman" w:hAnsi="Times New Roman" w:cs="Times New Roman"/>
                    </w:rPr>
                  </w:pPr>
                  <w:r>
                    <w:rPr>
                      <w:rFonts w:ascii="Times New Roman" w:hAnsi="Times New Roman" w:cs="Times New Roman"/>
                    </w:rPr>
                    <w:t>产生位置</w:t>
                  </w:r>
                </w:p>
              </w:tc>
              <w:tc>
                <w:tcPr>
                  <w:tcW w:w="1740" w:type="pct"/>
                  <w:noWrap w:val="0"/>
                  <w:vAlign w:val="center"/>
                </w:tcPr>
                <w:p>
                  <w:pPr>
                    <w:pStyle w:val="102"/>
                    <w:rPr>
                      <w:rFonts w:ascii="Times New Roman" w:hAnsi="Times New Roman" w:cs="Times New Roman"/>
                    </w:rPr>
                  </w:pPr>
                  <w:r>
                    <w:rPr>
                      <w:rFonts w:ascii="Times New Roman" w:hAnsi="Times New Roman" w:cs="Times New Roman"/>
                    </w:rPr>
                    <w:t>处置措施</w:t>
                  </w:r>
                </w:p>
              </w:tc>
              <w:tc>
                <w:tcPr>
                  <w:tcW w:w="833" w:type="pct"/>
                  <w:noWrap w:val="0"/>
                  <w:vAlign w:val="center"/>
                </w:tcPr>
                <w:p>
                  <w:pPr>
                    <w:pStyle w:val="102"/>
                    <w:rPr>
                      <w:rFonts w:ascii="Times New Roman" w:hAnsi="Times New Roman" w:cs="Times New Roman"/>
                    </w:rPr>
                  </w:pPr>
                  <w:r>
                    <w:rPr>
                      <w:rFonts w:ascii="Times New Roman" w:hAnsi="Times New Roman" w:cs="Times New Roman"/>
                    </w:rPr>
                    <w:t>处理后噪声级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937" w:hRule="atLeast"/>
                <w:jc w:val="center"/>
              </w:trPr>
              <w:tc>
                <w:tcPr>
                  <w:tcW w:w="297" w:type="pct"/>
                  <w:noWrap w:val="0"/>
                  <w:vAlign w:val="center"/>
                </w:tcPr>
                <w:p>
                  <w:pPr>
                    <w:pStyle w:val="102"/>
                    <w:rPr>
                      <w:rFonts w:ascii="Times New Roman" w:hAnsi="Times New Roman" w:cs="Times New Roman"/>
                    </w:rPr>
                  </w:pPr>
                  <w:r>
                    <w:rPr>
                      <w:rFonts w:ascii="Times New Roman" w:hAnsi="Times New Roman" w:cs="Times New Roman"/>
                    </w:rPr>
                    <w:t>1</w:t>
                  </w:r>
                </w:p>
              </w:tc>
              <w:tc>
                <w:tcPr>
                  <w:tcW w:w="683" w:type="pct"/>
                  <w:noWrap w:val="0"/>
                  <w:vAlign w:val="center"/>
                </w:tcPr>
                <w:p>
                  <w:pPr>
                    <w:pStyle w:val="102"/>
                    <w:rPr>
                      <w:rFonts w:ascii="Times New Roman" w:hAnsi="Times New Roman" w:cs="Times New Roman"/>
                    </w:rPr>
                  </w:pPr>
                  <w:r>
                    <w:rPr>
                      <w:rFonts w:ascii="Times New Roman" w:hAnsi="Times New Roman" w:cs="Times New Roman"/>
                    </w:rPr>
                    <w:t>医疗设备</w:t>
                  </w:r>
                </w:p>
              </w:tc>
              <w:tc>
                <w:tcPr>
                  <w:tcW w:w="784" w:type="pct"/>
                  <w:noWrap w:val="0"/>
                  <w:vAlign w:val="center"/>
                </w:tcPr>
                <w:p>
                  <w:pPr>
                    <w:pStyle w:val="102"/>
                    <w:rPr>
                      <w:rFonts w:ascii="Times New Roman" w:hAnsi="Times New Roman" w:cs="Times New Roman"/>
                    </w:rPr>
                  </w:pPr>
                  <w:r>
                    <w:rPr>
                      <w:rFonts w:ascii="Times New Roman" w:hAnsi="Times New Roman" w:cs="Times New Roman"/>
                    </w:rPr>
                    <w:t>50～80</w:t>
                  </w:r>
                </w:p>
              </w:tc>
              <w:tc>
                <w:tcPr>
                  <w:tcW w:w="661" w:type="pct"/>
                  <w:noWrap w:val="0"/>
                  <w:tcMar>
                    <w:left w:w="0" w:type="dxa"/>
                    <w:right w:w="0" w:type="dxa"/>
                  </w:tcMar>
                  <w:vAlign w:val="center"/>
                </w:tcPr>
                <w:p>
                  <w:pPr>
                    <w:pStyle w:val="102"/>
                    <w:rPr>
                      <w:rFonts w:ascii="Times New Roman" w:hAnsi="Times New Roman" w:cs="Times New Roman"/>
                    </w:rPr>
                  </w:pPr>
                  <w:r>
                    <w:rPr>
                      <w:rFonts w:ascii="Times New Roman" w:hAnsi="Times New Roman" w:cs="Times New Roman"/>
                    </w:rPr>
                    <w:t>诊断科室以及化验室</w:t>
                  </w:r>
                </w:p>
              </w:tc>
              <w:tc>
                <w:tcPr>
                  <w:tcW w:w="1740" w:type="pct"/>
                  <w:noWrap w:val="0"/>
                  <w:vAlign w:val="center"/>
                </w:tcPr>
                <w:p>
                  <w:pPr>
                    <w:pStyle w:val="102"/>
                    <w:rPr>
                      <w:rFonts w:ascii="Times New Roman" w:hAnsi="Times New Roman" w:cs="Times New Roman"/>
                    </w:rPr>
                  </w:pPr>
                  <w:r>
                    <w:rPr>
                      <w:rFonts w:ascii="Times New Roman" w:hAnsi="Times New Roman" w:cs="Times New Roman"/>
                    </w:rPr>
                    <w:t>设备选用低噪声设备，水泵吸水管和出水管加设可曲绕橡胶接头，各仪器安全操作运行。</w:t>
                  </w:r>
                </w:p>
              </w:tc>
              <w:tc>
                <w:tcPr>
                  <w:tcW w:w="833" w:type="pct"/>
                  <w:noWrap w:val="0"/>
                  <w:vAlign w:val="center"/>
                </w:tcPr>
                <w:p>
                  <w:pPr>
                    <w:pStyle w:val="102"/>
                    <w:rPr>
                      <w:rFonts w:ascii="Times New Roman" w:hAnsi="Times New Roman" w:cs="Times New Roman"/>
                    </w:rPr>
                  </w:pPr>
                  <w:r>
                    <w:rPr>
                      <w:rFonts w:ascii="Times New Roman" w:hAnsi="Times New Roman" w:cs="Times New Roman"/>
                    </w:rPr>
                    <w:t>&lt;55dB（A）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297" w:type="pct"/>
                  <w:noWrap w:val="0"/>
                  <w:vAlign w:val="center"/>
                </w:tcPr>
                <w:p>
                  <w:pPr>
                    <w:pStyle w:val="102"/>
                    <w:rPr>
                      <w:rFonts w:ascii="Times New Roman" w:hAnsi="Times New Roman" w:cs="Times New Roman"/>
                    </w:rPr>
                  </w:pPr>
                  <w:r>
                    <w:rPr>
                      <w:rFonts w:ascii="Times New Roman" w:hAnsi="Times New Roman" w:cs="Times New Roman"/>
                    </w:rPr>
                    <w:t>2</w:t>
                  </w:r>
                </w:p>
              </w:tc>
              <w:tc>
                <w:tcPr>
                  <w:tcW w:w="683" w:type="pct"/>
                  <w:noWrap w:val="0"/>
                  <w:vAlign w:val="center"/>
                </w:tcPr>
                <w:p>
                  <w:pPr>
                    <w:pStyle w:val="102"/>
                    <w:rPr>
                      <w:rFonts w:ascii="Times New Roman" w:hAnsi="Times New Roman" w:cs="Times New Roman"/>
                    </w:rPr>
                  </w:pPr>
                  <w:r>
                    <w:rPr>
                      <w:rFonts w:ascii="Times New Roman" w:hAnsi="Times New Roman" w:cs="Times New Roman"/>
                    </w:rPr>
                    <w:t>车辆噪声</w:t>
                  </w:r>
                </w:p>
              </w:tc>
              <w:tc>
                <w:tcPr>
                  <w:tcW w:w="784" w:type="pct"/>
                  <w:noWrap w:val="0"/>
                  <w:vAlign w:val="center"/>
                </w:tcPr>
                <w:p>
                  <w:pPr>
                    <w:pStyle w:val="102"/>
                    <w:rPr>
                      <w:rFonts w:ascii="Times New Roman" w:hAnsi="Times New Roman" w:cs="Times New Roman"/>
                    </w:rPr>
                  </w:pPr>
                  <w:r>
                    <w:rPr>
                      <w:rFonts w:ascii="Times New Roman" w:hAnsi="Times New Roman" w:cs="Times New Roman"/>
                    </w:rPr>
                    <w:t>65～75</w:t>
                  </w:r>
                </w:p>
              </w:tc>
              <w:tc>
                <w:tcPr>
                  <w:tcW w:w="661" w:type="pct"/>
                  <w:noWrap w:val="0"/>
                  <w:tcMar>
                    <w:left w:w="0" w:type="dxa"/>
                    <w:right w:w="0" w:type="dxa"/>
                  </w:tcMar>
                  <w:vAlign w:val="center"/>
                </w:tcPr>
                <w:p>
                  <w:pPr>
                    <w:pStyle w:val="102"/>
                    <w:rPr>
                      <w:rFonts w:ascii="Times New Roman" w:hAnsi="Times New Roman" w:cs="Times New Roman"/>
                    </w:rPr>
                  </w:pPr>
                  <w:r>
                    <w:rPr>
                      <w:rFonts w:ascii="Times New Roman" w:hAnsi="Times New Roman" w:cs="Times New Roman"/>
                    </w:rPr>
                    <w:t>道路</w:t>
                  </w:r>
                </w:p>
              </w:tc>
              <w:tc>
                <w:tcPr>
                  <w:tcW w:w="1740" w:type="pct"/>
                  <w:noWrap w:val="0"/>
                  <w:vAlign w:val="center"/>
                </w:tcPr>
                <w:p>
                  <w:pPr>
                    <w:pStyle w:val="102"/>
                    <w:rPr>
                      <w:rFonts w:ascii="Times New Roman" w:hAnsi="Times New Roman" w:cs="Times New Roman"/>
                    </w:rPr>
                  </w:pPr>
                  <w:r>
                    <w:rPr>
                      <w:rFonts w:ascii="Times New Roman" w:hAnsi="Times New Roman" w:cs="Times New Roman"/>
                    </w:rPr>
                    <w:t>采取禁鸣喇叭、控制行车路线、修建绿化隔声带等管理及治理。</w:t>
                  </w:r>
                </w:p>
              </w:tc>
              <w:tc>
                <w:tcPr>
                  <w:tcW w:w="833" w:type="pct"/>
                  <w:noWrap w:val="0"/>
                  <w:vAlign w:val="center"/>
                </w:tcPr>
                <w:p>
                  <w:pPr>
                    <w:pStyle w:val="102"/>
                    <w:rPr>
                      <w:rFonts w:ascii="Times New Roman" w:hAnsi="Times New Roman" w:cs="Times New Roman"/>
                    </w:rPr>
                  </w:pPr>
                  <w:r>
                    <w:rPr>
                      <w:rFonts w:ascii="Times New Roman" w:hAnsi="Times New Roman" w:cs="Times New Roman"/>
                    </w:rPr>
                    <w:t>&lt;</w:t>
                  </w:r>
                  <w:r>
                    <w:rPr>
                      <w:rFonts w:hint="eastAsia" w:ascii="Times New Roman" w:hAnsi="Times New Roman" w:cs="Times New Roman"/>
                    </w:rPr>
                    <w:t>55</w:t>
                  </w:r>
                  <w:r>
                    <w:rPr>
                      <w:rFonts w:ascii="Times New Roman" w:hAnsi="Times New Roman" w:cs="Times New Roman"/>
                    </w:rPr>
                    <w:t>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340" w:hRule="atLeast"/>
                <w:jc w:val="center"/>
              </w:trPr>
              <w:tc>
                <w:tcPr>
                  <w:tcW w:w="297" w:type="pct"/>
                  <w:noWrap w:val="0"/>
                  <w:vAlign w:val="center"/>
                </w:tcPr>
                <w:p>
                  <w:pPr>
                    <w:pStyle w:val="102"/>
                    <w:rPr>
                      <w:rFonts w:ascii="Times New Roman" w:hAnsi="Times New Roman" w:cs="Times New Roman"/>
                    </w:rPr>
                  </w:pPr>
                  <w:r>
                    <w:rPr>
                      <w:rFonts w:ascii="Times New Roman" w:hAnsi="Times New Roman" w:cs="Times New Roman"/>
                    </w:rPr>
                    <w:t>3</w:t>
                  </w:r>
                </w:p>
              </w:tc>
              <w:tc>
                <w:tcPr>
                  <w:tcW w:w="683" w:type="pct"/>
                  <w:noWrap w:val="0"/>
                  <w:vAlign w:val="center"/>
                </w:tcPr>
                <w:p>
                  <w:pPr>
                    <w:pStyle w:val="102"/>
                    <w:rPr>
                      <w:rFonts w:ascii="Times New Roman" w:hAnsi="Times New Roman" w:cs="Times New Roman"/>
                    </w:rPr>
                  </w:pPr>
                  <w:r>
                    <w:rPr>
                      <w:rFonts w:ascii="Times New Roman" w:hAnsi="Times New Roman" w:cs="Times New Roman"/>
                    </w:rPr>
                    <w:t>社会生活噪声</w:t>
                  </w:r>
                </w:p>
              </w:tc>
              <w:tc>
                <w:tcPr>
                  <w:tcW w:w="784" w:type="pct"/>
                  <w:noWrap w:val="0"/>
                  <w:vAlign w:val="center"/>
                </w:tcPr>
                <w:p>
                  <w:pPr>
                    <w:pStyle w:val="102"/>
                    <w:rPr>
                      <w:rFonts w:ascii="Times New Roman" w:hAnsi="Times New Roman" w:cs="Times New Roman"/>
                    </w:rPr>
                  </w:pPr>
                  <w:r>
                    <w:rPr>
                      <w:rFonts w:ascii="Times New Roman" w:hAnsi="Times New Roman" w:cs="Times New Roman"/>
                    </w:rPr>
                    <w:t>50～60</w:t>
                  </w:r>
                </w:p>
              </w:tc>
              <w:tc>
                <w:tcPr>
                  <w:tcW w:w="661" w:type="pct"/>
                  <w:noWrap w:val="0"/>
                  <w:tcMar>
                    <w:left w:w="0" w:type="dxa"/>
                    <w:right w:w="0" w:type="dxa"/>
                  </w:tcMar>
                  <w:vAlign w:val="center"/>
                </w:tcPr>
                <w:p>
                  <w:pPr>
                    <w:pStyle w:val="102"/>
                    <w:rPr>
                      <w:rFonts w:ascii="Times New Roman" w:hAnsi="Times New Roman" w:cs="Times New Roman"/>
                    </w:rPr>
                  </w:pPr>
                  <w:r>
                    <w:rPr>
                      <w:rFonts w:ascii="Times New Roman" w:hAnsi="Times New Roman" w:cs="Times New Roman"/>
                    </w:rPr>
                    <w:t>院内</w:t>
                  </w:r>
                </w:p>
              </w:tc>
              <w:tc>
                <w:tcPr>
                  <w:tcW w:w="1740" w:type="pct"/>
                  <w:noWrap w:val="0"/>
                  <w:vAlign w:val="center"/>
                </w:tcPr>
                <w:p>
                  <w:pPr>
                    <w:pStyle w:val="102"/>
                    <w:rPr>
                      <w:rFonts w:ascii="Times New Roman" w:hAnsi="Times New Roman" w:cs="Times New Roman"/>
                    </w:rPr>
                  </w:pPr>
                  <w:r>
                    <w:rPr>
                      <w:rFonts w:ascii="Times New Roman" w:hAnsi="Times New Roman" w:cs="Times New Roman"/>
                    </w:rPr>
                    <w:t>加强管理，严禁大声喧哗</w:t>
                  </w:r>
                </w:p>
              </w:tc>
              <w:tc>
                <w:tcPr>
                  <w:tcW w:w="833" w:type="pct"/>
                  <w:noWrap w:val="0"/>
                  <w:vAlign w:val="center"/>
                </w:tcPr>
                <w:p>
                  <w:pPr>
                    <w:pStyle w:val="102"/>
                    <w:rPr>
                      <w:rFonts w:ascii="Times New Roman" w:hAnsi="Times New Roman" w:cs="Times New Roman"/>
                    </w:rPr>
                  </w:pPr>
                  <w:r>
                    <w:rPr>
                      <w:rFonts w:ascii="Times New Roman" w:hAnsi="Times New Roman" w:cs="Times New Roman"/>
                    </w:rPr>
                    <w:t>&lt;</w:t>
                  </w:r>
                  <w:r>
                    <w:rPr>
                      <w:rFonts w:hint="eastAsia" w:ascii="Times New Roman" w:hAnsi="Times New Roman" w:cs="Times New Roman"/>
                    </w:rPr>
                    <w:t>55</w:t>
                  </w:r>
                  <w:r>
                    <w:rPr>
                      <w:rFonts w:ascii="Times New Roman" w:hAnsi="Times New Roman" w:cs="Times New Roman"/>
                    </w:rPr>
                    <w:t>dB（A）</w:t>
                  </w:r>
                </w:p>
              </w:tc>
            </w:tr>
          </w:tbl>
          <w:p>
            <w:pPr>
              <w:pStyle w:val="107"/>
              <w:spacing w:line="520" w:lineRule="exact"/>
              <w:rPr>
                <w:rFonts w:ascii="Times New Roman" w:hAnsi="Times New Roman" w:cs="Times New Roman"/>
              </w:rPr>
            </w:pPr>
            <w:r>
              <w:rPr>
                <w:rFonts w:ascii="Times New Roman" w:hAnsi="Times New Roman" w:cs="Times New Roman"/>
              </w:rPr>
              <w:t>经采取表</w:t>
            </w:r>
            <w:r>
              <w:rPr>
                <w:rFonts w:hint="eastAsia" w:ascii="Times New Roman" w:hAnsi="Times New Roman" w:cs="Times New Roman"/>
                <w:lang w:val="en-US" w:eastAsia="zh-CN"/>
              </w:rPr>
              <w:t>4-7</w:t>
            </w:r>
            <w:r>
              <w:rPr>
                <w:rFonts w:ascii="Times New Roman" w:hAnsi="Times New Roman" w:cs="Times New Roman"/>
              </w:rPr>
              <w:t>的处理措施后，医院噪声强度可以达到《工业企业厂界环境噪声排放标准》（GB12348-2008）1类标准，对项目区声环境影响不大。</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bCs/>
                <w:sz w:val="24"/>
              </w:rPr>
            </w:pPr>
            <w:r>
              <w:rPr>
                <w:rFonts w:hint="eastAsia"/>
                <w:b/>
                <w:bCs/>
                <w:sz w:val="24"/>
              </w:rPr>
              <w:t>4</w:t>
            </w:r>
            <w:r>
              <w:rPr>
                <w:rFonts w:hint="eastAsia"/>
                <w:b/>
                <w:bCs/>
                <w:sz w:val="24"/>
                <w:lang w:eastAsia="zh-CN"/>
              </w:rPr>
              <w:t>.</w:t>
            </w:r>
            <w:r>
              <w:rPr>
                <w:rFonts w:hint="eastAsia"/>
                <w:b/>
                <w:bCs/>
                <w:sz w:val="24"/>
              </w:rPr>
              <w:t>固废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本项目实施后，固体废弃物主要包括医疗垃圾和生活垃圾。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（1）医疗垃圾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eastAsia="宋体" w:cs="Times New Roman"/>
                <w:sz w:val="24"/>
                <w:szCs w:val="24"/>
                <w:lang w:val="en-US" w:eastAsia="zh-CN"/>
              </w:rPr>
            </w:pPr>
            <w:r>
              <w:rPr>
                <w:rFonts w:hint="eastAsia" w:ascii="Times New Roman" w:cs="Times New Roman"/>
                <w:sz w:val="24"/>
                <w:szCs w:val="24"/>
              </w:rPr>
              <w:t>医疗垃圾主要包括感染性废物、病理性废物、损伤性废物、药物性废物和化学性废物。根据</w:t>
            </w:r>
            <w:r>
              <w:rPr>
                <w:rFonts w:hint="eastAsia" w:cs="Times New Roman"/>
                <w:sz w:val="24"/>
                <w:szCs w:val="24"/>
                <w:lang w:val="en-US" w:eastAsia="zh-CN"/>
              </w:rPr>
              <w:t>工程分析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outlineLvl w:val="0"/>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14:textFill>
                  <w14:solidFill>
                    <w14:schemeClr w14:val="tx1"/>
                  </w14:solidFill>
                </w14:textFill>
              </w:rPr>
              <w:t>医疗废物产生量核算</w:t>
            </w:r>
            <w:r>
              <w:rPr>
                <w:rFonts w:hint="eastAsia"/>
                <w:color w:val="000000" w:themeColor="text1"/>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outlineLvl w:val="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根据《医疗卫生机构医疗废物排放量调查》（倪晓平，邢华等）产污系数计算，凡拥有病床的医院，医疗废物排放（产生）量的产污系数单位为kg/（床·d），使用该方法计算时不再考虑门诊人次数。</w:t>
            </w:r>
            <w:r>
              <w:rPr>
                <w:rFonts w:hint="eastAsia"/>
                <w:color w:val="000000" w:themeColor="text1"/>
                <w:sz w:val="24"/>
                <w:szCs w:val="24"/>
                <w:lang w:val="en-US" w:eastAsia="zh-CN"/>
                <w14:textFill>
                  <w14:solidFill>
                    <w14:schemeClr w14:val="tx1"/>
                  </w14:solidFill>
                </w14:textFill>
              </w:rPr>
              <w:t>县（</w:t>
            </w:r>
            <w:r>
              <w:rPr>
                <w:rFonts w:hint="eastAsia"/>
                <w:color w:val="000000" w:themeColor="text1"/>
                <w:sz w:val="24"/>
                <w:szCs w:val="24"/>
                <w14:textFill>
                  <w14:solidFill>
                    <w14:schemeClr w14:val="tx1"/>
                  </w14:solidFill>
                </w14:textFill>
              </w:rPr>
              <w:t>市</w:t>
            </w:r>
            <w:r>
              <w:rPr>
                <w:rFonts w:hint="eastAsia"/>
                <w:color w:val="000000" w:themeColor="text1"/>
                <w:sz w:val="24"/>
                <w:szCs w:val="24"/>
                <w:lang w:val="en-US" w:eastAsia="zh-CN"/>
                <w14:textFill>
                  <w14:solidFill>
                    <w14:schemeClr w14:val="tx1"/>
                  </w14:solidFill>
                </w14:textFill>
              </w:rPr>
              <w:t>）区</w:t>
            </w:r>
            <w:r>
              <w:rPr>
                <w:rFonts w:hint="eastAsia"/>
                <w:color w:val="000000" w:themeColor="text1"/>
                <w:sz w:val="24"/>
                <w:szCs w:val="24"/>
                <w14:textFill>
                  <w14:solidFill>
                    <w14:schemeClr w14:val="tx1"/>
                  </w14:solidFill>
                </w14:textFill>
              </w:rPr>
              <w:t>医院产污系数为0.7</w:t>
            </w:r>
            <w:r>
              <w:rPr>
                <w:rFonts w:hint="default" w:ascii="Times New Roman" w:hAnsi="Times New Roman" w:cs="Times New Roman"/>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kg/（床·d）。本评价取医疗废物产污系数</w:t>
            </w:r>
            <w:r>
              <w:rPr>
                <w:rFonts w:hint="eastAsia"/>
                <w:color w:val="000000" w:themeColor="text1"/>
                <w:sz w:val="24"/>
                <w:szCs w:val="24"/>
                <w:lang w:val="en-US" w:eastAsia="zh-CN"/>
                <w14:textFill>
                  <w14:solidFill>
                    <w14:schemeClr w14:val="tx1"/>
                  </w14:solidFill>
                </w14:textFill>
              </w:rPr>
              <w:t>1.0</w:t>
            </w:r>
            <w:r>
              <w:rPr>
                <w:rFonts w:hint="eastAsia"/>
                <w:color w:val="000000" w:themeColor="text1"/>
                <w:sz w:val="24"/>
                <w:szCs w:val="24"/>
                <w14:textFill>
                  <w14:solidFill>
                    <w14:schemeClr w14:val="tx1"/>
                  </w14:solidFill>
                </w14:textFill>
              </w:rPr>
              <w:t>kg/（床·d），计算得</w:t>
            </w:r>
            <w:r>
              <w:rPr>
                <w:rFonts w:hint="eastAsia"/>
                <w:color w:val="000000" w:themeColor="text1"/>
                <w:sz w:val="24"/>
                <w:szCs w:val="24"/>
                <w:lang w:val="en-US" w:eastAsia="zh-CN"/>
                <w14:textFill>
                  <w14:solidFill>
                    <w14:schemeClr w14:val="tx1"/>
                  </w14:solidFill>
                </w14:textFill>
              </w:rPr>
              <w:t>本项目</w:t>
            </w:r>
            <w:r>
              <w:rPr>
                <w:rFonts w:hint="eastAsia"/>
                <w:color w:val="000000" w:themeColor="text1"/>
                <w:sz w:val="24"/>
                <w:szCs w:val="24"/>
                <w14:textFill>
                  <w14:solidFill>
                    <w14:schemeClr w14:val="tx1"/>
                  </w14:solidFill>
                </w14:textFill>
              </w:rPr>
              <w:t>医疗废物产生量约</w:t>
            </w:r>
            <w:r>
              <w:rPr>
                <w:rFonts w:hint="eastAsia"/>
                <w:color w:val="000000" w:themeColor="text1"/>
                <w:sz w:val="24"/>
                <w:szCs w:val="24"/>
                <w:lang w:val="en-US" w:eastAsia="zh-CN"/>
                <w14:textFill>
                  <w14:solidFill>
                    <w14:schemeClr w14:val="tx1"/>
                  </w14:solidFill>
                </w14:textFill>
              </w:rPr>
              <w:t>0.12</w:t>
            </w:r>
            <w:r>
              <w:rPr>
                <w:rFonts w:hint="eastAsia"/>
                <w:color w:val="000000" w:themeColor="text1"/>
                <w:sz w:val="24"/>
                <w:szCs w:val="24"/>
                <w14:textFill>
                  <w14:solidFill>
                    <w14:schemeClr w14:val="tx1"/>
                  </w14:solidFill>
                </w14:textFill>
              </w:rPr>
              <w:t>t/d（</w:t>
            </w:r>
            <w:r>
              <w:rPr>
                <w:rFonts w:hint="eastAsia"/>
                <w:color w:val="000000" w:themeColor="text1"/>
                <w:sz w:val="24"/>
                <w:szCs w:val="24"/>
                <w:lang w:val="en-US" w:eastAsia="zh-CN"/>
                <w14:textFill>
                  <w14:solidFill>
                    <w14:schemeClr w14:val="tx1"/>
                  </w14:solidFill>
                </w14:textFill>
              </w:rPr>
              <w:t>43.8</w:t>
            </w:r>
            <w:r>
              <w:rPr>
                <w:rFonts w:hint="eastAsia"/>
                <w:color w:val="000000" w:themeColor="text1"/>
                <w:sz w:val="24"/>
                <w:szCs w:val="24"/>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本项目产生的医疗垃圾</w:t>
            </w:r>
            <w:r>
              <w:rPr>
                <w:rFonts w:hint="eastAsia" w:ascii="Times New Roman" w:cs="Times New Roman"/>
                <w:color w:val="000000" w:themeColor="text1"/>
                <w:sz w:val="24"/>
                <w:szCs w:val="24"/>
                <w14:textFill>
                  <w14:solidFill>
                    <w14:schemeClr w14:val="tx1"/>
                  </w14:solidFill>
                </w14:textFill>
              </w:rPr>
              <w:t>经集中收集后，</w:t>
            </w:r>
            <w:r>
              <w:rPr>
                <w:rFonts w:hint="eastAsia" w:cs="Times New Roman"/>
                <w:color w:val="000000" w:themeColor="text1"/>
                <w:sz w:val="24"/>
                <w:szCs w:val="24"/>
                <w:lang w:val="en-US" w:eastAsia="zh-CN"/>
                <w14:textFill>
                  <w14:solidFill>
                    <w14:schemeClr w14:val="tx1"/>
                  </w14:solidFill>
                </w14:textFill>
              </w:rPr>
              <w:t>暂存</w:t>
            </w:r>
            <w:r>
              <w:rPr>
                <w:rFonts w:hint="eastAsia" w:ascii="Times New Roman" w:cs="Times New Roman"/>
                <w:color w:val="000000" w:themeColor="text1"/>
                <w:sz w:val="24"/>
                <w:szCs w:val="24"/>
                <w14:textFill>
                  <w14:solidFill>
                    <w14:schemeClr w14:val="tx1"/>
                  </w14:solidFill>
                </w14:textFill>
              </w:rPr>
              <w:t>于</w:t>
            </w:r>
            <w:r>
              <w:rPr>
                <w:rFonts w:hint="eastAsia" w:cs="Times New Roman"/>
                <w:color w:val="000000" w:themeColor="text1"/>
                <w:sz w:val="24"/>
                <w:szCs w:val="24"/>
                <w:lang w:val="en-US" w:eastAsia="zh-CN"/>
                <w14:textFill>
                  <w14:solidFill>
                    <w14:schemeClr w14:val="tx1"/>
                  </w14:solidFill>
                </w14:textFill>
              </w:rPr>
              <w:t>玛纳斯县中医医院现有</w:t>
            </w:r>
            <w:r>
              <w:rPr>
                <w:rFonts w:hint="eastAsia" w:ascii="Times New Roman" w:cs="Times New Roman"/>
                <w:color w:val="000000" w:themeColor="text1"/>
                <w:sz w:val="24"/>
                <w:szCs w:val="24"/>
                <w14:textFill>
                  <w14:solidFill>
                    <w14:schemeClr w14:val="tx1"/>
                  </w14:solidFill>
                </w14:textFill>
              </w:rPr>
              <w:t>医疗废物暂存间（建筑面积</w:t>
            </w:r>
            <w:r>
              <w:rPr>
                <w:rFonts w:hint="eastAsia" w:ascii="Times New Roman" w:cs="Times New Roman"/>
                <w:color w:val="000000" w:themeColor="text1"/>
                <w:sz w:val="24"/>
                <w:szCs w:val="24"/>
                <w:lang w:val="en-US" w:eastAsia="zh-CN"/>
                <w14:textFill>
                  <w14:solidFill>
                    <w14:schemeClr w14:val="tx1"/>
                  </w14:solidFill>
                </w14:textFill>
              </w:rPr>
              <w:t>均</w:t>
            </w:r>
            <w:r>
              <w:rPr>
                <w:rFonts w:hint="eastAsia" w:ascii="Times New Roman" w:cs="Times New Roman"/>
                <w:color w:val="000000" w:themeColor="text1"/>
                <w:sz w:val="24"/>
                <w:szCs w:val="24"/>
                <w14:textFill>
                  <w14:solidFill>
                    <w14:schemeClr w14:val="tx1"/>
                  </w14:solidFill>
                </w14:textFill>
              </w:rPr>
              <w:t>约</w:t>
            </w:r>
            <w:r>
              <w:rPr>
                <w:rFonts w:hint="eastAsia" w:cs="Times New Roman"/>
                <w:color w:val="000000" w:themeColor="text1"/>
                <w:sz w:val="24"/>
                <w:szCs w:val="24"/>
                <w:lang w:val="en-US" w:eastAsia="zh-CN"/>
                <w14:textFill>
                  <w14:solidFill>
                    <w14:schemeClr w14:val="tx1"/>
                  </w14:solidFill>
                </w14:textFill>
              </w:rPr>
              <w:t>100</w:t>
            </w:r>
            <w:r>
              <w:rPr>
                <w:rFonts w:hint="eastAsia" w:ascii="Times New Roman" w:cs="Times New Roman"/>
                <w:color w:val="000000" w:themeColor="text1"/>
                <w:sz w:val="24"/>
                <w:szCs w:val="24"/>
                <w14:textFill>
                  <w14:solidFill>
                    <w14:schemeClr w14:val="tx1"/>
                  </w14:solidFill>
                </w14:textFill>
              </w:rPr>
              <w:t>m</w:t>
            </w:r>
            <w:r>
              <w:rPr>
                <w:rFonts w:hint="eastAsia" w:ascii="Times New Roman" w:cs="Times New Roman"/>
                <w:color w:val="000000" w:themeColor="text1"/>
                <w:sz w:val="24"/>
                <w:szCs w:val="24"/>
                <w:vertAlign w:val="superscript"/>
                <w14:textFill>
                  <w14:solidFill>
                    <w14:schemeClr w14:val="tx1"/>
                  </w14:solidFill>
                </w14:textFill>
              </w:rPr>
              <w:t>2</w:t>
            </w:r>
            <w:r>
              <w:rPr>
                <w:rFonts w:hint="eastAsia" w:cs="Times New Roman"/>
                <w:color w:val="000000" w:themeColor="text1"/>
                <w:sz w:val="24"/>
                <w:szCs w:val="24"/>
                <w:vertAlign w:val="baseline"/>
                <w:lang w:eastAsia="zh-CN"/>
                <w14:textFill>
                  <w14:solidFill>
                    <w14:schemeClr w14:val="tx1"/>
                  </w14:solidFill>
                </w14:textFill>
              </w:rPr>
              <w:t>，</w:t>
            </w:r>
            <w:r>
              <w:rPr>
                <w:rFonts w:hint="eastAsia" w:cs="Times New Roman"/>
                <w:color w:val="000000" w:themeColor="text1"/>
                <w:sz w:val="24"/>
                <w:szCs w:val="24"/>
                <w:vertAlign w:val="baseline"/>
                <w:lang w:val="en-US" w:eastAsia="zh-CN"/>
                <w14:textFill>
                  <w14:solidFill>
                    <w14:schemeClr w14:val="tx1"/>
                  </w14:solidFill>
                </w14:textFill>
              </w:rPr>
              <w:t>已按要求做了防渗处理</w:t>
            </w:r>
            <w:r>
              <w:rPr>
                <w:rFonts w:hint="eastAsia" w:ascii="Times New Roman"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委托玛纳斯县西海国有资产投资经营有限公司处置</w:t>
            </w:r>
            <w:r>
              <w:rPr>
                <w:rFonts w:hint="eastAsia" w:ascii="Times New Roman" w:cs="Times New Roman"/>
                <w:color w:val="000000" w:themeColor="text1"/>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医疗废物的临时堆放以及外送应登记并签字，由专人负责管理。医疗废物贮存室树立</w:t>
            </w:r>
            <w:r>
              <w:rPr>
                <w:rFonts w:hint="eastAsia" w:cs="Times New Roman"/>
                <w:sz w:val="24"/>
                <w:szCs w:val="24"/>
                <w:lang w:val="en-US" w:eastAsia="zh-CN"/>
              </w:rPr>
              <w:t>有</w:t>
            </w:r>
            <w:r>
              <w:rPr>
                <w:rFonts w:hint="eastAsia" w:ascii="Times New Roman" w:cs="Times New Roman"/>
                <w:sz w:val="24"/>
                <w:szCs w:val="24"/>
              </w:rPr>
              <w:t>明确的标示牌。医疗废物处理过程包括：收集→贮存→运输→焚烧→最终处置。医疗废物在收集、贮存、运输过程中，严格按照《医疗卫生机构医疗废物管理方法》（中华人民共和国卫生部令第36号）、《医疗废物管理条例》，《医疗废物集中处置技术规范（试行）》、《医疗废物专用包装物、容器标准和警示标识规范》、《医疗废物转运车技术要求（试行）》</w:t>
            </w:r>
            <w:r>
              <w:rPr>
                <w:rFonts w:hint="eastAsia" w:ascii="Times New Roman" w:cs="Times New Roman"/>
                <w:sz w:val="24"/>
                <w:szCs w:val="24"/>
                <w:lang w:eastAsia="zh-CN"/>
              </w:rPr>
              <w:t>（</w:t>
            </w:r>
            <w:r>
              <w:rPr>
                <w:rFonts w:hint="eastAsia" w:ascii="Times New Roman" w:cs="Times New Roman"/>
                <w:sz w:val="24"/>
                <w:szCs w:val="24"/>
              </w:rPr>
              <w:t>GB19217-2003</w:t>
            </w:r>
            <w:r>
              <w:rPr>
                <w:rFonts w:hint="eastAsia" w:ascii="Times New Roman" w:cs="Times New Roman"/>
                <w:sz w:val="24"/>
                <w:szCs w:val="24"/>
                <w:lang w:eastAsia="zh-CN"/>
              </w:rPr>
              <w:t>）</w:t>
            </w:r>
            <w:r>
              <w:rPr>
                <w:rFonts w:hint="eastAsia" w:ascii="Times New Roman" w:cs="Times New Roman"/>
                <w:sz w:val="24"/>
                <w:szCs w:val="24"/>
              </w:rPr>
              <w:t>等相关规范执行。</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cs="Times New Roman"/>
                <w:sz w:val="24"/>
                <w:szCs w:val="24"/>
                <w:lang w:val="en-US" w:eastAsia="zh-CN"/>
              </w:rPr>
              <w:t>1</w:t>
            </w:r>
            <w:r>
              <w:rPr>
                <w:rFonts w:hint="eastAsia" w:cs="Times New Roman"/>
                <w:sz w:val="24"/>
                <w:szCs w:val="24"/>
                <w:lang w:eastAsia="zh-CN"/>
              </w:rPr>
              <w:t>）</w:t>
            </w:r>
            <w:r>
              <w:rPr>
                <w:rFonts w:hint="eastAsia" w:ascii="Times New Roman" w:cs="Times New Roman"/>
                <w:sz w:val="24"/>
                <w:szCs w:val="24"/>
              </w:rPr>
              <w:t>收集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eastAsia="宋体" w:cs="Times New Roman"/>
                <w:sz w:val="24"/>
                <w:szCs w:val="24"/>
                <w:lang w:val="en-US" w:eastAsia="zh-CN"/>
              </w:rPr>
            </w:pPr>
            <w:r>
              <w:rPr>
                <w:rFonts w:hint="eastAsia" w:cs="Times New Roman"/>
                <w:sz w:val="24"/>
                <w:szCs w:val="24"/>
                <w:lang w:val="en-US" w:eastAsia="zh-CN"/>
              </w:rPr>
              <w:t>医疗废物包装袋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eastAsia="宋体" w:cs="Times New Roman"/>
                <w:sz w:val="24"/>
                <w:szCs w:val="24"/>
                <w:vertAlign w:val="baseline"/>
                <w:lang w:val="en-US" w:eastAsia="zh-CN"/>
              </w:rPr>
            </w:pPr>
            <w:r>
              <w:rPr>
                <w:rFonts w:hint="eastAsia" w:cs="Times New Roman"/>
                <w:sz w:val="24"/>
                <w:szCs w:val="24"/>
                <w:lang w:val="en-US" w:eastAsia="zh-CN"/>
              </w:rPr>
              <w:t>本</w:t>
            </w:r>
            <w:r>
              <w:rPr>
                <w:rFonts w:hint="eastAsia" w:ascii="Times New Roman" w:cs="Times New Roman"/>
                <w:sz w:val="24"/>
                <w:szCs w:val="24"/>
              </w:rPr>
              <w:t>项目产生的医疗废物，</w:t>
            </w:r>
            <w:r>
              <w:rPr>
                <w:rFonts w:hint="eastAsia" w:cs="Times New Roman"/>
                <w:sz w:val="24"/>
                <w:szCs w:val="24"/>
                <w:lang w:val="en-US" w:eastAsia="zh-CN"/>
              </w:rPr>
              <w:t>使用聚乙烯专用包装袋，颜色为黄色，且不得渗漏、破裂、穿孔；最大容积为0.1m</w:t>
            </w:r>
            <w:r>
              <w:rPr>
                <w:rFonts w:hint="eastAsia" w:cs="Times New Roman"/>
                <w:sz w:val="24"/>
                <w:szCs w:val="24"/>
                <w:vertAlign w:val="superscript"/>
                <w:lang w:val="en-US" w:eastAsia="zh-CN"/>
              </w:rPr>
              <w:t>3</w:t>
            </w:r>
            <w:r>
              <w:rPr>
                <w:rFonts w:hint="eastAsia" w:cs="Times New Roman"/>
                <w:sz w:val="24"/>
                <w:szCs w:val="24"/>
                <w:vertAlign w:val="baseline"/>
                <w:lang w:val="en-US" w:eastAsia="zh-CN"/>
              </w:rPr>
              <w:t>，包装袋上有盛装医疗废物类型的文字说明，如盛装感染性废物，应在包装袋上加注“感染性废物”字样；</w:t>
            </w:r>
            <w:r>
              <w:rPr>
                <w:rFonts w:hint="eastAsia" w:ascii="Times New Roman" w:cs="Times New Roman"/>
                <w:sz w:val="24"/>
                <w:szCs w:val="24"/>
              </w:rPr>
              <w:t>感染性废物、损伤性废物、药物性废物不能混合收集</w:t>
            </w:r>
            <w:r>
              <w:rPr>
                <w:rFonts w:hint="eastAsia" w:cs="Times New Roman"/>
                <w:sz w:val="24"/>
                <w:szCs w:val="24"/>
                <w:lang w:eastAsia="zh-CN"/>
              </w:rPr>
              <w:t>，</w:t>
            </w:r>
            <w:r>
              <w:rPr>
                <w:rFonts w:hint="eastAsia" w:cs="Times New Roman"/>
                <w:sz w:val="24"/>
                <w:szCs w:val="24"/>
                <w:vertAlign w:val="baseline"/>
                <w:lang w:val="en-US" w:eastAsia="zh-CN"/>
              </w:rPr>
              <w:t>包装袋上应印制医疗废物警示标示。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s="Times New Roman"/>
                <w:sz w:val="24"/>
                <w:szCs w:val="24"/>
                <w:lang w:val="en-US" w:eastAsia="zh-CN"/>
              </w:rPr>
            </w:pPr>
            <w:r>
              <w:rPr>
                <w:rFonts w:hint="eastAsia" w:cs="Times New Roman"/>
                <w:sz w:val="24"/>
                <w:szCs w:val="24"/>
                <w:lang w:val="en-US" w:eastAsia="zh-CN"/>
              </w:rPr>
              <w:t>医疗废物利器盒</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s="Times New Roman"/>
                <w:sz w:val="24"/>
                <w:szCs w:val="24"/>
                <w:lang w:val="en-US" w:eastAsia="zh-CN"/>
              </w:rPr>
            </w:pPr>
            <w:r>
              <w:rPr>
                <w:rFonts w:hint="eastAsia" w:cs="Times New Roman"/>
                <w:sz w:val="24"/>
                <w:szCs w:val="24"/>
                <w:lang w:val="en-US" w:eastAsia="zh-CN"/>
              </w:rPr>
              <w:t>利器盒整体为硬制材料制成，密封，一保证利器盒在正常使用的情况下，盒内盛装的锐器具不撒漏，能防刺穿，满盛装量的利器盒从1.5米高处垂直跌落至水泥地面，连续三次，利器盒不会出现破裂、被刺穿等情况；利器盒易于焚烧，不得使用聚氯乙烯塑料材质，整体颜色为黄色，在盒体侧面注明“损伤性废物”且贴有明确的医疗废物警示标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cs="Times New Roman"/>
                <w:sz w:val="24"/>
                <w:szCs w:val="24"/>
                <w:lang w:val="en-US" w:eastAsia="zh-CN"/>
              </w:rPr>
            </w:pPr>
            <w:r>
              <w:rPr>
                <w:rFonts w:hint="eastAsia" w:cs="Times New Roman"/>
                <w:sz w:val="24"/>
                <w:szCs w:val="24"/>
                <w:lang w:val="en-US" w:eastAsia="zh-CN"/>
              </w:rPr>
              <w:t>周转箱（桶）</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s="Times New Roman"/>
                <w:sz w:val="24"/>
                <w:szCs w:val="24"/>
                <w:lang w:val="en-US" w:eastAsia="zh-CN"/>
              </w:rPr>
            </w:pPr>
            <w:r>
              <w:rPr>
                <w:rFonts w:hint="eastAsia" w:cs="Times New Roman"/>
                <w:sz w:val="24"/>
                <w:szCs w:val="24"/>
                <w:lang w:val="en-US" w:eastAsia="zh-CN"/>
              </w:rPr>
              <w:t>周转箱整体为硬制材料，防液体渗漏，可一次性或多次重复使用；</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cs="Times New Roman"/>
                <w:sz w:val="24"/>
                <w:szCs w:val="24"/>
                <w:lang w:val="en-US" w:eastAsia="zh-CN"/>
              </w:rPr>
            </w:pPr>
            <w:r>
              <w:rPr>
                <w:rFonts w:hint="eastAsia" w:cs="Times New Roman"/>
                <w:sz w:val="24"/>
                <w:szCs w:val="24"/>
                <w:lang w:val="en-US" w:eastAsia="zh-CN"/>
              </w:rPr>
              <w:t>多次重复使用的周转箱（桶）应能被快速消毒或清洗，颜色为黄色，外表面应印（喷）制体规定的医疗废物标示和文字说明。</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cs="Times New Roman"/>
                <w:sz w:val="24"/>
                <w:szCs w:val="24"/>
                <w:lang w:val="en-US" w:eastAsia="zh-CN"/>
              </w:rPr>
              <w:t>2</w:t>
            </w:r>
            <w:r>
              <w:rPr>
                <w:rFonts w:hint="eastAsia" w:cs="Times New Roman"/>
                <w:sz w:val="24"/>
                <w:szCs w:val="24"/>
                <w:lang w:eastAsia="zh-CN"/>
              </w:rPr>
              <w:t>）</w:t>
            </w:r>
            <w:r>
              <w:rPr>
                <w:rFonts w:hint="eastAsia" w:ascii="Times New Roman" w:cs="Times New Roman"/>
                <w:sz w:val="24"/>
                <w:szCs w:val="24"/>
              </w:rPr>
              <w:t>贮存</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医疗废物贮存在专门的医疗废物贮存室，贮存的时间不得超过2d。医疗废物贮存室设置明显警示标识和防渗漏、防鼠、防蚊蝇以及预防儿童接触等安全措施；医疗废物的暂时贮存设施、设备应当定期消毒和清洁；放入包装物或容器内的感染性废物、药物性废物、损伤性废物不得取出。避免阳光直射，应当具备低温贮存或防腐条件，当温度高于25℃时，将固废进行低温贮存或进行防腐处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cs="Times New Roman"/>
                <w:sz w:val="24"/>
                <w:szCs w:val="24"/>
                <w:lang w:val="en-US" w:eastAsia="zh-CN"/>
              </w:rPr>
              <w:t>3</w:t>
            </w:r>
            <w:r>
              <w:rPr>
                <w:rFonts w:hint="eastAsia" w:cs="Times New Roman"/>
                <w:sz w:val="24"/>
                <w:szCs w:val="24"/>
                <w:lang w:eastAsia="zh-CN"/>
              </w:rPr>
              <w:t>）</w:t>
            </w:r>
            <w:r>
              <w:rPr>
                <w:rFonts w:hint="eastAsia" w:ascii="Times New Roman" w:cs="Times New Roman"/>
                <w:sz w:val="24"/>
                <w:szCs w:val="24"/>
              </w:rPr>
              <w:t>运输</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项目使用密闭、防渗漏、防抛洒的专用运送工具，按照本项目确定的内部医疗废物运送时间、路线，将医疗废物收集、运送至暂时贮存间。运送工具在使用后应当在指定的地点及时消毒和清洁。</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color w:val="000000" w:themeColor="text1"/>
                <w:sz w:val="24"/>
                <w:szCs w:val="24"/>
                <w14:textFill>
                  <w14:solidFill>
                    <w14:schemeClr w14:val="tx1"/>
                  </w14:solidFill>
                </w14:textFill>
              </w:rPr>
            </w:pPr>
            <w:r>
              <w:rPr>
                <w:rFonts w:hint="eastAsia" w:ascii="Times New Roman" w:cs="Times New Roman"/>
                <w:color w:val="000000" w:themeColor="text1"/>
                <w:sz w:val="24"/>
                <w:szCs w:val="24"/>
                <w14:textFill>
                  <w14:solidFill>
                    <w14:schemeClr w14:val="tx1"/>
                  </w14:solidFill>
                </w14:textFill>
              </w:rPr>
              <w:t>（2）污泥</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污水处理站污泥产生量主要与废水量、SS含量、COD的去除量等有关，</w:t>
            </w:r>
            <w:r>
              <w:rPr>
                <w:rFonts w:hint="eastAsia" w:cs="Times New Roman"/>
                <w:sz w:val="24"/>
                <w:szCs w:val="24"/>
                <w:lang w:val="en-US" w:eastAsia="zh-CN"/>
              </w:rPr>
              <w:t>根据工程分析，本</w:t>
            </w:r>
            <w:r>
              <w:rPr>
                <w:rFonts w:hint="eastAsia" w:ascii="Times New Roman" w:cs="Times New Roman"/>
                <w:sz w:val="24"/>
                <w:szCs w:val="24"/>
              </w:rPr>
              <w:t>项目污泥产生量约为</w:t>
            </w:r>
            <w:r>
              <w:rPr>
                <w:rFonts w:hint="eastAsia" w:cs="Times New Roman"/>
                <w:color w:val="000000" w:themeColor="text1"/>
                <w:sz w:val="24"/>
                <w:szCs w:val="24"/>
                <w:lang w:val="en-US" w:eastAsia="zh-CN"/>
                <w14:textFill>
                  <w14:solidFill>
                    <w14:schemeClr w14:val="tx1"/>
                  </w14:solidFill>
                </w14:textFill>
              </w:rPr>
              <w:t>1.36</w:t>
            </w:r>
            <w:r>
              <w:rPr>
                <w:rFonts w:hint="eastAsia" w:ascii="Times New Roman" w:cs="Times New Roman"/>
                <w:sz w:val="24"/>
                <w:szCs w:val="24"/>
              </w:rPr>
              <w:t>t/a，污泥内污染物主要包含COD、BOD</w:t>
            </w:r>
            <w:r>
              <w:rPr>
                <w:rFonts w:hint="eastAsia" w:ascii="Times New Roman" w:cs="Times New Roman"/>
                <w:sz w:val="24"/>
                <w:szCs w:val="24"/>
                <w:vertAlign w:val="subscript"/>
              </w:rPr>
              <w:t>5</w:t>
            </w:r>
            <w:r>
              <w:rPr>
                <w:rFonts w:hint="eastAsia" w:ascii="Times New Roman" w:cs="Times New Roman"/>
                <w:sz w:val="24"/>
                <w:szCs w:val="24"/>
              </w:rPr>
              <w:t>、SS、阴离子表面活性剂、病原体和部分化学品。根据《医疗机构水污染物排放标准》（GB18466-2005）污泥属于危险废物，按危险废物进行处理和处置，危废类别HW01，废物代码为831-001-01，医院废水处理站污泥在污泥池投加石灰消毒满足《医疗机构水污染物排放标准》（GB18466-2005）表4医疗机构污泥控制标准</w:t>
            </w:r>
            <w:r>
              <w:rPr>
                <w:rFonts w:hint="eastAsia" w:cs="Times New Roman"/>
                <w:sz w:val="24"/>
                <w:szCs w:val="24"/>
                <w:lang w:eastAsia="zh-CN"/>
              </w:rPr>
              <w:t>（</w:t>
            </w:r>
            <w:r>
              <w:rPr>
                <w:rFonts w:hint="eastAsia" w:cs="Times New Roman"/>
                <w:sz w:val="24"/>
                <w:szCs w:val="24"/>
                <w:lang w:val="en-US" w:eastAsia="zh-CN"/>
              </w:rPr>
              <w:t>粪大肠菌群数MPN/g≤100，蛔虫卵死亡率＞95%</w:t>
            </w:r>
            <w:r>
              <w:rPr>
                <w:rFonts w:hint="eastAsia" w:cs="Times New Roman"/>
                <w:sz w:val="24"/>
                <w:szCs w:val="24"/>
                <w:lang w:eastAsia="zh-CN"/>
              </w:rPr>
              <w:t>）</w:t>
            </w:r>
            <w:r>
              <w:rPr>
                <w:rFonts w:hint="eastAsia" w:ascii="Times New Roman" w:cs="Times New Roman"/>
                <w:sz w:val="24"/>
                <w:szCs w:val="24"/>
              </w:rPr>
              <w:t>后作为危险废物，定期清掏委托有资质的单位处理。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color w:val="000000" w:themeColor="text1"/>
                <w:sz w:val="24"/>
                <w:szCs w:val="24"/>
                <w14:textFill>
                  <w14:solidFill>
                    <w14:schemeClr w14:val="tx1"/>
                  </w14:solidFill>
                </w14:textFill>
              </w:rPr>
            </w:pPr>
            <w:r>
              <w:rPr>
                <w:rFonts w:hint="eastAsia" w:ascii="Times New Roman"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3</w:t>
            </w:r>
            <w:r>
              <w:rPr>
                <w:rFonts w:hint="eastAsia" w:ascii="Times New Roman" w:cs="Times New Roman"/>
                <w:color w:val="000000" w:themeColor="text1"/>
                <w:sz w:val="24"/>
                <w:szCs w:val="24"/>
                <w14:textFill>
                  <w14:solidFill>
                    <w14:schemeClr w14:val="tx1"/>
                  </w14:solidFill>
                </w14:textFill>
              </w:rPr>
              <w:t>）生活垃圾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cs="Times New Roman"/>
                <w:color w:val="000000" w:themeColor="text1"/>
                <w:sz w:val="24"/>
                <w:szCs w:val="24"/>
                <w:lang w:val="en-US" w:eastAsia="zh-CN"/>
                <w14:textFill>
                  <w14:solidFill>
                    <w14:schemeClr w14:val="tx1"/>
                  </w14:solidFill>
                </w14:textFill>
              </w:rPr>
              <w:t>本项目</w:t>
            </w:r>
            <w:r>
              <w:rPr>
                <w:rFonts w:hint="eastAsia" w:ascii="Times New Roman" w:cs="Times New Roman"/>
                <w:color w:val="000000" w:themeColor="text1"/>
                <w:sz w:val="24"/>
                <w:szCs w:val="24"/>
                <w:lang w:val="en-US" w:eastAsia="zh-CN"/>
                <w14:textFill>
                  <w14:solidFill>
                    <w14:schemeClr w14:val="tx1"/>
                  </w14:solidFill>
                </w14:textFill>
              </w:rPr>
              <w:t>住院部</w:t>
            </w:r>
            <w:r>
              <w:rPr>
                <w:rFonts w:hint="eastAsia" w:ascii="Times New Roman" w:cs="Times New Roman"/>
                <w:color w:val="000000" w:themeColor="text1"/>
                <w:sz w:val="24"/>
                <w:szCs w:val="24"/>
                <w14:textFill>
                  <w14:solidFill>
                    <w14:schemeClr w14:val="tx1"/>
                  </w14:solidFill>
                </w14:textFill>
              </w:rPr>
              <w:t>病床及陪护人员</w:t>
            </w:r>
            <w:r>
              <w:rPr>
                <w:rFonts w:hint="eastAsia" w:cs="Times New Roman"/>
                <w:color w:val="000000" w:themeColor="text1"/>
                <w:sz w:val="24"/>
                <w:szCs w:val="24"/>
                <w:lang w:val="en-US" w:eastAsia="zh-CN"/>
                <w14:textFill>
                  <w14:solidFill>
                    <w14:schemeClr w14:val="tx1"/>
                  </w14:solidFill>
                </w14:textFill>
              </w:rPr>
              <w:t>产生的</w:t>
            </w:r>
            <w:r>
              <w:rPr>
                <w:rFonts w:hint="eastAsia" w:ascii="Times New Roman" w:cs="Times New Roman"/>
                <w:color w:val="000000" w:themeColor="text1"/>
                <w:sz w:val="24"/>
                <w:szCs w:val="24"/>
                <w14:textFill>
                  <w14:solidFill>
                    <w14:schemeClr w14:val="tx1"/>
                  </w14:solidFill>
                </w14:textFill>
              </w:rPr>
              <w:t>生活垃圾产生量为</w:t>
            </w:r>
            <w:r>
              <w:rPr>
                <w:rFonts w:hint="eastAsia" w:cs="Times New Roman"/>
                <w:color w:val="000000" w:themeColor="text1"/>
                <w:sz w:val="24"/>
                <w:szCs w:val="24"/>
                <w:lang w:val="en-US" w:eastAsia="zh-CN"/>
                <w14:textFill>
                  <w14:solidFill>
                    <w14:schemeClr w14:val="tx1"/>
                  </w14:solidFill>
                </w14:textFill>
              </w:rPr>
              <w:t>120</w:t>
            </w:r>
            <w:r>
              <w:rPr>
                <w:rFonts w:hint="eastAsia" w:ascii="Times New Roman" w:cs="Times New Roman"/>
                <w:color w:val="000000" w:themeColor="text1"/>
                <w:sz w:val="24"/>
                <w:szCs w:val="24"/>
                <w14:textFill>
                  <w14:solidFill>
                    <w14:schemeClr w14:val="tx1"/>
                  </w14:solidFill>
                </w14:textFill>
              </w:rPr>
              <w:t>kg/d（</w:t>
            </w:r>
            <w:r>
              <w:rPr>
                <w:rFonts w:hint="eastAsia" w:cs="Times New Roman"/>
                <w:color w:val="000000" w:themeColor="text1"/>
                <w:sz w:val="24"/>
                <w:szCs w:val="24"/>
                <w:lang w:val="en-US" w:eastAsia="zh-CN"/>
                <w14:textFill>
                  <w14:solidFill>
                    <w14:schemeClr w14:val="tx1"/>
                  </w14:solidFill>
                </w14:textFill>
              </w:rPr>
              <w:t>43.8</w:t>
            </w:r>
            <w:r>
              <w:rPr>
                <w:rFonts w:hint="eastAsia" w:ascii="Times New Roman" w:cs="Times New Roman"/>
                <w:color w:val="000000" w:themeColor="text1"/>
                <w:sz w:val="24"/>
                <w:szCs w:val="24"/>
                <w14:textFill>
                  <w14:solidFill>
                    <w14:schemeClr w14:val="tx1"/>
                  </w14:solidFill>
                </w14:textFill>
              </w:rPr>
              <w:t>t/a）</w:t>
            </w:r>
            <w:r>
              <w:rPr>
                <w:rFonts w:hint="eastAsia" w:cs="Times New Roman"/>
                <w:color w:val="000000" w:themeColor="text1"/>
                <w:sz w:val="24"/>
                <w:szCs w:val="24"/>
                <w:lang w:eastAsia="zh-CN"/>
                <w14:textFill>
                  <w14:solidFill>
                    <w14:schemeClr w14:val="tx1"/>
                  </w14:solidFill>
                </w14:textFill>
              </w:rPr>
              <w:t>，</w:t>
            </w:r>
            <w:r>
              <w:rPr>
                <w:rFonts w:hint="eastAsia" w:ascii="Times New Roman" w:cs="Times New Roman"/>
                <w:color w:val="000000" w:themeColor="text1"/>
                <w:sz w:val="24"/>
                <w:szCs w:val="24"/>
                <w:lang w:val="en-US" w:eastAsia="zh-CN"/>
                <w14:textFill>
                  <w14:solidFill>
                    <w14:schemeClr w14:val="tx1"/>
                  </w14:solidFill>
                </w14:textFill>
              </w:rPr>
              <w:t>医务人员</w:t>
            </w:r>
            <w:r>
              <w:rPr>
                <w:rFonts w:hint="eastAsia" w:ascii="Times New Roman" w:cs="Times New Roman"/>
                <w:color w:val="000000" w:themeColor="text1"/>
                <w:sz w:val="24"/>
                <w:szCs w:val="24"/>
                <w14:textFill>
                  <w14:solidFill>
                    <w14:schemeClr w14:val="tx1"/>
                  </w14:solidFill>
                </w14:textFill>
              </w:rPr>
              <w:t>生活垃圾产生</w:t>
            </w:r>
            <w:r>
              <w:rPr>
                <w:rFonts w:hint="eastAsia" w:ascii="Times New Roman" w:cs="Times New Roman"/>
                <w:color w:val="000000" w:themeColor="text1"/>
                <w:sz w:val="24"/>
                <w:szCs w:val="24"/>
                <w:lang w:val="en-US" w:eastAsia="zh-CN"/>
                <w14:textFill>
                  <w14:solidFill>
                    <w14:schemeClr w14:val="tx1"/>
                  </w14:solidFill>
                </w14:textFill>
              </w:rPr>
              <w:t>总</w:t>
            </w:r>
            <w:r>
              <w:rPr>
                <w:rFonts w:hint="eastAsia" w:ascii="Times New Roman" w:cs="Times New Roman"/>
                <w:color w:val="000000" w:themeColor="text1"/>
                <w:sz w:val="24"/>
                <w:szCs w:val="24"/>
                <w14:textFill>
                  <w14:solidFill>
                    <w14:schemeClr w14:val="tx1"/>
                  </w14:solidFill>
                </w14:textFill>
              </w:rPr>
              <w:t>量为</w:t>
            </w:r>
            <w:r>
              <w:rPr>
                <w:rFonts w:hint="eastAsia" w:cs="Times New Roman"/>
                <w:color w:val="000000" w:themeColor="text1"/>
                <w:sz w:val="24"/>
                <w:szCs w:val="24"/>
                <w:lang w:val="en-US" w:eastAsia="zh-CN"/>
                <w14:textFill>
                  <w14:solidFill>
                    <w14:schemeClr w14:val="tx1"/>
                  </w14:solidFill>
                </w14:textFill>
              </w:rPr>
              <w:t>12.77</w:t>
            </w:r>
            <w:r>
              <w:rPr>
                <w:rFonts w:hint="eastAsia" w:ascii="Times New Roman" w:cs="Times New Roman"/>
                <w:color w:val="000000" w:themeColor="text1"/>
                <w:sz w:val="24"/>
                <w:szCs w:val="24"/>
                <w14:textFill>
                  <w14:solidFill>
                    <w14:schemeClr w14:val="tx1"/>
                  </w14:solidFill>
                </w14:textFill>
              </w:rPr>
              <w:t>t/a</w:t>
            </w:r>
            <w:r>
              <w:rPr>
                <w:rFonts w:hint="eastAsia" w:ascii="Times New Roman"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门诊病人生活垃圾产生量为20</w:t>
            </w:r>
            <w:r>
              <w:rPr>
                <w:rFonts w:hint="eastAsia" w:ascii="Times New Roman" w:cs="Times New Roman"/>
                <w:color w:val="000000" w:themeColor="text1"/>
                <w:sz w:val="24"/>
                <w:szCs w:val="24"/>
                <w14:textFill>
                  <w14:solidFill>
                    <w14:schemeClr w14:val="tx1"/>
                  </w14:solidFill>
                </w14:textFill>
              </w:rPr>
              <w:t>kg/d（</w:t>
            </w:r>
            <w:r>
              <w:rPr>
                <w:rFonts w:hint="eastAsia" w:cs="Times New Roman"/>
                <w:color w:val="000000" w:themeColor="text1"/>
                <w:sz w:val="24"/>
                <w:szCs w:val="24"/>
                <w:lang w:val="en-US" w:eastAsia="zh-CN"/>
                <w14:textFill>
                  <w14:solidFill>
                    <w14:schemeClr w14:val="tx1"/>
                  </w14:solidFill>
                </w14:textFill>
              </w:rPr>
              <w:t>7.3</w:t>
            </w:r>
            <w:r>
              <w:rPr>
                <w:rFonts w:hint="eastAsia" w:ascii="Times New Roman" w:cs="Times New Roman"/>
                <w:color w:val="000000" w:themeColor="text1"/>
                <w:sz w:val="24"/>
                <w:szCs w:val="24"/>
                <w14:textFill>
                  <w14:solidFill>
                    <w14:schemeClr w14:val="tx1"/>
                  </w14:solidFill>
                </w14:textFill>
              </w:rPr>
              <w:t>t/a）</w:t>
            </w:r>
            <w:r>
              <w:rPr>
                <w:rFonts w:hint="eastAsia" w:cs="Times New Roman"/>
                <w:color w:val="000000" w:themeColor="text1"/>
                <w:sz w:val="24"/>
                <w:szCs w:val="24"/>
                <w:lang w:val="en-US" w:eastAsia="zh-CN"/>
                <w14:textFill>
                  <w14:solidFill>
                    <w14:schemeClr w14:val="tx1"/>
                  </w14:solidFill>
                </w14:textFill>
              </w:rPr>
              <w:t>则</w:t>
            </w:r>
            <w:r>
              <w:rPr>
                <w:rFonts w:hint="eastAsia" w:ascii="Times New Roman" w:cs="Times New Roman"/>
                <w:color w:val="000000" w:themeColor="text1"/>
                <w:sz w:val="24"/>
                <w:szCs w:val="24"/>
                <w:lang w:val="en-US" w:eastAsia="zh-CN"/>
                <w14:textFill>
                  <w14:solidFill>
                    <w14:schemeClr w14:val="tx1"/>
                  </w14:solidFill>
                </w14:textFill>
              </w:rPr>
              <w:t>生活垃圾产生总量为</w:t>
            </w:r>
            <w:r>
              <w:rPr>
                <w:rFonts w:hint="eastAsia" w:cs="Times New Roman"/>
                <w:color w:val="000000" w:themeColor="text1"/>
                <w:sz w:val="24"/>
                <w:szCs w:val="24"/>
                <w:lang w:val="en-US" w:eastAsia="zh-CN"/>
                <w14:textFill>
                  <w14:solidFill>
                    <w14:schemeClr w14:val="tx1"/>
                  </w14:solidFill>
                </w14:textFill>
              </w:rPr>
              <w:t>63.87</w:t>
            </w:r>
            <w:r>
              <w:rPr>
                <w:rFonts w:hint="eastAsia" w:ascii="Times New Roman" w:cs="Times New Roman"/>
                <w:color w:val="000000" w:themeColor="text1"/>
                <w:sz w:val="24"/>
                <w:szCs w:val="24"/>
                <w14:textFill>
                  <w14:solidFill>
                    <w14:schemeClr w14:val="tx1"/>
                  </w14:solidFill>
                </w14:textFill>
              </w:rPr>
              <w:t>t/a。</w:t>
            </w:r>
            <w:r>
              <w:rPr>
                <w:rFonts w:hint="eastAsia" w:ascii="Times New Roman" w:cs="Times New Roman"/>
                <w:color w:val="000000" w:themeColor="text1"/>
                <w:sz w:val="24"/>
                <w:szCs w:val="24"/>
                <w:lang w:val="en-US" w:eastAsia="zh-CN"/>
                <w14:textFill>
                  <w14:solidFill>
                    <w14:schemeClr w14:val="tx1"/>
                  </w14:solidFill>
                </w14:textFill>
              </w:rPr>
              <w:t>生</w:t>
            </w:r>
            <w:r>
              <w:rPr>
                <w:rFonts w:hint="eastAsia" w:ascii="Times New Roman" w:cs="Times New Roman"/>
                <w:sz w:val="24"/>
                <w:szCs w:val="24"/>
                <w:lang w:val="en-US" w:eastAsia="zh-CN"/>
              </w:rPr>
              <w:t>活垃圾</w:t>
            </w:r>
            <w:r>
              <w:rPr>
                <w:rFonts w:hint="eastAsia" w:ascii="Times New Roman" w:cs="Times New Roman"/>
                <w:sz w:val="24"/>
                <w:szCs w:val="24"/>
              </w:rPr>
              <w:t>由各楼层的保洁容器集中收集后，及时转运到</w:t>
            </w:r>
            <w:r>
              <w:rPr>
                <w:rFonts w:hint="eastAsia" w:ascii="Times New Roman" w:cs="Times New Roman"/>
                <w:sz w:val="24"/>
                <w:szCs w:val="24"/>
                <w:lang w:val="en-US" w:eastAsia="zh-CN"/>
              </w:rPr>
              <w:t>卫生院</w:t>
            </w:r>
            <w:r>
              <w:rPr>
                <w:rFonts w:hint="eastAsia" w:ascii="Times New Roman" w:cs="Times New Roman"/>
                <w:sz w:val="24"/>
                <w:szCs w:val="24"/>
              </w:rPr>
              <w:t>生活垃圾暂存间，由环卫部门统一清运处理，做到日产日清。综上所述，本项目固体废物去向明确，均能得到妥善处置，不会对周围环境造成不良影响。</w:t>
            </w:r>
          </w:p>
          <w:p>
            <w:pPr>
              <w:pStyle w:val="99"/>
              <w:keepNext w:val="0"/>
              <w:keepLines w:val="0"/>
              <w:pageBreakBefore w:val="0"/>
              <w:widowControl w:val="0"/>
              <w:kinsoku/>
              <w:wordWrap/>
              <w:overflowPunct/>
              <w:topLinePunct/>
              <w:autoSpaceDE/>
              <w:autoSpaceDN/>
              <w:bidi w:val="0"/>
              <w:adjustRightInd w:val="0"/>
              <w:snapToGrid w:val="0"/>
              <w:spacing w:line="520" w:lineRule="exact"/>
              <w:ind w:firstLine="482" w:firstLineChars="200"/>
              <w:textAlignment w:val="auto"/>
              <w:rPr>
                <w:rFonts w:hint="eastAsia" w:ascii="Times New Roman" w:hAnsi="Times New Roman" w:eastAsia="宋体"/>
                <w:b/>
                <w:snapToGrid w:val="0"/>
                <w:kern w:val="0"/>
                <w:sz w:val="24"/>
                <w:szCs w:val="24"/>
              </w:rPr>
            </w:pPr>
            <w:r>
              <w:rPr>
                <w:rFonts w:hint="eastAsia" w:ascii="Times New Roman" w:hAnsi="Times New Roman" w:eastAsia="宋体"/>
                <w:b/>
                <w:snapToGrid w:val="0"/>
                <w:kern w:val="0"/>
                <w:sz w:val="24"/>
                <w:szCs w:val="24"/>
              </w:rPr>
              <w:t>5</w:t>
            </w:r>
            <w:r>
              <w:rPr>
                <w:rFonts w:hint="eastAsia" w:ascii="Times New Roman" w:hAnsi="Times New Roman" w:eastAsia="宋体"/>
                <w:b/>
                <w:snapToGrid w:val="0"/>
                <w:kern w:val="0"/>
                <w:sz w:val="24"/>
                <w:szCs w:val="24"/>
                <w:lang w:val="en-US" w:eastAsia="zh-CN"/>
              </w:rPr>
              <w:t>.</w:t>
            </w:r>
            <w:r>
              <w:rPr>
                <w:rFonts w:ascii="Times New Roman" w:hAnsi="Times New Roman" w:eastAsia="宋体"/>
                <w:b/>
                <w:snapToGrid w:val="0"/>
                <w:kern w:val="0"/>
                <w:sz w:val="24"/>
                <w:szCs w:val="24"/>
              </w:rPr>
              <w:t>辐射污染</w:t>
            </w:r>
          </w:p>
          <w:p>
            <w:pPr>
              <w:pStyle w:val="99"/>
              <w:keepNext w:val="0"/>
              <w:keepLines w:val="0"/>
              <w:pageBreakBefore w:val="0"/>
              <w:widowControl w:val="0"/>
              <w:kinsoku/>
              <w:wordWrap/>
              <w:overflowPunct/>
              <w:topLinePunct/>
              <w:autoSpaceDE/>
              <w:autoSpaceDN/>
              <w:bidi w:val="0"/>
              <w:adjustRightInd w:val="0"/>
              <w:snapToGrid w:val="0"/>
              <w:spacing w:line="520" w:lineRule="exact"/>
              <w:ind w:firstLine="480" w:firstLineChars="200"/>
              <w:textAlignment w:val="auto"/>
              <w:rPr>
                <w:rFonts w:hint="default" w:ascii="Times New Roman" w:hAnsi="Times New Roman" w:eastAsia="宋体"/>
                <w:color w:val="000000" w:themeColor="text1"/>
                <w:sz w:val="24"/>
                <w:szCs w:val="24"/>
                <w:lang w:val="en-US" w:eastAsia="zh-CN"/>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本项目设有</w:t>
            </w:r>
            <w:r>
              <w:rPr>
                <w:rFonts w:hint="eastAsia" w:ascii="Times New Roman" w:hAnsi="Times New Roman" w:eastAsia="宋体"/>
                <w:color w:val="000000" w:themeColor="text1"/>
                <w:sz w:val="24"/>
                <w:szCs w:val="24"/>
                <w14:textFill>
                  <w14:solidFill>
                    <w14:schemeClr w14:val="tx1"/>
                  </w14:solidFill>
                </w14:textFill>
              </w:rPr>
              <w:t>放射室</w:t>
            </w:r>
            <w:r>
              <w:rPr>
                <w:rFonts w:ascii="Times New Roman" w:hAnsi="Times New Roman" w:eastAsia="宋体"/>
                <w:color w:val="000000" w:themeColor="text1"/>
                <w:sz w:val="24"/>
                <w:szCs w:val="24"/>
                <w14:textFill>
                  <w14:solidFill>
                    <w14:schemeClr w14:val="tx1"/>
                  </w14:solidFill>
                </w14:textFill>
              </w:rPr>
              <w:t>，</w:t>
            </w:r>
            <w:r>
              <w:rPr>
                <w:rFonts w:hint="eastAsia" w:ascii="Times New Roman" w:hAnsi="Times New Roman" w:eastAsia="宋体"/>
                <w:color w:val="000000" w:themeColor="text1"/>
                <w:sz w:val="24"/>
                <w:szCs w:val="24"/>
                <w:lang w:val="en-US" w:eastAsia="zh-CN"/>
                <w14:textFill>
                  <w14:solidFill>
                    <w14:schemeClr w14:val="tx1"/>
                  </w14:solidFill>
                </w14:textFill>
              </w:rPr>
              <w:t>各设置1台</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X</w:t>
            </w:r>
            <w:r>
              <w:rPr>
                <w:rFonts w:hint="eastAsia" w:ascii="宋体" w:hAnsi="宋体" w:eastAsia="宋体" w:cs="宋体"/>
                <w:color w:val="000000" w:themeColor="text1"/>
                <w:kern w:val="0"/>
                <w:sz w:val="24"/>
                <w:szCs w:val="24"/>
                <w:lang w:val="en-US" w:eastAsia="zh-CN" w:bidi="ar"/>
                <w14:textFill>
                  <w14:solidFill>
                    <w14:schemeClr w14:val="tx1"/>
                  </w14:solidFill>
                </w14:textFill>
              </w:rPr>
              <w:t>射线机</w:t>
            </w:r>
            <w:r>
              <w:rPr>
                <w:rFonts w:hint="eastAsia"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X</w:t>
            </w:r>
            <w:r>
              <w:rPr>
                <w:rFonts w:hint="eastAsia" w:ascii="宋体" w:hAnsi="宋体" w:eastAsia="宋体" w:cs="宋体"/>
                <w:color w:val="000000" w:themeColor="text1"/>
                <w:kern w:val="0"/>
                <w:sz w:val="24"/>
                <w:szCs w:val="24"/>
                <w:lang w:val="en-US" w:eastAsia="zh-CN" w:bidi="ar"/>
                <w14:textFill>
                  <w14:solidFill>
                    <w14:schemeClr w14:val="tx1"/>
                  </w14:solidFill>
                </w14:textFill>
              </w:rPr>
              <w:t>射线机在运行中，主要的污染物是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X</w:t>
            </w:r>
            <w:r>
              <w:rPr>
                <w:rFonts w:hint="eastAsia" w:ascii="宋体" w:hAnsi="宋体" w:eastAsia="宋体" w:cs="宋体"/>
                <w:color w:val="000000" w:themeColor="text1"/>
                <w:kern w:val="0"/>
                <w:sz w:val="24"/>
                <w:szCs w:val="24"/>
                <w:lang w:val="en-US" w:eastAsia="zh-CN" w:bidi="ar"/>
                <w14:textFill>
                  <w14:solidFill>
                    <w14:schemeClr w14:val="tx1"/>
                  </w14:solidFill>
                </w14:textFill>
              </w:rPr>
              <w:t>射线有用主束、散射辐射和泄漏辐射，其次是伴随</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X</w:t>
            </w:r>
            <w:r>
              <w:rPr>
                <w:rFonts w:hint="eastAsia" w:ascii="宋体" w:hAnsi="宋体" w:eastAsia="宋体" w:cs="宋体"/>
                <w:color w:val="000000" w:themeColor="text1"/>
                <w:kern w:val="0"/>
                <w:sz w:val="24"/>
                <w:szCs w:val="24"/>
                <w:lang w:val="en-US" w:eastAsia="zh-CN" w:bidi="ar"/>
                <w14:textFill>
                  <w14:solidFill>
                    <w14:schemeClr w14:val="tx1"/>
                  </w14:solidFill>
                </w14:textFill>
              </w:rPr>
              <w:t>线产生的少量臭氧和氮氧化物。</w:t>
            </w:r>
            <w:r>
              <w:rPr>
                <w:rFonts w:hint="eastAsia" w:ascii="Times New Roman" w:hAnsi="Times New Roman" w:eastAsia="宋体"/>
                <w:color w:val="000000" w:themeColor="text1"/>
                <w:sz w:val="24"/>
                <w:szCs w:val="24"/>
                <w:lang w:val="en-US" w:eastAsia="zh-CN"/>
                <w14:textFill>
                  <w14:solidFill>
                    <w14:schemeClr w14:val="tx1"/>
                  </w14:solidFill>
                </w14:textFill>
              </w:rPr>
              <w:t>本环评不包括辐射内容，需另做环评。</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Times New Roman" w:cs="Times New Roman"/>
                <w:b/>
                <w:bCs/>
                <w:sz w:val="24"/>
                <w:szCs w:val="24"/>
              </w:rPr>
            </w:pPr>
            <w:r>
              <w:rPr>
                <w:rFonts w:hint="eastAsia" w:cs="Times New Roman"/>
                <w:b/>
                <w:bCs/>
                <w:sz w:val="24"/>
                <w:szCs w:val="24"/>
                <w:lang w:val="en-US" w:eastAsia="zh-CN"/>
              </w:rPr>
              <w:t>6</w:t>
            </w:r>
            <w:r>
              <w:rPr>
                <w:rFonts w:hint="eastAsia" w:ascii="Times New Roman" w:cs="Times New Roman"/>
                <w:b/>
                <w:bCs/>
                <w:sz w:val="24"/>
                <w:szCs w:val="24"/>
                <w:lang w:eastAsia="zh-CN"/>
              </w:rPr>
              <w:t>.</w:t>
            </w:r>
            <w:r>
              <w:rPr>
                <w:rFonts w:hint="eastAsia" w:ascii="Times New Roman" w:cs="Times New Roman"/>
                <w:b/>
                <w:bCs/>
                <w:sz w:val="24"/>
                <w:szCs w:val="24"/>
              </w:rPr>
              <w:t>地下水</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Times New Roman" w:cs="Times New Roman"/>
                <w:b/>
                <w:bCs/>
                <w:sz w:val="24"/>
                <w:szCs w:val="24"/>
              </w:rPr>
            </w:pPr>
            <w:r>
              <w:rPr>
                <w:rFonts w:hint="eastAsia" w:cs="Times New Roman"/>
                <w:b/>
                <w:bCs/>
                <w:sz w:val="24"/>
                <w:szCs w:val="24"/>
                <w:lang w:val="en-US" w:eastAsia="zh-CN"/>
              </w:rPr>
              <w:t>6</w:t>
            </w:r>
            <w:r>
              <w:rPr>
                <w:rFonts w:hint="eastAsia" w:ascii="Times New Roman" w:cs="Times New Roman"/>
                <w:b/>
                <w:bCs/>
                <w:sz w:val="24"/>
                <w:szCs w:val="24"/>
              </w:rPr>
              <w:t>.1污染源分析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本项目地下水污染源主要为生活污水及</w:t>
            </w:r>
            <w:r>
              <w:rPr>
                <w:rFonts w:hint="eastAsia" w:ascii="Times New Roman" w:cs="Times New Roman"/>
                <w:sz w:val="24"/>
                <w:szCs w:val="24"/>
                <w:lang w:val="en-US" w:eastAsia="zh-CN"/>
              </w:rPr>
              <w:t>医疗</w:t>
            </w:r>
            <w:r>
              <w:rPr>
                <w:rFonts w:hint="eastAsia" w:ascii="Times New Roman" w:cs="Times New Roman"/>
                <w:sz w:val="24"/>
                <w:szCs w:val="24"/>
              </w:rPr>
              <w:t>废水，其主要污染物浓度分别COD、BOD、SS、氨氮。</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Times New Roman" w:cs="Times New Roman"/>
                <w:b/>
                <w:bCs/>
                <w:sz w:val="24"/>
                <w:szCs w:val="24"/>
              </w:rPr>
            </w:pPr>
            <w:r>
              <w:rPr>
                <w:rFonts w:hint="eastAsia" w:cs="Times New Roman"/>
                <w:b/>
                <w:bCs/>
                <w:sz w:val="24"/>
                <w:szCs w:val="24"/>
                <w:lang w:val="en-US" w:eastAsia="zh-CN"/>
              </w:rPr>
              <w:t>6</w:t>
            </w:r>
            <w:r>
              <w:rPr>
                <w:rFonts w:hint="eastAsia" w:ascii="Times New Roman" w:cs="Times New Roman"/>
                <w:b/>
                <w:bCs/>
                <w:sz w:val="24"/>
                <w:szCs w:val="24"/>
              </w:rPr>
              <w:t>.2污染防控措施</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lang w:val="en-US" w:eastAsia="zh-CN"/>
              </w:rPr>
            </w:pPr>
            <w:r>
              <w:rPr>
                <w:rFonts w:hint="eastAsia" w:ascii="Times New Roman" w:cs="Times New Roman"/>
                <w:sz w:val="24"/>
                <w:szCs w:val="24"/>
              </w:rPr>
              <w:t>本项目生活污水及</w:t>
            </w:r>
            <w:r>
              <w:rPr>
                <w:rFonts w:hint="eastAsia" w:ascii="Times New Roman" w:cs="Times New Roman"/>
                <w:sz w:val="24"/>
                <w:szCs w:val="24"/>
                <w:lang w:val="en-US" w:eastAsia="zh-CN"/>
              </w:rPr>
              <w:t>医疗</w:t>
            </w:r>
            <w:r>
              <w:rPr>
                <w:rFonts w:hint="eastAsia" w:ascii="Times New Roman" w:cs="Times New Roman"/>
                <w:sz w:val="24"/>
                <w:szCs w:val="24"/>
              </w:rPr>
              <w:t>废水全部排入</w:t>
            </w:r>
            <w:r>
              <w:rPr>
                <w:rFonts w:hint="eastAsia" w:cs="Times New Roman"/>
                <w:sz w:val="24"/>
                <w:szCs w:val="24"/>
                <w:lang w:val="en-US" w:eastAsia="zh-CN"/>
              </w:rPr>
              <w:t>中医院现有</w:t>
            </w:r>
            <w:r>
              <w:rPr>
                <w:rFonts w:hint="eastAsia" w:ascii="Times New Roman" w:cs="Times New Roman"/>
                <w:sz w:val="24"/>
                <w:szCs w:val="24"/>
                <w:lang w:val="en-US" w:eastAsia="zh-CN"/>
              </w:rPr>
              <w:t>污水处理站，经处理后满足《医疗机构水污染物排放标准》（GB18466-2005）</w:t>
            </w:r>
            <w:r>
              <w:rPr>
                <w:rFonts w:hint="eastAsia" w:cs="Times New Roman"/>
                <w:sz w:val="24"/>
                <w:szCs w:val="24"/>
                <w:lang w:val="en-US" w:eastAsia="zh-CN"/>
              </w:rPr>
              <w:t>表2预处理标准要求</w:t>
            </w:r>
            <w:r>
              <w:rPr>
                <w:rFonts w:hint="eastAsia" w:ascii="Times New Roman" w:cs="Times New Roman"/>
                <w:sz w:val="24"/>
                <w:szCs w:val="24"/>
                <w:lang w:val="en-US" w:eastAsia="zh-CN"/>
              </w:rPr>
              <w:t>后</w:t>
            </w:r>
            <w:r>
              <w:rPr>
                <w:rFonts w:hint="eastAsia" w:cs="Times New Roman"/>
                <w:sz w:val="24"/>
                <w:szCs w:val="24"/>
                <w:lang w:val="en-US" w:eastAsia="zh-CN"/>
              </w:rPr>
              <w:t>，排入市政下水管网</w:t>
            </w:r>
            <w:r>
              <w:rPr>
                <w:rFonts w:hint="eastAsia" w:asci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Times New Roman" w:cs="Times New Roman"/>
                <w:b/>
                <w:bCs/>
                <w:color w:val="000000" w:themeColor="text1"/>
                <w:sz w:val="24"/>
                <w:szCs w:val="24"/>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6</w:t>
            </w:r>
            <w:r>
              <w:rPr>
                <w:rFonts w:hint="eastAsia" w:ascii="Times New Roman" w:cs="Times New Roman"/>
                <w:b/>
                <w:bCs/>
                <w:color w:val="000000" w:themeColor="text1"/>
                <w:sz w:val="24"/>
                <w:szCs w:val="24"/>
                <w14:textFill>
                  <w14:solidFill>
                    <w14:schemeClr w14:val="tx1"/>
                  </w14:solidFill>
                </w14:textFill>
              </w:rPr>
              <w:t>.3分区防渗要求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color w:val="000000" w:themeColor="text1"/>
                <w:sz w:val="24"/>
                <w:szCs w:val="24"/>
                <w14:textFill>
                  <w14:solidFill>
                    <w14:schemeClr w14:val="tx1"/>
                  </w14:solidFill>
                </w14:textFill>
              </w:rPr>
            </w:pPr>
            <w:r>
              <w:rPr>
                <w:rFonts w:hint="eastAsia" w:ascii="Times New Roman" w:cs="Times New Roman"/>
                <w:color w:val="000000" w:themeColor="text1"/>
                <w:sz w:val="24"/>
                <w:szCs w:val="24"/>
                <w14:textFill>
                  <w14:solidFill>
                    <w14:schemeClr w14:val="tx1"/>
                  </w14:solidFill>
                </w14:textFill>
              </w:rPr>
              <w:t>根据可能泄漏至地面的污染物的性质和生产单元的构建方式，结合项目总平面布置情况，本项目属于一般防渗要求，本项目</w:t>
            </w:r>
            <w:r>
              <w:rPr>
                <w:rFonts w:hint="eastAsia" w:cs="Times New Roman"/>
                <w:color w:val="000000" w:themeColor="text1"/>
                <w:sz w:val="24"/>
                <w:szCs w:val="24"/>
                <w:lang w:val="en-US" w:eastAsia="zh-CN"/>
                <w14:textFill>
                  <w14:solidFill>
                    <w14:schemeClr w14:val="tx1"/>
                  </w14:solidFill>
                </w14:textFill>
              </w:rPr>
              <w:t>建设过程中</w:t>
            </w:r>
            <w:r>
              <w:rPr>
                <w:rFonts w:hint="eastAsia" w:ascii="Times New Roman" w:cs="Times New Roman"/>
                <w:color w:val="000000" w:themeColor="text1"/>
                <w:sz w:val="24"/>
                <w:szCs w:val="24"/>
                <w14:textFill>
                  <w14:solidFill>
                    <w14:schemeClr w14:val="tx1"/>
                  </w14:solidFill>
                </w14:textFill>
              </w:rPr>
              <w:t>按照一般防渗区要求防护，其他区域按照非防渗区要求防护。本环评要求企业采取以下环保措施避免对地下水造成污染：</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color w:val="000000" w:themeColor="text1"/>
                <w:sz w:val="24"/>
                <w:szCs w:val="24"/>
                <w14:textFill>
                  <w14:solidFill>
                    <w14:schemeClr w14:val="tx1"/>
                  </w14:solidFill>
                </w14:textFill>
              </w:rPr>
            </w:pPr>
            <w:r>
              <w:rPr>
                <w:rFonts w:hint="eastAsia" w:ascii="Times New Roman" w:cs="Times New Roman"/>
                <w:color w:val="000000" w:themeColor="text1"/>
                <w:sz w:val="24"/>
                <w:szCs w:val="24"/>
                <w14:textFill>
                  <w14:solidFill>
                    <w14:schemeClr w14:val="tx1"/>
                  </w14:solidFill>
                </w14:textFill>
              </w:rPr>
              <w:t>①</w:t>
            </w:r>
            <w:r>
              <w:rPr>
                <w:rFonts w:hint="eastAsia" w:cs="Times New Roman"/>
                <w:color w:val="000000" w:themeColor="text1"/>
                <w:sz w:val="24"/>
                <w:szCs w:val="24"/>
                <w:lang w:val="en-US" w:eastAsia="zh-CN"/>
                <w14:textFill>
                  <w14:solidFill>
                    <w14:schemeClr w14:val="tx1"/>
                  </w14:solidFill>
                </w14:textFill>
              </w:rPr>
              <w:t>中医康复治疗楼</w:t>
            </w:r>
            <w:r>
              <w:rPr>
                <w:rFonts w:hint="eastAsia" w:ascii="Times New Roman" w:cs="Times New Roman"/>
                <w:color w:val="000000" w:themeColor="text1"/>
                <w:sz w:val="24"/>
                <w:szCs w:val="24"/>
                <w14:textFill>
                  <w14:solidFill>
                    <w14:schemeClr w14:val="tx1"/>
                  </w14:solidFill>
                </w14:textFill>
              </w:rPr>
              <w:t>内地面等全部硬化，并做好防渗措施；</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color w:val="000000" w:themeColor="text1"/>
                <w:sz w:val="24"/>
                <w:szCs w:val="24"/>
                <w14:textFill>
                  <w14:solidFill>
                    <w14:schemeClr w14:val="tx1"/>
                  </w14:solidFill>
                </w14:textFill>
              </w:rPr>
            </w:pPr>
            <w:r>
              <w:rPr>
                <w:rFonts w:hint="eastAsia" w:ascii="Times New Roman" w:cs="Times New Roman"/>
                <w:color w:val="000000" w:themeColor="text1"/>
                <w:sz w:val="24"/>
                <w:szCs w:val="24"/>
                <w14:textFill>
                  <w14:solidFill>
                    <w14:schemeClr w14:val="tx1"/>
                  </w14:solidFill>
                </w14:textFill>
              </w:rPr>
              <w:t>②做好地面防渗，以及装置、管道的密封防漏工作，定期检查、维修和及时更新；</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color w:val="000000" w:themeColor="text1"/>
                <w:sz w:val="24"/>
                <w:szCs w:val="24"/>
                <w14:textFill>
                  <w14:solidFill>
                    <w14:schemeClr w14:val="tx1"/>
                  </w14:solidFill>
                </w14:textFill>
              </w:rPr>
            </w:pPr>
            <w:r>
              <w:rPr>
                <w:rFonts w:hint="eastAsia" w:ascii="Times New Roman" w:cs="Times New Roman"/>
                <w:color w:val="000000" w:themeColor="text1"/>
                <w:sz w:val="24"/>
                <w:szCs w:val="24"/>
                <w14:textFill>
                  <w14:solidFill>
                    <w14:schemeClr w14:val="tx1"/>
                  </w14:solidFill>
                </w14:textFill>
              </w:rPr>
              <w:t>一般防渗结构区主要为</w:t>
            </w:r>
            <w:r>
              <w:rPr>
                <w:rFonts w:hint="eastAsia" w:cs="Times New Roman"/>
                <w:color w:val="000000" w:themeColor="text1"/>
                <w:sz w:val="24"/>
                <w:szCs w:val="24"/>
                <w:lang w:val="en-US" w:eastAsia="zh-CN"/>
                <w14:textFill>
                  <w14:solidFill>
                    <w14:schemeClr w14:val="tx1"/>
                  </w14:solidFill>
                </w14:textFill>
              </w:rPr>
              <w:t>中医康复治疗楼区域</w:t>
            </w:r>
            <w:r>
              <w:rPr>
                <w:rFonts w:hint="eastAsia" w:ascii="Times New Roman" w:cs="Times New Roman"/>
                <w:color w:val="000000" w:themeColor="text1"/>
                <w:sz w:val="24"/>
                <w:szCs w:val="24"/>
                <w14:textFill>
                  <w14:solidFill>
                    <w14:schemeClr w14:val="tx1"/>
                  </w14:solidFill>
                </w14:textFill>
              </w:rPr>
              <w:t>地面硬化处理，并按照相关要求设置防渗层，可选用天然或人工材料构筑防渗层，防渗层的防渗性能不应低于1.5m厚渗透系数为1.0×10</w:t>
            </w:r>
            <w:r>
              <w:rPr>
                <w:rFonts w:hint="eastAsia" w:ascii="Times New Roman" w:cs="Times New Roman"/>
                <w:color w:val="000000" w:themeColor="text1"/>
                <w:sz w:val="24"/>
                <w:szCs w:val="24"/>
                <w:vertAlign w:val="superscript"/>
                <w14:textFill>
                  <w14:solidFill>
                    <w14:schemeClr w14:val="tx1"/>
                  </w14:solidFill>
                </w14:textFill>
              </w:rPr>
              <w:t>-7</w:t>
            </w:r>
            <w:r>
              <w:rPr>
                <w:rFonts w:hint="eastAsia" w:ascii="Times New Roman" w:cs="Times New Roman"/>
                <w:color w:val="000000" w:themeColor="text1"/>
                <w:sz w:val="24"/>
                <w:szCs w:val="24"/>
                <w14:textFill>
                  <w14:solidFill>
                    <w14:schemeClr w14:val="tx1"/>
                  </w14:solidFill>
                </w14:textFill>
              </w:rPr>
              <w:t>cm/s的等效黏土层的防渗性能。</w:t>
            </w:r>
            <w:r>
              <w:rPr>
                <w:rFonts w:hint="eastAsia" w:cs="Times New Roman"/>
                <w:color w:val="000000" w:themeColor="text1"/>
                <w:sz w:val="24"/>
                <w:szCs w:val="24"/>
                <w:lang w:val="en-US" w:eastAsia="zh-CN"/>
                <w14:textFill>
                  <w14:solidFill>
                    <w14:schemeClr w14:val="tx1"/>
                  </w14:solidFill>
                </w14:textFill>
              </w:rPr>
              <w:t>其他区域</w:t>
            </w:r>
            <w:r>
              <w:rPr>
                <w:rFonts w:hint="eastAsia" w:ascii="Times New Roman" w:cs="Times New Roman"/>
                <w:color w:val="000000" w:themeColor="text1"/>
                <w:sz w:val="24"/>
                <w:szCs w:val="24"/>
                <w14:textFill>
                  <w14:solidFill>
                    <w14:schemeClr w14:val="tx1"/>
                  </w14:solidFill>
                </w14:textFill>
              </w:rPr>
              <w:t>采用水泥硬化，除上述区域外的场区，按常规建筑结构要求进行地面处理。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cs="Times New Roman"/>
                <w:sz w:val="24"/>
                <w:szCs w:val="24"/>
              </w:rPr>
            </w:pPr>
            <w:r>
              <w:rPr>
                <w:rFonts w:hint="eastAsia" w:ascii="Times New Roman" w:cs="Times New Roman"/>
                <w:sz w:val="24"/>
                <w:szCs w:val="24"/>
              </w:rPr>
              <w:t>本项目污染防治分区情况详见表4-</w:t>
            </w:r>
            <w:r>
              <w:rPr>
                <w:rFonts w:hint="eastAsia" w:cs="Times New Roman"/>
                <w:sz w:val="24"/>
                <w:szCs w:val="24"/>
                <w:lang w:val="en-US" w:eastAsia="zh-CN"/>
              </w:rPr>
              <w:t>8</w:t>
            </w:r>
            <w:r>
              <w:rPr>
                <w:rFonts w:hint="eastAsia" w:ascii="Times New Roman" w:cs="Times New Roman"/>
                <w:sz w:val="24"/>
                <w:szCs w:val="24"/>
              </w:rPr>
              <w:t>。</w:t>
            </w:r>
          </w:p>
          <w:p>
            <w:pPr>
              <w:keepNext w:val="0"/>
              <w:keepLines w:val="0"/>
              <w:pageBreakBefore w:val="0"/>
              <w:widowControl/>
              <w:kinsoku/>
              <w:wordWrap/>
              <w:overflowPunct/>
              <w:topLinePunct w:val="0"/>
              <w:autoSpaceDE/>
              <w:autoSpaceDN/>
              <w:bidi w:val="0"/>
              <w:adjustRightInd/>
              <w:snapToGrid/>
              <w:spacing w:beforeAutospacing="0"/>
              <w:ind w:firstLine="480" w:firstLineChars="200"/>
              <w:jc w:val="center"/>
              <w:textAlignment w:val="auto"/>
              <w:rPr>
                <w:rFonts w:eastAsia="黑体"/>
                <w:sz w:val="24"/>
                <w:szCs w:val="24"/>
              </w:rPr>
            </w:pPr>
            <w:r>
              <w:rPr>
                <w:rFonts w:hint="eastAsia" w:eastAsia="黑体"/>
                <w:sz w:val="24"/>
                <w:szCs w:val="24"/>
              </w:rPr>
              <w:t>表4-</w:t>
            </w:r>
            <w:r>
              <w:rPr>
                <w:rFonts w:hint="eastAsia" w:eastAsia="黑体"/>
                <w:sz w:val="24"/>
                <w:szCs w:val="24"/>
                <w:lang w:val="en-US" w:eastAsia="zh-CN"/>
              </w:rPr>
              <w:t>8</w:t>
            </w:r>
            <w:r>
              <w:rPr>
                <w:rFonts w:hint="eastAsia" w:eastAsia="黑体"/>
                <w:sz w:val="24"/>
                <w:szCs w:val="24"/>
              </w:rPr>
              <w:t xml:space="preserve">    本项目地下水污染防治分区情况表</w:t>
            </w:r>
          </w:p>
          <w:tbl>
            <w:tblPr>
              <w:tblStyle w:val="2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5"/>
              <w:gridCol w:w="6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16"/>
                    <w:jc w:val="center"/>
                  </w:pPr>
                  <w:r>
                    <w:rPr>
                      <w:rFonts w:hint="eastAsia"/>
                    </w:rPr>
                    <w:t>名称</w:t>
                  </w:r>
                </w:p>
              </w:tc>
              <w:tc>
                <w:tcPr>
                  <w:tcW w:w="3754" w:type="pct"/>
                  <w:tcBorders>
                    <w:tl2br w:val="nil"/>
                    <w:tr2bl w:val="nil"/>
                  </w:tcBorders>
                </w:tcPr>
                <w:p>
                  <w:pPr>
                    <w:pStyle w:val="16"/>
                    <w:jc w:val="center"/>
                  </w:pPr>
                  <w:r>
                    <w:rPr>
                      <w:rFonts w:hint="eastAsia"/>
                    </w:rPr>
                    <w:t>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245" w:type="pct"/>
                  <w:tcBorders>
                    <w:tl2br w:val="nil"/>
                    <w:tr2bl w:val="nil"/>
                  </w:tcBorders>
                </w:tcPr>
                <w:p>
                  <w:pPr>
                    <w:pStyle w:val="16"/>
                    <w:jc w:val="center"/>
                  </w:pPr>
                  <w:r>
                    <w:rPr>
                      <w:rFonts w:hint="eastAsia"/>
                    </w:rPr>
                    <w:t>一般防渗区</w:t>
                  </w:r>
                </w:p>
              </w:tc>
              <w:tc>
                <w:tcPr>
                  <w:tcW w:w="3754" w:type="pct"/>
                  <w:tcBorders>
                    <w:tl2br w:val="nil"/>
                    <w:tr2bl w:val="nil"/>
                  </w:tcBorders>
                </w:tcPr>
                <w:p>
                  <w:pPr>
                    <w:pStyle w:val="16"/>
                    <w:jc w:val="center"/>
                    <w:rPr>
                      <w:rFonts w:hint="default" w:eastAsia="宋体"/>
                      <w:lang w:val="en-US" w:eastAsia="zh-CN"/>
                    </w:rPr>
                  </w:pPr>
                  <w:r>
                    <w:rPr>
                      <w:rFonts w:hint="eastAsia"/>
                      <w:lang w:val="en-US" w:eastAsia="zh-CN"/>
                    </w:rPr>
                    <w:t>中医康复治疗楼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5" w:type="pct"/>
                  <w:tcBorders>
                    <w:tl2br w:val="nil"/>
                    <w:tr2bl w:val="nil"/>
                  </w:tcBorders>
                </w:tcPr>
                <w:p>
                  <w:pPr>
                    <w:pStyle w:val="16"/>
                    <w:jc w:val="center"/>
                  </w:pPr>
                  <w:r>
                    <w:rPr>
                      <w:rFonts w:hint="eastAsia"/>
                    </w:rPr>
                    <w:t>非防渗区</w:t>
                  </w:r>
                </w:p>
              </w:tc>
              <w:tc>
                <w:tcPr>
                  <w:tcW w:w="3754" w:type="pct"/>
                  <w:tcBorders>
                    <w:tl2br w:val="nil"/>
                    <w:tr2bl w:val="nil"/>
                  </w:tcBorders>
                </w:tcPr>
                <w:p>
                  <w:pPr>
                    <w:pStyle w:val="16"/>
                    <w:jc w:val="center"/>
                  </w:pPr>
                  <w:r>
                    <w:rPr>
                      <w:rFonts w:hint="eastAsia"/>
                    </w:rPr>
                    <w:t>其他区域</w:t>
                  </w:r>
                </w:p>
              </w:tc>
            </w:tr>
          </w:tbl>
          <w:p>
            <w:pPr>
              <w:keepNext w:val="0"/>
              <w:keepLines w:val="0"/>
              <w:pageBreakBefore w:val="0"/>
              <w:widowControl w:val="0"/>
              <w:kinsoku/>
              <w:wordWrap/>
              <w:overflowPunct/>
              <w:topLinePunct w:val="0"/>
              <w:autoSpaceDE/>
              <w:autoSpaceDN/>
              <w:bidi w:val="0"/>
              <w:adjustRightInd w:val="0"/>
              <w:snapToGrid w:val="0"/>
              <w:spacing w:line="520" w:lineRule="exact"/>
              <w:ind w:left="0" w:firstLine="482" w:firstLineChars="200"/>
              <w:textAlignment w:val="auto"/>
              <w:rPr>
                <w:rFonts w:ascii="Times New Roman" w:hAnsi="Times New Roman"/>
                <w:b/>
                <w:color w:val="auto"/>
                <w:sz w:val="24"/>
                <w:szCs w:val="24"/>
              </w:rPr>
            </w:pPr>
            <w:r>
              <w:rPr>
                <w:rFonts w:hint="eastAsia"/>
                <w:b/>
                <w:color w:val="auto"/>
                <w:sz w:val="24"/>
                <w:szCs w:val="24"/>
                <w:lang w:val="en-US" w:eastAsia="zh-CN"/>
              </w:rPr>
              <w:t>7.</w:t>
            </w:r>
            <w:r>
              <w:rPr>
                <w:rFonts w:ascii="Times New Roman" w:hAnsi="Times New Roman"/>
                <w:b/>
                <w:color w:val="auto"/>
                <w:sz w:val="24"/>
                <w:szCs w:val="24"/>
              </w:rPr>
              <w:t>风险评价</w:t>
            </w:r>
          </w:p>
          <w:p>
            <w:pPr>
              <w:keepNext w:val="0"/>
              <w:keepLines w:val="0"/>
              <w:pageBreakBefore w:val="0"/>
              <w:widowControl w:val="0"/>
              <w:kinsoku/>
              <w:wordWrap/>
              <w:overflowPunct/>
              <w:topLinePunct w:val="0"/>
              <w:autoSpaceDE/>
              <w:autoSpaceDN/>
              <w:bidi w:val="0"/>
              <w:adjustRightInd w:val="0"/>
              <w:snapToGrid w:val="0"/>
              <w:spacing w:line="520" w:lineRule="exact"/>
              <w:ind w:left="0" w:firstLine="482" w:firstLineChars="200"/>
              <w:textAlignment w:val="auto"/>
              <w:rPr>
                <w:rFonts w:ascii="Times New Roman" w:hAnsi="Times New Roman"/>
                <w:b/>
                <w:sz w:val="24"/>
                <w:szCs w:val="24"/>
              </w:rPr>
            </w:pPr>
            <w:r>
              <w:rPr>
                <w:rFonts w:hint="eastAsia"/>
                <w:b/>
                <w:sz w:val="24"/>
                <w:szCs w:val="24"/>
                <w:lang w:val="en-US" w:eastAsia="zh-CN"/>
              </w:rPr>
              <w:t>7</w:t>
            </w:r>
            <w:r>
              <w:rPr>
                <w:rFonts w:hint="eastAsia" w:ascii="Times New Roman" w:hAnsi="Times New Roman"/>
                <w:b/>
                <w:sz w:val="24"/>
                <w:szCs w:val="24"/>
              </w:rPr>
              <w:t>.1风险调查</w:t>
            </w:r>
          </w:p>
          <w:p>
            <w:pPr>
              <w:pStyle w:val="39"/>
              <w:keepNext w:val="0"/>
              <w:keepLines w:val="0"/>
              <w:pageBreakBefore w:val="0"/>
              <w:widowControl w:val="0"/>
              <w:kinsoku/>
              <w:wordWrap/>
              <w:overflowPunct/>
              <w:topLinePunct w:val="0"/>
              <w:autoSpaceDE/>
              <w:autoSpaceDN/>
              <w:bidi w:val="0"/>
              <w:spacing w:line="520" w:lineRule="exact"/>
              <w:ind w:left="0" w:firstLine="480" w:firstLineChars="200"/>
              <w:jc w:val="both"/>
              <w:textAlignment w:val="auto"/>
              <w:rPr>
                <w:rFonts w:hint="eastAsia" w:ascii="Times New Roman" w:hAnsi="Times New Roman" w:cs="Times New Roman"/>
                <w:sz w:val="24"/>
                <w:szCs w:val="24"/>
              </w:rPr>
            </w:pPr>
            <w:r>
              <w:rPr>
                <w:rFonts w:hint="eastAsia" w:ascii="Times New Roman" w:hAnsi="Times New Roman" w:cs="Times New Roman"/>
                <w:sz w:val="24"/>
                <w:szCs w:val="24"/>
                <w:lang w:val="en-US" w:eastAsia="zh-CN"/>
              </w:rPr>
              <w:t>与</w:t>
            </w:r>
            <w:r>
              <w:rPr>
                <w:rFonts w:hint="eastAsia" w:ascii="Times New Roman" w:hAnsi="Times New Roman" w:cs="Times New Roman"/>
                <w:sz w:val="24"/>
                <w:szCs w:val="24"/>
              </w:rPr>
              <w:t>本项目</w:t>
            </w:r>
            <w:r>
              <w:rPr>
                <w:rFonts w:hint="eastAsia" w:ascii="Times New Roman" w:hAnsi="Times New Roman" w:cs="Times New Roman"/>
                <w:sz w:val="24"/>
                <w:szCs w:val="24"/>
                <w:lang w:val="en-US" w:eastAsia="zh-CN"/>
              </w:rPr>
              <w:t>有关的，</w:t>
            </w:r>
            <w:r>
              <w:rPr>
                <w:rFonts w:hint="eastAsia" w:ascii="Times New Roman" w:hAnsi="Times New Roman" w:cs="Times New Roman"/>
                <w:sz w:val="24"/>
                <w:szCs w:val="24"/>
              </w:rPr>
              <w:t>可能发生的风险为</w:t>
            </w:r>
            <w:r>
              <w:rPr>
                <w:rFonts w:hint="eastAsia" w:ascii="Times New Roman" w:hAnsi="Times New Roman" w:cs="Times New Roman"/>
                <w:sz w:val="24"/>
                <w:szCs w:val="24"/>
                <w:lang w:val="en-US" w:eastAsia="zh-CN"/>
              </w:rPr>
              <w:t>中医医院现有</w:t>
            </w:r>
            <w:r>
              <w:rPr>
                <w:rFonts w:hint="eastAsia" w:ascii="Times New Roman" w:hAnsi="Times New Roman" w:cs="Times New Roman"/>
                <w:sz w:val="24"/>
                <w:szCs w:val="24"/>
              </w:rPr>
              <w:t>污水处理设备事故风险。</w:t>
            </w:r>
          </w:p>
          <w:p>
            <w:pPr>
              <w:keepNext w:val="0"/>
              <w:keepLines w:val="0"/>
              <w:pageBreakBefore w:val="0"/>
              <w:widowControl w:val="0"/>
              <w:kinsoku/>
              <w:wordWrap/>
              <w:overflowPunct/>
              <w:topLinePunct w:val="0"/>
              <w:autoSpaceDE/>
              <w:autoSpaceDN/>
              <w:bidi w:val="0"/>
              <w:adjustRightInd w:val="0"/>
              <w:snapToGrid w:val="0"/>
              <w:spacing w:line="520" w:lineRule="exact"/>
              <w:ind w:left="0" w:firstLine="482" w:firstLineChars="200"/>
              <w:textAlignment w:val="auto"/>
              <w:rPr>
                <w:rFonts w:hint="eastAsia"/>
                <w:b/>
                <w:sz w:val="24"/>
                <w:szCs w:val="24"/>
                <w:lang w:val="en-US" w:eastAsia="zh-CN"/>
              </w:rPr>
            </w:pPr>
            <w:r>
              <w:rPr>
                <w:rFonts w:hint="eastAsia"/>
                <w:b/>
                <w:sz w:val="24"/>
                <w:szCs w:val="24"/>
                <w:lang w:val="en-US" w:eastAsia="zh-CN"/>
              </w:rPr>
              <w:t>7.2环境风险潜势初判</w:t>
            </w:r>
          </w:p>
          <w:p>
            <w:pPr>
              <w:pStyle w:val="39"/>
              <w:keepNext w:val="0"/>
              <w:keepLines w:val="0"/>
              <w:pageBreakBefore w:val="0"/>
              <w:widowControl w:val="0"/>
              <w:kinsoku/>
              <w:wordWrap/>
              <w:overflowPunct/>
              <w:topLinePunct w:val="0"/>
              <w:autoSpaceDE/>
              <w:autoSpaceDN/>
              <w:bidi w:val="0"/>
              <w:spacing w:line="520" w:lineRule="exact"/>
              <w:ind w:left="0" w:firstLine="482" w:firstLineChars="200"/>
              <w:jc w:val="both"/>
              <w:textAlignment w:val="auto"/>
              <w:rPr>
                <w:rFonts w:hint="eastAsia" w:ascii="Times New Roman" w:hAnsi="Times New Roman" w:cs="Times New Roman"/>
                <w:b/>
                <w:snapToGrid/>
                <w:kern w:val="2"/>
                <w:sz w:val="24"/>
                <w:szCs w:val="24"/>
              </w:rPr>
            </w:pPr>
            <w:r>
              <w:rPr>
                <w:rFonts w:hint="eastAsia" w:ascii="Times New Roman" w:hAnsi="Times New Roman" w:cs="Times New Roman"/>
                <w:b/>
                <w:snapToGrid/>
                <w:kern w:val="2"/>
                <w:sz w:val="24"/>
                <w:szCs w:val="24"/>
                <w:lang w:val="en-US" w:eastAsia="zh-CN"/>
              </w:rPr>
              <w:t>7.</w:t>
            </w:r>
            <w:r>
              <w:rPr>
                <w:rFonts w:hint="eastAsia" w:ascii="Times New Roman" w:hAnsi="Times New Roman" w:cs="Times New Roman"/>
                <w:b/>
                <w:snapToGrid/>
                <w:kern w:val="2"/>
                <w:sz w:val="24"/>
                <w:szCs w:val="24"/>
              </w:rPr>
              <w:t>2.1环境风险潜势划分</w:t>
            </w:r>
          </w:p>
          <w:p>
            <w:pPr>
              <w:pStyle w:val="39"/>
              <w:keepNext w:val="0"/>
              <w:keepLines w:val="0"/>
              <w:pageBreakBefore w:val="0"/>
              <w:widowControl w:val="0"/>
              <w:kinsoku/>
              <w:wordWrap/>
              <w:overflowPunct/>
              <w:topLinePunct w:val="0"/>
              <w:autoSpaceDE/>
              <w:autoSpaceDN/>
              <w:bidi w:val="0"/>
              <w:spacing w:line="520" w:lineRule="exact"/>
              <w:ind w:left="0" w:firstLine="480" w:firstLineChars="200"/>
              <w:jc w:val="both"/>
              <w:textAlignment w:val="auto"/>
              <w:rPr>
                <w:rFonts w:hint="eastAsia" w:ascii="Times New Roman" w:hAnsi="Times New Roman" w:cs="Times New Roman"/>
                <w:sz w:val="24"/>
                <w:szCs w:val="24"/>
              </w:rPr>
            </w:pPr>
            <w:r>
              <w:rPr>
                <w:rFonts w:hint="eastAsia" w:ascii="Times New Roman" w:hAnsi="Times New Roman" w:cs="Times New Roman"/>
                <w:sz w:val="24"/>
                <w:szCs w:val="24"/>
              </w:rPr>
              <w:t>建设项目环境风险潜势划分为</w:t>
            </w:r>
            <w:r>
              <w:rPr>
                <w:rFonts w:hint="default" w:ascii="Times New Roman" w:hAnsi="Times New Roman" w:cs="Times New Roman"/>
                <w:sz w:val="24"/>
                <w:szCs w:val="24"/>
              </w:rPr>
              <w:t>Ⅰ、Ⅱ、Ⅲ、Ⅳ/Ⅳ+</w:t>
            </w:r>
            <w:r>
              <w:rPr>
                <w:rFonts w:hint="eastAsia" w:ascii="Times New Roman" w:hAnsi="Times New Roman" w:cs="Times New Roman"/>
                <w:sz w:val="24"/>
                <w:szCs w:val="24"/>
              </w:rPr>
              <w:t>级。根据建设项目涉及的物质和工艺系统的危险性及其所在地的环境敏感程度，结合事故情形下环境影响途径，对建设项目潜在环境危险程度进行概化分析，按照表</w:t>
            </w:r>
            <w:r>
              <w:rPr>
                <w:rFonts w:hint="eastAsia" w:ascii="Times New Roman" w:hAnsi="Times New Roman" w:cs="Times New Roman"/>
                <w:sz w:val="24"/>
                <w:szCs w:val="24"/>
                <w:lang w:val="en-US" w:eastAsia="zh-CN"/>
              </w:rPr>
              <w:t>4-9</w:t>
            </w:r>
            <w:r>
              <w:rPr>
                <w:rFonts w:hint="eastAsia" w:ascii="Times New Roman" w:hAnsi="Times New Roman" w:cs="Times New Roman"/>
                <w:sz w:val="24"/>
                <w:szCs w:val="24"/>
              </w:rPr>
              <w:t>确定环境风险潜势。</w:t>
            </w:r>
          </w:p>
          <w:p>
            <w:pPr>
              <w:keepNext w:val="0"/>
              <w:keepLines w:val="0"/>
              <w:pageBreakBefore w:val="0"/>
              <w:widowControl/>
              <w:kinsoku/>
              <w:wordWrap/>
              <w:overflowPunct/>
              <w:topLinePunct w:val="0"/>
              <w:autoSpaceDE/>
              <w:autoSpaceDN/>
              <w:bidi w:val="0"/>
              <w:adjustRightInd/>
              <w:snapToGrid/>
              <w:spacing w:beforeAutospacing="0"/>
              <w:ind w:firstLine="480" w:firstLineChars="200"/>
              <w:jc w:val="center"/>
              <w:textAlignment w:val="auto"/>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4-</w:t>
            </w:r>
            <w:r>
              <w:rPr>
                <w:rFonts w:hint="eastAsia" w:eastAsia="黑体" w:cs="Times New Roman"/>
                <w:sz w:val="24"/>
                <w:szCs w:val="24"/>
                <w:lang w:val="en-US" w:eastAsia="zh-CN"/>
              </w:rPr>
              <w:t>9</w:t>
            </w:r>
            <w:r>
              <w:rPr>
                <w:rFonts w:hint="eastAsia" w:ascii="Times New Roman" w:hAnsi="Times New Roman" w:eastAsia="黑体" w:cs="Times New Roman"/>
                <w:sz w:val="24"/>
                <w:szCs w:val="24"/>
              </w:rPr>
              <w:t xml:space="preserve">  </w:t>
            </w:r>
            <w:r>
              <w:rPr>
                <w:rFonts w:hint="eastAsia"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rPr>
              <w:t>建设项目环境风险潜势划分</w:t>
            </w:r>
          </w:p>
          <w:tbl>
            <w:tblPr>
              <w:tblStyle w:val="28"/>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12"/>
              <w:gridCol w:w="1629"/>
              <w:gridCol w:w="1506"/>
              <w:gridCol w:w="1786"/>
              <w:gridCol w:w="1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vMerge w:val="restar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环境敏感程度（E）</w:t>
                  </w:r>
                </w:p>
              </w:tc>
              <w:tc>
                <w:tcPr>
                  <w:tcW w:w="3611" w:type="pct"/>
                  <w:gridSpan w:val="4"/>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危险物质及工艺系统危险性（P）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vMerge w:val="continue"/>
                  <w:noWrap w:val="0"/>
                  <w:vAlign w:val="center"/>
                </w:tcPr>
                <w:p>
                  <w:pPr>
                    <w:pStyle w:val="39"/>
                    <w:rPr>
                      <w:rFonts w:hint="default" w:ascii="Times New Roman" w:hAnsi="Times New Roman" w:cs="Times New Roman"/>
                      <w:bCs/>
                      <w:sz w:val="21"/>
                      <w:szCs w:val="21"/>
                    </w:rPr>
                  </w:pPr>
                </w:p>
              </w:tc>
              <w:tc>
                <w:tcPr>
                  <w:tcW w:w="93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极高危害（P1）</w:t>
                  </w:r>
                </w:p>
              </w:tc>
              <w:tc>
                <w:tcPr>
                  <w:tcW w:w="866"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高度危害（P2）</w:t>
                  </w:r>
                </w:p>
              </w:tc>
              <w:tc>
                <w:tcPr>
                  <w:tcW w:w="102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中度危害（P3）</w:t>
                  </w:r>
                </w:p>
              </w:tc>
              <w:tc>
                <w:tcPr>
                  <w:tcW w:w="780"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轻度危害（P4）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环境高度敏感区（E1）</w:t>
                  </w:r>
                </w:p>
              </w:tc>
              <w:tc>
                <w:tcPr>
                  <w:tcW w:w="93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4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IV</w:t>
                  </w:r>
                  <w:r>
                    <w:rPr>
                      <w:rFonts w:hint="default" w:ascii="Times New Roman" w:hAnsi="Times New Roman" w:cs="Times New Roman"/>
                      <w:bCs/>
                      <w:sz w:val="21"/>
                      <w:szCs w:val="21"/>
                    </w:rPr>
                    <w:fldChar w:fldCharType="end"/>
                  </w:r>
                  <w:r>
                    <w:rPr>
                      <w:rFonts w:hint="default" w:ascii="Times New Roman" w:hAnsi="Times New Roman" w:cs="Times New Roman"/>
                      <w:bCs/>
                      <w:sz w:val="21"/>
                      <w:szCs w:val="21"/>
                      <w:vertAlign w:val="superscript"/>
                    </w:rPr>
                    <w:t>+</w:t>
                  </w:r>
                </w:p>
              </w:tc>
              <w:tc>
                <w:tcPr>
                  <w:tcW w:w="866"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4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IV</w:t>
                  </w:r>
                  <w:r>
                    <w:rPr>
                      <w:rFonts w:hint="default" w:ascii="Times New Roman" w:hAnsi="Times New Roman" w:cs="Times New Roman"/>
                      <w:bCs/>
                      <w:sz w:val="21"/>
                      <w:szCs w:val="21"/>
                    </w:rPr>
                    <w:fldChar w:fldCharType="end"/>
                  </w:r>
                </w:p>
              </w:tc>
              <w:tc>
                <w:tcPr>
                  <w:tcW w:w="102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3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III</w:t>
                  </w:r>
                  <w:r>
                    <w:rPr>
                      <w:rFonts w:hint="default" w:ascii="Times New Roman" w:hAnsi="Times New Roman" w:cs="Times New Roman"/>
                      <w:bCs/>
                      <w:sz w:val="21"/>
                      <w:szCs w:val="21"/>
                    </w:rPr>
                    <w:fldChar w:fldCharType="end"/>
                  </w:r>
                </w:p>
              </w:tc>
              <w:tc>
                <w:tcPr>
                  <w:tcW w:w="780"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3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III</w:t>
                  </w:r>
                  <w:r>
                    <w:rPr>
                      <w:rFonts w:hint="default" w:ascii="Times New Roman" w:hAnsi="Times New Roman" w:cs="Times New Roman"/>
                      <w:bCs/>
                      <w:sz w:val="21"/>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8"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环境中度敏感区（E2）</w:t>
                  </w:r>
                </w:p>
              </w:tc>
              <w:tc>
                <w:tcPr>
                  <w:tcW w:w="93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4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IV</w:t>
                  </w:r>
                  <w:r>
                    <w:rPr>
                      <w:rFonts w:hint="default" w:ascii="Times New Roman" w:hAnsi="Times New Roman" w:cs="Times New Roman"/>
                      <w:bCs/>
                      <w:sz w:val="21"/>
                      <w:szCs w:val="21"/>
                    </w:rPr>
                    <w:fldChar w:fldCharType="end"/>
                  </w:r>
                </w:p>
              </w:tc>
              <w:tc>
                <w:tcPr>
                  <w:tcW w:w="866"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3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III</w:t>
                  </w:r>
                  <w:r>
                    <w:rPr>
                      <w:rFonts w:hint="default" w:ascii="Times New Roman" w:hAnsi="Times New Roman" w:cs="Times New Roman"/>
                      <w:bCs/>
                      <w:sz w:val="21"/>
                      <w:szCs w:val="21"/>
                    </w:rPr>
                    <w:fldChar w:fldCharType="end"/>
                  </w:r>
                </w:p>
              </w:tc>
              <w:tc>
                <w:tcPr>
                  <w:tcW w:w="102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3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III</w:t>
                  </w:r>
                  <w:r>
                    <w:rPr>
                      <w:rFonts w:hint="default" w:ascii="Times New Roman" w:hAnsi="Times New Roman" w:cs="Times New Roman"/>
                      <w:bCs/>
                      <w:sz w:val="21"/>
                      <w:szCs w:val="21"/>
                    </w:rPr>
                    <w:fldChar w:fldCharType="end"/>
                  </w:r>
                </w:p>
              </w:tc>
              <w:tc>
                <w:tcPr>
                  <w:tcW w:w="780"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2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w:t>
                  </w:r>
                  <w:r>
                    <w:rPr>
                      <w:rFonts w:hint="default" w:ascii="Times New Roman" w:hAnsi="Times New Roman" w:cs="Times New Roman"/>
                      <w:bCs/>
                      <w:sz w:val="21"/>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1388"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t>环境低度敏感区（E3）</w:t>
                  </w:r>
                </w:p>
              </w:tc>
              <w:tc>
                <w:tcPr>
                  <w:tcW w:w="93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3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III</w:t>
                  </w:r>
                  <w:r>
                    <w:rPr>
                      <w:rFonts w:hint="default" w:ascii="Times New Roman" w:hAnsi="Times New Roman" w:cs="Times New Roman"/>
                      <w:bCs/>
                      <w:sz w:val="21"/>
                      <w:szCs w:val="21"/>
                    </w:rPr>
                    <w:fldChar w:fldCharType="end"/>
                  </w:r>
                </w:p>
              </w:tc>
              <w:tc>
                <w:tcPr>
                  <w:tcW w:w="866"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3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III</w:t>
                  </w:r>
                  <w:r>
                    <w:rPr>
                      <w:rFonts w:hint="default" w:ascii="Times New Roman" w:hAnsi="Times New Roman" w:cs="Times New Roman"/>
                      <w:bCs/>
                      <w:sz w:val="21"/>
                      <w:szCs w:val="21"/>
                    </w:rPr>
                    <w:fldChar w:fldCharType="end"/>
                  </w:r>
                </w:p>
              </w:tc>
              <w:tc>
                <w:tcPr>
                  <w:tcW w:w="1027"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2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II</w:t>
                  </w:r>
                  <w:r>
                    <w:rPr>
                      <w:rFonts w:hint="default" w:ascii="Times New Roman" w:hAnsi="Times New Roman" w:cs="Times New Roman"/>
                      <w:bCs/>
                      <w:sz w:val="21"/>
                      <w:szCs w:val="21"/>
                    </w:rPr>
                    <w:fldChar w:fldCharType="end"/>
                  </w:r>
                </w:p>
              </w:tc>
              <w:tc>
                <w:tcPr>
                  <w:tcW w:w="780" w:type="pct"/>
                  <w:noWrap w:val="0"/>
                  <w:vAlign w:val="center"/>
                </w:tcPr>
                <w:p>
                  <w:pPr>
                    <w:pStyle w:val="39"/>
                    <w:rPr>
                      <w:rFonts w:hint="default" w:ascii="Times New Roman" w:hAnsi="Times New Roman" w:cs="Times New Roman"/>
                      <w:bCs/>
                      <w:sz w:val="21"/>
                      <w:szCs w:val="21"/>
                    </w:rPr>
                  </w:pP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1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w:t>
                  </w:r>
                  <w:r>
                    <w:rPr>
                      <w:rFonts w:hint="default" w:ascii="Times New Roman" w:hAnsi="Times New Roman" w:cs="Times New Roman"/>
                      <w:bCs/>
                      <w:sz w:val="21"/>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noWrap w:val="0"/>
                  <w:vAlign w:val="center"/>
                </w:tcPr>
                <w:p>
                  <w:pPr>
                    <w:pStyle w:val="39"/>
                    <w:jc w:val="both"/>
                    <w:rPr>
                      <w:rFonts w:hint="default" w:ascii="Times New Roman" w:hAnsi="Times New Roman" w:cs="Times New Roman"/>
                      <w:bCs/>
                      <w:sz w:val="21"/>
                      <w:szCs w:val="21"/>
                    </w:rPr>
                  </w:pPr>
                  <w:r>
                    <w:rPr>
                      <w:rFonts w:hint="default" w:ascii="Times New Roman" w:hAnsi="Times New Roman" w:cs="Times New Roman"/>
                      <w:bCs/>
                      <w:sz w:val="21"/>
                      <w:szCs w:val="21"/>
                    </w:rPr>
                    <w:t>注：</w:t>
                  </w:r>
                  <w:r>
                    <w:rPr>
                      <w:rFonts w:hint="default" w:ascii="Times New Roman" w:hAnsi="Times New Roman" w:cs="Times New Roman"/>
                      <w:bCs/>
                      <w:sz w:val="21"/>
                      <w:szCs w:val="21"/>
                    </w:rPr>
                    <w:fldChar w:fldCharType="begin"/>
                  </w:r>
                  <w:r>
                    <w:rPr>
                      <w:rFonts w:hint="default" w:ascii="Times New Roman" w:hAnsi="Times New Roman" w:cs="Times New Roman"/>
                      <w:bCs/>
                      <w:sz w:val="21"/>
                      <w:szCs w:val="21"/>
                    </w:rPr>
                    <w:instrText xml:space="preserve"> = 4 \* ROMAN \* MERGEFORMAT </w:instrText>
                  </w:r>
                  <w:r>
                    <w:rPr>
                      <w:rFonts w:hint="default" w:ascii="Times New Roman" w:hAnsi="Times New Roman" w:cs="Times New Roman"/>
                      <w:bCs/>
                      <w:sz w:val="21"/>
                      <w:szCs w:val="21"/>
                    </w:rPr>
                    <w:fldChar w:fldCharType="separate"/>
                  </w:r>
                  <w:r>
                    <w:rPr>
                      <w:rFonts w:hint="default" w:ascii="Times New Roman" w:hAnsi="Times New Roman" w:cs="Times New Roman"/>
                      <w:sz w:val="21"/>
                      <w:szCs w:val="21"/>
                    </w:rPr>
                    <w:t>IV</w:t>
                  </w:r>
                  <w:r>
                    <w:rPr>
                      <w:rFonts w:hint="default" w:ascii="Times New Roman" w:hAnsi="Times New Roman" w:cs="Times New Roman"/>
                      <w:bCs/>
                      <w:sz w:val="21"/>
                      <w:szCs w:val="21"/>
                    </w:rPr>
                    <w:fldChar w:fldCharType="end"/>
                  </w:r>
                  <w:r>
                    <w:rPr>
                      <w:rFonts w:hint="default" w:ascii="Times New Roman" w:hAnsi="Times New Roman" w:cs="Times New Roman"/>
                      <w:bCs/>
                      <w:sz w:val="21"/>
                      <w:szCs w:val="21"/>
                      <w:vertAlign w:val="superscript"/>
                    </w:rPr>
                    <w:t>+</w:t>
                  </w:r>
                  <w:r>
                    <w:rPr>
                      <w:rFonts w:hint="default" w:ascii="Times New Roman" w:hAnsi="Times New Roman" w:cs="Times New Roman"/>
                      <w:bCs/>
                      <w:sz w:val="21"/>
                      <w:szCs w:val="21"/>
                    </w:rPr>
                    <w:t>为极高环境风险。</w:t>
                  </w:r>
                </w:p>
              </w:tc>
            </w:tr>
          </w:tbl>
          <w:p>
            <w:pPr>
              <w:pStyle w:val="39"/>
              <w:spacing w:line="560" w:lineRule="exact"/>
              <w:ind w:left="480"/>
              <w:jc w:val="both"/>
              <w:rPr>
                <w:rFonts w:hint="eastAsia" w:ascii="Times New Roman" w:hAnsi="Times New Roman" w:cs="Times New Roman"/>
                <w:b/>
                <w:snapToGrid/>
                <w:color w:val="000000" w:themeColor="text1"/>
                <w:kern w:val="2"/>
                <w:sz w:val="24"/>
                <w:szCs w:val="24"/>
                <w14:textFill>
                  <w14:solidFill>
                    <w14:schemeClr w14:val="tx1"/>
                  </w14:solidFill>
                </w14:textFill>
              </w:rPr>
            </w:pPr>
            <w:r>
              <w:rPr>
                <w:rFonts w:hint="eastAsia" w:ascii="Times New Roman" w:hAnsi="Times New Roman" w:cs="Times New Roman"/>
                <w:b/>
                <w:snapToGrid/>
                <w:color w:val="000000" w:themeColor="text1"/>
                <w:kern w:val="2"/>
                <w:sz w:val="24"/>
                <w:szCs w:val="24"/>
                <w:lang w:val="en-US" w:eastAsia="zh-CN"/>
                <w14:textFill>
                  <w14:solidFill>
                    <w14:schemeClr w14:val="tx1"/>
                  </w14:solidFill>
                </w14:textFill>
              </w:rPr>
              <w:t>7</w:t>
            </w:r>
            <w:r>
              <w:rPr>
                <w:rFonts w:hint="eastAsia" w:ascii="Times New Roman" w:hAnsi="Times New Roman" w:cs="Times New Roman"/>
                <w:b/>
                <w:snapToGrid/>
                <w:color w:val="000000" w:themeColor="text1"/>
                <w:kern w:val="2"/>
                <w:sz w:val="24"/>
                <w:szCs w:val="24"/>
                <w14:textFill>
                  <w14:solidFill>
                    <w14:schemeClr w14:val="tx1"/>
                  </w14:solidFill>
                </w14:textFill>
              </w:rPr>
              <w:t>.2.2危险性（P）</w:t>
            </w:r>
          </w:p>
          <w:p>
            <w:pPr>
              <w:pStyle w:val="100"/>
              <w:spacing w:line="520" w:lineRule="exact"/>
              <w:ind w:firstLine="482"/>
              <w:rPr>
                <w:rFonts w:hint="eastAsia" w:ascii="Times New Roman" w:hAnsi="Times New Roman" w:cs="Times New Roman"/>
                <w:sz w:val="24"/>
                <w:szCs w:val="24"/>
              </w:rPr>
            </w:pPr>
            <w:r>
              <w:rPr>
                <w:rFonts w:hint="eastAsia" w:ascii="Times New Roman" w:hAnsi="Times New Roman" w:cs="Times New Roman"/>
                <w:sz w:val="24"/>
                <w:szCs w:val="24"/>
              </w:rPr>
              <w:t>根据《建设项目环境风险评价技术导则》（HJ169-2018）中附录B重点关注的危险物质及临界值，以及附录C危险物质及工艺系统危险性（P）的分级，本项目危险物质数量与临界量的比值Q见表</w:t>
            </w:r>
            <w:r>
              <w:rPr>
                <w:rFonts w:hint="eastAsia" w:ascii="Times New Roman" w:hAnsi="Times New Roman" w:cs="Times New Roman"/>
                <w:sz w:val="24"/>
                <w:szCs w:val="24"/>
                <w:lang w:val="en-US" w:eastAsia="zh-CN"/>
              </w:rPr>
              <w:t>4-10</w:t>
            </w:r>
            <w:r>
              <w:rPr>
                <w:rFonts w:hint="eastAsia" w:ascii="Times New Roman" w:hAnsi="Times New Roman" w:cs="Times New Roman"/>
                <w:sz w:val="24"/>
                <w:szCs w:val="24"/>
              </w:rPr>
              <w:t>。</w:t>
            </w:r>
          </w:p>
          <w:p>
            <w:pPr>
              <w:keepNext w:val="0"/>
              <w:keepLines w:val="0"/>
              <w:pageBreakBefore w:val="0"/>
              <w:widowControl/>
              <w:kinsoku/>
              <w:wordWrap/>
              <w:overflowPunct/>
              <w:topLinePunct w:val="0"/>
              <w:autoSpaceDE/>
              <w:autoSpaceDN/>
              <w:bidi w:val="0"/>
              <w:adjustRightInd/>
              <w:snapToGrid/>
              <w:spacing w:beforeAutospacing="0"/>
              <w:ind w:firstLine="480" w:firstLineChars="200"/>
              <w:jc w:val="center"/>
              <w:textAlignment w:val="auto"/>
              <w:rPr>
                <w:rFonts w:hint="eastAsia" w:ascii="Times New Roman" w:hAnsi="Times New Roman" w:eastAsia="黑体" w:cs="Times New Roman"/>
                <w:sz w:val="24"/>
                <w:szCs w:val="24"/>
              </w:rPr>
            </w:pPr>
            <w:r>
              <w:rPr>
                <w:rFonts w:hint="eastAsia"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4-</w:t>
            </w:r>
            <w:r>
              <w:rPr>
                <w:rFonts w:hint="eastAsia" w:eastAsia="黑体" w:cs="Times New Roman"/>
                <w:sz w:val="24"/>
                <w:szCs w:val="24"/>
                <w:lang w:val="en-US" w:eastAsia="zh-CN"/>
              </w:rPr>
              <w:t>10</w:t>
            </w:r>
            <w:r>
              <w:rPr>
                <w:rFonts w:hint="eastAsia" w:ascii="Times New Roman" w:hAnsi="Times New Roman" w:eastAsia="黑体" w:cs="Times New Roman"/>
                <w:sz w:val="24"/>
                <w:szCs w:val="24"/>
              </w:rPr>
              <w:t xml:space="preserve">   </w:t>
            </w:r>
            <w:r>
              <w:rPr>
                <w:rFonts w:hint="eastAsia"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rPr>
              <w:t>危险物质临界量与储存量</w:t>
            </w:r>
          </w:p>
          <w:tbl>
            <w:tblPr>
              <w:tblStyle w:val="28"/>
              <w:tblW w:w="869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73"/>
              <w:gridCol w:w="2174"/>
              <w:gridCol w:w="2174"/>
              <w:gridCol w:w="21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173" w:type="dxa"/>
                  <w:vAlign w:val="center"/>
                </w:tcPr>
                <w:p>
                  <w:pPr>
                    <w:jc w:val="center"/>
                  </w:pPr>
                  <w:r>
                    <w:rPr>
                      <w:szCs w:val="21"/>
                    </w:rPr>
                    <w:t>名称</w:t>
                  </w:r>
                </w:p>
              </w:tc>
              <w:tc>
                <w:tcPr>
                  <w:tcW w:w="2174" w:type="dxa"/>
                  <w:vAlign w:val="center"/>
                </w:tcPr>
                <w:p>
                  <w:pPr>
                    <w:jc w:val="center"/>
                  </w:pPr>
                  <w:r>
                    <w:rPr>
                      <w:szCs w:val="21"/>
                    </w:rPr>
                    <w:t>最大储存量</w:t>
                  </w:r>
                </w:p>
              </w:tc>
              <w:tc>
                <w:tcPr>
                  <w:tcW w:w="2174" w:type="dxa"/>
                  <w:vAlign w:val="center"/>
                </w:tcPr>
                <w:p>
                  <w:pPr>
                    <w:jc w:val="center"/>
                  </w:pPr>
                  <w:r>
                    <w:rPr>
                      <w:szCs w:val="21"/>
                    </w:rPr>
                    <w:t>临界量</w:t>
                  </w:r>
                </w:p>
              </w:tc>
              <w:tc>
                <w:tcPr>
                  <w:tcW w:w="2174" w:type="dxa"/>
                  <w:vAlign w:val="center"/>
                </w:tcPr>
                <w:p>
                  <w:pPr>
                    <w:jc w:val="center"/>
                  </w:pPr>
                  <w:r>
                    <w:rPr>
                      <w:szCs w:val="21"/>
                    </w:rPr>
                    <w:t>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73" w:type="dxa"/>
                  <w:vAlign w:val="center"/>
                </w:tcPr>
                <w:p>
                  <w:pPr>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次氯酸钠</w:t>
                  </w:r>
                </w:p>
              </w:tc>
              <w:tc>
                <w:tcPr>
                  <w:tcW w:w="2174" w:type="dxa"/>
                  <w:vAlign w:val="center"/>
                </w:tcPr>
                <w:p>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0.</w:t>
                  </w:r>
                  <w:r>
                    <w:rPr>
                      <w:rFonts w:hint="eastAsia"/>
                      <w:color w:val="000000" w:themeColor="text1"/>
                      <w:szCs w:val="21"/>
                      <w:lang w:val="en-US" w:eastAsia="zh-CN"/>
                      <w14:textFill>
                        <w14:solidFill>
                          <w14:schemeClr w14:val="tx1"/>
                        </w14:solidFill>
                      </w14:textFill>
                    </w:rPr>
                    <w:t>2</w:t>
                  </w:r>
                  <w:r>
                    <w:rPr>
                      <w:color w:val="000000" w:themeColor="text1"/>
                      <w:szCs w:val="21"/>
                      <w14:textFill>
                        <w14:solidFill>
                          <w14:schemeClr w14:val="tx1"/>
                        </w14:solidFill>
                      </w14:textFill>
                    </w:rPr>
                    <w:t>t</w:t>
                  </w:r>
                </w:p>
              </w:tc>
              <w:tc>
                <w:tcPr>
                  <w:tcW w:w="2174" w:type="dxa"/>
                  <w:vAlign w:val="center"/>
                </w:tcPr>
                <w:p>
                  <w:pPr>
                    <w:jc w:val="center"/>
                    <w:rPr>
                      <w:color w:val="000000" w:themeColor="text1"/>
                      <w14:textFill>
                        <w14:solidFill>
                          <w14:schemeClr w14:val="tx1"/>
                        </w14:solidFill>
                      </w14:textFill>
                    </w:rPr>
                  </w:pPr>
                  <w:r>
                    <w:rPr>
                      <w:rFonts w:hint="eastAsia"/>
                      <w:color w:val="000000" w:themeColor="text1"/>
                      <w:szCs w:val="21"/>
                      <w:lang w:val="en-US" w:eastAsia="zh-CN"/>
                      <w14:textFill>
                        <w14:solidFill>
                          <w14:schemeClr w14:val="tx1"/>
                        </w14:solidFill>
                      </w14:textFill>
                    </w:rPr>
                    <w:t>5</w:t>
                  </w:r>
                  <w:r>
                    <w:rPr>
                      <w:color w:val="000000" w:themeColor="text1"/>
                      <w:szCs w:val="21"/>
                      <w14:textFill>
                        <w14:solidFill>
                          <w14:schemeClr w14:val="tx1"/>
                        </w14:solidFill>
                      </w14:textFill>
                    </w:rPr>
                    <w:t>t</w:t>
                  </w:r>
                </w:p>
              </w:tc>
              <w:tc>
                <w:tcPr>
                  <w:tcW w:w="2174" w:type="dxa"/>
                  <w:vAlign w:val="center"/>
                </w:tcPr>
                <w:p>
                  <w:pPr>
                    <w:jc w:val="center"/>
                    <w:rPr>
                      <w:rFonts w:hint="default" w:eastAsia="宋体"/>
                      <w:color w:val="000000" w:themeColor="text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0.04</w:t>
                  </w:r>
                </w:p>
              </w:tc>
            </w:tr>
          </w:tbl>
          <w:p>
            <w:pPr>
              <w:spacing w:line="560" w:lineRule="exact"/>
              <w:ind w:firstLine="480" w:firstLineChars="200"/>
              <w:rPr>
                <w:rFonts w:hint="eastAsia" w:ascii="Times New Roman" w:hAnsi="Times New Roman"/>
                <w:snapToGrid w:val="0"/>
                <w:color w:val="000000" w:themeColor="text1"/>
                <w:kern w:val="0"/>
                <w:sz w:val="24"/>
                <w:szCs w:val="24"/>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由上表可以看出，Q</w:t>
            </w:r>
            <w:r>
              <w:rPr>
                <w:rFonts w:hint="eastAsia" w:ascii="Times New Roman" w:hAnsi="Times New Roman"/>
                <w:snapToGrid w:val="0"/>
                <w:color w:val="000000" w:themeColor="text1"/>
                <w:kern w:val="0"/>
                <w:sz w:val="24"/>
                <w:szCs w:val="24"/>
                <w:lang w:val="en-US" w:eastAsia="zh-CN"/>
                <w14:textFill>
                  <w14:solidFill>
                    <w14:schemeClr w14:val="tx1"/>
                  </w14:solidFill>
                </w14:textFill>
              </w:rPr>
              <w:t>=</w:t>
            </w:r>
            <w:r>
              <w:rPr>
                <w:rFonts w:hint="eastAsia"/>
                <w:snapToGrid w:val="0"/>
                <w:color w:val="000000" w:themeColor="text1"/>
                <w:kern w:val="0"/>
                <w:sz w:val="24"/>
                <w:szCs w:val="24"/>
                <w:highlight w:val="none"/>
                <w:lang w:val="en-US" w:eastAsia="zh-CN"/>
                <w14:textFill>
                  <w14:solidFill>
                    <w14:schemeClr w14:val="tx1"/>
                  </w14:solidFill>
                </w14:textFill>
              </w:rPr>
              <w:t>0.04</w:t>
            </w:r>
            <w:r>
              <w:rPr>
                <w:rFonts w:hint="eastAsia" w:ascii="Times New Roman" w:hAnsi="Times New Roman"/>
                <w:snapToGrid w:val="0"/>
                <w:color w:val="000000" w:themeColor="text1"/>
                <w:kern w:val="0"/>
                <w:sz w:val="24"/>
                <w:szCs w:val="24"/>
                <w14:textFill>
                  <w14:solidFill>
                    <w14:schemeClr w14:val="tx1"/>
                  </w14:solidFill>
                </w14:textFill>
              </w:rPr>
              <w:t>&lt;1，因此本项目环境风险潜势为</w:t>
            </w:r>
            <w:r>
              <w:rPr>
                <w:rFonts w:hint="default" w:ascii="Times New Roman" w:hAnsi="Times New Roman" w:cs="Times New Roman"/>
                <w:snapToGrid w:val="0"/>
                <w:color w:val="000000" w:themeColor="text1"/>
                <w:kern w:val="0"/>
                <w:sz w:val="24"/>
                <w:szCs w:val="24"/>
                <w14:textFill>
                  <w14:solidFill>
                    <w14:schemeClr w14:val="tx1"/>
                  </w14:solidFill>
                </w14:textFill>
              </w:rPr>
              <w:t>Ⅰ</w:t>
            </w:r>
            <w:r>
              <w:rPr>
                <w:rFonts w:hint="eastAsia" w:ascii="Times New Roman" w:hAnsi="Times New Roman"/>
                <w:snapToGrid w:val="0"/>
                <w:color w:val="000000" w:themeColor="text1"/>
                <w:kern w:val="0"/>
                <w:sz w:val="24"/>
                <w:szCs w:val="24"/>
                <w14:textFill>
                  <w14:solidFill>
                    <w14:schemeClr w14:val="tx1"/>
                  </w14:solidFill>
                </w14:textFill>
              </w:rPr>
              <w:t>。</w:t>
            </w:r>
          </w:p>
          <w:p>
            <w:pPr>
              <w:spacing w:line="560" w:lineRule="exact"/>
              <w:ind w:firstLine="480" w:firstLineChars="200"/>
              <w:rPr>
                <w:rFonts w:hint="eastAsia" w:ascii="Times New Roman" w:hAnsi="Times New Roman"/>
                <w:snapToGrid w:val="0"/>
                <w:kern w:val="0"/>
                <w:sz w:val="24"/>
                <w:szCs w:val="24"/>
              </w:rPr>
            </w:pPr>
            <w:r>
              <w:rPr>
                <w:rFonts w:hint="eastAsia" w:ascii="Times New Roman" w:hAnsi="Times New Roman"/>
                <w:snapToGrid w:val="0"/>
                <w:kern w:val="0"/>
                <w:sz w:val="24"/>
                <w:szCs w:val="24"/>
              </w:rPr>
              <w:t>综上，根据《建设项目环境风险评价技术导则》（HJ169-2018）中评价工作等级划分，本项目环境风险潜势为</w:t>
            </w:r>
            <w:r>
              <w:rPr>
                <w:rFonts w:hint="default" w:ascii="Times New Roman" w:hAnsi="Times New Roman" w:cs="Times New Roman"/>
                <w:snapToGrid w:val="0"/>
                <w:kern w:val="0"/>
                <w:sz w:val="24"/>
                <w:szCs w:val="24"/>
              </w:rPr>
              <w:t>Ⅰ</w:t>
            </w:r>
            <w:r>
              <w:rPr>
                <w:rFonts w:hint="eastAsia" w:ascii="Times New Roman" w:hAnsi="Times New Roman"/>
                <w:snapToGrid w:val="0"/>
                <w:kern w:val="0"/>
                <w:sz w:val="24"/>
                <w:szCs w:val="24"/>
              </w:rPr>
              <w:t>，评价等级为简单分析。</w:t>
            </w:r>
          </w:p>
          <w:p>
            <w:pPr>
              <w:pStyle w:val="100"/>
              <w:keepNext w:val="0"/>
              <w:keepLines w:val="0"/>
              <w:pageBreakBefore w:val="0"/>
              <w:widowControl w:val="0"/>
              <w:kinsoku/>
              <w:wordWrap/>
              <w:overflowPunct/>
              <w:topLinePunct w:val="0"/>
              <w:autoSpaceDE/>
              <w:autoSpaceDN/>
              <w:bidi w:val="0"/>
              <w:adjustRightInd/>
              <w:snapToGrid/>
              <w:spacing w:line="240" w:lineRule="auto"/>
              <w:ind w:firstLine="482"/>
              <w:jc w:val="center"/>
              <w:textAlignment w:val="auto"/>
              <w:rPr>
                <w:rStyle w:val="63"/>
                <w:rFonts w:ascii="Times New Roman" w:hAnsi="Times New Roman" w:eastAsia="黑体" w:cs="Times New Roman"/>
                <w:bCs/>
                <w:color w:val="auto"/>
                <w:sz w:val="24"/>
                <w:szCs w:val="24"/>
              </w:rPr>
            </w:pPr>
            <w:r>
              <w:rPr>
                <w:rStyle w:val="63"/>
                <w:rFonts w:ascii="Times New Roman" w:hAnsi="Times New Roman" w:eastAsia="黑体" w:cs="Times New Roman"/>
                <w:bCs/>
                <w:color w:val="auto"/>
                <w:sz w:val="24"/>
                <w:szCs w:val="24"/>
              </w:rPr>
              <w:t>表</w:t>
            </w:r>
            <w:r>
              <w:rPr>
                <w:rStyle w:val="63"/>
                <w:rFonts w:hint="eastAsia" w:ascii="Times New Roman" w:hAnsi="Times New Roman" w:eastAsia="黑体" w:cs="Times New Roman"/>
                <w:bCs/>
                <w:color w:val="auto"/>
                <w:sz w:val="24"/>
                <w:szCs w:val="24"/>
                <w:lang w:val="en-US" w:eastAsia="zh-CN"/>
              </w:rPr>
              <w:t xml:space="preserve">4-11   </w:t>
            </w:r>
            <w:r>
              <w:rPr>
                <w:rStyle w:val="63"/>
                <w:rFonts w:ascii="Times New Roman" w:hAnsi="Times New Roman" w:eastAsia="黑体" w:cs="Times New Roman"/>
                <w:bCs/>
                <w:color w:val="auto"/>
                <w:sz w:val="24"/>
                <w:szCs w:val="24"/>
              </w:rPr>
              <w:t>评价工作等级划分</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34"/>
              <w:gridCol w:w="1737"/>
              <w:gridCol w:w="1737"/>
              <w:gridCol w:w="1737"/>
              <w:gridCol w:w="17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noWrap w:val="0"/>
                  <w:vAlign w:val="top"/>
                </w:tcPr>
                <w:p>
                  <w:pPr>
                    <w:pStyle w:val="39"/>
                    <w:rPr>
                      <w:rFonts w:ascii="Times New Roman" w:hAnsi="Times New Roman" w:cs="Times New Roman"/>
                      <w:bCs/>
                      <w:sz w:val="21"/>
                      <w:szCs w:val="21"/>
                    </w:rPr>
                  </w:pPr>
                  <w:r>
                    <w:rPr>
                      <w:rFonts w:ascii="Times New Roman" w:hAnsi="Times New Roman" w:cs="Times New Roman"/>
                      <w:bCs/>
                      <w:sz w:val="21"/>
                      <w:szCs w:val="21"/>
                    </w:rPr>
                    <w:t>环境风险潜势</w:t>
                  </w:r>
                </w:p>
              </w:tc>
              <w:tc>
                <w:tcPr>
                  <w:tcW w:w="999" w:type="pct"/>
                  <w:noWrap w:val="0"/>
                  <w:vAlign w:val="top"/>
                </w:tcPr>
                <w:p>
                  <w:pPr>
                    <w:pStyle w:val="39"/>
                    <w:rPr>
                      <w:rFonts w:ascii="Times New Roman" w:hAnsi="Times New Roman" w:cs="Times New Roman"/>
                      <w:bCs/>
                      <w:sz w:val="21"/>
                      <w:szCs w:val="21"/>
                    </w:rPr>
                  </w:pPr>
                  <w:r>
                    <w:rPr>
                      <w:rFonts w:ascii="Times New Roman" w:hAnsi="Times New Roman" w:cs="Times New Roman"/>
                      <w:bCs/>
                      <w:sz w:val="21"/>
                      <w:szCs w:val="21"/>
                    </w:rPr>
                    <w:fldChar w:fldCharType="begin"/>
                  </w:r>
                  <w:r>
                    <w:rPr>
                      <w:rFonts w:ascii="Times New Roman" w:hAnsi="Times New Roman" w:cs="Times New Roman"/>
                      <w:bCs/>
                      <w:sz w:val="21"/>
                      <w:szCs w:val="21"/>
                    </w:rPr>
                    <w:instrText xml:space="preserve"> = 4 \* ROMAN \* MERGEFORMAT </w:instrText>
                  </w:r>
                  <w:r>
                    <w:rPr>
                      <w:rFonts w:ascii="Times New Roman" w:hAnsi="Times New Roman" w:cs="Times New Roman"/>
                      <w:bCs/>
                      <w:sz w:val="21"/>
                      <w:szCs w:val="21"/>
                    </w:rPr>
                    <w:fldChar w:fldCharType="separate"/>
                  </w:r>
                  <w:r>
                    <w:rPr>
                      <w:rFonts w:ascii="Times New Roman" w:hAnsi="Times New Roman" w:cs="Times New Roman"/>
                      <w:sz w:val="21"/>
                      <w:szCs w:val="21"/>
                    </w:rPr>
                    <w:t>IV</w:t>
                  </w:r>
                  <w:r>
                    <w:rPr>
                      <w:rFonts w:ascii="Times New Roman" w:hAnsi="Times New Roman" w:cs="Times New Roman"/>
                      <w:bCs/>
                      <w:sz w:val="21"/>
                      <w:szCs w:val="21"/>
                    </w:rPr>
                    <w:fldChar w:fldCharType="end"/>
                  </w:r>
                  <w:r>
                    <w:rPr>
                      <w:rFonts w:ascii="Times New Roman" w:hAnsi="Times New Roman" w:cs="Times New Roman"/>
                      <w:bCs/>
                      <w:sz w:val="21"/>
                      <w:szCs w:val="21"/>
                    </w:rPr>
                    <w:t>、</w:t>
                  </w:r>
                  <w:r>
                    <w:rPr>
                      <w:rFonts w:ascii="Times New Roman" w:hAnsi="Times New Roman" w:cs="Times New Roman"/>
                      <w:bCs/>
                      <w:sz w:val="21"/>
                      <w:szCs w:val="21"/>
                    </w:rPr>
                    <w:fldChar w:fldCharType="begin"/>
                  </w:r>
                  <w:r>
                    <w:rPr>
                      <w:rFonts w:ascii="Times New Roman" w:hAnsi="Times New Roman" w:cs="Times New Roman"/>
                      <w:bCs/>
                      <w:sz w:val="21"/>
                      <w:szCs w:val="21"/>
                    </w:rPr>
                    <w:instrText xml:space="preserve"> = 4 \* ROMAN \* MERGEFORMAT </w:instrText>
                  </w:r>
                  <w:r>
                    <w:rPr>
                      <w:rFonts w:ascii="Times New Roman" w:hAnsi="Times New Roman" w:cs="Times New Roman"/>
                      <w:bCs/>
                      <w:sz w:val="21"/>
                      <w:szCs w:val="21"/>
                    </w:rPr>
                    <w:fldChar w:fldCharType="separate"/>
                  </w:r>
                  <w:r>
                    <w:rPr>
                      <w:rFonts w:ascii="Times New Roman" w:hAnsi="Times New Roman" w:cs="Times New Roman"/>
                      <w:sz w:val="21"/>
                      <w:szCs w:val="21"/>
                    </w:rPr>
                    <w:t>IV</w:t>
                  </w:r>
                  <w:r>
                    <w:rPr>
                      <w:rFonts w:ascii="Times New Roman" w:hAnsi="Times New Roman" w:cs="Times New Roman"/>
                      <w:bCs/>
                      <w:sz w:val="21"/>
                      <w:szCs w:val="21"/>
                    </w:rPr>
                    <w:fldChar w:fldCharType="end"/>
                  </w:r>
                  <w:r>
                    <w:rPr>
                      <w:rFonts w:ascii="Times New Roman" w:hAnsi="Times New Roman" w:cs="Times New Roman"/>
                      <w:bCs/>
                      <w:sz w:val="21"/>
                      <w:szCs w:val="21"/>
                    </w:rPr>
                    <w:t>+</w:t>
                  </w:r>
                </w:p>
              </w:tc>
              <w:tc>
                <w:tcPr>
                  <w:tcW w:w="999" w:type="pct"/>
                  <w:noWrap w:val="0"/>
                  <w:vAlign w:val="center"/>
                </w:tcPr>
                <w:p>
                  <w:pPr>
                    <w:pStyle w:val="39"/>
                    <w:rPr>
                      <w:rFonts w:ascii="Times New Roman" w:hAnsi="Times New Roman" w:cs="Times New Roman"/>
                      <w:bCs/>
                      <w:sz w:val="21"/>
                      <w:szCs w:val="21"/>
                    </w:rPr>
                  </w:pPr>
                  <w:r>
                    <w:rPr>
                      <w:rFonts w:ascii="Times New Roman" w:hAnsi="Times New Roman" w:cs="Times New Roman"/>
                      <w:bCs/>
                      <w:sz w:val="21"/>
                      <w:szCs w:val="21"/>
                    </w:rPr>
                    <w:fldChar w:fldCharType="begin"/>
                  </w:r>
                  <w:r>
                    <w:rPr>
                      <w:rFonts w:ascii="Times New Roman" w:hAnsi="Times New Roman" w:cs="Times New Roman"/>
                      <w:bCs/>
                      <w:sz w:val="21"/>
                      <w:szCs w:val="21"/>
                    </w:rPr>
                    <w:instrText xml:space="preserve"> = 3 \* ROMAN \* MERGEFORMAT </w:instrText>
                  </w:r>
                  <w:r>
                    <w:rPr>
                      <w:rFonts w:ascii="Times New Roman" w:hAnsi="Times New Roman" w:cs="Times New Roman"/>
                      <w:bCs/>
                      <w:sz w:val="21"/>
                      <w:szCs w:val="21"/>
                    </w:rPr>
                    <w:fldChar w:fldCharType="separate"/>
                  </w:r>
                  <w:r>
                    <w:rPr>
                      <w:rFonts w:ascii="Times New Roman" w:hAnsi="Times New Roman" w:cs="Times New Roman"/>
                      <w:sz w:val="21"/>
                      <w:szCs w:val="21"/>
                    </w:rPr>
                    <w:t>III</w:t>
                  </w:r>
                  <w:r>
                    <w:rPr>
                      <w:rFonts w:ascii="Times New Roman" w:hAnsi="Times New Roman" w:cs="Times New Roman"/>
                      <w:bCs/>
                      <w:sz w:val="21"/>
                      <w:szCs w:val="21"/>
                    </w:rPr>
                    <w:fldChar w:fldCharType="end"/>
                  </w:r>
                </w:p>
              </w:tc>
              <w:tc>
                <w:tcPr>
                  <w:tcW w:w="999" w:type="pct"/>
                  <w:noWrap w:val="0"/>
                  <w:vAlign w:val="center"/>
                </w:tcPr>
                <w:p>
                  <w:pPr>
                    <w:pStyle w:val="39"/>
                    <w:rPr>
                      <w:rFonts w:ascii="Times New Roman" w:hAnsi="Times New Roman" w:cs="Times New Roman"/>
                      <w:bCs/>
                      <w:sz w:val="21"/>
                      <w:szCs w:val="21"/>
                    </w:rPr>
                  </w:pPr>
                  <w:r>
                    <w:rPr>
                      <w:rFonts w:ascii="Times New Roman" w:hAnsi="Times New Roman" w:cs="Times New Roman"/>
                      <w:bCs/>
                      <w:sz w:val="21"/>
                      <w:szCs w:val="21"/>
                    </w:rPr>
                    <w:fldChar w:fldCharType="begin"/>
                  </w:r>
                  <w:r>
                    <w:rPr>
                      <w:rFonts w:ascii="Times New Roman" w:hAnsi="Times New Roman" w:cs="Times New Roman"/>
                      <w:bCs/>
                      <w:sz w:val="21"/>
                      <w:szCs w:val="21"/>
                    </w:rPr>
                    <w:instrText xml:space="preserve"> = 2 \* ROMAN \* MERGEFORMAT </w:instrText>
                  </w:r>
                  <w:r>
                    <w:rPr>
                      <w:rFonts w:ascii="Times New Roman" w:hAnsi="Times New Roman" w:cs="Times New Roman"/>
                      <w:bCs/>
                      <w:sz w:val="21"/>
                      <w:szCs w:val="21"/>
                    </w:rPr>
                    <w:fldChar w:fldCharType="separate"/>
                  </w:r>
                  <w:r>
                    <w:rPr>
                      <w:rFonts w:ascii="Times New Roman" w:hAnsi="Times New Roman" w:cs="Times New Roman"/>
                      <w:sz w:val="21"/>
                      <w:szCs w:val="21"/>
                    </w:rPr>
                    <w:t>II</w:t>
                  </w:r>
                  <w:r>
                    <w:rPr>
                      <w:rFonts w:ascii="Times New Roman" w:hAnsi="Times New Roman" w:cs="Times New Roman"/>
                      <w:bCs/>
                      <w:sz w:val="21"/>
                      <w:szCs w:val="21"/>
                    </w:rPr>
                    <w:fldChar w:fldCharType="end"/>
                  </w:r>
                </w:p>
              </w:tc>
              <w:tc>
                <w:tcPr>
                  <w:tcW w:w="1003" w:type="pct"/>
                  <w:noWrap w:val="0"/>
                  <w:vAlign w:val="center"/>
                </w:tcPr>
                <w:p>
                  <w:pPr>
                    <w:pStyle w:val="39"/>
                    <w:rPr>
                      <w:rFonts w:ascii="Times New Roman" w:hAnsi="Times New Roman" w:cs="Times New Roman"/>
                      <w:bCs/>
                      <w:sz w:val="21"/>
                      <w:szCs w:val="21"/>
                    </w:rPr>
                  </w:pPr>
                  <w:r>
                    <w:rPr>
                      <w:rFonts w:ascii="Times New Roman" w:hAnsi="Times New Roman" w:cs="Times New Roman"/>
                      <w:bCs/>
                      <w:sz w:val="21"/>
                      <w:szCs w:val="21"/>
                    </w:rPr>
                    <w:fldChar w:fldCharType="begin"/>
                  </w:r>
                  <w:r>
                    <w:rPr>
                      <w:rFonts w:ascii="Times New Roman" w:hAnsi="Times New Roman" w:cs="Times New Roman"/>
                      <w:bCs/>
                      <w:sz w:val="21"/>
                      <w:szCs w:val="21"/>
                    </w:rPr>
                    <w:instrText xml:space="preserve"> = 1 \* ROMAN \* MERGEFORMAT </w:instrText>
                  </w:r>
                  <w:r>
                    <w:rPr>
                      <w:rFonts w:ascii="Times New Roman" w:hAnsi="Times New Roman" w:cs="Times New Roman"/>
                      <w:bCs/>
                      <w:sz w:val="21"/>
                      <w:szCs w:val="21"/>
                    </w:rPr>
                    <w:fldChar w:fldCharType="separate"/>
                  </w:r>
                  <w:r>
                    <w:rPr>
                      <w:rFonts w:ascii="Times New Roman" w:hAnsi="Times New Roman" w:cs="Times New Roman"/>
                      <w:sz w:val="21"/>
                      <w:szCs w:val="21"/>
                    </w:rPr>
                    <w:t>I</w:t>
                  </w:r>
                  <w:r>
                    <w:rPr>
                      <w:rFonts w:ascii="Times New Roman" w:hAnsi="Times New Roman" w:cs="Times New Roman"/>
                      <w:bCs/>
                      <w:sz w:val="21"/>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noWrap w:val="0"/>
                  <w:vAlign w:val="top"/>
                </w:tcPr>
                <w:p>
                  <w:pPr>
                    <w:pStyle w:val="39"/>
                    <w:rPr>
                      <w:rFonts w:ascii="Times New Roman" w:hAnsi="Times New Roman" w:cs="Times New Roman"/>
                      <w:bCs/>
                      <w:sz w:val="21"/>
                      <w:szCs w:val="21"/>
                    </w:rPr>
                  </w:pPr>
                  <w:r>
                    <w:rPr>
                      <w:rFonts w:ascii="Times New Roman" w:hAnsi="Times New Roman" w:cs="Times New Roman"/>
                      <w:bCs/>
                      <w:sz w:val="21"/>
                      <w:szCs w:val="21"/>
                    </w:rPr>
                    <w:t>评价工作等级</w:t>
                  </w:r>
                </w:p>
              </w:tc>
              <w:tc>
                <w:tcPr>
                  <w:tcW w:w="999" w:type="pct"/>
                  <w:noWrap w:val="0"/>
                  <w:vAlign w:val="top"/>
                </w:tcPr>
                <w:p>
                  <w:pPr>
                    <w:pStyle w:val="39"/>
                    <w:rPr>
                      <w:rFonts w:ascii="Times New Roman" w:hAnsi="Times New Roman" w:cs="Times New Roman"/>
                      <w:bCs/>
                      <w:sz w:val="21"/>
                      <w:szCs w:val="21"/>
                    </w:rPr>
                  </w:pPr>
                  <w:r>
                    <w:rPr>
                      <w:rFonts w:ascii="Times New Roman" w:hAnsi="Times New Roman" w:cs="Times New Roman"/>
                      <w:bCs/>
                      <w:sz w:val="21"/>
                      <w:szCs w:val="21"/>
                    </w:rPr>
                    <w:t>一</w:t>
                  </w:r>
                </w:p>
              </w:tc>
              <w:tc>
                <w:tcPr>
                  <w:tcW w:w="999" w:type="pct"/>
                  <w:noWrap w:val="0"/>
                  <w:vAlign w:val="top"/>
                </w:tcPr>
                <w:p>
                  <w:pPr>
                    <w:pStyle w:val="39"/>
                    <w:rPr>
                      <w:rFonts w:ascii="Times New Roman" w:hAnsi="Times New Roman" w:cs="Times New Roman"/>
                      <w:bCs/>
                      <w:sz w:val="21"/>
                      <w:szCs w:val="21"/>
                    </w:rPr>
                  </w:pPr>
                  <w:r>
                    <w:rPr>
                      <w:rFonts w:ascii="Times New Roman" w:hAnsi="Times New Roman" w:cs="Times New Roman"/>
                      <w:bCs/>
                      <w:sz w:val="21"/>
                      <w:szCs w:val="21"/>
                    </w:rPr>
                    <w:t>二</w:t>
                  </w:r>
                </w:p>
              </w:tc>
              <w:tc>
                <w:tcPr>
                  <w:tcW w:w="999" w:type="pct"/>
                  <w:noWrap w:val="0"/>
                  <w:vAlign w:val="top"/>
                </w:tcPr>
                <w:p>
                  <w:pPr>
                    <w:pStyle w:val="39"/>
                    <w:rPr>
                      <w:rFonts w:ascii="Times New Roman" w:hAnsi="Times New Roman" w:cs="Times New Roman"/>
                      <w:bCs/>
                      <w:sz w:val="21"/>
                      <w:szCs w:val="21"/>
                    </w:rPr>
                  </w:pPr>
                  <w:r>
                    <w:rPr>
                      <w:rFonts w:ascii="Times New Roman" w:hAnsi="Times New Roman" w:cs="Times New Roman"/>
                      <w:bCs/>
                      <w:sz w:val="21"/>
                      <w:szCs w:val="21"/>
                    </w:rPr>
                    <w:t>三</w:t>
                  </w:r>
                </w:p>
              </w:tc>
              <w:tc>
                <w:tcPr>
                  <w:tcW w:w="1003" w:type="pct"/>
                  <w:noWrap w:val="0"/>
                  <w:vAlign w:val="top"/>
                </w:tcPr>
                <w:p>
                  <w:pPr>
                    <w:pStyle w:val="39"/>
                    <w:rPr>
                      <w:rFonts w:ascii="Times New Roman" w:hAnsi="Times New Roman" w:cs="Times New Roman"/>
                      <w:bCs/>
                      <w:sz w:val="21"/>
                      <w:szCs w:val="21"/>
                    </w:rPr>
                  </w:pPr>
                  <w:r>
                    <w:rPr>
                      <w:rFonts w:ascii="Times New Roman" w:hAnsi="Times New Roman" w:cs="Times New Roman"/>
                      <w:bCs/>
                      <w:sz w:val="21"/>
                      <w:szCs w:val="21"/>
                    </w:rPr>
                    <w:t>简单分析</w:t>
                  </w:r>
                  <w:r>
                    <w:rPr>
                      <w:rFonts w:ascii="Times New Roman" w:hAnsi="Times New Roman" w:cs="Times New Roman"/>
                      <w:bCs/>
                      <w:sz w:val="21"/>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5"/>
                  <w:noWrap w:val="0"/>
                  <w:vAlign w:val="top"/>
                </w:tcPr>
                <w:p>
                  <w:pPr>
                    <w:pStyle w:val="39"/>
                    <w:ind w:left="210" w:hanging="210" w:hangingChars="100"/>
                    <w:jc w:val="both"/>
                    <w:rPr>
                      <w:rFonts w:hint="eastAsia" w:ascii="Times New Roman" w:hAnsi="Times New Roman" w:cs="Times New Roman"/>
                      <w:bCs/>
                      <w:sz w:val="21"/>
                      <w:szCs w:val="21"/>
                    </w:rPr>
                  </w:pPr>
                  <w:r>
                    <w:rPr>
                      <w:rFonts w:hint="eastAsia" w:ascii="Times New Roman" w:hAnsi="Times New Roman" w:cs="Times New Roman"/>
                      <w:bCs/>
                      <w:sz w:val="21"/>
                      <w:szCs w:val="21"/>
                    </w:rPr>
                    <w:t>a 是相对于详细评价工作内容而言，在描述危险物质、环境影响途径、环境危害后果、风险防范措施等方面给出定性的说明。见附录A。</w:t>
                  </w:r>
                </w:p>
              </w:tc>
            </w:tr>
          </w:tbl>
          <w:p>
            <w:pPr>
              <w:pStyle w:val="39"/>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Times New Roman" w:hAnsi="Times New Roman" w:cs="Times New Roman"/>
                <w:b/>
                <w:snapToGrid/>
                <w:kern w:val="2"/>
                <w:sz w:val="24"/>
                <w:szCs w:val="24"/>
              </w:rPr>
            </w:pPr>
            <w:r>
              <w:rPr>
                <w:rFonts w:hint="eastAsia" w:ascii="Times New Roman" w:hAnsi="Times New Roman" w:cs="Times New Roman"/>
                <w:b/>
                <w:snapToGrid/>
                <w:kern w:val="2"/>
                <w:sz w:val="24"/>
                <w:szCs w:val="24"/>
                <w:lang w:val="en-US" w:eastAsia="zh-CN"/>
              </w:rPr>
              <w:t>7</w:t>
            </w:r>
            <w:r>
              <w:rPr>
                <w:rFonts w:hint="eastAsia" w:ascii="Times New Roman" w:hAnsi="Times New Roman" w:cs="Times New Roman"/>
                <w:b/>
                <w:snapToGrid/>
                <w:kern w:val="2"/>
                <w:sz w:val="24"/>
                <w:szCs w:val="24"/>
              </w:rPr>
              <w:t>.3风险识别及源项分析</w:t>
            </w:r>
          </w:p>
          <w:p>
            <w:pPr>
              <w:spacing w:line="520" w:lineRule="exact"/>
              <w:ind w:firstLine="480" w:firstLineChars="200"/>
              <w:rPr>
                <w:rFonts w:hint="eastAsia" w:ascii="Times New Roman" w:hAnsi="Times New Roman"/>
                <w:snapToGrid w:val="0"/>
                <w:kern w:val="0"/>
                <w:sz w:val="24"/>
                <w:szCs w:val="24"/>
              </w:rPr>
            </w:pPr>
            <w:r>
              <w:rPr>
                <w:rFonts w:hint="eastAsia" w:ascii="Times New Roman" w:hAnsi="Times New Roman"/>
                <w:snapToGrid w:val="0"/>
                <w:kern w:val="0"/>
                <w:sz w:val="24"/>
                <w:szCs w:val="24"/>
              </w:rPr>
              <w:t>本项目主要的危险因素来自污水处理站，主要风险类型为泄露。</w:t>
            </w:r>
          </w:p>
          <w:p>
            <w:pPr>
              <w:spacing w:line="520" w:lineRule="exact"/>
              <w:ind w:firstLine="480" w:firstLineChars="200"/>
              <w:rPr>
                <w:rFonts w:hint="eastAsia" w:ascii="Times New Roman" w:hAnsi="Times New Roman"/>
                <w:snapToGrid w:val="0"/>
                <w:kern w:val="0"/>
                <w:sz w:val="24"/>
                <w:szCs w:val="24"/>
              </w:rPr>
            </w:pPr>
            <w:r>
              <w:rPr>
                <w:rFonts w:hint="eastAsia" w:ascii="Times New Roman" w:hAnsi="Times New Roman"/>
                <w:snapToGrid w:val="0"/>
                <w:kern w:val="0"/>
                <w:sz w:val="24"/>
                <w:szCs w:val="24"/>
              </w:rPr>
              <w:t>导致事故发生的原因：停电或设备故障，导致污水处理站设备不能正常运转，废水未经处理外排。</w:t>
            </w:r>
          </w:p>
          <w:p>
            <w:pPr>
              <w:spacing w:line="520" w:lineRule="exact"/>
              <w:ind w:firstLine="480" w:firstLineChars="200"/>
              <w:rPr>
                <w:rFonts w:hint="eastAsia" w:ascii="Times New Roman" w:hAnsi="Times New Roman"/>
                <w:snapToGrid w:val="0"/>
                <w:kern w:val="0"/>
                <w:sz w:val="24"/>
                <w:szCs w:val="24"/>
              </w:rPr>
            </w:pPr>
            <w:r>
              <w:rPr>
                <w:rFonts w:hint="eastAsia"/>
                <w:snapToGrid w:val="0"/>
                <w:kern w:val="0"/>
                <w:sz w:val="24"/>
                <w:szCs w:val="24"/>
                <w:lang w:val="en-US" w:eastAsia="zh-CN"/>
              </w:rPr>
              <w:t>中医医院现有</w:t>
            </w:r>
            <w:r>
              <w:rPr>
                <w:rFonts w:hint="default" w:ascii="Times New Roman" w:hAnsi="Times New Roman"/>
                <w:snapToGrid w:val="0"/>
                <w:kern w:val="0"/>
                <w:sz w:val="24"/>
                <w:szCs w:val="24"/>
              </w:rPr>
              <w:t>污水处理单元均为一定厚度的混凝土结构，并且均要求做防渗处理，可防止废水下渗，并且污水处理单元容积足够容纳每天进入的废水。因此只要切实落实好事故风险防范措施，同时做好</w:t>
            </w:r>
            <w:r>
              <w:rPr>
                <w:rFonts w:hint="eastAsia"/>
                <w:snapToGrid w:val="0"/>
                <w:kern w:val="0"/>
                <w:sz w:val="24"/>
                <w:szCs w:val="24"/>
                <w:lang w:val="en-US" w:eastAsia="zh-CN"/>
              </w:rPr>
              <w:t>区域内</w:t>
            </w:r>
            <w:r>
              <w:rPr>
                <w:rFonts w:hint="default" w:ascii="Times New Roman" w:hAnsi="Times New Roman"/>
                <w:snapToGrid w:val="0"/>
                <w:kern w:val="0"/>
                <w:sz w:val="24"/>
                <w:szCs w:val="24"/>
              </w:rPr>
              <w:t>地面硬化防渗和污水收集管道及收集池、各构筑物的防渗工作，正常情况下，</w:t>
            </w:r>
            <w:r>
              <w:rPr>
                <w:rFonts w:hint="eastAsia"/>
                <w:snapToGrid w:val="0"/>
                <w:kern w:val="0"/>
                <w:sz w:val="24"/>
                <w:szCs w:val="24"/>
                <w:lang w:val="en-US" w:eastAsia="zh-CN"/>
              </w:rPr>
              <w:t>污水处理站</w:t>
            </w:r>
            <w:r>
              <w:rPr>
                <w:rFonts w:hint="default" w:ascii="Times New Roman" w:hAnsi="Times New Roman"/>
                <w:snapToGrid w:val="0"/>
                <w:kern w:val="0"/>
                <w:sz w:val="24"/>
                <w:szCs w:val="24"/>
              </w:rPr>
              <w:t>对地下水环境</w:t>
            </w:r>
            <w:r>
              <w:rPr>
                <w:rFonts w:hint="eastAsia" w:ascii="Times New Roman" w:hAnsi="Times New Roman"/>
                <w:snapToGrid w:val="0"/>
                <w:kern w:val="0"/>
                <w:sz w:val="24"/>
                <w:szCs w:val="24"/>
                <w:lang w:eastAsia="zh-CN"/>
              </w:rPr>
              <w:t>和土壤环境</w:t>
            </w:r>
            <w:r>
              <w:rPr>
                <w:rFonts w:hint="default" w:ascii="Times New Roman" w:hAnsi="Times New Roman"/>
                <w:snapToGrid w:val="0"/>
                <w:kern w:val="0"/>
                <w:sz w:val="24"/>
                <w:szCs w:val="24"/>
              </w:rPr>
              <w:t>影响较小。</w:t>
            </w:r>
          </w:p>
          <w:p>
            <w:pPr>
              <w:pStyle w:val="39"/>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Times New Roman" w:hAnsi="Times New Roman" w:cs="Times New Roman"/>
                <w:b/>
                <w:snapToGrid/>
                <w:kern w:val="2"/>
                <w:sz w:val="24"/>
                <w:szCs w:val="24"/>
              </w:rPr>
            </w:pPr>
            <w:r>
              <w:rPr>
                <w:rFonts w:hint="eastAsia" w:ascii="Times New Roman" w:hAnsi="Times New Roman" w:cs="Times New Roman"/>
                <w:b/>
                <w:snapToGrid/>
                <w:kern w:val="2"/>
                <w:sz w:val="24"/>
                <w:szCs w:val="24"/>
                <w:lang w:val="en-US" w:eastAsia="zh-CN"/>
              </w:rPr>
              <w:t>7</w:t>
            </w:r>
            <w:r>
              <w:rPr>
                <w:rFonts w:hint="eastAsia" w:ascii="Times New Roman" w:hAnsi="Times New Roman" w:cs="Times New Roman"/>
                <w:b/>
                <w:snapToGrid/>
                <w:kern w:val="2"/>
                <w:sz w:val="24"/>
                <w:szCs w:val="24"/>
              </w:rPr>
              <w:t>.4风险防范措施</w:t>
            </w:r>
          </w:p>
          <w:p>
            <w:pPr>
              <w:spacing w:line="520" w:lineRule="exact"/>
              <w:ind w:firstLine="480" w:firstLineChars="200"/>
              <w:rPr>
                <w:rFonts w:hint="eastAsia" w:ascii="Times New Roman" w:hAnsi="Times New Roman"/>
                <w:snapToGrid w:val="0"/>
                <w:kern w:val="0"/>
                <w:sz w:val="24"/>
                <w:szCs w:val="24"/>
              </w:rPr>
            </w:pPr>
            <w:r>
              <w:rPr>
                <w:rFonts w:hint="eastAsia" w:ascii="Times New Roman" w:hAnsi="Times New Roman"/>
                <w:snapToGrid w:val="0"/>
                <w:kern w:val="0"/>
                <w:sz w:val="24"/>
                <w:szCs w:val="24"/>
              </w:rPr>
              <w:t>（1）水环境风险防范措施</w:t>
            </w:r>
          </w:p>
          <w:p>
            <w:pPr>
              <w:spacing w:line="520" w:lineRule="exact"/>
              <w:ind w:firstLine="480" w:firstLineChars="200"/>
              <w:rPr>
                <w:rFonts w:hint="eastAsia" w:ascii="Times New Roman" w:hAnsi="Times New Roman"/>
                <w:snapToGrid w:val="0"/>
                <w:kern w:val="0"/>
                <w:sz w:val="24"/>
                <w:szCs w:val="24"/>
              </w:rPr>
            </w:pPr>
            <w:r>
              <w:rPr>
                <w:rFonts w:hint="eastAsia"/>
                <w:snapToGrid w:val="0"/>
                <w:kern w:val="0"/>
                <w:sz w:val="24"/>
                <w:szCs w:val="24"/>
                <w:lang w:val="en-US" w:eastAsia="zh-CN"/>
              </w:rPr>
              <w:t>中医医院污水处理站</w:t>
            </w:r>
            <w:r>
              <w:rPr>
                <w:rFonts w:hint="eastAsia" w:ascii="Times New Roman" w:hAnsi="Times New Roman"/>
                <w:snapToGrid w:val="0"/>
                <w:kern w:val="0"/>
                <w:sz w:val="24"/>
                <w:szCs w:val="24"/>
              </w:rPr>
              <w:t>采用双回路电源，污水处理站调节池水泵采用1用1备、风机1用1备、污泥回流泵2用2备的方式设置，降低了污水处理站出现停电、设备不能正常运转等事故概率。</w:t>
            </w:r>
          </w:p>
          <w:p>
            <w:pPr>
              <w:spacing w:line="520" w:lineRule="exact"/>
              <w:ind w:firstLine="480" w:firstLineChars="200"/>
              <w:rPr>
                <w:rFonts w:hint="default" w:ascii="Times New Roman" w:hAnsi="Times New Roman" w:eastAsia="宋体"/>
                <w:snapToGrid w:val="0"/>
                <w:kern w:val="0"/>
                <w:sz w:val="24"/>
                <w:szCs w:val="24"/>
                <w:vertAlign w:val="baseline"/>
                <w:lang w:val="en-US" w:eastAsia="zh-CN"/>
              </w:rPr>
            </w:pPr>
            <w:r>
              <w:rPr>
                <w:rFonts w:hint="eastAsia" w:ascii="Times New Roman" w:hAnsi="Times New Roman"/>
                <w:snapToGrid w:val="0"/>
                <w:kern w:val="0"/>
                <w:sz w:val="24"/>
                <w:szCs w:val="24"/>
              </w:rPr>
              <w:t>根据《医院污水处理工程技术规范》（HJ2029-2013），调节池有效容积按日处理水量的6~8h计算，而项目废水主要产生于白天的12个小时，因此，为满足本项目建成后全院正常情况下污水收集调节的作用，</w:t>
            </w:r>
            <w:r>
              <w:rPr>
                <w:rFonts w:hint="eastAsia"/>
                <w:snapToGrid w:val="0"/>
                <w:kern w:val="0"/>
                <w:sz w:val="24"/>
                <w:szCs w:val="24"/>
                <w:lang w:val="en-US" w:eastAsia="zh-CN"/>
              </w:rPr>
              <w:t>中医院现有</w:t>
            </w:r>
            <w:r>
              <w:rPr>
                <w:rFonts w:hint="eastAsia" w:ascii="Times New Roman" w:hAnsi="Times New Roman"/>
                <w:snapToGrid w:val="0"/>
                <w:kern w:val="0"/>
                <w:sz w:val="24"/>
                <w:szCs w:val="24"/>
              </w:rPr>
              <w:t>污水处理站的调节池有效容积</w:t>
            </w:r>
            <w:r>
              <w:rPr>
                <w:rFonts w:hint="eastAsia"/>
                <w:snapToGrid w:val="0"/>
                <w:kern w:val="0"/>
                <w:sz w:val="24"/>
                <w:szCs w:val="24"/>
                <w:lang w:val="en-US" w:eastAsia="zh-CN"/>
              </w:rPr>
              <w:t>为</w:t>
            </w:r>
            <w:r>
              <w:rPr>
                <w:rFonts w:hint="eastAsia"/>
                <w:snapToGrid w:val="0"/>
                <w:color w:val="000000" w:themeColor="text1"/>
                <w:kern w:val="0"/>
                <w:sz w:val="24"/>
                <w:szCs w:val="24"/>
                <w:lang w:val="en-US" w:eastAsia="zh-CN"/>
                <w14:textFill>
                  <w14:solidFill>
                    <w14:schemeClr w14:val="tx1"/>
                  </w14:solidFill>
                </w14:textFill>
              </w:rPr>
              <w:t>300</w:t>
            </w:r>
            <w:r>
              <w:rPr>
                <w:rFonts w:hint="eastAsia" w:ascii="Times New Roman" w:hAnsi="Times New Roman"/>
                <w:snapToGrid w:val="0"/>
                <w:kern w:val="0"/>
                <w:sz w:val="24"/>
                <w:szCs w:val="24"/>
              </w:rPr>
              <w:t>m</w:t>
            </w:r>
            <w:r>
              <w:rPr>
                <w:rFonts w:hint="eastAsia" w:ascii="Times New Roman" w:hAnsi="Times New Roman"/>
                <w:snapToGrid w:val="0"/>
                <w:kern w:val="0"/>
                <w:sz w:val="24"/>
                <w:szCs w:val="24"/>
                <w:vertAlign w:val="superscript"/>
              </w:rPr>
              <w:t>3</w:t>
            </w:r>
            <w:r>
              <w:rPr>
                <w:rFonts w:hint="eastAsia"/>
                <w:snapToGrid w:val="0"/>
                <w:kern w:val="0"/>
                <w:sz w:val="24"/>
                <w:szCs w:val="24"/>
                <w:vertAlign w:val="baseline"/>
                <w:lang w:eastAsia="zh-CN"/>
              </w:rPr>
              <w:t>，</w:t>
            </w:r>
            <w:r>
              <w:rPr>
                <w:rFonts w:hint="eastAsia"/>
                <w:snapToGrid w:val="0"/>
                <w:kern w:val="0"/>
                <w:sz w:val="24"/>
                <w:szCs w:val="24"/>
                <w:vertAlign w:val="baseline"/>
                <w:lang w:val="en-US" w:eastAsia="zh-CN"/>
              </w:rPr>
              <w:t>能满足事故状态下废水的暂存。</w:t>
            </w:r>
          </w:p>
          <w:p>
            <w:pPr>
              <w:spacing w:line="520" w:lineRule="exact"/>
              <w:ind w:firstLine="480" w:firstLineChars="200"/>
              <w:rPr>
                <w:rFonts w:hint="eastAsia" w:ascii="Times New Roman" w:hAnsi="Times New Roman"/>
                <w:snapToGrid w:val="0"/>
                <w:kern w:val="0"/>
                <w:sz w:val="24"/>
                <w:szCs w:val="24"/>
              </w:rPr>
            </w:pPr>
            <w:r>
              <w:rPr>
                <w:rFonts w:hint="eastAsia" w:ascii="Times New Roman" w:hAnsi="Times New Roman"/>
                <w:snapToGrid w:val="0"/>
                <w:kern w:val="0"/>
                <w:sz w:val="24"/>
                <w:szCs w:val="24"/>
              </w:rPr>
              <w:t>当污水处理站发生故障时，首先启动人工加药的方式，为防止人工加药仍不能使废水达标排放，事故废水排入调节池，事故解除后，废水恢复正常处理。</w:t>
            </w:r>
          </w:p>
          <w:p>
            <w:pPr>
              <w:spacing w:line="520" w:lineRule="exact"/>
              <w:ind w:firstLine="480" w:firstLineChars="200"/>
              <w:rPr>
                <w:rFonts w:hint="eastAsia" w:ascii="Times New Roman" w:hAnsi="Times New Roman"/>
                <w:snapToGrid w:val="0"/>
                <w:kern w:val="0"/>
                <w:sz w:val="24"/>
                <w:szCs w:val="24"/>
              </w:rPr>
            </w:pPr>
            <w:r>
              <w:rPr>
                <w:rFonts w:hint="eastAsia" w:ascii="Times New Roman" w:hAnsi="Times New Roman"/>
                <w:snapToGrid w:val="0"/>
                <w:kern w:val="0"/>
                <w:sz w:val="24"/>
                <w:szCs w:val="24"/>
                <w:lang w:eastAsia="zh-CN"/>
              </w:rPr>
              <w:t>（</w:t>
            </w:r>
            <w:r>
              <w:rPr>
                <w:rFonts w:hint="eastAsia" w:ascii="Times New Roman" w:hAnsi="Times New Roman"/>
                <w:snapToGrid w:val="0"/>
                <w:kern w:val="0"/>
                <w:sz w:val="24"/>
                <w:szCs w:val="24"/>
                <w:lang w:val="en-US" w:eastAsia="zh-CN"/>
              </w:rPr>
              <w:t>2</w:t>
            </w:r>
            <w:r>
              <w:rPr>
                <w:rFonts w:hint="eastAsia" w:ascii="Times New Roman" w:hAnsi="Times New Roman"/>
                <w:snapToGrid w:val="0"/>
                <w:kern w:val="0"/>
                <w:sz w:val="24"/>
                <w:szCs w:val="24"/>
                <w:lang w:eastAsia="zh-CN"/>
              </w:rPr>
              <w:t>）</w:t>
            </w:r>
            <w:r>
              <w:rPr>
                <w:rFonts w:hint="eastAsia" w:ascii="Times New Roman" w:hAnsi="Times New Roman"/>
                <w:snapToGrid w:val="0"/>
                <w:kern w:val="0"/>
                <w:sz w:val="24"/>
                <w:szCs w:val="24"/>
              </w:rPr>
              <w:t>医疗废物的风险防范措施</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sz w:val="24"/>
                <w:szCs w:val="22"/>
              </w:rPr>
            </w:pPr>
            <w:r>
              <w:rPr>
                <w:rFonts w:hint="eastAsia" w:ascii="Times New Roman" w:hAnsi="Times New Roman"/>
                <w:snapToGrid w:val="0"/>
                <w:kern w:val="0"/>
                <w:sz w:val="24"/>
                <w:szCs w:val="24"/>
              </w:rPr>
              <w:t>鉴于医疗废物的极大危害性，该项目在</w:t>
            </w:r>
            <w:r>
              <w:rPr>
                <w:rFonts w:hint="eastAsia"/>
                <w:sz w:val="24"/>
                <w:szCs w:val="22"/>
              </w:rPr>
              <w:t>收集、贮存、运送医疗废物的过程中存在着一定的风险。为保证项目产生的医疗废物得到有效处置，使其风险减少到最小程度，而不会对周围环境造成不良影响，要求具体采取如下的措施进行防范。</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sz w:val="24"/>
                <w:szCs w:val="22"/>
              </w:rPr>
            </w:pPr>
            <w:r>
              <w:rPr>
                <w:rFonts w:hint="eastAsia"/>
                <w:sz w:val="24"/>
                <w:szCs w:val="22"/>
              </w:rPr>
              <w:t>应采用专用容器，明确各类废物标识，分类包装，分类堆放，并本着及时、方便、安全、快捷的原则，进行收集。感染性废物、病理性废物、损伤性废物、药物性废物及化学性废物是不能混合收集；放入包装物或者容器内的感染性废物、病理性废物、损伤性废物不得取出。当盛装的医疗废物达到包装物或者容器的</w:t>
            </w:r>
            <w:r>
              <w:rPr>
                <w:sz w:val="24"/>
                <w:szCs w:val="22"/>
              </w:rPr>
              <w:t>3/4</w:t>
            </w:r>
            <w:r>
              <w:rPr>
                <w:rFonts w:hint="eastAsia"/>
                <w:sz w:val="24"/>
                <w:szCs w:val="22"/>
              </w:rPr>
              <w:t>时，应当使用有效的封口方式，使包装物或者容器的封口紧实、严密。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sz w:val="24"/>
                <w:szCs w:val="22"/>
              </w:rPr>
            </w:pPr>
            <w:r>
              <w:rPr>
                <w:rFonts w:hint="eastAsia"/>
                <w:sz w:val="24"/>
                <w:szCs w:val="22"/>
              </w:rPr>
              <w:t>对感染性废物必须采取安全、有效、经济的隔离和处理方法。操作感染性或任何有潜在危害的废物时，必须穿戴手套和防护服。对有多种成份混和的医学废料，应按危害等级较高者处理。感染性废物应分类丢入垃圾袋，还必须由专业人员严格区分感染性和非感染性废物，一旦分开后，感染性废物必须加以隔离。根据有关规定，所有收集感染性废物的容器都应有“生物危害”标志。有液体的感染性废料时，应确保容器无泄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sz w:val="24"/>
                <w:szCs w:val="22"/>
              </w:rPr>
            </w:pPr>
            <w:r>
              <w:rPr>
                <w:rFonts w:hint="eastAsia"/>
                <w:sz w:val="24"/>
                <w:szCs w:val="22"/>
              </w:rPr>
              <w:t>所有锐利物都必须单独存放，并统一按医学废物处理。收集锐利物日包装容器必须使用硬质、防漏、防刺破材料。针或刀应保存在有明显标记、防泄漏、防刺破的容器内。处理含有锐利物品的感染性废料时应使用防刺破手套。</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bCs/>
                <w:sz w:val="24"/>
                <w:szCs w:val="22"/>
              </w:rPr>
            </w:pPr>
            <w:r>
              <w:rPr>
                <w:rFonts w:hint="eastAsia"/>
                <w:sz w:val="24"/>
                <w:szCs w:val="22"/>
              </w:rPr>
              <w:t>另外，有害化学废物不能与一般废物、无害化学废物或感染性废物相混合。稀释通常不能使有害化学废物的毒性减低。有害化学废物在产生后应分别收集、运输、贮存和处理；必需混合时，应注意不兼容性。为保证有害废料在产生、堆集和保存期间不发生意外、泄漏、破损等，应采取必要的控制措施，如：通风措施、相对封闭及隔离系统、安全措施、防火措施和安全通道。在化学废料的产生、处理、堆集和保存期间，对其包装及标签应根据废物种类使用废物容器、使用“有害废物”的标签或标记、在任何时候都确保废物容器的密闭性。采用有皱的包装材料包装易碎的玻璃和塑料制品，在包装中同时加入吸附性材料。</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rPr>
              <w:t>（</w:t>
            </w:r>
            <w:r>
              <w:rPr>
                <w:rFonts w:hint="eastAsia"/>
                <w:sz w:val="24"/>
                <w:szCs w:val="22"/>
                <w:lang w:val="en-US" w:eastAsia="zh-CN"/>
              </w:rPr>
              <w:t>3</w:t>
            </w:r>
            <w:r>
              <w:rPr>
                <w:rFonts w:hint="eastAsia"/>
                <w:sz w:val="24"/>
                <w:szCs w:val="22"/>
              </w:rPr>
              <w:t>）医院医疗废物突发事件应急措施及预案</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1</w:t>
            </w:r>
            <w:r>
              <w:rPr>
                <w:rFonts w:hint="eastAsia"/>
                <w:sz w:val="24"/>
                <w:szCs w:val="22"/>
                <w:lang w:eastAsia="zh-CN"/>
              </w:rPr>
              <w:t>）</w:t>
            </w:r>
            <w:r>
              <w:rPr>
                <w:rFonts w:hint="eastAsia"/>
                <w:sz w:val="24"/>
                <w:szCs w:val="22"/>
              </w:rPr>
              <w:t>在收集转运医疗废物当中发生医疗废物泄漏、溢出、散落时，运送员应立即向管理人员汇报，并向医院总务科、医院感染管理科报告。</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2</w:t>
            </w:r>
            <w:r>
              <w:rPr>
                <w:rFonts w:hint="eastAsia"/>
                <w:sz w:val="24"/>
                <w:szCs w:val="22"/>
                <w:lang w:eastAsia="zh-CN"/>
              </w:rPr>
              <w:t>）</w:t>
            </w:r>
            <w:r>
              <w:rPr>
                <w:rFonts w:hint="eastAsia"/>
                <w:sz w:val="24"/>
                <w:szCs w:val="22"/>
              </w:rPr>
              <w:t>医院“医疗废物管理小组”组织有关人员进行调查，确定流失、泄漏、扩散的医疗废物的类别、数量、发生时间、影响范围及严重程度。对现场进行必要的消毒处理和相应的补救措施，并在</w:t>
            </w:r>
            <w:r>
              <w:rPr>
                <w:sz w:val="24"/>
                <w:szCs w:val="22"/>
              </w:rPr>
              <w:t>48</w:t>
            </w:r>
            <w:r>
              <w:rPr>
                <w:rFonts w:hint="eastAsia"/>
                <w:sz w:val="24"/>
                <w:szCs w:val="22"/>
              </w:rPr>
              <w:t>h内向相关卫生行政主管部门报告。</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3</w:t>
            </w:r>
            <w:r>
              <w:rPr>
                <w:rFonts w:hint="eastAsia"/>
                <w:sz w:val="24"/>
                <w:szCs w:val="22"/>
                <w:lang w:eastAsia="zh-CN"/>
              </w:rPr>
              <w:t>）</w:t>
            </w:r>
            <w:r>
              <w:rPr>
                <w:rFonts w:hint="eastAsia"/>
                <w:sz w:val="24"/>
                <w:szCs w:val="22"/>
              </w:rPr>
              <w:t>采取适当的安全处置措施、运送员、保洁员工负责对泄漏、溢出、散落的医疗废物迅速进行收集、清理和消毒处理。对受污染的区域、物品进行无害化处置，必要时封锁污染区，以防扩大污染。</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4</w:t>
            </w:r>
            <w:r>
              <w:rPr>
                <w:rFonts w:hint="eastAsia"/>
                <w:sz w:val="24"/>
                <w:szCs w:val="22"/>
                <w:lang w:eastAsia="zh-CN"/>
              </w:rPr>
              <w:t>）</w:t>
            </w:r>
            <w:r>
              <w:rPr>
                <w:rFonts w:hint="eastAsia"/>
                <w:sz w:val="24"/>
                <w:szCs w:val="22"/>
              </w:rPr>
              <w:t>对泄漏及受污染的区域、物品进行处理时，要尽量减少对病人、医务人员及现场其他人员和环境的影响，清理人员必须穿戴防护服（或橡胶围裙）、橡胶手套和口罩、帽子、长靴等防护用品。消毒工作从感染性废物污染最轻的区域向污染最重的区域进行，对可能被污染的所有使用过的工具和防护用品均须进行消毒。</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5</w:t>
            </w:r>
            <w:r>
              <w:rPr>
                <w:rFonts w:hint="eastAsia"/>
                <w:sz w:val="24"/>
                <w:szCs w:val="22"/>
                <w:lang w:eastAsia="zh-CN"/>
              </w:rPr>
              <w:t>）</w:t>
            </w:r>
            <w:r>
              <w:rPr>
                <w:rFonts w:hint="eastAsia"/>
                <w:sz w:val="24"/>
                <w:szCs w:val="22"/>
              </w:rPr>
              <w:t>调查处理工作结束后，对事件的起因进行调查，制定有效的防范措施预防类似事件的发生。</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6</w:t>
            </w:r>
            <w:r>
              <w:rPr>
                <w:rFonts w:hint="eastAsia"/>
                <w:sz w:val="24"/>
                <w:szCs w:val="22"/>
                <w:lang w:eastAsia="zh-CN"/>
              </w:rPr>
              <w:t>）</w:t>
            </w:r>
            <w:r>
              <w:rPr>
                <w:rFonts w:hint="eastAsia"/>
                <w:sz w:val="24"/>
                <w:szCs w:val="22"/>
              </w:rPr>
              <w:t>发生医疗废物管理不当导致传染病传播事故，或者有证据证明传染病传播的事故有可能发生时，应当按照《中华人民共和国传染病防治法》及有关规定报告，并采取相应措施。</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7</w:t>
            </w:r>
            <w:r>
              <w:rPr>
                <w:rFonts w:hint="eastAsia"/>
                <w:sz w:val="24"/>
                <w:szCs w:val="22"/>
                <w:lang w:eastAsia="zh-CN"/>
              </w:rPr>
              <w:t>）</w:t>
            </w:r>
            <w:r>
              <w:rPr>
                <w:rFonts w:hint="eastAsia"/>
                <w:sz w:val="24"/>
                <w:szCs w:val="22"/>
              </w:rPr>
              <w:t>医疗废物刺伤或擦伤等损伤后的处理：</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①</w:t>
            </w:r>
            <w:r>
              <w:rPr>
                <w:rFonts w:hint="eastAsia"/>
                <w:sz w:val="24"/>
                <w:szCs w:val="22"/>
              </w:rPr>
              <w:t>可用肥皂、流动水清洗污染的皮肤，用生理盐水冲洗粘膜。</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bCs/>
                <w:sz w:val="24"/>
                <w:szCs w:val="22"/>
              </w:rPr>
            </w:pPr>
            <w:r>
              <w:rPr>
                <w:rFonts w:hint="eastAsia"/>
                <w:sz w:val="24"/>
                <w:szCs w:val="22"/>
                <w:lang w:val="en-US" w:eastAsia="zh-CN"/>
              </w:rPr>
              <w:t>②</w:t>
            </w:r>
            <w:r>
              <w:rPr>
                <w:rFonts w:hint="eastAsia"/>
                <w:sz w:val="24"/>
                <w:szCs w:val="22"/>
              </w:rPr>
              <w:t>如有伤口、应当在伤口旁从近心端向远心端轻轻挤压，尽可能挤出损伤处的血液，再用肥皂液和流动水进行清洗，禁止进行伤口局部的重力挤压。</w:t>
            </w:r>
          </w:p>
          <w:p>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sz w:val="24"/>
                <w:szCs w:val="22"/>
              </w:rPr>
            </w:pPr>
            <w:r>
              <w:rPr>
                <w:rFonts w:hint="eastAsia"/>
                <w:sz w:val="24"/>
                <w:szCs w:val="22"/>
                <w:lang w:val="en-US" w:eastAsia="zh-CN"/>
              </w:rPr>
              <w:t>③</w:t>
            </w:r>
            <w:r>
              <w:rPr>
                <w:rFonts w:hint="eastAsia"/>
                <w:sz w:val="24"/>
                <w:szCs w:val="22"/>
              </w:rPr>
              <w:t>冲洗后应用</w:t>
            </w:r>
            <w:r>
              <w:rPr>
                <w:sz w:val="24"/>
                <w:szCs w:val="22"/>
              </w:rPr>
              <w:t>75%</w:t>
            </w:r>
            <w:r>
              <w:rPr>
                <w:rFonts w:hint="eastAsia"/>
                <w:sz w:val="24"/>
                <w:szCs w:val="22"/>
              </w:rPr>
              <w:t>乙醇或者</w:t>
            </w:r>
            <w:r>
              <w:rPr>
                <w:sz w:val="24"/>
                <w:szCs w:val="22"/>
              </w:rPr>
              <w:t>0.5%</w:t>
            </w:r>
            <w:r>
              <w:rPr>
                <w:rFonts w:hint="eastAsia"/>
                <w:sz w:val="24"/>
                <w:szCs w:val="22"/>
              </w:rPr>
              <w:t>碘伏消毒，并包扎伤口；暴露的粘膜，应当反复用生理盐水冲洗干净。</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eastAsia"/>
                <w:sz w:val="24"/>
              </w:rPr>
            </w:pPr>
            <w:r>
              <w:rPr>
                <w:rFonts w:hint="eastAsia"/>
                <w:sz w:val="24"/>
                <w:szCs w:val="22"/>
                <w:lang w:val="en-US" w:eastAsia="zh-CN"/>
              </w:rPr>
              <w:t>④</w:t>
            </w:r>
            <w:r>
              <w:rPr>
                <w:rFonts w:hint="eastAsia"/>
                <w:sz w:val="24"/>
                <w:szCs w:val="22"/>
              </w:rPr>
              <w:t>采集感染源病人的血清进行检查，并及时填写相关报告单，向医院感染管理科报告。必要时给予预防性治疗。</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Times New Roman" w:hAnsi="Times New Roman"/>
                <w:b/>
                <w:sz w:val="24"/>
                <w:szCs w:val="24"/>
              </w:rPr>
            </w:pPr>
            <w:r>
              <w:rPr>
                <w:rFonts w:hint="eastAsia"/>
                <w:b/>
                <w:sz w:val="24"/>
                <w:szCs w:val="24"/>
                <w:lang w:val="en-US" w:eastAsia="zh-CN"/>
              </w:rPr>
              <w:t>7</w:t>
            </w:r>
            <w:r>
              <w:rPr>
                <w:rFonts w:hint="eastAsia" w:ascii="Times New Roman" w:hAnsi="Times New Roman"/>
                <w:b/>
                <w:sz w:val="24"/>
                <w:szCs w:val="24"/>
              </w:rPr>
              <w:t>.5应急预案</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snapToGrid w:val="0"/>
                <w:color w:val="auto"/>
                <w:kern w:val="0"/>
                <w:sz w:val="24"/>
                <w:szCs w:val="24"/>
              </w:rPr>
            </w:pPr>
            <w:r>
              <w:rPr>
                <w:rFonts w:hint="eastAsia" w:ascii="Times New Roman" w:hAnsi="Times New Roman"/>
                <w:snapToGrid w:val="0"/>
                <w:color w:val="auto"/>
                <w:kern w:val="0"/>
                <w:sz w:val="24"/>
                <w:szCs w:val="24"/>
              </w:rPr>
              <w:t>为减轻事故造成的影响，</w:t>
            </w:r>
            <w:r>
              <w:rPr>
                <w:rFonts w:hint="eastAsia" w:ascii="Times New Roman" w:hAnsi="Times New Roman" w:cs="Times New Roman"/>
                <w:snapToGrid w:val="0"/>
                <w:color w:val="auto"/>
                <w:kern w:val="0"/>
                <w:sz w:val="24"/>
                <w:szCs w:val="24"/>
                <w:lang w:eastAsia="zh-CN"/>
              </w:rPr>
              <w:t>本环评要求</w:t>
            </w:r>
            <w:r>
              <w:rPr>
                <w:rFonts w:hint="eastAsia" w:cs="Times New Roman"/>
                <w:snapToGrid w:val="0"/>
                <w:color w:val="auto"/>
                <w:kern w:val="0"/>
                <w:sz w:val="24"/>
                <w:szCs w:val="24"/>
                <w:lang w:val="en-US" w:eastAsia="zh-CN"/>
              </w:rPr>
              <w:t>玛纳斯县中医医院</w:t>
            </w:r>
            <w:r>
              <w:rPr>
                <w:rFonts w:hint="default" w:ascii="Times New Roman" w:hAnsi="Times New Roman" w:cs="Times New Roman"/>
                <w:snapToGrid w:val="0"/>
                <w:color w:val="auto"/>
                <w:kern w:val="0"/>
                <w:sz w:val="24"/>
                <w:szCs w:val="24"/>
              </w:rPr>
              <w:t>应根据《建设项目环境风险评价技术导则》（HJ169-2018）详细编制</w:t>
            </w:r>
            <w:r>
              <w:rPr>
                <w:rFonts w:hint="eastAsia" w:ascii="Times New Roman" w:hAnsi="Times New Roman" w:cs="Times New Roman"/>
                <w:snapToGrid w:val="0"/>
                <w:color w:val="auto"/>
                <w:kern w:val="0"/>
                <w:sz w:val="24"/>
                <w:szCs w:val="24"/>
                <w:lang w:eastAsia="zh-CN"/>
              </w:rPr>
              <w:t>应急预案</w:t>
            </w:r>
            <w:r>
              <w:rPr>
                <w:rFonts w:hint="default" w:ascii="Times New Roman" w:hAnsi="Times New Roman" w:cs="Times New Roman"/>
                <w:snapToGrid w:val="0"/>
                <w:color w:val="auto"/>
                <w:kern w:val="0"/>
                <w:sz w:val="24"/>
                <w:szCs w:val="24"/>
              </w:rPr>
              <w:t>、</w:t>
            </w:r>
            <w:r>
              <w:rPr>
                <w:rFonts w:hint="eastAsia" w:ascii="Times New Roman" w:hAnsi="Times New Roman"/>
                <w:snapToGrid w:val="0"/>
                <w:color w:val="auto"/>
                <w:kern w:val="0"/>
                <w:sz w:val="24"/>
                <w:szCs w:val="24"/>
              </w:rPr>
              <w:t>成立应急小组，一旦发生事故，单位相关人员必须按照事故应急预案规定程序指挥，消除事故的蔓延和发展，将事故损失降低到最低限度。</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snapToGrid w:val="0"/>
                <w:color w:val="auto"/>
                <w:kern w:val="0"/>
                <w:sz w:val="24"/>
                <w:szCs w:val="24"/>
              </w:rPr>
            </w:pPr>
            <w:r>
              <w:rPr>
                <w:rFonts w:hint="eastAsia" w:ascii="Times New Roman" w:hAnsi="Times New Roman"/>
                <w:snapToGrid w:val="0"/>
                <w:color w:val="auto"/>
                <w:kern w:val="0"/>
                <w:sz w:val="24"/>
                <w:szCs w:val="24"/>
              </w:rPr>
              <w:t>紧急事故的处理流程与方式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snapToGrid w:val="0"/>
                <w:kern w:val="0"/>
                <w:sz w:val="24"/>
                <w:szCs w:val="24"/>
              </w:rPr>
            </w:pPr>
            <w:r>
              <w:rPr>
                <w:rFonts w:hint="eastAsia" w:ascii="Times New Roman" w:hAnsi="Times New Roman"/>
                <w:snapToGrid w:val="0"/>
                <w:kern w:val="0"/>
                <w:sz w:val="24"/>
                <w:szCs w:val="24"/>
              </w:rPr>
              <w:t>（1）发现事故后，当班人员立即向指挥小组组长和副组长汇报，并在事故过程中随时保持与领导小组的联系；</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snapToGrid w:val="0"/>
                <w:kern w:val="0"/>
                <w:sz w:val="24"/>
                <w:szCs w:val="24"/>
              </w:rPr>
            </w:pPr>
            <w:r>
              <w:rPr>
                <w:rFonts w:hint="eastAsia" w:ascii="Times New Roman" w:hAnsi="Times New Roman"/>
                <w:snapToGrid w:val="0"/>
                <w:kern w:val="0"/>
                <w:sz w:val="24"/>
                <w:szCs w:val="24"/>
              </w:rPr>
              <w:t>（2）指挥小组接到报告后，应及时向</w:t>
            </w:r>
            <w:r>
              <w:rPr>
                <w:rFonts w:hint="eastAsia"/>
                <w:snapToGrid w:val="0"/>
                <w:kern w:val="0"/>
                <w:sz w:val="24"/>
                <w:szCs w:val="24"/>
                <w:lang w:val="en-US" w:eastAsia="zh-CN"/>
              </w:rPr>
              <w:t>中医</w:t>
            </w:r>
            <w:r>
              <w:rPr>
                <w:rFonts w:hint="eastAsia" w:ascii="Times New Roman" w:hAnsi="Times New Roman"/>
                <w:snapToGrid w:val="0"/>
                <w:kern w:val="0"/>
                <w:sz w:val="24"/>
                <w:szCs w:val="24"/>
                <w:lang w:eastAsia="zh-CN"/>
              </w:rPr>
              <w:t>院</w:t>
            </w:r>
            <w:r>
              <w:rPr>
                <w:rFonts w:hint="eastAsia" w:ascii="Times New Roman" w:hAnsi="Times New Roman"/>
                <w:snapToGrid w:val="0"/>
                <w:kern w:val="0"/>
                <w:sz w:val="24"/>
                <w:szCs w:val="24"/>
              </w:rPr>
              <w:t>、</w:t>
            </w:r>
            <w:r>
              <w:rPr>
                <w:rFonts w:hint="eastAsia"/>
                <w:snapToGrid w:val="0"/>
                <w:kern w:val="0"/>
                <w:sz w:val="24"/>
                <w:szCs w:val="24"/>
                <w:lang w:val="en-US" w:eastAsia="zh-CN"/>
              </w:rPr>
              <w:t>应急中心</w:t>
            </w:r>
            <w:r>
              <w:rPr>
                <w:rFonts w:hint="eastAsia" w:ascii="Times New Roman" w:hAnsi="Times New Roman"/>
                <w:snapToGrid w:val="0"/>
                <w:kern w:val="0"/>
                <w:sz w:val="24"/>
                <w:szCs w:val="24"/>
              </w:rPr>
              <w:t>和环保部门汇报，并在事故处理工程中随时保持与</w:t>
            </w:r>
            <w:r>
              <w:rPr>
                <w:rFonts w:hint="eastAsia"/>
                <w:snapToGrid w:val="0"/>
                <w:kern w:val="0"/>
                <w:sz w:val="24"/>
                <w:szCs w:val="24"/>
                <w:lang w:val="en-US" w:eastAsia="zh-CN"/>
              </w:rPr>
              <w:t>上级</w:t>
            </w:r>
            <w:r>
              <w:rPr>
                <w:rFonts w:hint="eastAsia" w:ascii="Times New Roman" w:hAnsi="Times New Roman"/>
                <w:snapToGrid w:val="0"/>
                <w:kern w:val="0"/>
                <w:sz w:val="24"/>
                <w:szCs w:val="24"/>
              </w:rPr>
              <w:t>部门的联系；</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snapToGrid w:val="0"/>
                <w:kern w:val="0"/>
                <w:sz w:val="24"/>
                <w:szCs w:val="24"/>
              </w:rPr>
            </w:pPr>
            <w:r>
              <w:rPr>
                <w:rFonts w:hint="eastAsia" w:ascii="Times New Roman" w:hAnsi="Times New Roman"/>
                <w:snapToGrid w:val="0"/>
                <w:kern w:val="0"/>
                <w:sz w:val="24"/>
                <w:szCs w:val="24"/>
              </w:rPr>
              <w:t>（3）当班人员排查造成事故的原因，并进行应急处理。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snapToGrid w:val="0"/>
                <w:kern w:val="0"/>
                <w:sz w:val="24"/>
                <w:szCs w:val="24"/>
              </w:rPr>
            </w:pPr>
            <w:r>
              <w:rPr>
                <w:rFonts w:hint="eastAsia" w:ascii="Times New Roman" w:hAnsi="Times New Roman"/>
                <w:snapToGrid w:val="0"/>
                <w:kern w:val="0"/>
                <w:sz w:val="24"/>
                <w:szCs w:val="24"/>
              </w:rPr>
              <w:t>当发生</w:t>
            </w:r>
            <w:r>
              <w:rPr>
                <w:rFonts w:hint="eastAsia"/>
                <w:snapToGrid w:val="0"/>
                <w:kern w:val="0"/>
                <w:sz w:val="24"/>
                <w:szCs w:val="24"/>
                <w:lang w:val="en-US" w:eastAsia="zh-CN"/>
              </w:rPr>
              <w:t>医疗设备或设施</w:t>
            </w:r>
            <w:r>
              <w:rPr>
                <w:rFonts w:hint="eastAsia" w:ascii="Times New Roman" w:hAnsi="Times New Roman"/>
                <w:snapToGrid w:val="0"/>
                <w:kern w:val="0"/>
                <w:sz w:val="24"/>
                <w:szCs w:val="24"/>
              </w:rPr>
              <w:t>运行异常事故时，应立即向</w:t>
            </w:r>
            <w:r>
              <w:rPr>
                <w:rFonts w:hint="eastAsia"/>
                <w:snapToGrid w:val="0"/>
                <w:kern w:val="0"/>
                <w:sz w:val="24"/>
                <w:szCs w:val="24"/>
                <w:lang w:val="en-US" w:eastAsia="zh-CN"/>
              </w:rPr>
              <w:t>中医院应急指挥办公室</w:t>
            </w:r>
            <w:r>
              <w:rPr>
                <w:rFonts w:hint="eastAsia" w:ascii="Times New Roman" w:hAnsi="Times New Roman"/>
                <w:snapToGrid w:val="0"/>
                <w:kern w:val="0"/>
                <w:sz w:val="24"/>
                <w:szCs w:val="24"/>
              </w:rPr>
              <w:t>汇报，停止工程运行，并根据检验数据对相关工艺进行及时调整，确保未经处理或处理不达标排放。发生停电时，立即向</w:t>
            </w:r>
            <w:r>
              <w:rPr>
                <w:rFonts w:hint="eastAsia"/>
                <w:snapToGrid w:val="0"/>
                <w:kern w:val="0"/>
                <w:sz w:val="24"/>
                <w:szCs w:val="24"/>
                <w:lang w:val="en-US" w:eastAsia="zh-CN"/>
              </w:rPr>
              <w:t>中医院领导</w:t>
            </w:r>
            <w:r>
              <w:rPr>
                <w:rFonts w:hint="eastAsia" w:ascii="Times New Roman" w:hAnsi="Times New Roman"/>
                <w:snapToGrid w:val="0"/>
                <w:kern w:val="0"/>
                <w:sz w:val="24"/>
                <w:szCs w:val="24"/>
              </w:rPr>
              <w:t>及当地供电部门反映情况，来电后，按操作规程开启设备，恢复运行。</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snapToGrid w:val="0"/>
                <w:kern w:val="0"/>
                <w:sz w:val="24"/>
                <w:szCs w:val="24"/>
              </w:rPr>
            </w:pPr>
            <w:r>
              <w:rPr>
                <w:rFonts w:hint="eastAsia" w:ascii="Times New Roman" w:hAnsi="Times New Roman"/>
                <w:snapToGrid w:val="0"/>
                <w:kern w:val="0"/>
                <w:sz w:val="24"/>
                <w:szCs w:val="24"/>
              </w:rPr>
              <w:t>由事故应急指挥领导小组宣布应急状态结束，恢复到正常运行状态，开始对事故原因进行调查，进行事故损失评估，组织力量进行污染区的清消、恢复。</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Times New Roman" w:hAnsi="Times New Roman"/>
                <w:b/>
                <w:sz w:val="24"/>
                <w:szCs w:val="24"/>
              </w:rPr>
            </w:pPr>
            <w:r>
              <w:rPr>
                <w:rFonts w:hint="eastAsia"/>
                <w:b/>
                <w:sz w:val="24"/>
                <w:szCs w:val="24"/>
                <w:lang w:val="en-US" w:eastAsia="zh-CN"/>
              </w:rPr>
              <w:t>7</w:t>
            </w:r>
            <w:r>
              <w:rPr>
                <w:rFonts w:hint="eastAsia" w:ascii="Times New Roman" w:hAnsi="Times New Roman"/>
                <w:b/>
                <w:sz w:val="24"/>
                <w:szCs w:val="24"/>
              </w:rPr>
              <w:t>.6环境风险评价结论</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snapToGrid w:val="0"/>
                <w:color w:val="000000" w:themeColor="text1"/>
                <w:kern w:val="0"/>
                <w:sz w:val="24"/>
                <w:szCs w:val="24"/>
                <w:lang w:val="en-US" w:eastAsia="zh-CN"/>
                <w14:textFill>
                  <w14:solidFill>
                    <w14:schemeClr w14:val="tx1"/>
                  </w14:solidFill>
                </w14:textFill>
              </w:rPr>
            </w:pPr>
            <w:r>
              <w:rPr>
                <w:rFonts w:hint="eastAsia" w:ascii="Times New Roman" w:hAnsi="Times New Roman"/>
                <w:snapToGrid w:val="0"/>
                <w:color w:val="000000" w:themeColor="text1"/>
                <w:kern w:val="0"/>
                <w:sz w:val="24"/>
                <w:szCs w:val="24"/>
                <w14:textFill>
                  <w14:solidFill>
                    <w14:schemeClr w14:val="tx1"/>
                  </w14:solidFill>
                </w14:textFill>
              </w:rPr>
              <w:t>综上，本项目无重大危险源，</w:t>
            </w:r>
            <w:r>
              <w:rPr>
                <w:rFonts w:hint="eastAsia" w:ascii="Times New Roman" w:hAnsi="Times New Roman"/>
                <w:snapToGrid w:val="0"/>
                <w:color w:val="000000" w:themeColor="text1"/>
                <w:kern w:val="0"/>
                <w:sz w:val="24"/>
                <w:szCs w:val="24"/>
                <w:lang w:val="nl-BE"/>
                <w14:textFill>
                  <w14:solidFill>
                    <w14:schemeClr w14:val="tx1"/>
                  </w14:solidFill>
                </w14:textFill>
              </w:rPr>
              <w:t>在日常工作中仍须严格执行国家的技术规范和操作规程要求，在认真落实工程拟采取的事故对策后，工程的事故对周围影响处于可接受水平。</w:t>
            </w:r>
            <w:r>
              <w:rPr>
                <w:rFonts w:hint="eastAsia" w:ascii="Times New Roman" w:hAnsi="Times New Roman"/>
                <w:snapToGrid w:val="0"/>
                <w:color w:val="000000" w:themeColor="text1"/>
                <w:kern w:val="0"/>
                <w:sz w:val="24"/>
                <w:szCs w:val="24"/>
                <w:lang w:val="nl-BE" w:eastAsia="zh-CN"/>
                <w14:textFill>
                  <w14:solidFill>
                    <w14:schemeClr w14:val="tx1"/>
                  </w14:solidFill>
                </w14:textFill>
              </w:rPr>
              <w:t>本项目环境风险评价自查表见表</w:t>
            </w:r>
            <w:r>
              <w:rPr>
                <w:rFonts w:hint="eastAsia"/>
                <w:snapToGrid w:val="0"/>
                <w:color w:val="000000" w:themeColor="text1"/>
                <w:kern w:val="0"/>
                <w:sz w:val="24"/>
                <w:szCs w:val="24"/>
                <w:lang w:val="en-US" w:eastAsia="zh-CN"/>
                <w14:textFill>
                  <w14:solidFill>
                    <w14:schemeClr w14:val="tx1"/>
                  </w14:solidFill>
                </w14:textFill>
              </w:rPr>
              <w:t>4-12</w:t>
            </w:r>
            <w:r>
              <w:rPr>
                <w:rFonts w:hint="eastAsia" w:ascii="Times New Roman" w:hAnsi="Times New Roman"/>
                <w:snapToGrid w:val="0"/>
                <w:color w:val="000000" w:themeColor="text1"/>
                <w:kern w:val="0"/>
                <w:sz w:val="24"/>
                <w:szCs w:val="24"/>
                <w:lang w:val="nl-BE" w:eastAsia="zh-CN"/>
                <w14:textFill>
                  <w14:solidFill>
                    <w14:schemeClr w14:val="tx1"/>
                  </w14:solidFill>
                </w14:textFill>
              </w:rPr>
              <w:t>。</w:t>
            </w:r>
          </w:p>
          <w:p>
            <w:pPr>
              <w:autoSpaceDN w:val="0"/>
              <w:ind w:firstLine="960" w:firstLineChars="400"/>
              <w:jc w:val="center"/>
              <w:textAlignment w:val="center"/>
              <w:rPr>
                <w:rFonts w:hint="default" w:ascii="Times New Roman" w:hAnsi="Times New Roman" w:eastAsia="黑体" w:cs="Times New Roman"/>
                <w:bCs/>
                <w:color w:val="000000" w:themeColor="text1"/>
                <w:sz w:val="24"/>
                <w:szCs w:val="24"/>
                <w14:textFill>
                  <w14:solidFill>
                    <w14:schemeClr w14:val="tx1"/>
                  </w14:solidFill>
                </w14:textFill>
              </w:rPr>
            </w:pPr>
            <w:r>
              <w:rPr>
                <w:rFonts w:hint="default" w:ascii="Times New Roman" w:hAnsi="Times New Roman" w:eastAsia="黑体" w:cs="Times New Roman"/>
                <w:bCs/>
                <w:color w:val="000000" w:themeColor="text1"/>
                <w:sz w:val="24"/>
                <w:szCs w:val="24"/>
                <w14:textFill>
                  <w14:solidFill>
                    <w14:schemeClr w14:val="tx1"/>
                  </w14:solidFill>
                </w14:textFill>
              </w:rPr>
              <w:t>表</w:t>
            </w:r>
            <w:r>
              <w:rPr>
                <w:rFonts w:hint="eastAsia" w:eastAsia="黑体" w:cs="Times New Roman"/>
                <w:bCs/>
                <w:color w:val="000000" w:themeColor="text1"/>
                <w:sz w:val="24"/>
                <w:szCs w:val="24"/>
                <w:lang w:val="en-US" w:eastAsia="zh-CN"/>
                <w14:textFill>
                  <w14:solidFill>
                    <w14:schemeClr w14:val="tx1"/>
                  </w14:solidFill>
                </w14:textFill>
              </w:rPr>
              <w:t>4-12</w:t>
            </w:r>
            <w:r>
              <w:rPr>
                <w:rFonts w:hint="eastAsia" w:ascii="Times New Roman" w:hAnsi="Times New Roman" w:eastAsia="黑体" w:cs="Times New Roman"/>
                <w:bCs/>
                <w:color w:val="000000" w:themeColor="text1"/>
                <w:sz w:val="24"/>
                <w:szCs w:val="24"/>
                <w14:textFill>
                  <w14:solidFill>
                    <w14:schemeClr w14:val="tx1"/>
                  </w14:solidFill>
                </w14:textFill>
              </w:rPr>
              <w:t xml:space="preserve"> </w:t>
            </w:r>
            <w:r>
              <w:rPr>
                <w:rFonts w:hint="eastAsia" w:ascii="Times New Roman" w:hAnsi="Times New Roman" w:eastAsia="黑体" w:cs="Times New Roman"/>
                <w:bCs/>
                <w:color w:val="000000" w:themeColor="text1"/>
                <w:sz w:val="24"/>
                <w:szCs w:val="24"/>
                <w:lang w:val="en-US" w:eastAsia="zh-CN"/>
                <w14:textFill>
                  <w14:solidFill>
                    <w14:schemeClr w14:val="tx1"/>
                  </w14:solidFill>
                </w14:textFill>
              </w:rPr>
              <w:t xml:space="preserve">   </w:t>
            </w:r>
            <w:r>
              <w:rPr>
                <w:rFonts w:hint="default" w:ascii="Times New Roman" w:hAnsi="Times New Roman" w:eastAsia="黑体" w:cs="Times New Roman"/>
                <w:bCs/>
                <w:color w:val="000000" w:themeColor="text1"/>
                <w:sz w:val="24"/>
                <w:szCs w:val="24"/>
                <w14:textFill>
                  <w14:solidFill>
                    <w14:schemeClr w14:val="tx1"/>
                  </w14:solidFill>
                </w14:textFill>
              </w:rPr>
              <w:t>建设项目环境风险简单分析内容表</w:t>
            </w:r>
          </w:p>
          <w:tbl>
            <w:tblPr>
              <w:tblStyle w:val="2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1471"/>
              <w:gridCol w:w="701"/>
              <w:gridCol w:w="2043"/>
              <w:gridCol w:w="767"/>
              <w:gridCol w:w="20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54"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after="0" w:line="120" w:lineRule="atLeast"/>
                    <w:jc w:val="center"/>
                    <w:textAlignment w:val="auto"/>
                    <w:rPr>
                      <w:sz w:val="21"/>
                      <w:szCs w:val="21"/>
                    </w:rPr>
                  </w:pPr>
                  <w:r>
                    <w:rPr>
                      <w:sz w:val="21"/>
                      <w:szCs w:val="21"/>
                    </w:rPr>
                    <w:t>建设项目名称</w:t>
                  </w:r>
                </w:p>
              </w:tc>
              <w:tc>
                <w:tcPr>
                  <w:tcW w:w="4045" w:type="pct"/>
                  <w:gridSpan w:val="5"/>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eastAsia"/>
                      <w:color w:val="FF0000"/>
                      <w:sz w:val="21"/>
                      <w:szCs w:val="21"/>
                      <w:lang w:val="nl-BE" w:eastAsia="zh-CN"/>
                    </w:rPr>
                  </w:pPr>
                  <w:r>
                    <w:rPr>
                      <w:rFonts w:hint="eastAsia"/>
                      <w:sz w:val="21"/>
                      <w:szCs w:val="21"/>
                      <w:lang w:val="en-US" w:eastAsia="zh-CN"/>
                    </w:rPr>
                    <w:t>玛纳斯县中医医院中医康复治疗建设项目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954"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after="0" w:line="120" w:lineRule="atLeast"/>
                    <w:jc w:val="both"/>
                    <w:textAlignment w:val="auto"/>
                    <w:rPr>
                      <w:sz w:val="21"/>
                      <w:szCs w:val="21"/>
                    </w:rPr>
                  </w:pPr>
                  <w:r>
                    <w:rPr>
                      <w:sz w:val="21"/>
                      <w:szCs w:val="21"/>
                    </w:rPr>
                    <w:t>建设地点</w:t>
                  </w:r>
                </w:p>
              </w:tc>
              <w:tc>
                <w:tcPr>
                  <w:tcW w:w="4045" w:type="pct"/>
                  <w:gridSpan w:val="5"/>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玛纳斯县中华碧玉园东侧500米处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4"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eastAsia" w:eastAsia="宋体"/>
                      <w:color w:val="000000" w:themeColor="text1"/>
                      <w:sz w:val="21"/>
                      <w:szCs w:val="21"/>
                      <w:lang w:eastAsia="zh-CN"/>
                      <w14:textFill>
                        <w14:solidFill>
                          <w14:schemeClr w14:val="tx1"/>
                        </w14:solidFill>
                      </w14:textFill>
                    </w:rPr>
                  </w:pPr>
                  <w:r>
                    <w:rPr>
                      <w:rFonts w:hint="eastAsia"/>
                      <w:sz w:val="21"/>
                      <w:szCs w:val="21"/>
                      <w:lang w:val="en-US" w:eastAsia="zh-CN"/>
                    </w:rPr>
                    <w:t>地理坐标</w:t>
                  </w:r>
                </w:p>
              </w:tc>
              <w:tc>
                <w:tcPr>
                  <w:tcW w:w="846"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玛纳斯县中医医院院内</w:t>
                  </w:r>
                </w:p>
              </w:tc>
              <w:tc>
                <w:tcPr>
                  <w:tcW w:w="403"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经度</w:t>
                  </w:r>
                </w:p>
              </w:tc>
              <w:tc>
                <w:tcPr>
                  <w:tcW w:w="1175"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86°13′41.469″</w:t>
                  </w:r>
                </w:p>
              </w:tc>
              <w:tc>
                <w:tcPr>
                  <w:tcW w:w="441"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纬度</w:t>
                  </w:r>
                </w:p>
              </w:tc>
              <w:tc>
                <w:tcPr>
                  <w:tcW w:w="1178"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44°16′42.960″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4"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sz w:val="21"/>
                      <w:szCs w:val="21"/>
                    </w:rPr>
                  </w:pPr>
                  <w:r>
                    <w:rPr>
                      <w:sz w:val="21"/>
                      <w:szCs w:val="21"/>
                    </w:rPr>
                    <w:t>主要危险物质</w:t>
                  </w:r>
                </w:p>
              </w:tc>
              <w:tc>
                <w:tcPr>
                  <w:tcW w:w="4045" w:type="pct"/>
                  <w:gridSpan w:val="5"/>
                  <w:noWrap w:val="0"/>
                  <w:vAlign w:val="center"/>
                </w:tcPr>
                <w:p>
                  <w:pPr>
                    <w:pStyle w:val="13"/>
                    <w:keepNext w:val="0"/>
                    <w:keepLines w:val="0"/>
                    <w:pageBreakBefore w:val="0"/>
                    <w:widowControl/>
                    <w:kinsoku/>
                    <w:wordWrap/>
                    <w:overflowPunct/>
                    <w:topLinePunct w:val="0"/>
                    <w:autoSpaceDE/>
                    <w:autoSpaceDN/>
                    <w:bidi w:val="0"/>
                    <w:adjustRightInd w:val="0"/>
                    <w:snapToGrid w:val="0"/>
                    <w:spacing w:before="0" w:after="0" w:line="120" w:lineRule="atLeast"/>
                    <w:ind w:right="0"/>
                    <w:jc w:val="both"/>
                    <w:textAlignment w:val="auto"/>
                    <w:rPr>
                      <w:rFonts w:hint="default" w:ascii="Times New Roman" w:hAnsi="Times New Roman" w:cs="Times New Roman"/>
                      <w:sz w:val="21"/>
                      <w:szCs w:val="21"/>
                      <w:lang w:val="en-US" w:eastAsia="zh-CN"/>
                    </w:rPr>
                  </w:pPr>
                  <w:r>
                    <w:rPr>
                      <w:sz w:val="21"/>
                      <w:szCs w:val="21"/>
                    </w:rPr>
                    <w:t>主要危险物质为</w:t>
                  </w:r>
                  <w:r>
                    <w:rPr>
                      <w:rFonts w:hint="eastAsia"/>
                      <w:color w:val="000000" w:themeColor="text1"/>
                      <w:sz w:val="21"/>
                      <w:szCs w:val="21"/>
                      <w:lang w:val="en-US" w:eastAsia="zh-CN"/>
                      <w14:textFill>
                        <w14:solidFill>
                          <w14:schemeClr w14:val="tx1"/>
                        </w14:solidFill>
                      </w14:textFill>
                    </w:rPr>
                    <w:t>次氯酸钠</w:t>
                  </w:r>
                  <w:r>
                    <w:rPr>
                      <w:sz w:val="21"/>
                      <w:szCs w:val="21"/>
                    </w:rPr>
                    <w:t>，年最大储存量为</w:t>
                  </w:r>
                  <w:r>
                    <w:rPr>
                      <w:color w:val="000000" w:themeColor="text1"/>
                      <w:sz w:val="21"/>
                      <w:szCs w:val="21"/>
                      <w14:textFill>
                        <w14:solidFill>
                          <w14:schemeClr w14:val="tx1"/>
                        </w14:solidFill>
                      </w14:textFill>
                    </w:rPr>
                    <w:t>0.2</w:t>
                  </w:r>
                  <w:r>
                    <w:rPr>
                      <w:sz w:val="21"/>
                      <w:szCs w:val="21"/>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4" w:type="pct"/>
                  <w:noWrap w:val="0"/>
                  <w:vAlign w:val="center"/>
                </w:tcPr>
                <w:p>
                  <w:pPr>
                    <w:pStyle w:val="13"/>
                    <w:keepNext w:val="0"/>
                    <w:keepLines w:val="0"/>
                    <w:pageBreakBefore w:val="0"/>
                    <w:widowControl/>
                    <w:kinsoku/>
                    <w:wordWrap/>
                    <w:overflowPunct/>
                    <w:topLinePunct w:val="0"/>
                    <w:autoSpaceDE/>
                    <w:autoSpaceDN/>
                    <w:bidi w:val="0"/>
                    <w:adjustRightInd w:val="0"/>
                    <w:snapToGrid w:val="0"/>
                    <w:spacing w:after="0" w:line="120" w:lineRule="atLeast"/>
                    <w:jc w:val="center"/>
                    <w:textAlignment w:val="auto"/>
                    <w:rPr>
                      <w:sz w:val="21"/>
                      <w:szCs w:val="21"/>
                    </w:rPr>
                  </w:pPr>
                  <w:r>
                    <w:rPr>
                      <w:sz w:val="21"/>
                      <w:szCs w:val="21"/>
                    </w:rPr>
                    <w:t>环境影响途径及危害后果（大气、地表水、地下水等）</w:t>
                  </w:r>
                </w:p>
              </w:tc>
              <w:tc>
                <w:tcPr>
                  <w:tcW w:w="4045" w:type="pct"/>
                  <w:gridSpan w:val="5"/>
                  <w:noWrap w:val="0"/>
                  <w:vAlign w:val="center"/>
                </w:tcPr>
                <w:p>
                  <w:pPr>
                    <w:pStyle w:val="13"/>
                    <w:keepNext w:val="0"/>
                    <w:keepLines w:val="0"/>
                    <w:pageBreakBefore w:val="0"/>
                    <w:widowControl/>
                    <w:kinsoku/>
                    <w:wordWrap/>
                    <w:overflowPunct/>
                    <w:topLinePunct w:val="0"/>
                    <w:autoSpaceDE/>
                    <w:autoSpaceDN/>
                    <w:bidi w:val="0"/>
                    <w:adjustRightInd w:val="0"/>
                    <w:snapToGrid w:val="0"/>
                    <w:spacing w:after="0" w:line="120" w:lineRule="atLeast"/>
                    <w:jc w:val="center"/>
                    <w:textAlignment w:val="auto"/>
                    <w:rPr>
                      <w:rFonts w:hint="default" w:eastAsia="宋体"/>
                      <w:sz w:val="21"/>
                      <w:szCs w:val="21"/>
                      <w:lang w:val="en-US" w:eastAsia="zh-CN"/>
                    </w:rPr>
                  </w:pPr>
                  <w:r>
                    <w:rPr>
                      <w:rFonts w:ascii="Calibri" w:hAnsi="Calibri"/>
                      <w:sz w:val="21"/>
                      <w:szCs w:val="21"/>
                    </w:rPr>
                    <w:t>不会进入地下水体及流入地表水体，不会对地下水和地表水体产生不利影响</w:t>
                  </w:r>
                  <w:r>
                    <w:rPr>
                      <w:sz w:val="21"/>
                      <w:szCs w:val="21"/>
                    </w:rPr>
                    <w:t>和地表水体产生不利影响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9" w:hRule="atLeast"/>
              </w:trPr>
              <w:tc>
                <w:tcPr>
                  <w:tcW w:w="954" w:type="pct"/>
                  <w:noWrap w:val="0"/>
                  <w:vAlign w:val="center"/>
                </w:tcPr>
                <w:p>
                  <w:pPr>
                    <w:pStyle w:val="13"/>
                    <w:adjustRightInd w:val="0"/>
                    <w:snapToGrid w:val="0"/>
                    <w:spacing w:line="240" w:lineRule="auto"/>
                    <w:jc w:val="center"/>
                    <w:rPr>
                      <w:sz w:val="21"/>
                      <w:szCs w:val="21"/>
                    </w:rPr>
                  </w:pPr>
                  <w:r>
                    <w:rPr>
                      <w:sz w:val="21"/>
                      <w:szCs w:val="21"/>
                    </w:rPr>
                    <w:t>风险防范措施要求</w:t>
                  </w:r>
                </w:p>
              </w:tc>
              <w:tc>
                <w:tcPr>
                  <w:tcW w:w="4045" w:type="pct"/>
                  <w:gridSpan w:val="5"/>
                  <w:noWrap w:val="0"/>
                  <w:vAlign w:val="center"/>
                </w:tcPr>
                <w:p>
                  <w:pPr>
                    <w:pStyle w:val="13"/>
                    <w:adjustRightInd w:val="0"/>
                    <w:snapToGrid w:val="0"/>
                    <w:spacing w:after="0"/>
                    <w:ind w:left="-105" w:leftChars="-50" w:right="-105" w:rightChars="-50"/>
                    <w:jc w:val="left"/>
                    <w:rPr>
                      <w:rFonts w:ascii="Calibri" w:hAnsi="Calibri"/>
                      <w:sz w:val="21"/>
                      <w:szCs w:val="21"/>
                    </w:rPr>
                  </w:pPr>
                  <w:r>
                    <w:rPr>
                      <w:rFonts w:ascii="Calibri" w:hAnsi="Calibri"/>
                      <w:sz w:val="21"/>
                      <w:szCs w:val="21"/>
                    </w:rPr>
                    <w:fldChar w:fldCharType="begin"/>
                  </w:r>
                  <w:r>
                    <w:rPr>
                      <w:rFonts w:ascii="Calibri" w:hAnsi="Calibri"/>
                      <w:sz w:val="21"/>
                      <w:szCs w:val="21"/>
                    </w:rPr>
                    <w:instrText xml:space="preserve"> = 1 \* GB3 </w:instrText>
                  </w:r>
                  <w:r>
                    <w:rPr>
                      <w:rFonts w:ascii="Calibri" w:hAnsi="Calibri"/>
                      <w:sz w:val="21"/>
                      <w:szCs w:val="21"/>
                    </w:rPr>
                    <w:fldChar w:fldCharType="separate"/>
                  </w:r>
                  <w:r>
                    <w:rPr>
                      <w:rFonts w:hint="eastAsia" w:ascii="Calibri" w:hAnsi="Calibri"/>
                      <w:sz w:val="21"/>
                      <w:szCs w:val="21"/>
                    </w:rPr>
                    <w:t>①</w:t>
                  </w:r>
                  <w:r>
                    <w:rPr>
                      <w:rFonts w:ascii="Calibri" w:hAnsi="Calibri"/>
                      <w:sz w:val="21"/>
                      <w:szCs w:val="21"/>
                    </w:rPr>
                    <w:fldChar w:fldCharType="end"/>
                  </w:r>
                  <w:r>
                    <w:rPr>
                      <w:rFonts w:ascii="Calibri" w:hAnsi="Calibri"/>
                      <w:sz w:val="21"/>
                      <w:szCs w:val="21"/>
                    </w:rPr>
                    <w:t>建立一套领导监督负责、员工值日的安全检查制度至关重要。落实事故风险负责人，配备专职安全员，</w:t>
                  </w:r>
                  <w:r>
                    <w:rPr>
                      <w:rFonts w:hint="eastAsia" w:ascii="Calibri" w:hAnsi="Calibri"/>
                      <w:sz w:val="21"/>
                      <w:szCs w:val="21"/>
                    </w:rPr>
                    <w:t>责任</w:t>
                  </w:r>
                  <w:r>
                    <w:rPr>
                      <w:rFonts w:ascii="Calibri" w:hAnsi="Calibri"/>
                      <w:sz w:val="21"/>
                      <w:szCs w:val="21"/>
                    </w:rPr>
                    <w:t>都要落实到人，检查排除事故风险隐患；</w:t>
                  </w:r>
                </w:p>
                <w:p>
                  <w:pPr>
                    <w:pStyle w:val="13"/>
                    <w:adjustRightInd w:val="0"/>
                    <w:snapToGrid w:val="0"/>
                    <w:spacing w:after="0"/>
                    <w:ind w:left="-105" w:leftChars="-50" w:right="-105" w:rightChars="-50"/>
                    <w:jc w:val="left"/>
                    <w:rPr>
                      <w:rFonts w:ascii="Calibri" w:hAnsi="Calibri"/>
                      <w:sz w:val="21"/>
                      <w:szCs w:val="21"/>
                    </w:rPr>
                  </w:pPr>
                  <w:r>
                    <w:rPr>
                      <w:rFonts w:ascii="Calibri" w:hAnsi="Calibri"/>
                      <w:sz w:val="21"/>
                      <w:szCs w:val="21"/>
                    </w:rPr>
                    <w:fldChar w:fldCharType="begin"/>
                  </w:r>
                  <w:r>
                    <w:rPr>
                      <w:rFonts w:ascii="Calibri" w:hAnsi="Calibri"/>
                      <w:sz w:val="21"/>
                      <w:szCs w:val="21"/>
                    </w:rPr>
                    <w:instrText xml:space="preserve"> = 2 \* GB3 </w:instrText>
                  </w:r>
                  <w:r>
                    <w:rPr>
                      <w:rFonts w:ascii="Calibri" w:hAnsi="Calibri"/>
                      <w:sz w:val="21"/>
                      <w:szCs w:val="21"/>
                    </w:rPr>
                    <w:fldChar w:fldCharType="separate"/>
                  </w:r>
                  <w:r>
                    <w:rPr>
                      <w:rFonts w:hint="eastAsia" w:ascii="Calibri" w:hAnsi="Calibri"/>
                      <w:sz w:val="21"/>
                      <w:szCs w:val="21"/>
                    </w:rPr>
                    <w:t>②</w:t>
                  </w:r>
                  <w:r>
                    <w:rPr>
                      <w:rFonts w:ascii="Calibri" w:hAnsi="Calibri"/>
                      <w:sz w:val="21"/>
                      <w:szCs w:val="21"/>
                    </w:rPr>
                    <w:fldChar w:fldCharType="end"/>
                  </w:r>
                  <w:r>
                    <w:rPr>
                      <w:rFonts w:ascii="Calibri" w:hAnsi="Calibri"/>
                      <w:sz w:val="21"/>
                      <w:szCs w:val="21"/>
                    </w:rPr>
                    <w:t>生产管理标准化：主要是制订以安全运行为目标的安全管理，全过程的各项详细、可操作的管理标准，并在管理中严格贯彻、执行；</w:t>
                  </w:r>
                </w:p>
                <w:p>
                  <w:pPr>
                    <w:pStyle w:val="13"/>
                    <w:adjustRightInd w:val="0"/>
                    <w:snapToGrid w:val="0"/>
                    <w:spacing w:after="0"/>
                    <w:ind w:left="-105" w:leftChars="-50" w:right="-105" w:rightChars="-50"/>
                    <w:jc w:val="left"/>
                    <w:rPr>
                      <w:rFonts w:ascii="Calibri" w:hAnsi="Calibri"/>
                      <w:sz w:val="21"/>
                      <w:szCs w:val="21"/>
                    </w:rPr>
                  </w:pPr>
                  <w:r>
                    <w:rPr>
                      <w:rFonts w:ascii="Calibri" w:hAnsi="Calibri"/>
                      <w:sz w:val="21"/>
                      <w:szCs w:val="21"/>
                    </w:rPr>
                    <w:fldChar w:fldCharType="begin"/>
                  </w:r>
                  <w:r>
                    <w:rPr>
                      <w:rFonts w:ascii="Calibri" w:hAnsi="Calibri"/>
                      <w:sz w:val="21"/>
                      <w:szCs w:val="21"/>
                    </w:rPr>
                    <w:instrText xml:space="preserve"> = 3 \* GB3 </w:instrText>
                  </w:r>
                  <w:r>
                    <w:rPr>
                      <w:rFonts w:ascii="Calibri" w:hAnsi="Calibri"/>
                      <w:sz w:val="21"/>
                      <w:szCs w:val="21"/>
                    </w:rPr>
                    <w:fldChar w:fldCharType="separate"/>
                  </w:r>
                  <w:r>
                    <w:rPr>
                      <w:rFonts w:hint="eastAsia" w:ascii="Calibri" w:hAnsi="Calibri"/>
                      <w:sz w:val="21"/>
                      <w:szCs w:val="21"/>
                    </w:rPr>
                    <w:t>③</w:t>
                  </w:r>
                  <w:r>
                    <w:rPr>
                      <w:rFonts w:ascii="Calibri" w:hAnsi="Calibri"/>
                      <w:sz w:val="21"/>
                      <w:szCs w:val="21"/>
                    </w:rPr>
                    <w:fldChar w:fldCharType="end"/>
                  </w:r>
                  <w:r>
                    <w:rPr>
                      <w:rFonts w:ascii="Calibri" w:hAnsi="Calibri"/>
                      <w:sz w:val="21"/>
                      <w:szCs w:val="21"/>
                    </w:rPr>
                    <w:t>生产安全条件标准化：主要是保证</w:t>
                  </w:r>
                  <w:r>
                    <w:rPr>
                      <w:rFonts w:hint="eastAsia" w:ascii="Calibri" w:hAnsi="Calibri"/>
                      <w:sz w:val="21"/>
                      <w:szCs w:val="21"/>
                      <w:lang w:val="en-US" w:eastAsia="zh-CN"/>
                    </w:rPr>
                    <w:t>医院</w:t>
                  </w:r>
                  <w:r>
                    <w:rPr>
                      <w:rFonts w:ascii="Calibri" w:hAnsi="Calibri"/>
                      <w:sz w:val="21"/>
                      <w:szCs w:val="21"/>
                    </w:rPr>
                    <w:t>房屋及水、电、气等管线设施规范、完善，</w:t>
                  </w:r>
                  <w:r>
                    <w:rPr>
                      <w:rFonts w:hint="eastAsia" w:ascii="Calibri" w:hAnsi="Calibri"/>
                      <w:sz w:val="21"/>
                      <w:szCs w:val="21"/>
                      <w:lang w:val="en-US" w:eastAsia="zh-CN"/>
                    </w:rPr>
                    <w:t>医疗</w:t>
                  </w:r>
                  <w:r>
                    <w:rPr>
                      <w:rFonts w:ascii="Calibri" w:hAnsi="Calibri"/>
                      <w:sz w:val="21"/>
                      <w:szCs w:val="21"/>
                    </w:rPr>
                    <w:t>设备及各种附件完好，</w:t>
                  </w:r>
                  <w:r>
                    <w:rPr>
                      <w:rFonts w:hint="eastAsia" w:ascii="Calibri" w:hAnsi="Calibri"/>
                      <w:sz w:val="21"/>
                      <w:szCs w:val="21"/>
                      <w:lang w:val="en-US" w:eastAsia="zh-CN"/>
                    </w:rPr>
                    <w:t>各楼层</w:t>
                  </w:r>
                  <w:r>
                    <w:rPr>
                      <w:rFonts w:ascii="Calibri" w:hAnsi="Calibri"/>
                      <w:sz w:val="21"/>
                      <w:szCs w:val="21"/>
                    </w:rPr>
                    <w:t>布置合理、通道畅通、整洁卫生，安全防护设施与报警装置安全可靠，安全事故抢救设施齐全、性能良好，并制订相应的各项标志；</w:t>
                  </w:r>
                </w:p>
                <w:p>
                  <w:pPr>
                    <w:pStyle w:val="13"/>
                    <w:adjustRightInd w:val="0"/>
                    <w:snapToGrid w:val="0"/>
                    <w:spacing w:line="240" w:lineRule="auto"/>
                    <w:jc w:val="left"/>
                    <w:rPr>
                      <w:rFonts w:hint="eastAsia" w:eastAsia="宋体"/>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6"/>
                  <w:noWrap w:val="0"/>
                  <w:vAlign w:val="center"/>
                </w:tcPr>
                <w:p>
                  <w:pPr>
                    <w:pStyle w:val="13"/>
                    <w:keepNext w:val="0"/>
                    <w:keepLines w:val="0"/>
                    <w:pageBreakBefore w:val="0"/>
                    <w:widowControl/>
                    <w:kinsoku/>
                    <w:wordWrap/>
                    <w:overflowPunct/>
                    <w:topLinePunct w:val="0"/>
                    <w:autoSpaceDE/>
                    <w:autoSpaceDN/>
                    <w:bidi w:val="0"/>
                    <w:adjustRightInd w:val="0"/>
                    <w:snapToGrid w:val="0"/>
                    <w:spacing w:after="0" w:line="120" w:lineRule="atLeast"/>
                    <w:jc w:val="center"/>
                    <w:textAlignment w:val="auto"/>
                    <w:rPr>
                      <w:sz w:val="21"/>
                      <w:szCs w:val="21"/>
                    </w:rPr>
                  </w:pPr>
                  <w:r>
                    <w:rPr>
                      <w:sz w:val="21"/>
                      <w:szCs w:val="21"/>
                    </w:rPr>
                    <w:t>填表说明（列出项目相关信息及评价说明）：本项目的环境风险潜势为</w:t>
                  </w:r>
                  <w:r>
                    <w:rPr>
                      <w:rFonts w:hint="eastAsia"/>
                      <w:sz w:val="21"/>
                      <w:szCs w:val="21"/>
                    </w:rPr>
                    <w:t>Ⅰ</w:t>
                  </w:r>
                  <w:r>
                    <w:rPr>
                      <w:sz w:val="21"/>
                      <w:szCs w:val="21"/>
                    </w:rPr>
                    <w:t>，可开展简单分析。</w:t>
                  </w:r>
                </w:p>
              </w:tc>
            </w:tr>
          </w:tbl>
          <w:p>
            <w:pPr>
              <w:adjustRightInd w:val="0"/>
              <w:snapToGrid w:val="0"/>
              <w:spacing w:line="480" w:lineRule="exact"/>
              <w:ind w:firstLine="482" w:firstLineChars="200"/>
              <w:rPr>
                <w:b/>
                <w:bCs/>
                <w:sz w:val="24"/>
              </w:rPr>
            </w:pPr>
            <w:r>
              <w:rPr>
                <w:rFonts w:hint="eastAsia"/>
                <w:b/>
                <w:bCs/>
                <w:sz w:val="24"/>
                <w:lang w:val="en-US" w:eastAsia="zh-CN"/>
              </w:rPr>
              <w:t>8.</w:t>
            </w:r>
            <w:r>
              <w:rPr>
                <w:rFonts w:hint="eastAsia"/>
                <w:b/>
                <w:bCs/>
                <w:sz w:val="24"/>
              </w:rPr>
              <w:t>环保投资</w:t>
            </w:r>
          </w:p>
          <w:p>
            <w:pPr>
              <w:widowControl/>
              <w:autoSpaceDE w:val="0"/>
              <w:autoSpaceDN w:val="0"/>
              <w:spacing w:line="520" w:lineRule="exact"/>
              <w:ind w:firstLine="480" w:firstLineChars="200"/>
              <w:rPr>
                <w:snapToGrid w:val="0"/>
                <w:color w:val="000000" w:themeColor="text1"/>
                <w:sz w:val="24"/>
                <w14:textFill>
                  <w14:solidFill>
                    <w14:schemeClr w14:val="tx1"/>
                  </w14:solidFill>
                </w14:textFill>
              </w:rPr>
            </w:pPr>
            <w:r>
              <w:rPr>
                <w:color w:val="000000" w:themeColor="text1"/>
                <w:sz w:val="24"/>
                <w14:textFill>
                  <w14:solidFill>
                    <w14:schemeClr w14:val="tx1"/>
                  </w14:solidFill>
                </w14:textFill>
              </w:rPr>
              <w:t>本</w:t>
            </w:r>
            <w:r>
              <w:rPr>
                <w:snapToGrid w:val="0"/>
                <w:color w:val="000000" w:themeColor="text1"/>
                <w:sz w:val="24"/>
                <w14:textFill>
                  <w14:solidFill>
                    <w14:schemeClr w14:val="tx1"/>
                  </w14:solidFill>
                </w14:textFill>
              </w:rPr>
              <w:t>项目</w:t>
            </w:r>
            <w:r>
              <w:rPr>
                <w:rFonts w:hint="eastAsia"/>
                <w:snapToGrid w:val="0"/>
                <w:color w:val="000000" w:themeColor="text1"/>
                <w:sz w:val="24"/>
                <w:lang w:val="en-US" w:eastAsia="zh-CN"/>
                <w14:textFill>
                  <w14:solidFill>
                    <w14:schemeClr w14:val="tx1"/>
                  </w14:solidFill>
                </w14:textFill>
              </w:rPr>
              <w:t>总投资为</w:t>
            </w:r>
            <w:r>
              <w:rPr>
                <w:rFonts w:hint="eastAsia"/>
                <w:color w:val="000000" w:themeColor="text1"/>
                <w:sz w:val="24"/>
                <w:lang w:val="en-US" w:eastAsia="zh-CN"/>
                <w14:textFill>
                  <w14:solidFill>
                    <w14:schemeClr w14:val="tx1"/>
                  </w14:solidFill>
                </w14:textFill>
              </w:rPr>
              <w:t>7000</w:t>
            </w:r>
            <w:r>
              <w:rPr>
                <w:rFonts w:hint="eastAsia"/>
                <w:snapToGrid w:val="0"/>
                <w:color w:val="000000" w:themeColor="text1"/>
                <w:sz w:val="24"/>
                <w:lang w:val="en-US" w:eastAsia="zh-CN"/>
                <w14:textFill>
                  <w14:solidFill>
                    <w14:schemeClr w14:val="tx1"/>
                  </w14:solidFill>
                </w14:textFill>
              </w:rPr>
              <w:t>万，</w:t>
            </w:r>
            <w:r>
              <w:rPr>
                <w:snapToGrid w:val="0"/>
                <w:color w:val="000000" w:themeColor="text1"/>
                <w:sz w:val="24"/>
                <w14:textFill>
                  <w14:solidFill>
                    <w14:schemeClr w14:val="tx1"/>
                  </w14:solidFill>
                </w14:textFill>
              </w:rPr>
              <w:t>环保投资合计为</w:t>
            </w:r>
            <w:r>
              <w:rPr>
                <w:rFonts w:hint="eastAsia"/>
                <w:snapToGrid w:val="0"/>
                <w:color w:val="000000" w:themeColor="text1"/>
                <w:sz w:val="24"/>
                <w:lang w:val="en-US" w:eastAsia="zh-CN"/>
                <w14:textFill>
                  <w14:solidFill>
                    <w14:schemeClr w14:val="tx1"/>
                  </w14:solidFill>
                </w14:textFill>
              </w:rPr>
              <w:t>42</w:t>
            </w:r>
            <w:r>
              <w:rPr>
                <w:snapToGrid w:val="0"/>
                <w:color w:val="000000" w:themeColor="text1"/>
                <w:sz w:val="24"/>
                <w14:textFill>
                  <w14:solidFill>
                    <w14:schemeClr w14:val="tx1"/>
                  </w14:solidFill>
                </w14:textFill>
              </w:rPr>
              <w:t>万元，占项目总投资的</w:t>
            </w:r>
            <w:r>
              <w:rPr>
                <w:rFonts w:hint="eastAsia"/>
                <w:snapToGrid w:val="0"/>
                <w:color w:val="000000" w:themeColor="text1"/>
                <w:sz w:val="24"/>
                <w:lang w:val="en-US" w:eastAsia="zh-CN"/>
                <w14:textFill>
                  <w14:solidFill>
                    <w14:schemeClr w14:val="tx1"/>
                  </w14:solidFill>
                </w14:textFill>
              </w:rPr>
              <w:t>0.60</w:t>
            </w:r>
            <w:r>
              <w:rPr>
                <w:snapToGrid w:val="0"/>
                <w:color w:val="000000" w:themeColor="text1"/>
                <w:sz w:val="24"/>
                <w14:textFill>
                  <w14:solidFill>
                    <w14:schemeClr w14:val="tx1"/>
                  </w14:solidFill>
                </w14:textFill>
              </w:rPr>
              <w:t>%。本项目环保投资分析估算见表</w:t>
            </w:r>
            <w:r>
              <w:rPr>
                <w:rFonts w:hint="eastAsia" w:eastAsia="黑体"/>
                <w:color w:val="000000" w:themeColor="text1"/>
                <w:sz w:val="24"/>
                <w14:textFill>
                  <w14:solidFill>
                    <w14:schemeClr w14:val="tx1"/>
                  </w14:solidFill>
                </w14:textFill>
              </w:rPr>
              <w:t>4-</w:t>
            </w:r>
            <w:r>
              <w:rPr>
                <w:rFonts w:hint="eastAsia" w:eastAsia="黑体"/>
                <w:color w:val="000000" w:themeColor="text1"/>
                <w:sz w:val="24"/>
                <w:lang w:val="en-US" w:eastAsia="zh-CN"/>
                <w14:textFill>
                  <w14:solidFill>
                    <w14:schemeClr w14:val="tx1"/>
                  </w14:solidFill>
                </w14:textFill>
              </w:rPr>
              <w:t>13</w:t>
            </w:r>
            <w:r>
              <w:rPr>
                <w:snapToGrid w:val="0"/>
                <w:color w:val="000000" w:themeColor="text1"/>
                <w:sz w:val="24"/>
                <w14:textFill>
                  <w14:solidFill>
                    <w14:schemeClr w14:val="tx1"/>
                  </w14:solidFill>
                </w14:textFill>
              </w:rPr>
              <w:t>。</w:t>
            </w:r>
          </w:p>
          <w:p>
            <w:pPr>
              <w:pStyle w:val="101"/>
              <w:adjustRightInd w:val="0"/>
              <w:snapToGrid w:val="0"/>
              <w:spacing w:line="240" w:lineRule="auto"/>
              <w:rPr>
                <w:bCs/>
                <w:color w:val="000000" w:themeColor="text1"/>
                <w:sz w:val="24"/>
                <w:szCs w:val="24"/>
                <w14:textFill>
                  <w14:solidFill>
                    <w14:schemeClr w14:val="tx1"/>
                  </w14:solidFill>
                </w14:textFill>
              </w:rPr>
            </w:pPr>
            <w:r>
              <w:rPr>
                <w:bCs/>
                <w:color w:val="000000" w:themeColor="text1"/>
                <w:sz w:val="24"/>
                <w:szCs w:val="24"/>
                <w14:textFill>
                  <w14:solidFill>
                    <w14:schemeClr w14:val="tx1"/>
                  </w14:solidFill>
                </w14:textFill>
              </w:rPr>
              <w:t>表</w:t>
            </w:r>
            <w:r>
              <w:rPr>
                <w:rFonts w:hint="eastAsia"/>
                <w:bCs/>
                <w:color w:val="000000" w:themeColor="text1"/>
                <w:sz w:val="24"/>
                <w:szCs w:val="24"/>
                <w:lang w:val="en-US" w:eastAsia="zh-CN"/>
                <w14:textFill>
                  <w14:solidFill>
                    <w14:schemeClr w14:val="tx1"/>
                  </w14:solidFill>
                </w14:textFill>
              </w:rPr>
              <w:t>4-13</w:t>
            </w:r>
            <w:r>
              <w:rPr>
                <w:bCs/>
                <w:color w:val="000000" w:themeColor="text1"/>
                <w:sz w:val="24"/>
                <w:szCs w:val="24"/>
                <w14:textFill>
                  <w14:solidFill>
                    <w14:schemeClr w14:val="tx1"/>
                  </w14:solidFill>
                </w14:textFill>
              </w:rPr>
              <w:t xml:space="preserve">    污染防治措施及环保投资估算一览表</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9"/>
              <w:gridCol w:w="1264"/>
              <w:gridCol w:w="4474"/>
              <w:gridCol w:w="1485"/>
              <w:gridCol w:w="9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37" w:type="pct"/>
                  <w:gridSpan w:val="2"/>
                  <w:vAlign w:val="center"/>
                </w:tcPr>
                <w:p>
                  <w:pPr>
                    <w:pStyle w:val="102"/>
                    <w:snapToGrid w:val="0"/>
                    <w:spacing w:after="0" w:line="240" w:lineRule="auto"/>
                    <w:rPr>
                      <w:sz w:val="21"/>
                      <w:szCs w:val="21"/>
                    </w:rPr>
                  </w:pPr>
                  <w:r>
                    <w:rPr>
                      <w:sz w:val="21"/>
                      <w:szCs w:val="21"/>
                    </w:rPr>
                    <w:t>项目</w:t>
                  </w:r>
                </w:p>
              </w:tc>
              <w:tc>
                <w:tcPr>
                  <w:tcW w:w="2573" w:type="pct"/>
                  <w:vAlign w:val="center"/>
                </w:tcPr>
                <w:p>
                  <w:pPr>
                    <w:pStyle w:val="102"/>
                    <w:snapToGrid w:val="0"/>
                    <w:spacing w:after="0" w:line="240" w:lineRule="auto"/>
                    <w:rPr>
                      <w:sz w:val="21"/>
                      <w:szCs w:val="21"/>
                    </w:rPr>
                  </w:pPr>
                  <w:r>
                    <w:rPr>
                      <w:sz w:val="21"/>
                      <w:szCs w:val="21"/>
                    </w:rPr>
                    <w:t>内容</w:t>
                  </w:r>
                </w:p>
              </w:tc>
              <w:tc>
                <w:tcPr>
                  <w:tcW w:w="854" w:type="pct"/>
                  <w:vAlign w:val="center"/>
                </w:tcPr>
                <w:p>
                  <w:pPr>
                    <w:pStyle w:val="102"/>
                    <w:snapToGrid w:val="0"/>
                    <w:spacing w:after="0" w:line="240" w:lineRule="auto"/>
                    <w:rPr>
                      <w:sz w:val="21"/>
                      <w:szCs w:val="21"/>
                    </w:rPr>
                  </w:pPr>
                  <w:r>
                    <w:rPr>
                      <w:sz w:val="21"/>
                      <w:szCs w:val="21"/>
                    </w:rPr>
                    <w:t>投资（万元）</w:t>
                  </w:r>
                </w:p>
              </w:tc>
              <w:tc>
                <w:tcPr>
                  <w:tcW w:w="534" w:type="pct"/>
                  <w:vAlign w:val="center"/>
                </w:tcPr>
                <w:p>
                  <w:pPr>
                    <w:pStyle w:val="102"/>
                    <w:snapToGrid w:val="0"/>
                    <w:spacing w:after="0" w:line="240" w:lineRule="auto"/>
                    <w:rPr>
                      <w:rFonts w:hint="eastAsia" w:eastAsia="宋体"/>
                      <w:sz w:val="21"/>
                      <w:szCs w:val="21"/>
                      <w:lang w:val="en-US" w:eastAsia="zh-CN"/>
                    </w:rPr>
                  </w:pPr>
                  <w:r>
                    <w:rPr>
                      <w:rFonts w:hint="eastAsia"/>
                      <w:sz w:val="21"/>
                      <w:szCs w:val="21"/>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restart"/>
                  <w:vAlign w:val="center"/>
                </w:tcPr>
                <w:p>
                  <w:pPr>
                    <w:pStyle w:val="102"/>
                    <w:snapToGrid w:val="0"/>
                    <w:spacing w:after="0" w:line="240" w:lineRule="auto"/>
                    <w:rPr>
                      <w:sz w:val="21"/>
                      <w:szCs w:val="21"/>
                    </w:rPr>
                  </w:pPr>
                  <w:r>
                    <w:rPr>
                      <w:rFonts w:hint="eastAsia"/>
                      <w:sz w:val="21"/>
                      <w:szCs w:val="21"/>
                    </w:rPr>
                    <w:t>施工期</w:t>
                  </w:r>
                </w:p>
              </w:tc>
              <w:tc>
                <w:tcPr>
                  <w:tcW w:w="727" w:type="pct"/>
                  <w:vAlign w:val="center"/>
                </w:tcPr>
                <w:p>
                  <w:pPr>
                    <w:topLinePunct/>
                    <w:snapToGrid w:val="0"/>
                    <w:jc w:val="center"/>
                    <w:rPr>
                      <w:sz w:val="21"/>
                      <w:szCs w:val="21"/>
                    </w:rPr>
                  </w:pPr>
                  <w:r>
                    <w:rPr>
                      <w:rFonts w:hAnsi="宋体"/>
                      <w:sz w:val="21"/>
                      <w:szCs w:val="21"/>
                    </w:rPr>
                    <w:t>废气治理</w:t>
                  </w:r>
                </w:p>
              </w:tc>
              <w:tc>
                <w:tcPr>
                  <w:tcW w:w="2573" w:type="pct"/>
                  <w:vAlign w:val="center"/>
                </w:tcPr>
                <w:p>
                  <w:pPr>
                    <w:topLinePunct/>
                    <w:snapToGrid w:val="0"/>
                    <w:jc w:val="center"/>
                    <w:rPr>
                      <w:sz w:val="21"/>
                      <w:szCs w:val="21"/>
                    </w:rPr>
                  </w:pPr>
                  <w:r>
                    <w:rPr>
                      <w:rFonts w:hAnsi="宋体"/>
                      <w:sz w:val="21"/>
                      <w:szCs w:val="21"/>
                    </w:rPr>
                    <w:t>施工场界设置屏障、围挡、施工场地保洁、洒水降尘</w:t>
                  </w:r>
                </w:p>
              </w:tc>
              <w:tc>
                <w:tcPr>
                  <w:tcW w:w="854" w:type="pct"/>
                  <w:vAlign w:val="center"/>
                </w:tcPr>
                <w:p>
                  <w:pPr>
                    <w:topLinePunct/>
                    <w:snapToGrid w:val="0"/>
                    <w:jc w:val="center"/>
                    <w:rPr>
                      <w:sz w:val="21"/>
                      <w:szCs w:val="21"/>
                    </w:rPr>
                  </w:pPr>
                  <w:r>
                    <w:rPr>
                      <w:sz w:val="21"/>
                      <w:szCs w:val="21"/>
                    </w:rPr>
                    <w:t>5</w:t>
                  </w:r>
                  <w:r>
                    <w:rPr>
                      <w:rFonts w:hint="eastAsia"/>
                      <w:sz w:val="21"/>
                      <w:szCs w:val="21"/>
                    </w:rPr>
                    <w:t>.0</w:t>
                  </w:r>
                </w:p>
              </w:tc>
              <w:tc>
                <w:tcPr>
                  <w:tcW w:w="534" w:type="pct"/>
                  <w:vAlign w:val="center"/>
                </w:tcPr>
                <w:p>
                  <w:pPr>
                    <w:topLinePunct/>
                    <w:snapToGrid w:val="0"/>
                    <w:jc w:val="center"/>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topLinePunct/>
                    <w:snapToGrid w:val="0"/>
                    <w:jc w:val="center"/>
                    <w:rPr>
                      <w:sz w:val="21"/>
                      <w:szCs w:val="21"/>
                    </w:rPr>
                  </w:pPr>
                  <w:r>
                    <w:rPr>
                      <w:rFonts w:hAnsi="宋体"/>
                      <w:sz w:val="21"/>
                      <w:szCs w:val="21"/>
                    </w:rPr>
                    <w:t>固废治理</w:t>
                  </w:r>
                </w:p>
              </w:tc>
              <w:tc>
                <w:tcPr>
                  <w:tcW w:w="2573" w:type="pct"/>
                  <w:vAlign w:val="center"/>
                </w:tcPr>
                <w:p>
                  <w:pPr>
                    <w:topLinePunct/>
                    <w:snapToGrid w:val="0"/>
                    <w:jc w:val="center"/>
                    <w:rPr>
                      <w:sz w:val="21"/>
                      <w:szCs w:val="21"/>
                    </w:rPr>
                  </w:pPr>
                  <w:r>
                    <w:rPr>
                      <w:rFonts w:hAnsi="宋体"/>
                      <w:sz w:val="21"/>
                      <w:szCs w:val="21"/>
                    </w:rPr>
                    <w:t>垃圾桶、清运生活垃圾</w:t>
                  </w:r>
                </w:p>
              </w:tc>
              <w:tc>
                <w:tcPr>
                  <w:tcW w:w="854" w:type="pct"/>
                  <w:vAlign w:val="center"/>
                </w:tcPr>
                <w:p>
                  <w:pPr>
                    <w:topLinePunct/>
                    <w:snapToGrid w:val="0"/>
                    <w:jc w:val="center"/>
                    <w:rPr>
                      <w:sz w:val="21"/>
                      <w:szCs w:val="21"/>
                    </w:rPr>
                  </w:pPr>
                  <w:r>
                    <w:rPr>
                      <w:sz w:val="21"/>
                      <w:szCs w:val="21"/>
                    </w:rPr>
                    <w:t>2</w:t>
                  </w:r>
                  <w:r>
                    <w:rPr>
                      <w:rFonts w:hint="eastAsia"/>
                      <w:sz w:val="21"/>
                      <w:szCs w:val="21"/>
                    </w:rPr>
                    <w:t>.0</w:t>
                  </w:r>
                </w:p>
              </w:tc>
              <w:tc>
                <w:tcPr>
                  <w:tcW w:w="534" w:type="pct"/>
                  <w:vAlign w:val="center"/>
                </w:tcPr>
                <w:p>
                  <w:pPr>
                    <w:topLinePunct/>
                    <w:snapToGrid w:val="0"/>
                    <w:jc w:val="center"/>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topLinePunct/>
                    <w:snapToGrid w:val="0"/>
                    <w:jc w:val="center"/>
                    <w:rPr>
                      <w:sz w:val="21"/>
                      <w:szCs w:val="21"/>
                    </w:rPr>
                  </w:pPr>
                  <w:r>
                    <w:rPr>
                      <w:rFonts w:hAnsi="宋体"/>
                      <w:sz w:val="21"/>
                      <w:szCs w:val="21"/>
                    </w:rPr>
                    <w:t>噪声治理</w:t>
                  </w:r>
                </w:p>
              </w:tc>
              <w:tc>
                <w:tcPr>
                  <w:tcW w:w="2573" w:type="pct"/>
                  <w:vAlign w:val="center"/>
                </w:tcPr>
                <w:p>
                  <w:pPr>
                    <w:topLinePunct/>
                    <w:snapToGrid w:val="0"/>
                    <w:jc w:val="center"/>
                    <w:rPr>
                      <w:sz w:val="21"/>
                      <w:szCs w:val="21"/>
                    </w:rPr>
                  </w:pPr>
                  <w:r>
                    <w:rPr>
                      <w:rFonts w:hAnsi="宋体"/>
                      <w:sz w:val="21"/>
                      <w:szCs w:val="21"/>
                    </w:rPr>
                    <w:t>机械设备加装隔声、离敏感点较近的设备设置临时隔声墙、控制运输车辆的鸣笛</w:t>
                  </w:r>
                </w:p>
              </w:tc>
              <w:tc>
                <w:tcPr>
                  <w:tcW w:w="854" w:type="pct"/>
                  <w:vAlign w:val="center"/>
                </w:tcPr>
                <w:p>
                  <w:pPr>
                    <w:topLinePunct/>
                    <w:snapToGrid w:val="0"/>
                    <w:jc w:val="center"/>
                    <w:rPr>
                      <w:sz w:val="21"/>
                      <w:szCs w:val="21"/>
                    </w:rPr>
                  </w:pPr>
                  <w:r>
                    <w:rPr>
                      <w:sz w:val="21"/>
                      <w:szCs w:val="21"/>
                    </w:rPr>
                    <w:t>5</w:t>
                  </w:r>
                  <w:r>
                    <w:rPr>
                      <w:rFonts w:hint="eastAsia"/>
                      <w:sz w:val="21"/>
                      <w:szCs w:val="21"/>
                    </w:rPr>
                    <w:t>.0</w:t>
                  </w:r>
                </w:p>
              </w:tc>
              <w:tc>
                <w:tcPr>
                  <w:tcW w:w="534" w:type="pct"/>
                  <w:vAlign w:val="center"/>
                </w:tcPr>
                <w:p>
                  <w:pPr>
                    <w:topLinePunct/>
                    <w:snapToGrid w:val="0"/>
                    <w:jc w:val="center"/>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topLinePunct/>
                    <w:snapToGrid w:val="0"/>
                    <w:jc w:val="center"/>
                    <w:rPr>
                      <w:rFonts w:hAnsi="宋体"/>
                      <w:sz w:val="21"/>
                      <w:szCs w:val="21"/>
                    </w:rPr>
                  </w:pPr>
                  <w:r>
                    <w:rPr>
                      <w:rFonts w:hint="eastAsia" w:hAnsi="宋体"/>
                      <w:sz w:val="21"/>
                      <w:szCs w:val="21"/>
                    </w:rPr>
                    <w:t>废水治理</w:t>
                  </w:r>
                </w:p>
              </w:tc>
              <w:tc>
                <w:tcPr>
                  <w:tcW w:w="2573" w:type="pct"/>
                  <w:vAlign w:val="center"/>
                </w:tcPr>
                <w:p>
                  <w:pPr>
                    <w:topLinePunct/>
                    <w:snapToGrid w:val="0"/>
                    <w:jc w:val="center"/>
                    <w:rPr>
                      <w:rFonts w:hAnsi="宋体"/>
                      <w:sz w:val="21"/>
                      <w:szCs w:val="21"/>
                    </w:rPr>
                  </w:pPr>
                  <w:r>
                    <w:rPr>
                      <w:rFonts w:hint="eastAsia" w:hAnsi="宋体"/>
                      <w:sz w:val="21"/>
                      <w:szCs w:val="21"/>
                    </w:rPr>
                    <w:t>沉淀池</w:t>
                  </w:r>
                </w:p>
              </w:tc>
              <w:tc>
                <w:tcPr>
                  <w:tcW w:w="854" w:type="pct"/>
                  <w:vAlign w:val="center"/>
                </w:tcPr>
                <w:p>
                  <w:pPr>
                    <w:topLinePunct/>
                    <w:snapToGrid w:val="0"/>
                    <w:jc w:val="center"/>
                    <w:rPr>
                      <w:sz w:val="21"/>
                      <w:szCs w:val="21"/>
                    </w:rPr>
                  </w:pPr>
                  <w:r>
                    <w:rPr>
                      <w:rFonts w:hint="eastAsia"/>
                      <w:sz w:val="21"/>
                      <w:szCs w:val="21"/>
                    </w:rPr>
                    <w:t>2.0</w:t>
                  </w:r>
                </w:p>
              </w:tc>
              <w:tc>
                <w:tcPr>
                  <w:tcW w:w="534" w:type="pct"/>
                  <w:vAlign w:val="center"/>
                </w:tcPr>
                <w:p>
                  <w:pPr>
                    <w:topLinePunct/>
                    <w:snapToGrid w:val="0"/>
                    <w:jc w:val="center"/>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restart"/>
                  <w:vAlign w:val="center"/>
                </w:tcPr>
                <w:p>
                  <w:pPr>
                    <w:pStyle w:val="102"/>
                    <w:snapToGrid w:val="0"/>
                    <w:spacing w:after="0" w:line="240" w:lineRule="auto"/>
                    <w:rPr>
                      <w:sz w:val="21"/>
                      <w:szCs w:val="21"/>
                    </w:rPr>
                  </w:pPr>
                  <w:r>
                    <w:rPr>
                      <w:rFonts w:hint="eastAsia"/>
                      <w:sz w:val="21"/>
                      <w:szCs w:val="21"/>
                    </w:rPr>
                    <w:t>运营期</w:t>
                  </w:r>
                </w:p>
              </w:tc>
              <w:tc>
                <w:tcPr>
                  <w:tcW w:w="727" w:type="pct"/>
                  <w:vMerge w:val="restart"/>
                  <w:vAlign w:val="center"/>
                </w:tcPr>
                <w:p>
                  <w:pPr>
                    <w:pStyle w:val="102"/>
                    <w:snapToGrid w:val="0"/>
                    <w:spacing w:after="0" w:line="240" w:lineRule="auto"/>
                    <w:rPr>
                      <w:sz w:val="21"/>
                      <w:szCs w:val="21"/>
                    </w:rPr>
                  </w:pPr>
                  <w:r>
                    <w:rPr>
                      <w:sz w:val="21"/>
                      <w:szCs w:val="21"/>
                    </w:rPr>
                    <w:t>固体废弃物</w:t>
                  </w:r>
                </w:p>
                <w:p>
                  <w:pPr>
                    <w:pStyle w:val="102"/>
                    <w:snapToGrid w:val="0"/>
                    <w:spacing w:after="0" w:line="240" w:lineRule="auto"/>
                    <w:rPr>
                      <w:sz w:val="21"/>
                      <w:szCs w:val="21"/>
                    </w:rPr>
                  </w:pPr>
                  <w:r>
                    <w:rPr>
                      <w:sz w:val="21"/>
                      <w:szCs w:val="21"/>
                    </w:rPr>
                    <w:t>处置</w:t>
                  </w:r>
                </w:p>
              </w:tc>
              <w:tc>
                <w:tcPr>
                  <w:tcW w:w="2573" w:type="pct"/>
                  <w:vAlign w:val="center"/>
                </w:tcPr>
                <w:p>
                  <w:pPr>
                    <w:pStyle w:val="102"/>
                    <w:snapToGrid w:val="0"/>
                    <w:spacing w:after="0" w:line="240" w:lineRule="auto"/>
                    <w:rPr>
                      <w:sz w:val="21"/>
                      <w:szCs w:val="21"/>
                    </w:rPr>
                  </w:pPr>
                  <w:r>
                    <w:rPr>
                      <w:rFonts w:hint="eastAsia"/>
                      <w:sz w:val="21"/>
                      <w:szCs w:val="21"/>
                    </w:rPr>
                    <w:t>生活垃圾收集、清运</w:t>
                  </w:r>
                </w:p>
              </w:tc>
              <w:tc>
                <w:tcPr>
                  <w:tcW w:w="854" w:type="pct"/>
                  <w:vAlign w:val="center"/>
                </w:tcPr>
                <w:p>
                  <w:pPr>
                    <w:pStyle w:val="102"/>
                    <w:snapToGrid w:val="0"/>
                    <w:spacing w:after="0" w:line="240" w:lineRule="auto"/>
                    <w:rPr>
                      <w:sz w:val="21"/>
                      <w:szCs w:val="21"/>
                    </w:rPr>
                  </w:pPr>
                  <w:r>
                    <w:rPr>
                      <w:sz w:val="21"/>
                      <w:szCs w:val="21"/>
                    </w:rPr>
                    <w:t>2</w:t>
                  </w:r>
                  <w:r>
                    <w:rPr>
                      <w:rFonts w:hint="eastAsia"/>
                      <w:sz w:val="21"/>
                      <w:szCs w:val="21"/>
                    </w:rPr>
                    <w:t>.0</w:t>
                  </w:r>
                </w:p>
              </w:tc>
              <w:tc>
                <w:tcPr>
                  <w:tcW w:w="534" w:type="pct"/>
                  <w:vAlign w:val="center"/>
                </w:tcPr>
                <w:p>
                  <w:pPr>
                    <w:pStyle w:val="102"/>
                    <w:snapToGrid w:val="0"/>
                    <w:spacing w:after="0" w:line="240" w:lineRule="auto"/>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Merge w:val="continue"/>
                  <w:vAlign w:val="center"/>
                </w:tcPr>
                <w:p>
                  <w:pPr>
                    <w:pStyle w:val="102"/>
                    <w:snapToGrid w:val="0"/>
                    <w:spacing w:after="0" w:line="240" w:lineRule="auto"/>
                    <w:rPr>
                      <w:sz w:val="21"/>
                      <w:szCs w:val="21"/>
                    </w:rPr>
                  </w:pPr>
                </w:p>
              </w:tc>
              <w:tc>
                <w:tcPr>
                  <w:tcW w:w="2573" w:type="pct"/>
                  <w:vAlign w:val="center"/>
                </w:tcPr>
                <w:p>
                  <w:pPr>
                    <w:pStyle w:val="102"/>
                    <w:snapToGrid w:val="0"/>
                    <w:spacing w:after="0" w:line="240" w:lineRule="auto"/>
                    <w:rPr>
                      <w:sz w:val="21"/>
                      <w:szCs w:val="21"/>
                    </w:rPr>
                  </w:pPr>
                  <w:r>
                    <w:rPr>
                      <w:rFonts w:hint="eastAsia"/>
                      <w:sz w:val="21"/>
                      <w:szCs w:val="21"/>
                    </w:rPr>
                    <w:t>医疗固废暂存间，委托有资质单位处置</w:t>
                  </w:r>
                </w:p>
              </w:tc>
              <w:tc>
                <w:tcPr>
                  <w:tcW w:w="854" w:type="pct"/>
                  <w:vAlign w:val="center"/>
                </w:tcPr>
                <w:p>
                  <w:pPr>
                    <w:pStyle w:val="102"/>
                    <w:snapToGrid w:val="0"/>
                    <w:spacing w:after="0" w:line="240" w:lineRule="auto"/>
                    <w:rPr>
                      <w:rFonts w:hint="default" w:eastAsia="宋体"/>
                      <w:sz w:val="21"/>
                      <w:szCs w:val="21"/>
                      <w:lang w:val="en-US" w:eastAsia="zh-CN"/>
                    </w:rPr>
                  </w:pPr>
                  <w:r>
                    <w:rPr>
                      <w:rFonts w:hint="eastAsia"/>
                      <w:sz w:val="21"/>
                      <w:szCs w:val="21"/>
                      <w:lang w:val="en-US" w:eastAsia="zh-CN"/>
                    </w:rPr>
                    <w:t>2.0</w:t>
                  </w:r>
                </w:p>
              </w:tc>
              <w:tc>
                <w:tcPr>
                  <w:tcW w:w="534" w:type="pct"/>
                  <w:vAlign w:val="center"/>
                </w:tcPr>
                <w:p>
                  <w:pPr>
                    <w:pStyle w:val="102"/>
                    <w:snapToGrid w:val="0"/>
                    <w:spacing w:after="0" w:line="240" w:lineRule="auto"/>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Merge w:val="continue"/>
                  <w:vAlign w:val="center"/>
                </w:tcPr>
                <w:p>
                  <w:pPr>
                    <w:pStyle w:val="102"/>
                    <w:snapToGrid w:val="0"/>
                    <w:spacing w:after="0" w:line="240" w:lineRule="auto"/>
                    <w:rPr>
                      <w:sz w:val="21"/>
                      <w:szCs w:val="21"/>
                    </w:rPr>
                  </w:pPr>
                </w:p>
              </w:tc>
              <w:tc>
                <w:tcPr>
                  <w:tcW w:w="2573" w:type="pct"/>
                  <w:vAlign w:val="center"/>
                </w:tcPr>
                <w:p>
                  <w:pPr>
                    <w:pStyle w:val="102"/>
                    <w:snapToGrid w:val="0"/>
                    <w:spacing w:after="0" w:line="240" w:lineRule="auto"/>
                    <w:rPr>
                      <w:sz w:val="21"/>
                      <w:szCs w:val="21"/>
                    </w:rPr>
                  </w:pPr>
                  <w:r>
                    <w:rPr>
                      <w:rFonts w:hint="eastAsia"/>
                      <w:sz w:val="21"/>
                      <w:szCs w:val="21"/>
                    </w:rPr>
                    <w:t>污泥委托有资质单位处置</w:t>
                  </w:r>
                </w:p>
              </w:tc>
              <w:tc>
                <w:tcPr>
                  <w:tcW w:w="854" w:type="pct"/>
                  <w:vAlign w:val="center"/>
                </w:tcPr>
                <w:p>
                  <w:pPr>
                    <w:pStyle w:val="102"/>
                    <w:snapToGrid w:val="0"/>
                    <w:spacing w:after="0" w:line="240" w:lineRule="auto"/>
                    <w:rPr>
                      <w:rFonts w:hint="default" w:eastAsia="宋体"/>
                      <w:sz w:val="21"/>
                      <w:szCs w:val="21"/>
                      <w:lang w:val="en-US" w:eastAsia="zh-CN"/>
                    </w:rPr>
                  </w:pPr>
                  <w:r>
                    <w:rPr>
                      <w:rFonts w:hint="eastAsia"/>
                      <w:sz w:val="21"/>
                      <w:szCs w:val="21"/>
                      <w:lang w:val="en-US" w:eastAsia="zh-CN"/>
                    </w:rPr>
                    <w:t>2.0</w:t>
                  </w:r>
                </w:p>
              </w:tc>
              <w:tc>
                <w:tcPr>
                  <w:tcW w:w="534" w:type="pct"/>
                  <w:vAlign w:val="center"/>
                </w:tcPr>
                <w:p>
                  <w:pPr>
                    <w:pStyle w:val="102"/>
                    <w:snapToGrid w:val="0"/>
                    <w:spacing w:after="0" w:line="240" w:lineRule="auto"/>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pStyle w:val="102"/>
                    <w:snapToGrid w:val="0"/>
                    <w:spacing w:after="0" w:line="240" w:lineRule="auto"/>
                    <w:rPr>
                      <w:rFonts w:hint="eastAsia"/>
                      <w:sz w:val="21"/>
                      <w:szCs w:val="21"/>
                    </w:rPr>
                  </w:pPr>
                  <w:r>
                    <w:rPr>
                      <w:sz w:val="21"/>
                      <w:szCs w:val="21"/>
                    </w:rPr>
                    <w:t>噪声</w:t>
                  </w:r>
                  <w:r>
                    <w:rPr>
                      <w:rFonts w:hint="eastAsia"/>
                      <w:sz w:val="21"/>
                      <w:szCs w:val="21"/>
                    </w:rPr>
                    <w:t>防治</w:t>
                  </w:r>
                </w:p>
                <w:p>
                  <w:pPr>
                    <w:pStyle w:val="102"/>
                    <w:snapToGrid w:val="0"/>
                    <w:spacing w:after="0" w:line="240" w:lineRule="auto"/>
                    <w:rPr>
                      <w:sz w:val="21"/>
                      <w:szCs w:val="21"/>
                    </w:rPr>
                  </w:pPr>
                  <w:r>
                    <w:rPr>
                      <w:rFonts w:hint="eastAsia"/>
                      <w:sz w:val="21"/>
                      <w:szCs w:val="21"/>
                    </w:rPr>
                    <w:t>措施</w:t>
                  </w:r>
                </w:p>
              </w:tc>
              <w:tc>
                <w:tcPr>
                  <w:tcW w:w="2573" w:type="pct"/>
                  <w:vAlign w:val="center"/>
                </w:tcPr>
                <w:p>
                  <w:pPr>
                    <w:pStyle w:val="102"/>
                    <w:snapToGrid w:val="0"/>
                    <w:spacing w:after="0" w:line="240" w:lineRule="auto"/>
                    <w:rPr>
                      <w:sz w:val="21"/>
                      <w:szCs w:val="21"/>
                    </w:rPr>
                  </w:pPr>
                  <w:r>
                    <w:rPr>
                      <w:sz w:val="21"/>
                      <w:szCs w:val="21"/>
                    </w:rPr>
                    <w:t>减震、隔声</w:t>
                  </w:r>
                </w:p>
              </w:tc>
              <w:tc>
                <w:tcPr>
                  <w:tcW w:w="854" w:type="pct"/>
                  <w:vAlign w:val="center"/>
                </w:tcPr>
                <w:p>
                  <w:pPr>
                    <w:pStyle w:val="102"/>
                    <w:snapToGrid w:val="0"/>
                    <w:spacing w:after="0" w:line="240" w:lineRule="auto"/>
                    <w:rPr>
                      <w:sz w:val="21"/>
                      <w:szCs w:val="21"/>
                    </w:rPr>
                  </w:pPr>
                  <w:r>
                    <w:rPr>
                      <w:sz w:val="21"/>
                      <w:szCs w:val="21"/>
                    </w:rPr>
                    <w:t>5.0</w:t>
                  </w:r>
                </w:p>
              </w:tc>
              <w:tc>
                <w:tcPr>
                  <w:tcW w:w="534" w:type="pct"/>
                  <w:vAlign w:val="center"/>
                </w:tcPr>
                <w:p>
                  <w:pPr>
                    <w:pStyle w:val="102"/>
                    <w:snapToGrid w:val="0"/>
                    <w:spacing w:after="0" w:line="240" w:lineRule="auto"/>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pStyle w:val="102"/>
                    <w:snapToGrid w:val="0"/>
                    <w:spacing w:after="0" w:line="240" w:lineRule="auto"/>
                    <w:rPr>
                      <w:rFonts w:hint="eastAsia"/>
                      <w:sz w:val="21"/>
                      <w:szCs w:val="21"/>
                    </w:rPr>
                  </w:pPr>
                  <w:r>
                    <w:rPr>
                      <w:rFonts w:hint="eastAsia"/>
                      <w:sz w:val="21"/>
                      <w:szCs w:val="21"/>
                    </w:rPr>
                    <w:t>废水防治</w:t>
                  </w:r>
                </w:p>
                <w:p>
                  <w:pPr>
                    <w:pStyle w:val="102"/>
                    <w:snapToGrid w:val="0"/>
                    <w:spacing w:after="0" w:line="240" w:lineRule="auto"/>
                    <w:rPr>
                      <w:sz w:val="21"/>
                      <w:szCs w:val="21"/>
                    </w:rPr>
                  </w:pPr>
                  <w:r>
                    <w:rPr>
                      <w:rFonts w:hint="eastAsia"/>
                      <w:sz w:val="21"/>
                      <w:szCs w:val="21"/>
                    </w:rPr>
                    <w:t>措施</w:t>
                  </w:r>
                </w:p>
              </w:tc>
              <w:tc>
                <w:tcPr>
                  <w:tcW w:w="2573" w:type="pct"/>
                  <w:vAlign w:val="center"/>
                </w:tcPr>
                <w:p>
                  <w:pPr>
                    <w:pStyle w:val="102"/>
                    <w:snapToGrid w:val="0"/>
                    <w:spacing w:after="0" w:line="240" w:lineRule="auto"/>
                    <w:rPr>
                      <w:sz w:val="21"/>
                      <w:szCs w:val="21"/>
                    </w:rPr>
                  </w:pPr>
                  <w:r>
                    <w:rPr>
                      <w:rFonts w:hint="eastAsia"/>
                      <w:sz w:val="21"/>
                      <w:szCs w:val="21"/>
                    </w:rPr>
                    <w:t>“</w:t>
                  </w:r>
                  <w:r>
                    <w:rPr>
                      <w:rFonts w:hint="eastAsia"/>
                      <w:sz w:val="21"/>
                      <w:szCs w:val="21"/>
                      <w:lang w:val="en-US" w:eastAsia="zh-CN"/>
                    </w:rPr>
                    <w:t>化粪池</w:t>
                  </w:r>
                  <w:r>
                    <w:rPr>
                      <w:sz w:val="21"/>
                      <w:szCs w:val="21"/>
                    </w:rPr>
                    <w:t>+调节池+</w:t>
                  </w:r>
                  <w:r>
                    <w:rPr>
                      <w:rFonts w:hint="eastAsia"/>
                      <w:sz w:val="21"/>
                      <w:szCs w:val="21"/>
                      <w:lang w:val="en-US" w:eastAsia="zh-CN"/>
                    </w:rPr>
                    <w:t>厌氧</w:t>
                  </w:r>
                  <w:r>
                    <w:rPr>
                      <w:sz w:val="21"/>
                      <w:szCs w:val="21"/>
                    </w:rPr>
                    <w:t>池+</w:t>
                  </w:r>
                  <w:r>
                    <w:rPr>
                      <w:rFonts w:hint="eastAsia"/>
                      <w:sz w:val="21"/>
                      <w:szCs w:val="21"/>
                      <w:lang w:val="en-US" w:eastAsia="zh-CN"/>
                    </w:rPr>
                    <w:t>生</w:t>
                  </w:r>
                  <w:r>
                    <w:rPr>
                      <w:sz w:val="21"/>
                      <w:szCs w:val="21"/>
                    </w:rPr>
                    <w:t>化池+</w:t>
                  </w:r>
                  <w:r>
                    <w:rPr>
                      <w:rFonts w:hint="eastAsia"/>
                      <w:sz w:val="21"/>
                      <w:szCs w:val="21"/>
                    </w:rPr>
                    <w:t>沉淀</w:t>
                  </w:r>
                  <w:r>
                    <w:rPr>
                      <w:sz w:val="21"/>
                      <w:szCs w:val="21"/>
                    </w:rPr>
                    <w:t>池+</w:t>
                  </w:r>
                  <w:r>
                    <w:rPr>
                      <w:rFonts w:hint="eastAsia"/>
                      <w:sz w:val="21"/>
                      <w:szCs w:val="21"/>
                      <w:lang w:val="en-US" w:eastAsia="zh-CN"/>
                    </w:rPr>
                    <w:t>MBR膜池+清水消毒池+清水池”</w:t>
                  </w:r>
                  <w:r>
                    <w:rPr>
                      <w:sz w:val="21"/>
                      <w:szCs w:val="21"/>
                    </w:rPr>
                    <w:t>处理工艺，处理能力</w:t>
                  </w:r>
                  <w:r>
                    <w:rPr>
                      <w:rFonts w:hint="eastAsia"/>
                      <w:sz w:val="21"/>
                      <w:szCs w:val="21"/>
                      <w:lang w:val="en-US" w:eastAsia="zh-CN"/>
                    </w:rPr>
                    <w:t>300</w:t>
                  </w:r>
                  <w:r>
                    <w:rPr>
                      <w:sz w:val="21"/>
                      <w:szCs w:val="21"/>
                    </w:rPr>
                    <w:t>m</w:t>
                  </w:r>
                  <w:r>
                    <w:rPr>
                      <w:sz w:val="21"/>
                      <w:szCs w:val="21"/>
                      <w:vertAlign w:val="superscript"/>
                    </w:rPr>
                    <w:t>3</w:t>
                  </w:r>
                  <w:r>
                    <w:rPr>
                      <w:sz w:val="21"/>
                      <w:szCs w:val="21"/>
                    </w:rPr>
                    <w:t>/d</w:t>
                  </w:r>
                </w:p>
              </w:tc>
              <w:tc>
                <w:tcPr>
                  <w:tcW w:w="854" w:type="pct"/>
                  <w:vAlign w:val="center"/>
                </w:tcPr>
                <w:p>
                  <w:pPr>
                    <w:pStyle w:val="102"/>
                    <w:snapToGrid w:val="0"/>
                    <w:spacing w:after="0" w:line="240" w:lineRule="auto"/>
                    <w:rPr>
                      <w:rFonts w:hint="default" w:eastAsia="宋体"/>
                      <w:sz w:val="21"/>
                      <w:szCs w:val="21"/>
                      <w:lang w:val="en-US" w:eastAsia="zh-CN"/>
                    </w:rPr>
                  </w:pPr>
                  <w:r>
                    <w:rPr>
                      <w:rFonts w:hint="eastAsia"/>
                      <w:sz w:val="21"/>
                      <w:szCs w:val="21"/>
                      <w:lang w:val="en-US" w:eastAsia="zh-CN"/>
                    </w:rPr>
                    <w:t>/</w:t>
                  </w:r>
                </w:p>
              </w:tc>
              <w:tc>
                <w:tcPr>
                  <w:tcW w:w="534" w:type="pct"/>
                  <w:vAlign w:val="center"/>
                </w:tcPr>
                <w:p>
                  <w:pPr>
                    <w:pStyle w:val="102"/>
                    <w:snapToGrid w:val="0"/>
                    <w:spacing w:after="0" w:line="240" w:lineRule="auto"/>
                    <w:rPr>
                      <w:rFonts w:hint="eastAsia"/>
                      <w:sz w:val="21"/>
                      <w:szCs w:val="21"/>
                      <w:lang w:val="en-US" w:eastAsia="zh-CN"/>
                    </w:rPr>
                  </w:pPr>
                  <w:r>
                    <w:rPr>
                      <w:rFonts w:hint="eastAsia"/>
                      <w:sz w:val="21"/>
                      <w:szCs w:val="21"/>
                      <w:lang w:val="en-US" w:eastAsia="zh-CN"/>
                    </w:rPr>
                    <w:t>依托中医院现有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pStyle w:val="102"/>
                    <w:snapToGrid w:val="0"/>
                    <w:spacing w:after="0" w:line="240" w:lineRule="auto"/>
                    <w:rPr>
                      <w:rFonts w:hint="eastAsia"/>
                      <w:sz w:val="21"/>
                      <w:szCs w:val="21"/>
                    </w:rPr>
                  </w:pPr>
                  <w:r>
                    <w:rPr>
                      <w:rFonts w:hint="eastAsia"/>
                      <w:sz w:val="21"/>
                      <w:szCs w:val="21"/>
                    </w:rPr>
                    <w:t>废气防治</w:t>
                  </w:r>
                </w:p>
                <w:p>
                  <w:pPr>
                    <w:pStyle w:val="102"/>
                    <w:snapToGrid w:val="0"/>
                    <w:spacing w:after="0" w:line="240" w:lineRule="auto"/>
                    <w:rPr>
                      <w:sz w:val="21"/>
                      <w:szCs w:val="21"/>
                    </w:rPr>
                  </w:pPr>
                  <w:r>
                    <w:rPr>
                      <w:rFonts w:hint="eastAsia"/>
                      <w:sz w:val="21"/>
                      <w:szCs w:val="21"/>
                    </w:rPr>
                    <w:t>措施</w:t>
                  </w:r>
                </w:p>
              </w:tc>
              <w:tc>
                <w:tcPr>
                  <w:tcW w:w="2573" w:type="pct"/>
                  <w:vAlign w:val="center"/>
                </w:tcPr>
                <w:p>
                  <w:pPr>
                    <w:pStyle w:val="102"/>
                    <w:snapToGrid w:val="0"/>
                    <w:spacing w:after="0" w:line="240" w:lineRule="auto"/>
                    <w:rPr>
                      <w:sz w:val="21"/>
                      <w:szCs w:val="21"/>
                    </w:rPr>
                  </w:pPr>
                  <w:r>
                    <w:rPr>
                      <w:sz w:val="21"/>
                      <w:szCs w:val="21"/>
                    </w:rPr>
                    <w:t>密闭站房、</w:t>
                  </w:r>
                  <w:r>
                    <w:rPr>
                      <w:rFonts w:hint="eastAsia"/>
                      <w:sz w:val="21"/>
                      <w:szCs w:val="21"/>
                    </w:rPr>
                    <w:t>废气经过</w:t>
                  </w:r>
                  <w:r>
                    <w:rPr>
                      <w:rFonts w:hint="eastAsia"/>
                      <w:sz w:val="21"/>
                      <w:szCs w:val="21"/>
                      <w:lang w:val="en-US" w:eastAsia="zh-CN"/>
                    </w:rPr>
                    <w:t>生物除臭装置</w:t>
                  </w:r>
                  <w:r>
                    <w:rPr>
                      <w:rFonts w:hint="eastAsia"/>
                      <w:sz w:val="21"/>
                      <w:szCs w:val="21"/>
                    </w:rPr>
                    <w:t>处理后通过1</w:t>
                  </w:r>
                  <w:r>
                    <w:rPr>
                      <w:sz w:val="21"/>
                      <w:szCs w:val="21"/>
                    </w:rPr>
                    <w:t>5</w:t>
                  </w:r>
                  <w:r>
                    <w:rPr>
                      <w:rFonts w:hint="eastAsia"/>
                      <w:sz w:val="21"/>
                      <w:szCs w:val="21"/>
                    </w:rPr>
                    <w:t>m高排气筒排放。</w:t>
                  </w:r>
                </w:p>
              </w:tc>
              <w:tc>
                <w:tcPr>
                  <w:tcW w:w="854" w:type="pct"/>
                  <w:vAlign w:val="center"/>
                </w:tcPr>
                <w:p>
                  <w:pPr>
                    <w:pStyle w:val="102"/>
                    <w:snapToGrid w:val="0"/>
                    <w:spacing w:after="0" w:line="240" w:lineRule="auto"/>
                    <w:rPr>
                      <w:rFonts w:hint="default" w:eastAsia="宋体"/>
                      <w:sz w:val="21"/>
                      <w:szCs w:val="21"/>
                      <w:lang w:val="en-US" w:eastAsia="zh-CN"/>
                    </w:rPr>
                  </w:pPr>
                  <w:r>
                    <w:rPr>
                      <w:rFonts w:hint="eastAsia"/>
                      <w:sz w:val="21"/>
                      <w:szCs w:val="21"/>
                      <w:lang w:val="en-US" w:eastAsia="zh-CN"/>
                    </w:rPr>
                    <w:t>10</w:t>
                  </w:r>
                </w:p>
              </w:tc>
              <w:tc>
                <w:tcPr>
                  <w:tcW w:w="534" w:type="pct"/>
                  <w:vAlign w:val="center"/>
                </w:tcPr>
                <w:p>
                  <w:pPr>
                    <w:pStyle w:val="102"/>
                    <w:snapToGrid w:val="0"/>
                    <w:spacing w:after="0" w:line="240" w:lineRule="auto"/>
                    <w:rPr>
                      <w:rFonts w:hint="default"/>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pStyle w:val="102"/>
                    <w:snapToGrid w:val="0"/>
                    <w:spacing w:after="0" w:line="240" w:lineRule="auto"/>
                    <w:rPr>
                      <w:rFonts w:hint="eastAsia"/>
                      <w:sz w:val="21"/>
                      <w:szCs w:val="21"/>
                    </w:rPr>
                  </w:pPr>
                  <w:r>
                    <w:rPr>
                      <w:rFonts w:hint="eastAsia"/>
                      <w:sz w:val="21"/>
                      <w:szCs w:val="21"/>
                    </w:rPr>
                    <w:t>风险防治</w:t>
                  </w:r>
                </w:p>
                <w:p>
                  <w:pPr>
                    <w:pStyle w:val="102"/>
                    <w:snapToGrid w:val="0"/>
                    <w:spacing w:after="0" w:line="240" w:lineRule="auto"/>
                    <w:rPr>
                      <w:sz w:val="21"/>
                      <w:szCs w:val="21"/>
                    </w:rPr>
                  </w:pPr>
                  <w:r>
                    <w:rPr>
                      <w:rFonts w:hint="eastAsia"/>
                      <w:sz w:val="21"/>
                      <w:szCs w:val="21"/>
                    </w:rPr>
                    <w:t>措施</w:t>
                  </w:r>
                </w:p>
              </w:tc>
              <w:tc>
                <w:tcPr>
                  <w:tcW w:w="2573" w:type="pct"/>
                  <w:vAlign w:val="center"/>
                </w:tcPr>
                <w:p>
                  <w:pPr>
                    <w:pStyle w:val="102"/>
                    <w:snapToGrid w:val="0"/>
                    <w:spacing w:after="0" w:line="240" w:lineRule="auto"/>
                    <w:rPr>
                      <w:sz w:val="21"/>
                      <w:szCs w:val="21"/>
                    </w:rPr>
                  </w:pPr>
                  <w:r>
                    <w:rPr>
                      <w:sz w:val="21"/>
                      <w:szCs w:val="21"/>
                    </w:rPr>
                    <w:t>地面防漏防渗、墙裙防渗、警示标识等</w:t>
                  </w:r>
                </w:p>
              </w:tc>
              <w:tc>
                <w:tcPr>
                  <w:tcW w:w="854" w:type="pct"/>
                  <w:vAlign w:val="center"/>
                </w:tcPr>
                <w:p>
                  <w:pPr>
                    <w:pStyle w:val="102"/>
                    <w:snapToGrid w:val="0"/>
                    <w:spacing w:after="0" w:line="240" w:lineRule="auto"/>
                    <w:rPr>
                      <w:sz w:val="21"/>
                      <w:szCs w:val="21"/>
                    </w:rPr>
                  </w:pPr>
                  <w:r>
                    <w:rPr>
                      <w:rFonts w:hint="eastAsia"/>
                      <w:sz w:val="21"/>
                      <w:szCs w:val="21"/>
                    </w:rPr>
                    <w:t>2.0</w:t>
                  </w:r>
                </w:p>
              </w:tc>
              <w:tc>
                <w:tcPr>
                  <w:tcW w:w="534" w:type="pct"/>
                  <w:vAlign w:val="center"/>
                </w:tcPr>
                <w:p>
                  <w:pPr>
                    <w:pStyle w:val="102"/>
                    <w:snapToGrid w:val="0"/>
                    <w:spacing w:after="0" w:line="240" w:lineRule="auto"/>
                    <w:rPr>
                      <w:rFonts w:hint="eastAsia" w:eastAsia="宋体"/>
                      <w:sz w:val="21"/>
                      <w:szCs w:val="21"/>
                      <w:lang w:val="en-US" w:eastAsia="zh-CN"/>
                    </w:rPr>
                  </w:pPr>
                  <w:r>
                    <w:rPr>
                      <w:rFonts w:hint="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pPr>
                    <w:pStyle w:val="102"/>
                    <w:snapToGrid w:val="0"/>
                    <w:spacing w:after="0" w:line="240" w:lineRule="auto"/>
                    <w:rPr>
                      <w:sz w:val="21"/>
                      <w:szCs w:val="21"/>
                    </w:rPr>
                  </w:pPr>
                </w:p>
              </w:tc>
              <w:tc>
                <w:tcPr>
                  <w:tcW w:w="727" w:type="pct"/>
                  <w:vAlign w:val="center"/>
                </w:tcPr>
                <w:p>
                  <w:pPr>
                    <w:pStyle w:val="102"/>
                    <w:snapToGrid w:val="0"/>
                    <w:spacing w:after="0" w:line="240" w:lineRule="auto"/>
                    <w:rPr>
                      <w:sz w:val="21"/>
                      <w:szCs w:val="21"/>
                    </w:rPr>
                  </w:pPr>
                  <w:r>
                    <w:rPr>
                      <w:rFonts w:hint="eastAsia"/>
                      <w:sz w:val="21"/>
                      <w:szCs w:val="21"/>
                    </w:rPr>
                    <w:t>生态措施</w:t>
                  </w:r>
                </w:p>
              </w:tc>
              <w:tc>
                <w:tcPr>
                  <w:tcW w:w="2573" w:type="pct"/>
                  <w:vAlign w:val="center"/>
                </w:tcPr>
                <w:p>
                  <w:pPr>
                    <w:pStyle w:val="102"/>
                    <w:snapToGrid w:val="0"/>
                    <w:spacing w:after="0" w:line="240" w:lineRule="auto"/>
                    <w:rPr>
                      <w:sz w:val="21"/>
                      <w:szCs w:val="21"/>
                    </w:rPr>
                  </w:pPr>
                  <w:r>
                    <w:rPr>
                      <w:rFonts w:hint="eastAsia"/>
                      <w:sz w:val="21"/>
                      <w:szCs w:val="21"/>
                      <w:lang w:val="en-US" w:eastAsia="zh-CN"/>
                    </w:rPr>
                    <w:t>项目</w:t>
                  </w:r>
                  <w:r>
                    <w:rPr>
                      <w:rFonts w:hint="eastAsia"/>
                      <w:sz w:val="21"/>
                      <w:szCs w:val="21"/>
                    </w:rPr>
                    <w:t>区绿化</w:t>
                  </w:r>
                </w:p>
              </w:tc>
              <w:tc>
                <w:tcPr>
                  <w:tcW w:w="854" w:type="pct"/>
                  <w:vAlign w:val="center"/>
                </w:tcPr>
                <w:p>
                  <w:pPr>
                    <w:pStyle w:val="102"/>
                    <w:snapToGrid w:val="0"/>
                    <w:spacing w:after="0" w:line="240" w:lineRule="auto"/>
                    <w:rPr>
                      <w:sz w:val="21"/>
                      <w:szCs w:val="21"/>
                    </w:rPr>
                  </w:pPr>
                  <w:r>
                    <w:rPr>
                      <w:rStyle w:val="34"/>
                      <w:rFonts w:hint="eastAsia"/>
                      <w:kern w:val="2"/>
                      <w:sz w:val="21"/>
                      <w:szCs w:val="21"/>
                      <w:lang w:val="en-US" w:eastAsia="zh-CN"/>
                    </w:rPr>
                    <w:t>5</w:t>
                  </w:r>
                  <w:r>
                    <w:rPr>
                      <w:rStyle w:val="34"/>
                      <w:rFonts w:hint="eastAsia"/>
                      <w:kern w:val="2"/>
                      <w:sz w:val="21"/>
                      <w:szCs w:val="21"/>
                    </w:rPr>
                    <w:t>.0</w:t>
                  </w:r>
                </w:p>
              </w:tc>
              <w:tc>
                <w:tcPr>
                  <w:tcW w:w="534" w:type="pct"/>
                  <w:vAlign w:val="center"/>
                </w:tcPr>
                <w:p>
                  <w:pPr>
                    <w:pStyle w:val="102"/>
                    <w:snapToGrid w:val="0"/>
                    <w:spacing w:after="0" w:line="240" w:lineRule="auto"/>
                    <w:rPr>
                      <w:rStyle w:val="34"/>
                      <w:rFonts w:hint="default"/>
                      <w:kern w:val="2"/>
                      <w:sz w:val="21"/>
                      <w:szCs w:val="21"/>
                      <w:lang w:val="en-US" w:eastAsia="zh-CN"/>
                    </w:rPr>
                  </w:pPr>
                  <w:r>
                    <w:rPr>
                      <w:rStyle w:val="34"/>
                      <w:rFonts w:hint="eastAsia"/>
                      <w:kern w:val="2"/>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610" w:type="pct"/>
                  <w:gridSpan w:val="3"/>
                  <w:vAlign w:val="center"/>
                </w:tcPr>
                <w:p>
                  <w:pPr>
                    <w:pStyle w:val="102"/>
                    <w:snapToGrid w:val="0"/>
                    <w:spacing w:after="0" w:line="240" w:lineRule="auto"/>
                    <w:rPr>
                      <w:sz w:val="21"/>
                      <w:szCs w:val="21"/>
                    </w:rPr>
                  </w:pPr>
                  <w:r>
                    <w:rPr>
                      <w:sz w:val="21"/>
                      <w:szCs w:val="21"/>
                    </w:rPr>
                    <w:t>合计</w:t>
                  </w:r>
                </w:p>
              </w:tc>
              <w:tc>
                <w:tcPr>
                  <w:tcW w:w="854" w:type="pct"/>
                  <w:vAlign w:val="center"/>
                </w:tcPr>
                <w:p>
                  <w:pPr>
                    <w:pStyle w:val="102"/>
                    <w:snapToGrid w:val="0"/>
                    <w:spacing w:after="0" w:line="240" w:lineRule="auto"/>
                    <w:rPr>
                      <w:rFonts w:hint="default" w:eastAsia="宋体"/>
                      <w:sz w:val="21"/>
                      <w:szCs w:val="21"/>
                      <w:lang w:val="en-US" w:eastAsia="zh-CN"/>
                    </w:rPr>
                  </w:pPr>
                  <w:r>
                    <w:rPr>
                      <w:rFonts w:hint="eastAsia"/>
                      <w:sz w:val="21"/>
                      <w:szCs w:val="21"/>
                      <w:lang w:val="en-US" w:eastAsia="zh-CN"/>
                    </w:rPr>
                    <w:t>42</w:t>
                  </w:r>
                </w:p>
              </w:tc>
              <w:tc>
                <w:tcPr>
                  <w:tcW w:w="534" w:type="pct"/>
                  <w:vAlign w:val="center"/>
                </w:tcPr>
                <w:p>
                  <w:pPr>
                    <w:pStyle w:val="102"/>
                    <w:snapToGrid w:val="0"/>
                    <w:spacing w:after="0" w:line="240" w:lineRule="auto"/>
                    <w:rPr>
                      <w:rFonts w:hint="eastAsia" w:eastAsia="宋体"/>
                      <w:sz w:val="21"/>
                      <w:szCs w:val="21"/>
                      <w:lang w:val="en-US" w:eastAsia="zh-CN"/>
                    </w:rPr>
                  </w:pPr>
                  <w:r>
                    <w:rPr>
                      <w:rFonts w:hint="eastAsia"/>
                      <w:sz w:val="21"/>
                      <w:szCs w:val="21"/>
                      <w:lang w:val="en-US" w:eastAsia="zh-CN"/>
                    </w:rPr>
                    <w:t>/</w:t>
                  </w:r>
                </w:p>
              </w:tc>
            </w:tr>
          </w:tbl>
          <w:p>
            <w:pPr>
              <w:pStyle w:val="6"/>
              <w:pageBreakBefore w:val="0"/>
              <w:widowControl w:val="0"/>
              <w:kinsoku/>
              <w:wordWrap/>
              <w:overflowPunct/>
              <w:autoSpaceDE/>
              <w:autoSpaceDN/>
              <w:bidi w:val="0"/>
              <w:adjustRightInd w:val="0"/>
              <w:snapToGrid w:val="0"/>
              <w:spacing w:before="0" w:after="0" w:line="520" w:lineRule="exact"/>
              <w:ind w:firstLine="482"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lang w:val="en-US" w:eastAsia="zh-CN"/>
                <w14:textFill>
                  <w14:solidFill>
                    <w14:schemeClr w14:val="tx1"/>
                  </w14:solidFill>
                </w14:textFill>
              </w:rPr>
              <w:t>9</w:t>
            </w:r>
            <w:r>
              <w:rPr>
                <w:rFonts w:hint="eastAsia" w:ascii="Times New Roman" w:hAnsi="Times New Roman" w:eastAsia="宋体"/>
                <w:color w:val="000000" w:themeColor="text1"/>
                <w:sz w:val="24"/>
                <w:szCs w:val="24"/>
                <w:lang w:eastAsia="zh-CN"/>
                <w14:textFill>
                  <w14:solidFill>
                    <w14:schemeClr w14:val="tx1"/>
                  </w14:solidFill>
                </w14:textFill>
              </w:rPr>
              <w:t>.</w:t>
            </w:r>
            <w:r>
              <w:rPr>
                <w:rFonts w:hint="eastAsia" w:ascii="Times New Roman" w:hAnsi="Times New Roman" w:eastAsia="宋体"/>
                <w:bCs/>
                <w:color w:val="000000" w:themeColor="text1"/>
                <w:sz w:val="24"/>
                <w:szCs w:val="24"/>
                <w:lang w:val="en-US" w:eastAsia="zh-CN"/>
                <w14:textFill>
                  <w14:solidFill>
                    <w14:schemeClr w14:val="tx1"/>
                  </w14:solidFill>
                </w14:textFill>
              </w:rPr>
              <w:t>扩建项目建</w:t>
            </w:r>
            <w:r>
              <w:rPr>
                <w:rFonts w:hint="eastAsia" w:ascii="Times New Roman" w:hAnsi="Times New Roman" w:eastAsia="宋体"/>
                <w:bCs/>
                <w:color w:val="000000" w:themeColor="text1"/>
                <w:sz w:val="24"/>
                <w:szCs w:val="24"/>
                <w14:textFill>
                  <w14:solidFill>
                    <w14:schemeClr w14:val="tx1"/>
                  </w14:solidFill>
                </w14:textFill>
              </w:rPr>
              <w:t>成后“三本账”分析</w:t>
            </w:r>
          </w:p>
          <w:p>
            <w:pPr>
              <w:pageBreakBefore w:val="0"/>
              <w:widowControl w:val="0"/>
              <w:kinsoku/>
              <w:wordWrap/>
              <w:overflowPunct/>
              <w:topLinePunct/>
              <w:autoSpaceDE/>
              <w:autoSpaceDN/>
              <w:bidi w:val="0"/>
              <w:adjustRightInd w:val="0"/>
              <w:snapToGrid w:val="0"/>
              <w:spacing w:line="520" w:lineRule="exact"/>
              <w:ind w:firstLine="480" w:firstLineChars="200"/>
              <w:textAlignment w:val="baseline"/>
              <w:rPr>
                <w:snapToGrid w:val="0"/>
                <w:color w:val="000000"/>
                <w:kern w:val="0"/>
                <w:sz w:val="24"/>
                <w:szCs w:val="24"/>
              </w:rPr>
            </w:pPr>
            <w:r>
              <w:rPr>
                <w:rFonts w:hint="eastAsia"/>
                <w:color w:val="000000"/>
                <w:kern w:val="28"/>
                <w:sz w:val="24"/>
                <w:szCs w:val="24"/>
                <w:lang w:val="en-US" w:eastAsia="zh-CN"/>
              </w:rPr>
              <w:t>本</w:t>
            </w:r>
            <w:r>
              <w:rPr>
                <w:rFonts w:hint="eastAsia"/>
                <w:color w:val="000000"/>
                <w:kern w:val="28"/>
                <w:sz w:val="24"/>
                <w:szCs w:val="24"/>
              </w:rPr>
              <w:t>项目</w:t>
            </w:r>
            <w:r>
              <w:rPr>
                <w:rFonts w:hint="eastAsia"/>
                <w:color w:val="000000"/>
                <w:kern w:val="28"/>
                <w:sz w:val="24"/>
                <w:szCs w:val="24"/>
                <w:lang w:val="en-US" w:eastAsia="zh-CN"/>
              </w:rPr>
              <w:t>建设前后</w:t>
            </w:r>
            <w:r>
              <w:rPr>
                <w:rFonts w:hint="eastAsia"/>
                <w:color w:val="000000"/>
                <w:sz w:val="24"/>
              </w:rPr>
              <w:t>“三废”排放量变化情况详见表</w:t>
            </w:r>
            <w:r>
              <w:rPr>
                <w:rFonts w:hint="eastAsia"/>
                <w:color w:val="000000"/>
                <w:sz w:val="24"/>
                <w:lang w:val="en-US" w:eastAsia="zh-CN"/>
              </w:rPr>
              <w:t>4-14</w:t>
            </w:r>
            <w:r>
              <w:rPr>
                <w:rFonts w:hint="eastAsia"/>
                <w:color w:val="000000"/>
                <w:sz w:val="24"/>
              </w:rPr>
              <w:t>。</w:t>
            </w:r>
          </w:p>
          <w:p>
            <w:pPr>
              <w:adjustRightInd w:val="0"/>
              <w:snapToGrid w:val="0"/>
              <w:jc w:val="center"/>
              <w:rPr>
                <w:rFonts w:hint="eastAsia" w:eastAsia="黑体"/>
                <w:b w:val="0"/>
                <w:bCs/>
                <w:color w:val="000000"/>
                <w:sz w:val="24"/>
                <w:szCs w:val="24"/>
              </w:rPr>
            </w:pPr>
            <w:r>
              <w:rPr>
                <w:rFonts w:hint="eastAsia" w:eastAsia="黑体"/>
                <w:b w:val="0"/>
                <w:bCs/>
                <w:color w:val="000000"/>
                <w:sz w:val="24"/>
                <w:szCs w:val="24"/>
              </w:rPr>
              <w:t>表</w:t>
            </w:r>
            <w:r>
              <w:rPr>
                <w:rFonts w:hint="eastAsia" w:eastAsia="黑体"/>
                <w:b w:val="0"/>
                <w:bCs/>
                <w:color w:val="000000"/>
                <w:sz w:val="24"/>
                <w:szCs w:val="24"/>
                <w:lang w:val="en-US" w:eastAsia="zh-CN"/>
              </w:rPr>
              <w:t>4-14</w:t>
            </w:r>
            <w:r>
              <w:rPr>
                <w:rFonts w:hint="eastAsia" w:eastAsia="黑体"/>
                <w:b w:val="0"/>
                <w:bCs/>
                <w:color w:val="000000"/>
                <w:sz w:val="24"/>
                <w:szCs w:val="24"/>
              </w:rPr>
              <w:t xml:space="preserve">    </w:t>
            </w:r>
            <w:r>
              <w:rPr>
                <w:rFonts w:hint="eastAsia" w:eastAsia="黑体"/>
                <w:b w:val="0"/>
                <w:bCs/>
                <w:color w:val="000000"/>
                <w:sz w:val="24"/>
                <w:szCs w:val="24"/>
                <w:lang w:val="en-US" w:eastAsia="zh-CN"/>
              </w:rPr>
              <w:t>项目建成</w:t>
            </w:r>
            <w:r>
              <w:rPr>
                <w:rFonts w:hint="eastAsia" w:eastAsia="黑体"/>
                <w:b w:val="0"/>
                <w:bCs/>
                <w:color w:val="000000"/>
                <w:sz w:val="24"/>
                <w:szCs w:val="24"/>
              </w:rPr>
              <w:t>后污染物排放情况分析（三本帐）</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707"/>
              <w:gridCol w:w="1643"/>
              <w:gridCol w:w="1238"/>
              <w:gridCol w:w="1066"/>
              <w:gridCol w:w="1299"/>
              <w:gridCol w:w="1137"/>
              <w:gridCol w:w="11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4" w:hRule="atLeast"/>
                <w:jc w:val="center"/>
              </w:trPr>
              <w:tc>
                <w:tcPr>
                  <w:tcW w:w="653" w:type="pct"/>
                  <w:gridSpan w:val="2"/>
                  <w:noWrap w:val="0"/>
                  <w:vAlign w:val="center"/>
                </w:tcPr>
                <w:p>
                  <w:pPr>
                    <w:widowControl/>
                    <w:adjustRightInd w:val="0"/>
                    <w:snapToGrid w:val="0"/>
                    <w:ind w:left="-105" w:leftChars="-50" w:right="-105" w:rightChars="-50"/>
                    <w:jc w:val="center"/>
                    <w:rPr>
                      <w:rFonts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类别</w:t>
                  </w:r>
                </w:p>
              </w:tc>
              <w:tc>
                <w:tcPr>
                  <w:tcW w:w="945" w:type="pct"/>
                  <w:noWrap w:val="0"/>
                  <w:vAlign w:val="center"/>
                </w:tcPr>
                <w:p>
                  <w:pPr>
                    <w:adjustRightInd w:val="0"/>
                    <w:snapToGrid w:val="0"/>
                    <w:ind w:left="-105" w:leftChars="-50" w:right="-105" w:rightChars="-50"/>
                    <w:jc w:val="center"/>
                    <w:rPr>
                      <w:rFonts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污染物</w:t>
                  </w:r>
                </w:p>
              </w:tc>
              <w:tc>
                <w:tcPr>
                  <w:tcW w:w="712" w:type="pct"/>
                  <w:noWrap w:val="0"/>
                  <w:vAlign w:val="center"/>
                </w:tcPr>
                <w:p>
                  <w:pPr>
                    <w:widowControl/>
                    <w:adjustRightInd w:val="0"/>
                    <w:snapToGrid w:val="0"/>
                    <w:ind w:left="-105" w:leftChars="-50" w:right="-105" w:rightChars="-50"/>
                    <w:jc w:val="center"/>
                    <w:rPr>
                      <w:rFonts w:ascii="Times New Roman" w:hAnsi="Times New Roman" w:eastAsia="宋体" w:cs="宋体"/>
                      <w:color w:val="000000"/>
                      <w:kern w:val="0"/>
                      <w:sz w:val="21"/>
                      <w:szCs w:val="21"/>
                    </w:rPr>
                  </w:pPr>
                  <w:r>
                    <w:rPr>
                      <w:rFonts w:hint="eastAsia" w:cs="宋体"/>
                      <w:color w:val="000000"/>
                      <w:kern w:val="0"/>
                      <w:sz w:val="21"/>
                      <w:szCs w:val="21"/>
                      <w:lang w:val="en-US" w:eastAsia="zh-CN"/>
                    </w:rPr>
                    <w:t>现有</w:t>
                  </w:r>
                  <w:r>
                    <w:rPr>
                      <w:rFonts w:hint="eastAsia" w:ascii="Times New Roman" w:hAnsi="Times New Roman" w:eastAsia="宋体" w:cs="宋体"/>
                      <w:color w:val="000000"/>
                      <w:kern w:val="0"/>
                      <w:sz w:val="21"/>
                      <w:szCs w:val="21"/>
                    </w:rPr>
                    <w:t>排放量</w:t>
                  </w:r>
                </w:p>
              </w:tc>
              <w:tc>
                <w:tcPr>
                  <w:tcW w:w="613"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cs="宋体"/>
                      <w:color w:val="000000"/>
                      <w:kern w:val="0"/>
                      <w:sz w:val="21"/>
                      <w:szCs w:val="21"/>
                      <w:lang w:val="en-US" w:eastAsia="zh-CN"/>
                    </w:rPr>
                    <w:t>本</w:t>
                  </w:r>
                  <w:r>
                    <w:rPr>
                      <w:rFonts w:hint="eastAsia" w:ascii="Times New Roman" w:hAnsi="Times New Roman" w:eastAsia="宋体" w:cs="宋体"/>
                      <w:color w:val="000000"/>
                      <w:kern w:val="0"/>
                      <w:sz w:val="21"/>
                      <w:szCs w:val="21"/>
                    </w:rPr>
                    <w:t>工程</w:t>
                  </w:r>
                </w:p>
                <w:p>
                  <w:pPr>
                    <w:widowControl/>
                    <w:adjustRightInd w:val="0"/>
                    <w:snapToGrid w:val="0"/>
                    <w:ind w:left="-105" w:leftChars="-50" w:right="-105" w:rightChars="-50"/>
                    <w:jc w:val="center"/>
                    <w:rPr>
                      <w:rFonts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排放量</w:t>
                  </w:r>
                </w:p>
              </w:tc>
              <w:tc>
                <w:tcPr>
                  <w:tcW w:w="747"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“以新带老”</w:t>
                  </w:r>
                </w:p>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削减量</w:t>
                  </w:r>
                </w:p>
              </w:tc>
              <w:tc>
                <w:tcPr>
                  <w:tcW w:w="654" w:type="pct"/>
                  <w:tcBorders>
                    <w:right w:val="single" w:color="auto" w:sz="4" w:space="0"/>
                  </w:tcBorders>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cs="宋体"/>
                      <w:color w:val="000000"/>
                      <w:kern w:val="0"/>
                      <w:sz w:val="21"/>
                      <w:szCs w:val="21"/>
                      <w:lang w:val="en-US" w:eastAsia="zh-CN"/>
                    </w:rPr>
                    <w:t>本项目</w:t>
                  </w:r>
                  <w:r>
                    <w:rPr>
                      <w:rFonts w:hint="eastAsia" w:ascii="Times New Roman" w:hAnsi="Times New Roman" w:eastAsia="宋体" w:cs="宋体"/>
                      <w:color w:val="000000"/>
                      <w:kern w:val="0"/>
                      <w:sz w:val="21"/>
                      <w:szCs w:val="21"/>
                      <w:lang w:val="en-US" w:eastAsia="zh-CN"/>
                    </w:rPr>
                    <w:t>建</w:t>
                  </w:r>
                  <w:r>
                    <w:rPr>
                      <w:rFonts w:hint="eastAsia" w:ascii="Times New Roman" w:hAnsi="Times New Roman" w:eastAsia="宋体" w:cs="宋体"/>
                      <w:color w:val="000000"/>
                      <w:kern w:val="0"/>
                      <w:sz w:val="21"/>
                      <w:szCs w:val="21"/>
                    </w:rPr>
                    <w:t>后</w:t>
                  </w:r>
                </w:p>
                <w:p>
                  <w:pPr>
                    <w:widowControl/>
                    <w:adjustRightInd w:val="0"/>
                    <w:snapToGrid w:val="0"/>
                    <w:ind w:left="-105" w:leftChars="-50" w:right="-105" w:rightChars="-50"/>
                    <w:jc w:val="center"/>
                    <w:rPr>
                      <w:rFonts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总排放量</w:t>
                  </w:r>
                </w:p>
              </w:tc>
              <w:tc>
                <w:tcPr>
                  <w:tcW w:w="674"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增减量</w:t>
                  </w:r>
                </w:p>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变化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246" w:type="pct"/>
                  <w:vMerge w:val="restar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废</w:t>
                  </w:r>
                </w:p>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水</w:t>
                  </w:r>
                </w:p>
              </w:tc>
              <w:tc>
                <w:tcPr>
                  <w:tcW w:w="407" w:type="pct"/>
                  <w:vMerge w:val="restar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生活</w:t>
                  </w:r>
                </w:p>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污水</w:t>
                  </w:r>
                </w:p>
              </w:tc>
              <w:tc>
                <w:tcPr>
                  <w:tcW w:w="945"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themeColor="text1"/>
                      <w:kern w:val="0"/>
                      <w:sz w:val="21"/>
                      <w:szCs w:val="21"/>
                      <w14:textFill>
                        <w14:solidFill>
                          <w14:schemeClr w14:val="tx1"/>
                        </w14:solidFill>
                      </w14:textFill>
                    </w:rPr>
                  </w:pPr>
                  <w:r>
                    <w:rPr>
                      <w:rFonts w:hint="eastAsia" w:ascii="Times New Roman" w:hAnsi="Times New Roman" w:eastAsia="宋体" w:cs="宋体"/>
                      <w:color w:val="000000" w:themeColor="text1"/>
                      <w:kern w:val="0"/>
                      <w:sz w:val="21"/>
                      <w:szCs w:val="21"/>
                      <w14:textFill>
                        <w14:solidFill>
                          <w14:schemeClr w14:val="tx1"/>
                        </w14:solidFill>
                      </w14:textFill>
                    </w:rPr>
                    <w:t>废水量</w:t>
                  </w:r>
                  <w:r>
                    <w:rPr>
                      <w:rFonts w:hint="eastAsia" w:cs="宋体"/>
                      <w:color w:val="000000" w:themeColor="text1"/>
                      <w:kern w:val="0"/>
                      <w:sz w:val="21"/>
                      <w:szCs w:val="21"/>
                      <w:lang w:eastAsia="zh-CN"/>
                      <w14:textFill>
                        <w14:solidFill>
                          <w14:schemeClr w14:val="tx1"/>
                        </w14:solidFill>
                      </w14:textFill>
                    </w:rPr>
                    <w:t>（</w:t>
                  </w:r>
                  <w:r>
                    <w:rPr>
                      <w:rFonts w:hint="eastAsia" w:ascii="Times New Roman" w:hAnsi="Times New Roman" w:eastAsia="宋体" w:cs="宋体"/>
                      <w:color w:val="000000" w:themeColor="text1"/>
                      <w:kern w:val="0"/>
                      <w:sz w:val="21"/>
                      <w:szCs w:val="21"/>
                      <w14:textFill>
                        <w14:solidFill>
                          <w14:schemeClr w14:val="tx1"/>
                        </w14:solidFill>
                      </w14:textFill>
                    </w:rPr>
                    <w:t>m</w:t>
                  </w:r>
                  <w:r>
                    <w:rPr>
                      <w:rFonts w:hint="eastAsia" w:ascii="Times New Roman" w:hAnsi="Times New Roman" w:eastAsia="宋体" w:cs="宋体"/>
                      <w:color w:val="000000" w:themeColor="text1"/>
                      <w:kern w:val="0"/>
                      <w:sz w:val="21"/>
                      <w:szCs w:val="21"/>
                      <w:vertAlign w:val="superscript"/>
                      <w14:textFill>
                        <w14:solidFill>
                          <w14:schemeClr w14:val="tx1"/>
                        </w14:solidFill>
                      </w14:textFill>
                    </w:rPr>
                    <w:t>3</w:t>
                  </w:r>
                  <w:r>
                    <w:rPr>
                      <w:rFonts w:hint="eastAsia" w:ascii="Times New Roman" w:hAnsi="Times New Roman" w:eastAsia="宋体" w:cs="宋体"/>
                      <w:color w:val="000000" w:themeColor="text1"/>
                      <w:kern w:val="0"/>
                      <w:sz w:val="21"/>
                      <w:szCs w:val="21"/>
                      <w14:textFill>
                        <w14:solidFill>
                          <w14:schemeClr w14:val="tx1"/>
                        </w14:solidFill>
                      </w14:textFill>
                    </w:rPr>
                    <w:t>/a</w:t>
                  </w:r>
                  <w:r>
                    <w:rPr>
                      <w:rFonts w:hint="eastAsia" w:cs="宋体"/>
                      <w:color w:val="000000" w:themeColor="text1"/>
                      <w:kern w:val="0"/>
                      <w:sz w:val="21"/>
                      <w:szCs w:val="21"/>
                      <w:lang w:eastAsia="zh-CN"/>
                      <w14:textFill>
                        <w14:solidFill>
                          <w14:schemeClr w14:val="tx1"/>
                        </w14:solidFill>
                      </w14:textFill>
                    </w:rPr>
                    <w:t>）</w:t>
                  </w:r>
                </w:p>
              </w:tc>
              <w:tc>
                <w:tcPr>
                  <w:tcW w:w="712"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6200</w:t>
                  </w:r>
                </w:p>
              </w:tc>
              <w:tc>
                <w:tcPr>
                  <w:tcW w:w="613" w:type="pct"/>
                  <w:noWrap w:val="0"/>
                  <w:vAlign w:val="center"/>
                </w:tcPr>
                <w:p>
                  <w:pPr>
                    <w:adjustRightInd w:val="0"/>
                    <w:snapToGrid w:val="0"/>
                    <w:ind w:left="-105" w:leftChars="-50" w:right="-50" w:right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17976.25</w:t>
                  </w:r>
                </w:p>
              </w:tc>
              <w:tc>
                <w:tcPr>
                  <w:tcW w:w="747"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14:textFill>
                        <w14:solidFill>
                          <w14:schemeClr w14:val="tx1"/>
                        </w14:solidFill>
                      </w14:textFill>
                    </w:rPr>
                  </w:pPr>
                  <w:r>
                    <w:rPr>
                      <w:rFonts w:hint="eastAsia" w:ascii="Times New Roman" w:hAnsi="Times New Roman" w:eastAsia="宋体" w:cs="宋体"/>
                      <w:color w:val="000000" w:themeColor="text1"/>
                      <w:kern w:val="0"/>
                      <w:sz w:val="21"/>
                      <w:szCs w:val="21"/>
                      <w14:textFill>
                        <w14:solidFill>
                          <w14:schemeClr w14:val="tx1"/>
                        </w14:solidFill>
                      </w14:textFill>
                    </w:rPr>
                    <w:t>0</w:t>
                  </w:r>
                </w:p>
              </w:tc>
              <w:tc>
                <w:tcPr>
                  <w:tcW w:w="654" w:type="pct"/>
                  <w:tcBorders>
                    <w:right w:val="single" w:color="auto" w:sz="4" w:space="0"/>
                  </w:tcBorders>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24176.25</w:t>
                  </w:r>
                </w:p>
              </w:tc>
              <w:tc>
                <w:tcPr>
                  <w:tcW w:w="674"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+16640.35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246" w:type="pct"/>
                  <w:vMerge w:val="continue"/>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407" w:type="pct"/>
                  <w:vMerge w:val="continue"/>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945" w:type="pct"/>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ascii="Times New Roman" w:hAnsi="Times New Roman" w:eastAsia="宋体" w:cs="宋体"/>
                      <w:color w:val="000000"/>
                      <w:kern w:val="0"/>
                      <w:sz w:val="21"/>
                      <w:szCs w:val="21"/>
                    </w:rPr>
                    <w:t>COD</w:t>
                  </w:r>
                  <w:r>
                    <w:rPr>
                      <w:rFonts w:hint="eastAsia" w:ascii="Times New Roman" w:hAnsi="Times New Roman" w:eastAsia="宋体" w:cs="宋体"/>
                      <w:color w:val="000000"/>
                      <w:kern w:val="0"/>
                      <w:sz w:val="21"/>
                      <w:szCs w:val="21"/>
                      <w:vertAlign w:val="subscript"/>
                    </w:rPr>
                    <w:t>Cr</w:t>
                  </w:r>
                  <w:r>
                    <w:rPr>
                      <w:rFonts w:hint="eastAsia" w:cs="宋体"/>
                      <w:color w:val="000000"/>
                      <w:kern w:val="0"/>
                      <w:sz w:val="21"/>
                      <w:szCs w:val="21"/>
                      <w:vertAlign w:val="baseline"/>
                      <w:lang w:eastAsia="zh-CN"/>
                    </w:rPr>
                    <w:t>（</w:t>
                  </w:r>
                  <w:r>
                    <w:rPr>
                      <w:rFonts w:hint="eastAsia" w:ascii="Times New Roman" w:hAnsi="Times New Roman" w:eastAsia="宋体" w:cs="宋体"/>
                      <w:color w:val="000000"/>
                      <w:kern w:val="0"/>
                      <w:sz w:val="21"/>
                      <w:szCs w:val="21"/>
                      <w:vertAlign w:val="baseline"/>
                    </w:rPr>
                    <w:t>t/a</w:t>
                  </w:r>
                  <w:r>
                    <w:rPr>
                      <w:rFonts w:hint="eastAsia" w:cs="宋体"/>
                      <w:color w:val="000000"/>
                      <w:kern w:val="0"/>
                      <w:sz w:val="21"/>
                      <w:szCs w:val="21"/>
                      <w:vertAlign w:val="baseline"/>
                      <w:lang w:eastAsia="zh-CN"/>
                    </w:rPr>
                    <w:t>）</w:t>
                  </w:r>
                </w:p>
              </w:tc>
              <w:tc>
                <w:tcPr>
                  <w:tcW w:w="712"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0.0744</w:t>
                  </w:r>
                </w:p>
              </w:tc>
              <w:tc>
                <w:tcPr>
                  <w:tcW w:w="613"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0.219</w:t>
                  </w:r>
                </w:p>
              </w:tc>
              <w:tc>
                <w:tcPr>
                  <w:tcW w:w="747"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0</w:t>
                  </w:r>
                </w:p>
              </w:tc>
              <w:tc>
                <w:tcPr>
                  <w:tcW w:w="654" w:type="pct"/>
                  <w:tcBorders>
                    <w:right w:val="single" w:color="auto" w:sz="4" w:space="0"/>
                  </w:tcBorders>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0.2934</w:t>
                  </w:r>
                </w:p>
              </w:tc>
              <w:tc>
                <w:tcPr>
                  <w:tcW w:w="674" w:type="pct"/>
                  <w:noWrap w:val="0"/>
                  <w:vAlign w:val="center"/>
                </w:tcPr>
                <w:p>
                  <w:pPr>
                    <w:adjustRightInd w:val="0"/>
                    <w:snapToGrid w:val="0"/>
                    <w:ind w:left="-105" w:leftChars="-50" w:right="-105" w:rightChars="-50"/>
                    <w:jc w:val="center"/>
                    <w:rPr>
                      <w:rFonts w:hint="default" w:ascii="Times New Roman" w:hAnsi="Times New Roman" w:eastAsia="宋体" w:cs="宋体"/>
                      <w:color w:val="000000"/>
                      <w:kern w:val="0"/>
                      <w:sz w:val="21"/>
                      <w:szCs w:val="21"/>
                      <w:lang w:val="en-US" w:eastAsia="zh-CN"/>
                    </w:rPr>
                  </w:pPr>
                  <w:r>
                    <w:rPr>
                      <w:rFonts w:hint="eastAsia" w:ascii="Times New Roman" w:hAnsi="Times New Roman" w:eastAsia="宋体" w:cs="宋体"/>
                      <w:color w:val="000000"/>
                      <w:kern w:val="0"/>
                      <w:sz w:val="21"/>
                      <w:szCs w:val="21"/>
                      <w:lang w:val="en-US" w:eastAsia="zh-CN"/>
                    </w:rPr>
                    <w:t>+</w:t>
                  </w:r>
                  <w:r>
                    <w:rPr>
                      <w:rFonts w:hint="eastAsia" w:cs="宋体"/>
                      <w:color w:val="000000" w:themeColor="text1"/>
                      <w:kern w:val="0"/>
                      <w:sz w:val="21"/>
                      <w:szCs w:val="21"/>
                      <w:lang w:val="en-US" w:eastAsia="zh-CN"/>
                      <w14:textFill>
                        <w14:solidFill>
                          <w14:schemeClr w14:val="tx1"/>
                        </w14:solidFill>
                      </w14:textFill>
                    </w:rPr>
                    <w:t>0.219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246" w:type="pct"/>
                  <w:vMerge w:val="continue"/>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407" w:type="pct"/>
                  <w:vMerge w:val="continue"/>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945" w:type="pct"/>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BOD</w:t>
                  </w:r>
                  <w:r>
                    <w:rPr>
                      <w:rFonts w:hint="eastAsia" w:ascii="Times New Roman" w:hAnsi="Times New Roman" w:eastAsia="宋体" w:cs="宋体"/>
                      <w:color w:val="000000"/>
                      <w:kern w:val="0"/>
                      <w:sz w:val="21"/>
                      <w:szCs w:val="21"/>
                      <w:vertAlign w:val="subscript"/>
                    </w:rPr>
                    <w:t>5</w:t>
                  </w:r>
                  <w:r>
                    <w:rPr>
                      <w:rFonts w:hint="eastAsia" w:cs="宋体"/>
                      <w:color w:val="000000"/>
                      <w:kern w:val="0"/>
                      <w:sz w:val="21"/>
                      <w:szCs w:val="21"/>
                      <w:vertAlign w:val="baseline"/>
                      <w:lang w:eastAsia="zh-CN"/>
                    </w:rPr>
                    <w:t>（</w:t>
                  </w:r>
                  <w:r>
                    <w:rPr>
                      <w:rFonts w:hint="eastAsia" w:ascii="Times New Roman" w:hAnsi="Times New Roman" w:eastAsia="宋体" w:cs="宋体"/>
                      <w:color w:val="000000"/>
                      <w:kern w:val="0"/>
                      <w:sz w:val="21"/>
                      <w:szCs w:val="21"/>
                      <w:vertAlign w:val="baseline"/>
                    </w:rPr>
                    <w:t>t/a</w:t>
                  </w:r>
                  <w:r>
                    <w:rPr>
                      <w:rFonts w:hint="eastAsia" w:cs="宋体"/>
                      <w:color w:val="000000"/>
                      <w:kern w:val="0"/>
                      <w:sz w:val="21"/>
                      <w:szCs w:val="21"/>
                      <w:vertAlign w:val="baseline"/>
                      <w:lang w:eastAsia="zh-CN"/>
                    </w:rPr>
                    <w:t>）</w:t>
                  </w:r>
                </w:p>
              </w:tc>
              <w:tc>
                <w:tcPr>
                  <w:tcW w:w="712"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0.360</w:t>
                  </w:r>
                </w:p>
              </w:tc>
              <w:tc>
                <w:tcPr>
                  <w:tcW w:w="613"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0.118</w:t>
                  </w:r>
                </w:p>
              </w:tc>
              <w:tc>
                <w:tcPr>
                  <w:tcW w:w="747"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0</w:t>
                  </w:r>
                </w:p>
              </w:tc>
              <w:tc>
                <w:tcPr>
                  <w:tcW w:w="654" w:type="pct"/>
                  <w:tcBorders>
                    <w:right w:val="single" w:color="auto" w:sz="4" w:space="0"/>
                  </w:tcBorders>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0.478</w:t>
                  </w:r>
                </w:p>
              </w:tc>
              <w:tc>
                <w:tcPr>
                  <w:tcW w:w="674" w:type="pct"/>
                  <w:noWrap w:val="0"/>
                  <w:vAlign w:val="center"/>
                </w:tcPr>
                <w:p>
                  <w:pPr>
                    <w:adjustRightInd w:val="0"/>
                    <w:snapToGrid w:val="0"/>
                    <w:ind w:left="-105" w:leftChars="-50" w:right="-105" w:rightChars="-50"/>
                    <w:jc w:val="center"/>
                    <w:rPr>
                      <w:rFonts w:hint="default" w:ascii="Times New Roman" w:hAnsi="Times New Roman" w:eastAsia="宋体" w:cs="宋体"/>
                      <w:color w:val="000000"/>
                      <w:kern w:val="0"/>
                      <w:sz w:val="21"/>
                      <w:szCs w:val="21"/>
                      <w:lang w:val="en-US" w:eastAsia="zh-CN"/>
                    </w:rPr>
                  </w:pPr>
                  <w:r>
                    <w:rPr>
                      <w:rFonts w:hint="eastAsia" w:ascii="Times New Roman" w:hAnsi="Times New Roman" w:eastAsia="宋体" w:cs="宋体"/>
                      <w:color w:val="000000"/>
                      <w:kern w:val="0"/>
                      <w:sz w:val="21"/>
                      <w:szCs w:val="21"/>
                      <w:lang w:val="en-US" w:eastAsia="zh-CN"/>
                    </w:rPr>
                    <w:t>+</w:t>
                  </w:r>
                  <w:r>
                    <w:rPr>
                      <w:rFonts w:hint="eastAsia" w:cs="宋体"/>
                      <w:color w:val="000000" w:themeColor="text1"/>
                      <w:kern w:val="0"/>
                      <w:sz w:val="21"/>
                      <w:szCs w:val="21"/>
                      <w:lang w:val="en-US" w:eastAsia="zh-CN"/>
                      <w14:textFill>
                        <w14:solidFill>
                          <w14:schemeClr w14:val="tx1"/>
                        </w14:solidFill>
                      </w14:textFill>
                    </w:rPr>
                    <w:t>0.118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246" w:type="pct"/>
                  <w:vMerge w:val="continue"/>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407" w:type="pct"/>
                  <w:vMerge w:val="continue"/>
                  <w:noWrap w:val="0"/>
                  <w:vAlign w:val="center"/>
                </w:tcPr>
                <w:p>
                  <w:pPr>
                    <w:widowControl/>
                    <w:adjustRightInd w:val="0"/>
                    <w:snapToGrid w:val="0"/>
                    <w:ind w:left="-105" w:leftChars="-50" w:right="-105" w:rightChars="-50"/>
                    <w:jc w:val="center"/>
                    <w:rPr>
                      <w:rFonts w:ascii="Times New Roman" w:hAnsi="Times New Roman" w:eastAsia="宋体" w:cs="宋体"/>
                      <w:color w:val="000000"/>
                      <w:kern w:val="0"/>
                      <w:sz w:val="21"/>
                      <w:szCs w:val="21"/>
                    </w:rPr>
                  </w:pPr>
                </w:p>
              </w:tc>
              <w:tc>
                <w:tcPr>
                  <w:tcW w:w="945" w:type="pct"/>
                  <w:noWrap w:val="0"/>
                  <w:vAlign w:val="center"/>
                </w:tcPr>
                <w:p>
                  <w:pPr>
                    <w:adjustRightInd w:val="0"/>
                    <w:snapToGrid w:val="0"/>
                    <w:ind w:left="-105" w:leftChars="-50" w:right="-105" w:rightChars="-50"/>
                    <w:jc w:val="center"/>
                    <w:rPr>
                      <w:rFonts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SS</w:t>
                  </w:r>
                  <w:r>
                    <w:rPr>
                      <w:rFonts w:hint="eastAsia" w:cs="宋体"/>
                      <w:color w:val="000000"/>
                      <w:kern w:val="0"/>
                      <w:sz w:val="21"/>
                      <w:szCs w:val="21"/>
                      <w:vertAlign w:val="baseline"/>
                      <w:lang w:eastAsia="zh-CN"/>
                    </w:rPr>
                    <w:t>（</w:t>
                  </w:r>
                  <w:r>
                    <w:rPr>
                      <w:rFonts w:hint="eastAsia" w:ascii="Times New Roman" w:hAnsi="Times New Roman" w:eastAsia="宋体" w:cs="宋体"/>
                      <w:color w:val="000000"/>
                      <w:kern w:val="0"/>
                      <w:sz w:val="21"/>
                      <w:szCs w:val="21"/>
                      <w:vertAlign w:val="baseline"/>
                    </w:rPr>
                    <w:t>t/a</w:t>
                  </w:r>
                  <w:r>
                    <w:rPr>
                      <w:rFonts w:hint="eastAsia" w:cs="宋体"/>
                      <w:color w:val="000000"/>
                      <w:kern w:val="0"/>
                      <w:sz w:val="21"/>
                      <w:szCs w:val="21"/>
                      <w:vertAlign w:val="baseline"/>
                      <w:lang w:eastAsia="zh-CN"/>
                    </w:rPr>
                    <w:t>）</w:t>
                  </w:r>
                </w:p>
              </w:tc>
              <w:tc>
                <w:tcPr>
                  <w:tcW w:w="712" w:type="pct"/>
                  <w:noWrap w:val="0"/>
                  <w:vAlign w:val="center"/>
                </w:tcPr>
                <w:p>
                  <w:pPr>
                    <w:widowControl/>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0.0248</w:t>
                  </w:r>
                </w:p>
              </w:tc>
              <w:tc>
                <w:tcPr>
                  <w:tcW w:w="613" w:type="pct"/>
                  <w:noWrap w:val="0"/>
                  <w:vAlign w:val="center"/>
                </w:tcPr>
                <w:p>
                  <w:pPr>
                    <w:widowControl/>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0.061</w:t>
                  </w:r>
                </w:p>
              </w:tc>
              <w:tc>
                <w:tcPr>
                  <w:tcW w:w="747" w:type="pct"/>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0</w:t>
                  </w:r>
                </w:p>
              </w:tc>
              <w:tc>
                <w:tcPr>
                  <w:tcW w:w="654" w:type="pct"/>
                  <w:tcBorders>
                    <w:right w:val="single" w:color="auto" w:sz="4" w:space="0"/>
                  </w:tcBorders>
                  <w:noWrap w:val="0"/>
                  <w:vAlign w:val="center"/>
                </w:tcPr>
                <w:p>
                  <w:pPr>
                    <w:widowControl/>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0.0858</w:t>
                  </w:r>
                </w:p>
              </w:tc>
              <w:tc>
                <w:tcPr>
                  <w:tcW w:w="674" w:type="pct"/>
                  <w:noWrap w:val="0"/>
                  <w:vAlign w:val="center"/>
                </w:tcPr>
                <w:p>
                  <w:pPr>
                    <w:widowControl/>
                    <w:adjustRightInd w:val="0"/>
                    <w:snapToGrid w:val="0"/>
                    <w:ind w:left="-105" w:leftChars="-50" w:right="-105" w:rightChars="-50"/>
                    <w:jc w:val="center"/>
                    <w:rPr>
                      <w:rFonts w:hint="default" w:ascii="Times New Roman" w:hAnsi="Times New Roman" w:eastAsia="宋体" w:cs="宋体"/>
                      <w:color w:val="000000"/>
                      <w:kern w:val="0"/>
                      <w:sz w:val="21"/>
                      <w:szCs w:val="21"/>
                      <w:lang w:val="en-US" w:eastAsia="zh-CN"/>
                    </w:rPr>
                  </w:pPr>
                  <w:r>
                    <w:rPr>
                      <w:rFonts w:hint="eastAsia" w:ascii="Times New Roman" w:hAnsi="Times New Roman" w:eastAsia="宋体" w:cs="宋体"/>
                      <w:color w:val="000000"/>
                      <w:kern w:val="0"/>
                      <w:sz w:val="21"/>
                      <w:szCs w:val="21"/>
                      <w:lang w:val="en-US" w:eastAsia="zh-CN"/>
                    </w:rPr>
                    <w:t>+</w:t>
                  </w:r>
                  <w:r>
                    <w:rPr>
                      <w:rFonts w:hint="eastAsia" w:cs="宋体"/>
                      <w:color w:val="000000" w:themeColor="text1"/>
                      <w:kern w:val="0"/>
                      <w:sz w:val="21"/>
                      <w:szCs w:val="21"/>
                      <w:lang w:val="en-US" w:eastAsia="zh-CN"/>
                      <w14:textFill>
                        <w14:solidFill>
                          <w14:schemeClr w14:val="tx1"/>
                        </w14:solidFill>
                      </w14:textFill>
                    </w:rPr>
                    <w:t>0.061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5" w:hRule="atLeast"/>
                <w:jc w:val="center"/>
              </w:trPr>
              <w:tc>
                <w:tcPr>
                  <w:tcW w:w="246" w:type="pct"/>
                  <w:vMerge w:val="continue"/>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407" w:type="pct"/>
                  <w:vMerge w:val="continue"/>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945" w:type="pct"/>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NH</w:t>
                  </w:r>
                  <w:r>
                    <w:rPr>
                      <w:rFonts w:hint="eastAsia" w:ascii="Times New Roman" w:hAnsi="Times New Roman" w:eastAsia="宋体" w:cs="宋体"/>
                      <w:color w:val="000000"/>
                      <w:kern w:val="0"/>
                      <w:sz w:val="21"/>
                      <w:szCs w:val="21"/>
                      <w:vertAlign w:val="subscript"/>
                    </w:rPr>
                    <w:t>3</w:t>
                  </w:r>
                  <w:r>
                    <w:rPr>
                      <w:rFonts w:hint="eastAsia" w:ascii="Times New Roman" w:hAnsi="Times New Roman" w:eastAsia="宋体" w:cs="宋体"/>
                      <w:color w:val="000000"/>
                      <w:kern w:val="0"/>
                      <w:sz w:val="21"/>
                      <w:szCs w:val="21"/>
                    </w:rPr>
                    <w:t>-N</w:t>
                  </w:r>
                  <w:r>
                    <w:rPr>
                      <w:rFonts w:hint="eastAsia" w:cs="宋体"/>
                      <w:color w:val="000000"/>
                      <w:kern w:val="0"/>
                      <w:sz w:val="21"/>
                      <w:szCs w:val="21"/>
                      <w:vertAlign w:val="baseline"/>
                      <w:lang w:eastAsia="zh-CN"/>
                    </w:rPr>
                    <w:t>（</w:t>
                  </w:r>
                  <w:r>
                    <w:rPr>
                      <w:rFonts w:hint="eastAsia" w:ascii="Times New Roman" w:hAnsi="Times New Roman" w:eastAsia="宋体" w:cs="宋体"/>
                      <w:color w:val="000000"/>
                      <w:kern w:val="0"/>
                      <w:sz w:val="21"/>
                      <w:szCs w:val="21"/>
                      <w:vertAlign w:val="baseline"/>
                    </w:rPr>
                    <w:t>t/a</w:t>
                  </w:r>
                  <w:r>
                    <w:rPr>
                      <w:rFonts w:hint="eastAsia" w:cs="宋体"/>
                      <w:color w:val="000000"/>
                      <w:kern w:val="0"/>
                      <w:sz w:val="21"/>
                      <w:szCs w:val="21"/>
                      <w:vertAlign w:val="baseline"/>
                      <w:lang w:eastAsia="zh-CN"/>
                    </w:rPr>
                    <w:t>）</w:t>
                  </w:r>
                </w:p>
              </w:tc>
              <w:tc>
                <w:tcPr>
                  <w:tcW w:w="712"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0.366</w:t>
                  </w:r>
                </w:p>
              </w:tc>
              <w:tc>
                <w:tcPr>
                  <w:tcW w:w="613"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0.013</w:t>
                  </w:r>
                </w:p>
              </w:tc>
              <w:tc>
                <w:tcPr>
                  <w:tcW w:w="747"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0</w:t>
                  </w:r>
                </w:p>
              </w:tc>
              <w:tc>
                <w:tcPr>
                  <w:tcW w:w="654" w:type="pct"/>
                  <w:tcBorders>
                    <w:right w:val="single" w:color="auto" w:sz="4" w:space="0"/>
                  </w:tcBorders>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0.379</w:t>
                  </w:r>
                </w:p>
              </w:tc>
              <w:tc>
                <w:tcPr>
                  <w:tcW w:w="674" w:type="pct"/>
                  <w:noWrap w:val="0"/>
                  <w:vAlign w:val="center"/>
                </w:tcPr>
                <w:p>
                  <w:pPr>
                    <w:adjustRightInd w:val="0"/>
                    <w:snapToGrid w:val="0"/>
                    <w:ind w:left="-105" w:leftChars="-50" w:right="-105" w:rightChars="-50"/>
                    <w:jc w:val="center"/>
                    <w:rPr>
                      <w:rFonts w:hint="default" w:ascii="Times New Roman" w:hAnsi="Times New Roman" w:eastAsia="宋体" w:cs="宋体"/>
                      <w:color w:val="000000"/>
                      <w:kern w:val="0"/>
                      <w:sz w:val="21"/>
                      <w:szCs w:val="21"/>
                      <w:lang w:val="en-US" w:eastAsia="zh-CN"/>
                    </w:rPr>
                  </w:pPr>
                  <w:r>
                    <w:rPr>
                      <w:rFonts w:hint="eastAsia" w:ascii="Times New Roman" w:hAnsi="Times New Roman" w:eastAsia="宋体" w:cs="宋体"/>
                      <w:color w:val="000000"/>
                      <w:kern w:val="0"/>
                      <w:sz w:val="21"/>
                      <w:szCs w:val="21"/>
                      <w:lang w:val="en-US" w:eastAsia="zh-CN"/>
                    </w:rPr>
                    <w:t>+</w:t>
                  </w:r>
                  <w:r>
                    <w:rPr>
                      <w:rFonts w:hint="eastAsia" w:cs="宋体"/>
                      <w:color w:val="000000" w:themeColor="text1"/>
                      <w:kern w:val="0"/>
                      <w:sz w:val="21"/>
                      <w:szCs w:val="21"/>
                      <w:lang w:val="en-US" w:eastAsia="zh-CN"/>
                      <w14:textFill>
                        <w14:solidFill>
                          <w14:schemeClr w14:val="tx1"/>
                        </w14:solidFill>
                      </w14:textFill>
                    </w:rPr>
                    <w:t>0.013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246" w:type="pct"/>
                  <w:vMerge w:val="restart"/>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固</w:t>
                  </w:r>
                </w:p>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废</w:t>
                  </w:r>
                </w:p>
              </w:tc>
              <w:tc>
                <w:tcPr>
                  <w:tcW w:w="407" w:type="pct"/>
                  <w:vMerge w:val="restart"/>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固体</w:t>
                  </w:r>
                </w:p>
                <w:p>
                  <w:pPr>
                    <w:adjustRightInd w:val="0"/>
                    <w:snapToGrid w:val="0"/>
                    <w:ind w:left="-105" w:leftChars="-50" w:right="-105" w:rightChars="-50"/>
                    <w:jc w:val="center"/>
                    <w:rPr>
                      <w:rFonts w:hint="eastAsia" w:ascii="Times New Roman" w:hAnsi="Times New Roman" w:eastAsia="宋体" w:cs="宋体"/>
                      <w:color w:val="000000"/>
                      <w:kern w:val="0"/>
                      <w:sz w:val="21"/>
                      <w:szCs w:val="21"/>
                    </w:rPr>
                  </w:pPr>
                  <w:r>
                    <w:rPr>
                      <w:rFonts w:hint="eastAsia" w:ascii="Times New Roman" w:hAnsi="Times New Roman" w:eastAsia="宋体" w:cs="宋体"/>
                      <w:color w:val="000000"/>
                      <w:kern w:val="0"/>
                      <w:sz w:val="21"/>
                      <w:szCs w:val="21"/>
                    </w:rPr>
                    <w:t>废物</w:t>
                  </w:r>
                </w:p>
              </w:tc>
              <w:tc>
                <w:tcPr>
                  <w:tcW w:w="945" w:type="pct"/>
                  <w:noWrap w:val="0"/>
                  <w:vAlign w:val="center"/>
                </w:tcPr>
                <w:p>
                  <w:pPr>
                    <w:adjustRightInd w:val="0"/>
                    <w:snapToGrid w:val="0"/>
                    <w:ind w:left="-105" w:leftChars="-50" w:right="-50"/>
                    <w:jc w:val="center"/>
                    <w:rPr>
                      <w:rFonts w:hint="eastAsia" w:ascii="Times New Roman" w:hAnsi="Times New Roman" w:eastAsia="宋体"/>
                      <w:color w:val="000000"/>
                      <w:sz w:val="21"/>
                      <w:szCs w:val="21"/>
                    </w:rPr>
                  </w:pPr>
                  <w:r>
                    <w:rPr>
                      <w:rFonts w:hint="eastAsia" w:ascii="Times New Roman" w:hAnsi="Times New Roman" w:eastAsia="宋体"/>
                      <w:color w:val="000000"/>
                      <w:sz w:val="21"/>
                      <w:szCs w:val="21"/>
                      <w:lang w:val="en-US" w:eastAsia="zh-CN"/>
                    </w:rPr>
                    <w:t>医疗垃圾</w:t>
                  </w:r>
                  <w:r>
                    <w:rPr>
                      <w:rFonts w:hint="eastAsia" w:cs="宋体"/>
                      <w:color w:val="000000"/>
                      <w:kern w:val="0"/>
                      <w:sz w:val="21"/>
                      <w:szCs w:val="21"/>
                      <w:vertAlign w:val="baseline"/>
                      <w:lang w:eastAsia="zh-CN"/>
                    </w:rPr>
                    <w:t>（</w:t>
                  </w:r>
                  <w:r>
                    <w:rPr>
                      <w:rFonts w:hint="eastAsia" w:ascii="Times New Roman" w:hAnsi="Times New Roman" w:eastAsia="宋体" w:cs="宋体"/>
                      <w:color w:val="000000"/>
                      <w:kern w:val="0"/>
                      <w:sz w:val="21"/>
                      <w:szCs w:val="21"/>
                      <w:vertAlign w:val="baseline"/>
                    </w:rPr>
                    <w:t>t/a</w:t>
                  </w:r>
                  <w:r>
                    <w:rPr>
                      <w:rFonts w:hint="eastAsia" w:cs="宋体"/>
                      <w:color w:val="000000"/>
                      <w:kern w:val="0"/>
                      <w:sz w:val="21"/>
                      <w:szCs w:val="21"/>
                      <w:vertAlign w:val="baseline"/>
                      <w:lang w:eastAsia="zh-CN"/>
                    </w:rPr>
                    <w:t>）</w:t>
                  </w:r>
                </w:p>
              </w:tc>
              <w:tc>
                <w:tcPr>
                  <w:tcW w:w="712" w:type="pct"/>
                  <w:noWrap w:val="0"/>
                  <w:vAlign w:val="center"/>
                </w:tcPr>
                <w:p>
                  <w:pPr>
                    <w:adjustRightInd w:val="0"/>
                    <w:snapToGrid w:val="0"/>
                    <w:ind w:left="-105" w:leftChars="-50" w:right="-5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4.25</w:t>
                  </w:r>
                </w:p>
              </w:tc>
              <w:tc>
                <w:tcPr>
                  <w:tcW w:w="613" w:type="pct"/>
                  <w:noWrap w:val="0"/>
                  <w:vAlign w:val="center"/>
                </w:tcPr>
                <w:p>
                  <w:pPr>
                    <w:adjustRightInd w:val="0"/>
                    <w:snapToGrid w:val="0"/>
                    <w:ind w:left="-105" w:leftChars="-50" w:right="-5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43.8</w:t>
                  </w:r>
                </w:p>
              </w:tc>
              <w:tc>
                <w:tcPr>
                  <w:tcW w:w="747"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14:textFill>
                        <w14:solidFill>
                          <w14:schemeClr w14:val="tx1"/>
                        </w14:solidFill>
                      </w14:textFill>
                    </w:rPr>
                  </w:pPr>
                  <w:r>
                    <w:rPr>
                      <w:rFonts w:hint="eastAsia" w:ascii="Times New Roman" w:hAnsi="Times New Roman" w:eastAsia="宋体" w:cs="宋体"/>
                      <w:color w:val="000000" w:themeColor="text1"/>
                      <w:kern w:val="0"/>
                      <w:sz w:val="21"/>
                      <w:szCs w:val="21"/>
                      <w14:textFill>
                        <w14:solidFill>
                          <w14:schemeClr w14:val="tx1"/>
                        </w14:solidFill>
                      </w14:textFill>
                    </w:rPr>
                    <w:t>0</w:t>
                  </w:r>
                </w:p>
              </w:tc>
              <w:tc>
                <w:tcPr>
                  <w:tcW w:w="654" w:type="pct"/>
                  <w:tcBorders>
                    <w:right w:val="single" w:color="auto" w:sz="4" w:space="0"/>
                  </w:tcBorders>
                  <w:noWrap w:val="0"/>
                  <w:vAlign w:val="center"/>
                </w:tcPr>
                <w:p>
                  <w:pPr>
                    <w:adjustRightInd w:val="0"/>
                    <w:snapToGrid w:val="0"/>
                    <w:ind w:left="-105" w:leftChars="-50" w:right="-50" w:rightChars="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48.05</w:t>
                  </w:r>
                </w:p>
              </w:tc>
              <w:tc>
                <w:tcPr>
                  <w:tcW w:w="674" w:type="pct"/>
                  <w:noWrap w:val="0"/>
                  <w:vAlign w:val="center"/>
                </w:tcPr>
                <w:p>
                  <w:pPr>
                    <w:adjustRightInd w:val="0"/>
                    <w:snapToGrid w:val="0"/>
                    <w:ind w:left="-105" w:leftChars="-50" w:right="-5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43.8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jc w:val="center"/>
              </w:trPr>
              <w:tc>
                <w:tcPr>
                  <w:tcW w:w="246" w:type="pct"/>
                  <w:vMerge w:val="continue"/>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407" w:type="pct"/>
                  <w:vMerge w:val="continue"/>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945" w:type="pct"/>
                  <w:noWrap w:val="0"/>
                  <w:vAlign w:val="center"/>
                </w:tcPr>
                <w:p>
                  <w:pPr>
                    <w:adjustRightInd w:val="0"/>
                    <w:snapToGrid w:val="0"/>
                    <w:ind w:left="-105" w:leftChars="-50" w:right="-50"/>
                    <w:jc w:val="center"/>
                    <w:rPr>
                      <w:rFonts w:hint="eastAsia" w:ascii="Times New Roman" w:hAnsi="Times New Roman" w:eastAsia="宋体"/>
                      <w:color w:val="000000"/>
                      <w:sz w:val="21"/>
                      <w:szCs w:val="21"/>
                    </w:rPr>
                  </w:pPr>
                  <w:r>
                    <w:rPr>
                      <w:rFonts w:hint="eastAsia" w:ascii="Times New Roman" w:hAnsi="Times New Roman" w:eastAsia="宋体"/>
                      <w:color w:val="000000"/>
                      <w:sz w:val="21"/>
                      <w:szCs w:val="21"/>
                    </w:rPr>
                    <w:t>污泥</w:t>
                  </w:r>
                  <w:r>
                    <w:rPr>
                      <w:rFonts w:hint="eastAsia" w:cs="宋体"/>
                      <w:color w:val="000000"/>
                      <w:kern w:val="0"/>
                      <w:sz w:val="21"/>
                      <w:szCs w:val="21"/>
                      <w:vertAlign w:val="baseline"/>
                      <w:lang w:eastAsia="zh-CN"/>
                    </w:rPr>
                    <w:t>（</w:t>
                  </w:r>
                  <w:r>
                    <w:rPr>
                      <w:rFonts w:hint="eastAsia" w:ascii="Times New Roman" w:hAnsi="Times New Roman" w:eastAsia="宋体" w:cs="宋体"/>
                      <w:color w:val="000000"/>
                      <w:kern w:val="0"/>
                      <w:sz w:val="21"/>
                      <w:szCs w:val="21"/>
                      <w:vertAlign w:val="baseline"/>
                    </w:rPr>
                    <w:t>t/a</w:t>
                  </w:r>
                  <w:r>
                    <w:rPr>
                      <w:rFonts w:hint="eastAsia" w:cs="宋体"/>
                      <w:color w:val="000000"/>
                      <w:kern w:val="0"/>
                      <w:sz w:val="21"/>
                      <w:szCs w:val="21"/>
                      <w:vertAlign w:val="baseline"/>
                      <w:lang w:eastAsia="zh-CN"/>
                    </w:rPr>
                    <w:t>）</w:t>
                  </w:r>
                </w:p>
              </w:tc>
              <w:tc>
                <w:tcPr>
                  <w:tcW w:w="712" w:type="pct"/>
                  <w:noWrap w:val="0"/>
                  <w:vAlign w:val="center"/>
                </w:tcPr>
                <w:p>
                  <w:pPr>
                    <w:adjustRightInd w:val="0"/>
                    <w:snapToGrid w:val="0"/>
                    <w:ind w:left="-105" w:leftChars="-50" w:right="-5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w:t>
                  </w:r>
                </w:p>
              </w:tc>
              <w:tc>
                <w:tcPr>
                  <w:tcW w:w="613" w:type="pct"/>
                  <w:noWrap w:val="0"/>
                  <w:vAlign w:val="center"/>
                </w:tcPr>
                <w:p>
                  <w:pPr>
                    <w:adjustRightInd w:val="0"/>
                    <w:snapToGrid w:val="0"/>
                    <w:ind w:left="-105" w:leftChars="-50" w:right="-50"/>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1.36</w:t>
                  </w:r>
                </w:p>
              </w:tc>
              <w:tc>
                <w:tcPr>
                  <w:tcW w:w="747"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14:textFill>
                        <w14:solidFill>
                          <w14:schemeClr w14:val="tx1"/>
                        </w14:solidFill>
                      </w14:textFill>
                    </w:rPr>
                  </w:pPr>
                  <w:r>
                    <w:rPr>
                      <w:rFonts w:hint="eastAsia" w:ascii="Times New Roman" w:hAnsi="Times New Roman" w:eastAsia="宋体" w:cs="宋体"/>
                      <w:color w:val="000000" w:themeColor="text1"/>
                      <w:kern w:val="0"/>
                      <w:sz w:val="21"/>
                      <w:szCs w:val="21"/>
                      <w14:textFill>
                        <w14:solidFill>
                          <w14:schemeClr w14:val="tx1"/>
                        </w14:solidFill>
                      </w14:textFill>
                    </w:rPr>
                    <w:t>0</w:t>
                  </w:r>
                </w:p>
              </w:tc>
              <w:tc>
                <w:tcPr>
                  <w:tcW w:w="654" w:type="pct"/>
                  <w:tcBorders>
                    <w:right w:val="single" w:color="auto" w:sz="4" w:space="0"/>
                  </w:tcBorders>
                  <w:noWrap w:val="0"/>
                  <w:vAlign w:val="center"/>
                </w:tcPr>
                <w:p>
                  <w:pPr>
                    <w:adjustRightInd w:val="0"/>
                    <w:snapToGrid w:val="0"/>
                    <w:ind w:left="-105" w:leftChars="-50" w:right="-50" w:rightChars="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1.36</w:t>
                  </w:r>
                </w:p>
              </w:tc>
              <w:tc>
                <w:tcPr>
                  <w:tcW w:w="674" w:type="pct"/>
                  <w:noWrap w:val="0"/>
                  <w:vAlign w:val="center"/>
                </w:tcPr>
                <w:p>
                  <w:pPr>
                    <w:adjustRightInd w:val="0"/>
                    <w:snapToGrid w:val="0"/>
                    <w:ind w:left="-105" w:leftChars="-50" w:right="-50"/>
                    <w:jc w:val="center"/>
                    <w:rPr>
                      <w:rFonts w:hint="default" w:ascii="Times New Roman" w:hAnsi="Times New Roman" w:eastAsia="宋体"/>
                      <w:color w:val="000000"/>
                      <w:sz w:val="21"/>
                      <w:szCs w:val="21"/>
                      <w:lang w:val="en-US" w:eastAsia="zh-CN"/>
                    </w:rPr>
                  </w:pPr>
                  <w:r>
                    <w:rPr>
                      <w:rFonts w:hint="eastAsia" w:ascii="Times New Roman" w:hAnsi="Times New Roman" w:eastAsia="宋体"/>
                      <w:color w:val="000000"/>
                      <w:sz w:val="21"/>
                      <w:szCs w:val="21"/>
                    </w:rPr>
                    <w:t>+</w:t>
                  </w:r>
                  <w:r>
                    <w:rPr>
                      <w:rFonts w:hint="eastAsia"/>
                      <w:color w:val="000000" w:themeColor="text1"/>
                      <w:sz w:val="21"/>
                      <w:szCs w:val="21"/>
                      <w:lang w:val="en-US" w:eastAsia="zh-CN"/>
                      <w14:textFill>
                        <w14:solidFill>
                          <w14:schemeClr w14:val="tx1"/>
                        </w14:solidFill>
                      </w14:textFill>
                    </w:rPr>
                    <w:t>1.36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8" w:hRule="atLeast"/>
                <w:jc w:val="center"/>
              </w:trPr>
              <w:tc>
                <w:tcPr>
                  <w:tcW w:w="246" w:type="pct"/>
                  <w:vMerge w:val="continue"/>
                  <w:noWrap w:val="0"/>
                  <w:vAlign w:val="center"/>
                </w:tcPr>
                <w:p>
                  <w:pPr>
                    <w:widowControl/>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407" w:type="pct"/>
                  <w:vMerge w:val="continue"/>
                  <w:noWrap w:val="0"/>
                  <w:vAlign w:val="center"/>
                </w:tcPr>
                <w:p>
                  <w:pPr>
                    <w:adjustRightInd w:val="0"/>
                    <w:snapToGrid w:val="0"/>
                    <w:ind w:left="-105" w:leftChars="-50" w:right="-105" w:rightChars="-50"/>
                    <w:jc w:val="center"/>
                    <w:rPr>
                      <w:rFonts w:hint="eastAsia" w:ascii="Times New Roman" w:hAnsi="Times New Roman" w:eastAsia="宋体" w:cs="宋体"/>
                      <w:color w:val="000000"/>
                      <w:kern w:val="0"/>
                      <w:sz w:val="21"/>
                      <w:szCs w:val="21"/>
                    </w:rPr>
                  </w:pPr>
                </w:p>
              </w:tc>
              <w:tc>
                <w:tcPr>
                  <w:tcW w:w="945"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14:textFill>
                        <w14:solidFill>
                          <w14:schemeClr w14:val="tx1"/>
                        </w14:solidFill>
                      </w14:textFill>
                    </w:rPr>
                  </w:pPr>
                  <w:r>
                    <w:rPr>
                      <w:rFonts w:hint="eastAsia" w:ascii="Times New Roman" w:hAnsi="Times New Roman" w:eastAsia="宋体" w:cs="宋体"/>
                      <w:color w:val="000000" w:themeColor="text1"/>
                      <w:kern w:val="0"/>
                      <w:sz w:val="21"/>
                      <w:szCs w:val="21"/>
                      <w14:textFill>
                        <w14:solidFill>
                          <w14:schemeClr w14:val="tx1"/>
                        </w14:solidFill>
                      </w14:textFill>
                    </w:rPr>
                    <w:t>生活垃圾(t/a)</w:t>
                  </w:r>
                </w:p>
              </w:tc>
              <w:tc>
                <w:tcPr>
                  <w:tcW w:w="712" w:type="pct"/>
                  <w:noWrap w:val="0"/>
                  <w:vAlign w:val="center"/>
                </w:tcPr>
                <w:p>
                  <w:pPr>
                    <w:adjustRightInd w:val="0"/>
                    <w:snapToGrid w:val="0"/>
                    <w:ind w:left="-105" w:leftChars="-50" w:right="-105" w:rightChars="-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100</w:t>
                  </w:r>
                </w:p>
              </w:tc>
              <w:tc>
                <w:tcPr>
                  <w:tcW w:w="613" w:type="pct"/>
                  <w:noWrap w:val="0"/>
                  <w:vAlign w:val="center"/>
                </w:tcPr>
                <w:p>
                  <w:pPr>
                    <w:adjustRightInd w:val="0"/>
                    <w:snapToGrid w:val="0"/>
                    <w:ind w:left="-105" w:leftChars="-50" w:right="-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63.87</w:t>
                  </w:r>
                </w:p>
              </w:tc>
              <w:tc>
                <w:tcPr>
                  <w:tcW w:w="747" w:type="pct"/>
                  <w:noWrap w:val="0"/>
                  <w:vAlign w:val="center"/>
                </w:tcPr>
                <w:p>
                  <w:pPr>
                    <w:adjustRightInd w:val="0"/>
                    <w:snapToGrid w:val="0"/>
                    <w:ind w:left="-105" w:leftChars="-50" w:right="-105" w:rightChars="-50"/>
                    <w:jc w:val="center"/>
                    <w:rPr>
                      <w:rFonts w:hint="eastAsia" w:ascii="Times New Roman" w:hAnsi="Times New Roman" w:eastAsia="宋体" w:cs="宋体"/>
                      <w:color w:val="000000" w:themeColor="text1"/>
                      <w:kern w:val="0"/>
                      <w:sz w:val="21"/>
                      <w:szCs w:val="21"/>
                      <w14:textFill>
                        <w14:solidFill>
                          <w14:schemeClr w14:val="tx1"/>
                        </w14:solidFill>
                      </w14:textFill>
                    </w:rPr>
                  </w:pPr>
                  <w:r>
                    <w:rPr>
                      <w:rFonts w:hint="eastAsia" w:ascii="Times New Roman" w:hAnsi="Times New Roman" w:eastAsia="宋体" w:cs="宋体"/>
                      <w:color w:val="000000" w:themeColor="text1"/>
                      <w:kern w:val="0"/>
                      <w:sz w:val="21"/>
                      <w:szCs w:val="21"/>
                      <w14:textFill>
                        <w14:solidFill>
                          <w14:schemeClr w14:val="tx1"/>
                        </w14:solidFill>
                      </w14:textFill>
                    </w:rPr>
                    <w:t>0</w:t>
                  </w:r>
                </w:p>
              </w:tc>
              <w:tc>
                <w:tcPr>
                  <w:tcW w:w="654" w:type="pct"/>
                  <w:tcBorders>
                    <w:right w:val="single" w:color="auto" w:sz="4" w:space="0"/>
                  </w:tcBorders>
                  <w:noWrap w:val="0"/>
                  <w:vAlign w:val="center"/>
                </w:tcPr>
                <w:p>
                  <w:pPr>
                    <w:adjustRightInd w:val="0"/>
                    <w:snapToGrid w:val="0"/>
                    <w:ind w:left="-105" w:leftChars="-50" w:right="-50" w:rightChars="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cs="宋体"/>
                      <w:color w:val="000000" w:themeColor="text1"/>
                      <w:kern w:val="0"/>
                      <w:sz w:val="21"/>
                      <w:szCs w:val="21"/>
                      <w:lang w:val="en-US" w:eastAsia="zh-CN"/>
                      <w14:textFill>
                        <w14:solidFill>
                          <w14:schemeClr w14:val="tx1"/>
                        </w14:solidFill>
                      </w14:textFill>
                    </w:rPr>
                    <w:t>163.87</w:t>
                  </w:r>
                </w:p>
              </w:tc>
              <w:tc>
                <w:tcPr>
                  <w:tcW w:w="674" w:type="pct"/>
                  <w:noWrap w:val="0"/>
                  <w:vAlign w:val="center"/>
                </w:tcPr>
                <w:p>
                  <w:pPr>
                    <w:adjustRightInd w:val="0"/>
                    <w:snapToGrid w:val="0"/>
                    <w:ind w:left="-105" w:leftChars="-50" w:right="-50"/>
                    <w:jc w:val="center"/>
                    <w:rPr>
                      <w:rFonts w:hint="default" w:ascii="Times New Roman" w:hAnsi="Times New Roman" w:eastAsia="宋体" w:cs="宋体"/>
                      <w:color w:val="000000" w:themeColor="text1"/>
                      <w:kern w:val="0"/>
                      <w:sz w:val="21"/>
                      <w:szCs w:val="21"/>
                      <w:lang w:val="en-US" w:eastAsia="zh-CN"/>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14:textFill>
                        <w14:solidFill>
                          <w14:schemeClr w14:val="tx1"/>
                        </w14:solidFill>
                      </w14:textFill>
                    </w:rPr>
                    <w:t>+</w:t>
                  </w:r>
                  <w:r>
                    <w:rPr>
                      <w:rFonts w:hint="eastAsia" w:cs="宋体"/>
                      <w:color w:val="000000" w:themeColor="text1"/>
                      <w:kern w:val="0"/>
                      <w:sz w:val="21"/>
                      <w:szCs w:val="21"/>
                      <w:lang w:val="en-US" w:eastAsia="zh-CN"/>
                      <w14:textFill>
                        <w14:solidFill>
                          <w14:schemeClr w14:val="tx1"/>
                        </w14:solidFill>
                      </w14:textFill>
                    </w:rPr>
                    <w:t>63.87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5000" w:type="pct"/>
                  <w:gridSpan w:val="8"/>
                  <w:noWrap w:val="0"/>
                  <w:vAlign w:val="center"/>
                </w:tcPr>
                <w:p>
                  <w:pPr>
                    <w:adjustRightInd w:val="0"/>
                    <w:snapToGrid w:val="0"/>
                    <w:ind w:left="-105" w:leftChars="-50" w:right="-50"/>
                    <w:jc w:val="left"/>
                    <w:rPr>
                      <w:rFonts w:hint="eastAsia" w:ascii="Times New Roman" w:hAnsi="Times New Roman" w:eastAsia="宋体"/>
                      <w:color w:val="000000"/>
                      <w:sz w:val="21"/>
                      <w:szCs w:val="21"/>
                    </w:rPr>
                  </w:pPr>
                  <w:r>
                    <w:rPr>
                      <w:rFonts w:hint="eastAsia" w:ascii="Times New Roman" w:hAnsi="Times New Roman" w:eastAsia="宋体"/>
                      <w:color w:val="000000"/>
                      <w:sz w:val="21"/>
                      <w:szCs w:val="21"/>
                    </w:rPr>
                    <w:t>注：固废所列数据为产生量，均通过安全处置，不外排，排放量为0</w:t>
                  </w:r>
                </w:p>
              </w:tc>
            </w:tr>
          </w:tbl>
          <w:p>
            <w:pPr>
              <w:adjustRightInd w:val="0"/>
              <w:snapToGrid w:val="0"/>
              <w:spacing w:before="156" w:beforeLines="50" w:line="360" w:lineRule="auto"/>
              <w:ind w:firstLine="480" w:firstLineChars="200"/>
              <w:rPr>
                <w:rFonts w:hint="eastAsia"/>
                <w:color w:val="000000"/>
                <w:sz w:val="28"/>
              </w:rPr>
            </w:pPr>
            <w:r>
              <w:rPr>
                <w:rFonts w:hint="eastAsia" w:hAnsi="宋体"/>
                <w:color w:val="000000"/>
                <w:sz w:val="24"/>
                <w:lang w:val="en-US" w:eastAsia="zh-CN"/>
              </w:rPr>
              <w:t>本项目</w:t>
            </w:r>
            <w:r>
              <w:rPr>
                <w:rFonts w:hAnsi="宋体"/>
                <w:color w:val="000000"/>
                <w:sz w:val="24"/>
              </w:rPr>
              <w:t>在严格落实本环评提出的各项污染防治措施后，污染物可实现达标排放，符合环境管理的相关要求。</w:t>
            </w:r>
          </w:p>
          <w:p>
            <w:pPr>
              <w:pStyle w:val="27"/>
            </w:pPr>
          </w:p>
          <w:p/>
        </w:tc>
      </w:tr>
    </w:tbl>
    <w:p>
      <w:pPr>
        <w:adjustRightInd w:val="0"/>
        <w:snapToGrid w:val="0"/>
        <w:spacing w:line="360" w:lineRule="auto"/>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4"/>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15" w:name="_Hlk54167917"/>
      <w:r>
        <w:rPr>
          <w:rFonts w:hint="eastAsia" w:ascii="黑体" w:hAnsi="黑体" w:eastAsia="黑体"/>
          <w:snapToGrid w:val="0"/>
          <w:sz w:val="30"/>
          <w:szCs w:val="30"/>
        </w:rPr>
        <w:t>环境保护措施监督检查清单</w:t>
      </w:r>
      <w:bookmarkEnd w:id="15"/>
    </w:p>
    <w:tbl>
      <w:tblPr>
        <w:tblStyle w:val="28"/>
        <w:tblW w:w="889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562"/>
        <w:gridCol w:w="1115"/>
        <w:gridCol w:w="2677"/>
        <w:gridCol w:w="2380"/>
        <w:gridCol w:w="2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477" w:hRule="atLeast"/>
          <w:jc w:val="center"/>
        </w:trPr>
        <w:tc>
          <w:tcPr>
            <w:tcW w:w="1143" w:type="dxa"/>
            <w:tcBorders>
              <w:tl2br w:val="single" w:color="auto" w:sz="4" w:space="0"/>
            </w:tcBorders>
          </w:tcPr>
          <w:p>
            <w:pPr>
              <w:adjustRightInd w:val="0"/>
              <w:snapToGrid w:val="0"/>
              <w:ind w:firstLine="420" w:firstLineChars="200"/>
              <w:rPr>
                <w:sz w:val="21"/>
                <w:szCs w:val="21"/>
              </w:rPr>
            </w:pPr>
            <w:r>
              <w:rPr>
                <w:sz w:val="21"/>
                <w:szCs w:val="21"/>
              </w:rPr>
              <w:t>内容</w:t>
            </w:r>
          </w:p>
          <w:p>
            <w:pPr>
              <w:adjustRightInd w:val="0"/>
              <w:snapToGrid w:val="0"/>
              <w:rPr>
                <w:sz w:val="21"/>
                <w:szCs w:val="21"/>
              </w:rPr>
            </w:pPr>
            <w:r>
              <w:rPr>
                <w:sz w:val="21"/>
                <w:szCs w:val="21"/>
              </w:rPr>
              <w:t>要素</w:t>
            </w:r>
          </w:p>
        </w:tc>
        <w:tc>
          <w:tcPr>
            <w:tcW w:w="1562" w:type="dxa"/>
            <w:vAlign w:val="center"/>
          </w:tcPr>
          <w:p>
            <w:pPr>
              <w:adjustRightInd w:val="0"/>
              <w:snapToGrid w:val="0"/>
              <w:jc w:val="center"/>
              <w:rPr>
                <w:sz w:val="21"/>
                <w:szCs w:val="21"/>
              </w:rPr>
            </w:pPr>
            <w:r>
              <w:rPr>
                <w:sz w:val="21"/>
                <w:szCs w:val="21"/>
              </w:rPr>
              <w:t>排放口</w:t>
            </w:r>
            <w:r>
              <w:rPr>
                <w:rFonts w:hint="eastAsia"/>
                <w:sz w:val="21"/>
                <w:szCs w:val="21"/>
                <w:lang w:eastAsia="zh-CN"/>
              </w:rPr>
              <w:t>（</w:t>
            </w:r>
            <w:r>
              <w:rPr>
                <w:sz w:val="21"/>
                <w:szCs w:val="21"/>
              </w:rPr>
              <w:t>编号、</w:t>
            </w:r>
          </w:p>
          <w:p>
            <w:pPr>
              <w:adjustRightInd w:val="0"/>
              <w:snapToGrid w:val="0"/>
              <w:jc w:val="center"/>
              <w:rPr>
                <w:sz w:val="21"/>
                <w:szCs w:val="21"/>
              </w:rPr>
            </w:pPr>
            <w:r>
              <w:rPr>
                <w:sz w:val="21"/>
                <w:szCs w:val="21"/>
              </w:rPr>
              <w:t>名称</w:t>
            </w:r>
            <w:r>
              <w:rPr>
                <w:rFonts w:hint="eastAsia"/>
                <w:sz w:val="21"/>
                <w:szCs w:val="21"/>
                <w:lang w:eastAsia="zh-CN"/>
              </w:rPr>
              <w:t>）</w:t>
            </w:r>
            <w:r>
              <w:rPr>
                <w:sz w:val="21"/>
                <w:szCs w:val="21"/>
              </w:rPr>
              <w:t>/污染源</w:t>
            </w:r>
          </w:p>
        </w:tc>
        <w:tc>
          <w:tcPr>
            <w:tcW w:w="1115" w:type="dxa"/>
            <w:vAlign w:val="center"/>
          </w:tcPr>
          <w:p>
            <w:pPr>
              <w:adjustRightInd w:val="0"/>
              <w:snapToGrid w:val="0"/>
              <w:jc w:val="center"/>
              <w:rPr>
                <w:sz w:val="21"/>
                <w:szCs w:val="21"/>
              </w:rPr>
            </w:pPr>
            <w:r>
              <w:rPr>
                <w:sz w:val="21"/>
                <w:szCs w:val="21"/>
              </w:rPr>
              <w:t>污染物</w:t>
            </w:r>
          </w:p>
          <w:p>
            <w:pPr>
              <w:adjustRightInd w:val="0"/>
              <w:snapToGrid w:val="0"/>
              <w:jc w:val="center"/>
              <w:rPr>
                <w:sz w:val="21"/>
                <w:szCs w:val="21"/>
              </w:rPr>
            </w:pPr>
            <w:r>
              <w:rPr>
                <w:sz w:val="21"/>
                <w:szCs w:val="21"/>
              </w:rPr>
              <w:t>项目</w:t>
            </w:r>
          </w:p>
        </w:tc>
        <w:tc>
          <w:tcPr>
            <w:tcW w:w="2677" w:type="dxa"/>
            <w:vAlign w:val="center"/>
          </w:tcPr>
          <w:p>
            <w:pPr>
              <w:adjustRightInd w:val="0"/>
              <w:snapToGrid w:val="0"/>
              <w:jc w:val="center"/>
              <w:rPr>
                <w:sz w:val="21"/>
                <w:szCs w:val="21"/>
              </w:rPr>
            </w:pPr>
            <w:r>
              <w:rPr>
                <w:sz w:val="21"/>
                <w:szCs w:val="21"/>
              </w:rPr>
              <w:t>环境保护措施</w:t>
            </w:r>
          </w:p>
        </w:tc>
        <w:tc>
          <w:tcPr>
            <w:tcW w:w="2380" w:type="dxa"/>
            <w:vAlign w:val="center"/>
          </w:tcPr>
          <w:p>
            <w:pPr>
              <w:adjustRightInd w:val="0"/>
              <w:snapToGrid w:val="0"/>
              <w:jc w:val="center"/>
              <w:rPr>
                <w:sz w:val="21"/>
                <w:szCs w:val="21"/>
              </w:rPr>
            </w:pPr>
            <w:r>
              <w:rPr>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1657" w:hRule="atLeast"/>
          <w:jc w:val="center"/>
        </w:trPr>
        <w:tc>
          <w:tcPr>
            <w:tcW w:w="1143" w:type="dxa"/>
            <w:vAlign w:val="center"/>
          </w:tcPr>
          <w:p>
            <w:pPr>
              <w:adjustRightInd w:val="0"/>
              <w:snapToGrid w:val="0"/>
              <w:jc w:val="center"/>
              <w:rPr>
                <w:sz w:val="21"/>
                <w:szCs w:val="21"/>
              </w:rPr>
            </w:pPr>
            <w:r>
              <w:rPr>
                <w:sz w:val="21"/>
                <w:szCs w:val="21"/>
              </w:rPr>
              <w:t>大气环境</w:t>
            </w:r>
          </w:p>
        </w:tc>
        <w:tc>
          <w:tcPr>
            <w:tcW w:w="1562" w:type="dxa"/>
            <w:vAlign w:val="center"/>
          </w:tcPr>
          <w:p>
            <w:pPr>
              <w:adjustRightInd w:val="0"/>
              <w:snapToGrid w:val="0"/>
              <w:jc w:val="center"/>
              <w:rPr>
                <w:sz w:val="21"/>
                <w:szCs w:val="21"/>
              </w:rPr>
            </w:pPr>
            <w:r>
              <w:rPr>
                <w:sz w:val="21"/>
                <w:szCs w:val="21"/>
              </w:rPr>
              <w:t>污水处理站</w:t>
            </w:r>
          </w:p>
        </w:tc>
        <w:tc>
          <w:tcPr>
            <w:tcW w:w="1115" w:type="dxa"/>
            <w:vAlign w:val="center"/>
          </w:tcPr>
          <w:p>
            <w:pPr>
              <w:adjustRightInd w:val="0"/>
              <w:snapToGrid w:val="0"/>
              <w:jc w:val="center"/>
              <w:rPr>
                <w:sz w:val="21"/>
                <w:szCs w:val="21"/>
              </w:rPr>
            </w:pPr>
            <w:r>
              <w:rPr>
                <w:rFonts w:hint="eastAsia"/>
                <w:sz w:val="21"/>
                <w:szCs w:val="21"/>
              </w:rPr>
              <w:t>NH</w:t>
            </w:r>
            <w:r>
              <w:rPr>
                <w:rFonts w:hint="eastAsia"/>
                <w:sz w:val="21"/>
                <w:szCs w:val="21"/>
                <w:vertAlign w:val="subscript"/>
              </w:rPr>
              <w:t>3</w:t>
            </w:r>
            <w:r>
              <w:rPr>
                <w:rFonts w:hint="eastAsia"/>
                <w:sz w:val="21"/>
                <w:szCs w:val="21"/>
              </w:rPr>
              <w:t>、H</w:t>
            </w:r>
            <w:r>
              <w:rPr>
                <w:rFonts w:hint="eastAsia"/>
                <w:sz w:val="21"/>
                <w:szCs w:val="21"/>
                <w:vertAlign w:val="subscript"/>
              </w:rPr>
              <w:t>2</w:t>
            </w:r>
            <w:r>
              <w:rPr>
                <w:rFonts w:hint="eastAsia"/>
                <w:sz w:val="21"/>
                <w:szCs w:val="21"/>
              </w:rPr>
              <w:t>S</w:t>
            </w:r>
          </w:p>
        </w:tc>
        <w:tc>
          <w:tcPr>
            <w:tcW w:w="2677" w:type="dxa"/>
            <w:vAlign w:val="center"/>
          </w:tcPr>
          <w:p>
            <w:pPr>
              <w:adjustRightInd w:val="0"/>
              <w:snapToGrid w:val="0"/>
              <w:jc w:val="left"/>
              <w:rPr>
                <w:sz w:val="21"/>
                <w:szCs w:val="21"/>
              </w:rPr>
            </w:pPr>
            <w:r>
              <w:rPr>
                <w:rFonts w:ascii="Times New Roman" w:hAnsi="Times New Roman" w:eastAsia="宋体" w:cs="Times New Roman"/>
                <w:color w:val="auto"/>
                <w:kern w:val="2"/>
                <w:sz w:val="21"/>
                <w:szCs w:val="21"/>
                <w:lang w:val="en-US" w:eastAsia="zh-CN" w:bidi="ar-SA"/>
              </w:rPr>
              <w:t>采用</w:t>
            </w:r>
            <w:r>
              <w:rPr>
                <w:rFonts w:hint="eastAsia" w:cs="Times New Roman"/>
                <w:color w:val="auto"/>
                <w:kern w:val="2"/>
                <w:sz w:val="21"/>
                <w:szCs w:val="21"/>
                <w:lang w:val="en-US" w:eastAsia="zh-CN" w:bidi="ar-SA"/>
              </w:rPr>
              <w:t>“</w:t>
            </w:r>
            <w:r>
              <w:rPr>
                <w:rFonts w:hint="eastAsia"/>
                <w:sz w:val="21"/>
                <w:szCs w:val="21"/>
                <w:lang w:val="en-US" w:eastAsia="zh-CN"/>
              </w:rPr>
              <w:t>化粪池</w:t>
            </w:r>
            <w:r>
              <w:rPr>
                <w:sz w:val="21"/>
                <w:szCs w:val="21"/>
              </w:rPr>
              <w:t>+调节池+</w:t>
            </w:r>
            <w:r>
              <w:rPr>
                <w:rFonts w:hint="eastAsia"/>
                <w:sz w:val="21"/>
                <w:szCs w:val="21"/>
                <w:lang w:val="en-US" w:eastAsia="zh-CN"/>
              </w:rPr>
              <w:t>厌氧</w:t>
            </w:r>
            <w:r>
              <w:rPr>
                <w:sz w:val="21"/>
                <w:szCs w:val="21"/>
              </w:rPr>
              <w:t>池+</w:t>
            </w:r>
            <w:r>
              <w:rPr>
                <w:rFonts w:hint="eastAsia"/>
                <w:sz w:val="21"/>
                <w:szCs w:val="21"/>
                <w:lang w:val="en-US" w:eastAsia="zh-CN"/>
              </w:rPr>
              <w:t>生</w:t>
            </w:r>
            <w:r>
              <w:rPr>
                <w:sz w:val="21"/>
                <w:szCs w:val="21"/>
              </w:rPr>
              <w:t>化池+</w:t>
            </w:r>
            <w:r>
              <w:rPr>
                <w:rFonts w:hint="eastAsia"/>
                <w:sz w:val="21"/>
                <w:szCs w:val="21"/>
              </w:rPr>
              <w:t>沉淀</w:t>
            </w:r>
            <w:r>
              <w:rPr>
                <w:sz w:val="21"/>
                <w:szCs w:val="21"/>
              </w:rPr>
              <w:t>池+</w:t>
            </w:r>
            <w:r>
              <w:rPr>
                <w:rFonts w:hint="eastAsia"/>
                <w:sz w:val="21"/>
                <w:szCs w:val="21"/>
                <w:lang w:val="en-US" w:eastAsia="zh-CN"/>
              </w:rPr>
              <w:t>MBR膜池+清水消毒池+清水池</w:t>
            </w:r>
            <w:r>
              <w:rPr>
                <w:rFonts w:hint="eastAsia"/>
                <w:color w:val="000000" w:themeColor="text1"/>
                <w:sz w:val="21"/>
                <w:szCs w:val="21"/>
                <w:lang w:val="en-US" w:eastAsia="zh-CN"/>
                <w14:textFill>
                  <w14:solidFill>
                    <w14:schemeClr w14:val="tx1"/>
                  </w14:solidFill>
                </w14:textFill>
              </w:rPr>
              <w:t>+生物除臭</w:t>
            </w:r>
            <w:r>
              <w:rPr>
                <w:rFonts w:hint="eastAsia" w:ascii="Times New Roman" w:hAnsi="Times New Roman" w:eastAsia="宋体" w:cs="Times New Roman"/>
                <w:color w:val="auto"/>
                <w:kern w:val="2"/>
                <w:sz w:val="21"/>
                <w:szCs w:val="21"/>
                <w:lang w:val="en-US" w:eastAsia="zh-CN" w:bidi="ar-SA"/>
              </w:rPr>
              <w:t>”</w:t>
            </w:r>
            <w:r>
              <w:rPr>
                <w:rFonts w:ascii="Times New Roman" w:hAnsi="Times New Roman" w:eastAsia="宋体" w:cs="Times New Roman"/>
                <w:color w:val="auto"/>
                <w:kern w:val="2"/>
                <w:sz w:val="21"/>
                <w:szCs w:val="21"/>
                <w:lang w:val="en-US" w:eastAsia="zh-CN" w:bidi="ar-SA"/>
              </w:rPr>
              <w:t>处理工艺</w:t>
            </w:r>
          </w:p>
        </w:tc>
        <w:tc>
          <w:tcPr>
            <w:tcW w:w="2380" w:type="dxa"/>
            <w:vAlign w:val="center"/>
          </w:tcPr>
          <w:p>
            <w:pPr>
              <w:adjustRightInd w:val="0"/>
              <w:snapToGrid w:val="0"/>
              <w:jc w:val="center"/>
              <w:rPr>
                <w:sz w:val="21"/>
                <w:szCs w:val="21"/>
              </w:rPr>
            </w:pPr>
            <w:r>
              <w:rPr>
                <w:rFonts w:hint="eastAsia"/>
                <w:bCs/>
                <w:sz w:val="21"/>
                <w:szCs w:val="21"/>
              </w:rPr>
              <w:t>满足《医疗机构水污染物排放标准》（GB18466</w:t>
            </w:r>
            <w:r>
              <w:rPr>
                <w:rFonts w:hint="default" w:ascii="Times New Roman" w:hAnsi="Times New Roman" w:cs="Times New Roman"/>
                <w:bCs/>
                <w:sz w:val="21"/>
                <w:szCs w:val="21"/>
              </w:rPr>
              <w:t>-</w:t>
            </w:r>
            <w:r>
              <w:rPr>
                <w:rFonts w:hint="eastAsia"/>
                <w:bCs/>
                <w:sz w:val="21"/>
                <w:szCs w:val="21"/>
              </w:rPr>
              <w:t>2005）表3中标准值及《恶臭污染物排放标准》（GB14554-1993）表2中污染物排放标准限值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143" w:type="dxa"/>
            <w:vMerge w:val="restart"/>
            <w:vAlign w:val="center"/>
          </w:tcPr>
          <w:p>
            <w:pPr>
              <w:adjustRightInd w:val="0"/>
              <w:snapToGrid w:val="0"/>
              <w:jc w:val="center"/>
              <w:rPr>
                <w:sz w:val="21"/>
                <w:szCs w:val="21"/>
              </w:rPr>
            </w:pPr>
            <w:r>
              <w:rPr>
                <w:sz w:val="21"/>
                <w:szCs w:val="21"/>
              </w:rPr>
              <w:t>地表水</w:t>
            </w:r>
          </w:p>
          <w:p>
            <w:pPr>
              <w:adjustRightInd w:val="0"/>
              <w:snapToGrid w:val="0"/>
              <w:jc w:val="center"/>
              <w:rPr>
                <w:sz w:val="21"/>
                <w:szCs w:val="21"/>
              </w:rPr>
            </w:pPr>
            <w:r>
              <w:rPr>
                <w:sz w:val="21"/>
                <w:szCs w:val="21"/>
              </w:rPr>
              <w:t>环境</w:t>
            </w:r>
          </w:p>
        </w:tc>
        <w:tc>
          <w:tcPr>
            <w:tcW w:w="1562" w:type="dxa"/>
            <w:vMerge w:val="restart"/>
            <w:vAlign w:val="center"/>
          </w:tcPr>
          <w:p>
            <w:pPr>
              <w:adjustRightInd w:val="0"/>
              <w:snapToGrid w:val="0"/>
              <w:jc w:val="center"/>
              <w:rPr>
                <w:sz w:val="21"/>
                <w:szCs w:val="21"/>
              </w:rPr>
            </w:pPr>
            <w:r>
              <w:rPr>
                <w:sz w:val="21"/>
                <w:szCs w:val="21"/>
              </w:rPr>
              <w:t>医疗废水</w:t>
            </w:r>
          </w:p>
        </w:tc>
        <w:tc>
          <w:tcPr>
            <w:tcW w:w="1115" w:type="dxa"/>
            <w:vAlign w:val="center"/>
          </w:tcPr>
          <w:p>
            <w:pPr>
              <w:adjustRightInd w:val="0"/>
              <w:snapToGrid w:val="0"/>
              <w:jc w:val="center"/>
              <w:rPr>
                <w:sz w:val="21"/>
                <w:szCs w:val="21"/>
              </w:rPr>
            </w:pPr>
            <w:r>
              <w:rPr>
                <w:sz w:val="21"/>
                <w:szCs w:val="21"/>
              </w:rPr>
              <w:t>COD</w:t>
            </w:r>
          </w:p>
        </w:tc>
        <w:tc>
          <w:tcPr>
            <w:tcW w:w="2677" w:type="dxa"/>
            <w:vMerge w:val="restart"/>
            <w:vAlign w:val="center"/>
          </w:tcPr>
          <w:p>
            <w:pPr>
              <w:adjustRightInd w:val="0"/>
              <w:snapToGrid w:val="0"/>
              <w:jc w:val="center"/>
              <w:rPr>
                <w:rFonts w:hint="default" w:eastAsia="宋体"/>
                <w:sz w:val="21"/>
                <w:szCs w:val="21"/>
                <w:lang w:val="en-US" w:eastAsia="zh-CN"/>
              </w:rPr>
            </w:pPr>
            <w:r>
              <w:rPr>
                <w:sz w:val="21"/>
                <w:szCs w:val="21"/>
              </w:rPr>
              <w:t>排入</w:t>
            </w:r>
            <w:r>
              <w:rPr>
                <w:rFonts w:hint="eastAsia"/>
                <w:sz w:val="21"/>
                <w:szCs w:val="21"/>
                <w:lang w:val="en-US" w:eastAsia="zh-CN"/>
              </w:rPr>
              <w:t>中医医院现有</w:t>
            </w:r>
            <w:r>
              <w:rPr>
                <w:snapToGrid w:val="0"/>
                <w:kern w:val="0"/>
                <w:sz w:val="21"/>
                <w:szCs w:val="21"/>
              </w:rPr>
              <w:t>污水处理设施，经过处理达标后，</w:t>
            </w:r>
            <w:r>
              <w:rPr>
                <w:rFonts w:hint="eastAsia"/>
                <w:snapToGrid w:val="0"/>
                <w:kern w:val="0"/>
                <w:sz w:val="21"/>
                <w:szCs w:val="21"/>
                <w:lang w:val="en-US" w:eastAsia="zh-CN"/>
              </w:rPr>
              <w:t>排入市政下水管网，最终进入玛纳斯县污水处理厂处理</w:t>
            </w:r>
          </w:p>
        </w:tc>
        <w:tc>
          <w:tcPr>
            <w:tcW w:w="2380" w:type="dxa"/>
            <w:vMerge w:val="restart"/>
            <w:vAlign w:val="center"/>
          </w:tcPr>
          <w:p>
            <w:pPr>
              <w:adjustRightInd w:val="0"/>
              <w:snapToGrid w:val="0"/>
              <w:jc w:val="center"/>
              <w:rPr>
                <w:rFonts w:hint="default"/>
                <w:sz w:val="21"/>
                <w:szCs w:val="21"/>
                <w:lang w:val="en-US"/>
              </w:rPr>
            </w:pPr>
            <w:r>
              <w:rPr>
                <w:rFonts w:hint="eastAsia" w:ascii="Times New Roman" w:hAnsi="Times New Roman"/>
                <w:color w:val="auto"/>
                <w:sz w:val="21"/>
                <w:szCs w:val="21"/>
                <w:lang w:val="en-US" w:eastAsia="zh-CN"/>
              </w:rPr>
              <w:t>《医疗机构水污染物排放标准》（GB18466-2005）</w:t>
            </w:r>
            <w:r>
              <w:rPr>
                <w:rFonts w:hint="eastAsia"/>
                <w:color w:val="auto"/>
                <w:sz w:val="21"/>
                <w:szCs w:val="21"/>
                <w:lang w:val="en-US" w:eastAsia="zh-CN"/>
              </w:rPr>
              <w:t>表2中预处理标准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143" w:type="dxa"/>
            <w:vMerge w:val="continue"/>
            <w:vAlign w:val="center"/>
          </w:tcPr>
          <w:p>
            <w:pPr>
              <w:adjustRightInd w:val="0"/>
              <w:snapToGrid w:val="0"/>
              <w:jc w:val="center"/>
              <w:rPr>
                <w:sz w:val="21"/>
                <w:szCs w:val="21"/>
              </w:rPr>
            </w:pPr>
          </w:p>
        </w:tc>
        <w:tc>
          <w:tcPr>
            <w:tcW w:w="1562" w:type="dxa"/>
            <w:vMerge w:val="continue"/>
            <w:vAlign w:val="center"/>
          </w:tcPr>
          <w:p>
            <w:pPr>
              <w:adjustRightInd w:val="0"/>
              <w:snapToGrid w:val="0"/>
              <w:jc w:val="center"/>
              <w:rPr>
                <w:sz w:val="21"/>
                <w:szCs w:val="21"/>
              </w:rPr>
            </w:pPr>
          </w:p>
        </w:tc>
        <w:tc>
          <w:tcPr>
            <w:tcW w:w="1115" w:type="dxa"/>
            <w:vAlign w:val="center"/>
          </w:tcPr>
          <w:p>
            <w:pPr>
              <w:adjustRightInd w:val="0"/>
              <w:snapToGrid w:val="0"/>
              <w:jc w:val="center"/>
              <w:rPr>
                <w:sz w:val="21"/>
                <w:szCs w:val="21"/>
              </w:rPr>
            </w:pPr>
            <w:r>
              <w:rPr>
                <w:sz w:val="21"/>
                <w:szCs w:val="21"/>
              </w:rPr>
              <w:t>BOD</w:t>
            </w:r>
            <w:r>
              <w:rPr>
                <w:sz w:val="21"/>
                <w:szCs w:val="21"/>
                <w:vertAlign w:val="subscript"/>
              </w:rPr>
              <w:t>5</w:t>
            </w:r>
          </w:p>
        </w:tc>
        <w:tc>
          <w:tcPr>
            <w:tcW w:w="2677" w:type="dxa"/>
            <w:vMerge w:val="continue"/>
            <w:vAlign w:val="center"/>
          </w:tcPr>
          <w:p>
            <w:pPr>
              <w:adjustRightInd w:val="0"/>
              <w:snapToGrid w:val="0"/>
              <w:jc w:val="center"/>
              <w:rPr>
                <w:sz w:val="21"/>
                <w:szCs w:val="21"/>
              </w:rPr>
            </w:pPr>
          </w:p>
        </w:tc>
        <w:tc>
          <w:tcPr>
            <w:tcW w:w="2380"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143" w:type="dxa"/>
            <w:vMerge w:val="continue"/>
            <w:vAlign w:val="center"/>
          </w:tcPr>
          <w:p>
            <w:pPr>
              <w:adjustRightInd w:val="0"/>
              <w:snapToGrid w:val="0"/>
              <w:jc w:val="center"/>
              <w:rPr>
                <w:sz w:val="21"/>
                <w:szCs w:val="21"/>
              </w:rPr>
            </w:pPr>
          </w:p>
        </w:tc>
        <w:tc>
          <w:tcPr>
            <w:tcW w:w="1562" w:type="dxa"/>
            <w:vMerge w:val="continue"/>
            <w:vAlign w:val="center"/>
          </w:tcPr>
          <w:p>
            <w:pPr>
              <w:adjustRightInd w:val="0"/>
              <w:snapToGrid w:val="0"/>
              <w:jc w:val="center"/>
              <w:rPr>
                <w:sz w:val="21"/>
                <w:szCs w:val="21"/>
              </w:rPr>
            </w:pPr>
          </w:p>
        </w:tc>
        <w:tc>
          <w:tcPr>
            <w:tcW w:w="1115" w:type="dxa"/>
            <w:vAlign w:val="center"/>
          </w:tcPr>
          <w:p>
            <w:pPr>
              <w:adjustRightInd w:val="0"/>
              <w:snapToGrid w:val="0"/>
              <w:jc w:val="center"/>
              <w:rPr>
                <w:sz w:val="21"/>
                <w:szCs w:val="21"/>
              </w:rPr>
            </w:pPr>
            <w:r>
              <w:rPr>
                <w:sz w:val="21"/>
                <w:szCs w:val="21"/>
              </w:rPr>
              <w:t>NH</w:t>
            </w:r>
            <w:r>
              <w:rPr>
                <w:sz w:val="21"/>
                <w:szCs w:val="21"/>
                <w:vertAlign w:val="subscript"/>
              </w:rPr>
              <w:t>3</w:t>
            </w:r>
            <w:r>
              <w:rPr>
                <w:sz w:val="21"/>
                <w:szCs w:val="21"/>
              </w:rPr>
              <w:t>-N</w:t>
            </w:r>
          </w:p>
        </w:tc>
        <w:tc>
          <w:tcPr>
            <w:tcW w:w="2677" w:type="dxa"/>
            <w:vMerge w:val="continue"/>
            <w:vAlign w:val="center"/>
          </w:tcPr>
          <w:p>
            <w:pPr>
              <w:adjustRightInd w:val="0"/>
              <w:snapToGrid w:val="0"/>
              <w:jc w:val="center"/>
              <w:rPr>
                <w:sz w:val="21"/>
                <w:szCs w:val="21"/>
              </w:rPr>
            </w:pPr>
          </w:p>
        </w:tc>
        <w:tc>
          <w:tcPr>
            <w:tcW w:w="2380"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143" w:type="dxa"/>
            <w:vMerge w:val="continue"/>
            <w:vAlign w:val="center"/>
          </w:tcPr>
          <w:p>
            <w:pPr>
              <w:adjustRightInd w:val="0"/>
              <w:snapToGrid w:val="0"/>
              <w:jc w:val="center"/>
              <w:rPr>
                <w:sz w:val="21"/>
                <w:szCs w:val="21"/>
              </w:rPr>
            </w:pPr>
          </w:p>
        </w:tc>
        <w:tc>
          <w:tcPr>
            <w:tcW w:w="1562" w:type="dxa"/>
            <w:vMerge w:val="continue"/>
            <w:vAlign w:val="center"/>
          </w:tcPr>
          <w:p>
            <w:pPr>
              <w:adjustRightInd w:val="0"/>
              <w:snapToGrid w:val="0"/>
              <w:jc w:val="center"/>
              <w:rPr>
                <w:sz w:val="21"/>
                <w:szCs w:val="21"/>
              </w:rPr>
            </w:pPr>
          </w:p>
        </w:tc>
        <w:tc>
          <w:tcPr>
            <w:tcW w:w="1115" w:type="dxa"/>
            <w:vAlign w:val="center"/>
          </w:tcPr>
          <w:p>
            <w:pPr>
              <w:adjustRightInd w:val="0"/>
              <w:snapToGrid w:val="0"/>
              <w:jc w:val="center"/>
              <w:rPr>
                <w:sz w:val="21"/>
                <w:szCs w:val="21"/>
              </w:rPr>
            </w:pPr>
            <w:r>
              <w:rPr>
                <w:sz w:val="21"/>
                <w:szCs w:val="21"/>
              </w:rPr>
              <w:t>SS</w:t>
            </w:r>
          </w:p>
        </w:tc>
        <w:tc>
          <w:tcPr>
            <w:tcW w:w="2677" w:type="dxa"/>
            <w:vMerge w:val="continue"/>
            <w:vAlign w:val="center"/>
          </w:tcPr>
          <w:p>
            <w:pPr>
              <w:adjustRightInd w:val="0"/>
              <w:snapToGrid w:val="0"/>
              <w:jc w:val="center"/>
              <w:rPr>
                <w:sz w:val="21"/>
                <w:szCs w:val="21"/>
              </w:rPr>
            </w:pPr>
          </w:p>
        </w:tc>
        <w:tc>
          <w:tcPr>
            <w:tcW w:w="2380"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143" w:type="dxa"/>
            <w:vMerge w:val="continue"/>
            <w:vAlign w:val="center"/>
          </w:tcPr>
          <w:p>
            <w:pPr>
              <w:adjustRightInd w:val="0"/>
              <w:snapToGrid w:val="0"/>
              <w:jc w:val="center"/>
              <w:rPr>
                <w:sz w:val="21"/>
                <w:szCs w:val="21"/>
              </w:rPr>
            </w:pPr>
          </w:p>
          <w:p>
            <w:pPr>
              <w:pStyle w:val="39"/>
              <w:rPr>
                <w:sz w:val="21"/>
                <w:szCs w:val="21"/>
              </w:rPr>
            </w:pPr>
          </w:p>
        </w:tc>
        <w:tc>
          <w:tcPr>
            <w:tcW w:w="1562" w:type="dxa"/>
            <w:vMerge w:val="continue"/>
            <w:vAlign w:val="center"/>
          </w:tcPr>
          <w:p>
            <w:pPr>
              <w:adjustRightInd w:val="0"/>
              <w:snapToGrid w:val="0"/>
              <w:jc w:val="center"/>
              <w:rPr>
                <w:sz w:val="21"/>
                <w:szCs w:val="21"/>
              </w:rPr>
            </w:pPr>
          </w:p>
        </w:tc>
        <w:tc>
          <w:tcPr>
            <w:tcW w:w="1115" w:type="dxa"/>
            <w:vAlign w:val="center"/>
          </w:tcPr>
          <w:p>
            <w:pPr>
              <w:adjustRightInd w:val="0"/>
              <w:snapToGrid w:val="0"/>
              <w:jc w:val="center"/>
              <w:rPr>
                <w:sz w:val="21"/>
                <w:szCs w:val="21"/>
              </w:rPr>
            </w:pPr>
            <w:r>
              <w:rPr>
                <w:sz w:val="21"/>
                <w:szCs w:val="21"/>
              </w:rPr>
              <w:t>粪大肠菌</w:t>
            </w:r>
          </w:p>
        </w:tc>
        <w:tc>
          <w:tcPr>
            <w:tcW w:w="2677" w:type="dxa"/>
            <w:vMerge w:val="continue"/>
            <w:vAlign w:val="center"/>
          </w:tcPr>
          <w:p>
            <w:pPr>
              <w:adjustRightInd w:val="0"/>
              <w:snapToGrid w:val="0"/>
              <w:jc w:val="center"/>
              <w:rPr>
                <w:sz w:val="21"/>
                <w:szCs w:val="21"/>
              </w:rPr>
            </w:pPr>
          </w:p>
        </w:tc>
        <w:tc>
          <w:tcPr>
            <w:tcW w:w="2380"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90" w:hRule="atLeast"/>
          <w:jc w:val="center"/>
        </w:trPr>
        <w:tc>
          <w:tcPr>
            <w:tcW w:w="1143" w:type="dxa"/>
            <w:vMerge w:val="continue"/>
            <w:vAlign w:val="center"/>
          </w:tcPr>
          <w:p>
            <w:pPr>
              <w:pStyle w:val="39"/>
              <w:rPr>
                <w:sz w:val="21"/>
                <w:szCs w:val="21"/>
              </w:rPr>
            </w:pPr>
          </w:p>
        </w:tc>
        <w:tc>
          <w:tcPr>
            <w:tcW w:w="1562" w:type="dxa"/>
            <w:vMerge w:val="continue"/>
            <w:vAlign w:val="center"/>
          </w:tcPr>
          <w:p>
            <w:pPr>
              <w:adjustRightInd w:val="0"/>
              <w:snapToGrid w:val="0"/>
              <w:jc w:val="center"/>
              <w:rPr>
                <w:sz w:val="21"/>
                <w:szCs w:val="21"/>
              </w:rPr>
            </w:pPr>
          </w:p>
        </w:tc>
        <w:tc>
          <w:tcPr>
            <w:tcW w:w="1115" w:type="dxa"/>
            <w:vAlign w:val="center"/>
          </w:tcPr>
          <w:p>
            <w:pPr>
              <w:adjustRightInd w:val="0"/>
              <w:snapToGrid w:val="0"/>
              <w:jc w:val="center"/>
              <w:rPr>
                <w:sz w:val="21"/>
                <w:szCs w:val="21"/>
              </w:rPr>
            </w:pPr>
            <w:r>
              <w:rPr>
                <w:sz w:val="21"/>
                <w:szCs w:val="21"/>
              </w:rPr>
              <w:t>余氯</w:t>
            </w:r>
          </w:p>
        </w:tc>
        <w:tc>
          <w:tcPr>
            <w:tcW w:w="2677" w:type="dxa"/>
            <w:vMerge w:val="continue"/>
            <w:vAlign w:val="center"/>
          </w:tcPr>
          <w:p>
            <w:pPr>
              <w:adjustRightInd w:val="0"/>
              <w:snapToGrid w:val="0"/>
              <w:jc w:val="center"/>
              <w:rPr>
                <w:sz w:val="21"/>
                <w:szCs w:val="21"/>
              </w:rPr>
            </w:pPr>
          </w:p>
        </w:tc>
        <w:tc>
          <w:tcPr>
            <w:tcW w:w="2380"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418" w:hRule="atLeast"/>
          <w:jc w:val="center"/>
        </w:trPr>
        <w:tc>
          <w:tcPr>
            <w:tcW w:w="1143" w:type="dxa"/>
            <w:vMerge w:val="restart"/>
            <w:vAlign w:val="center"/>
          </w:tcPr>
          <w:p>
            <w:pPr>
              <w:adjustRightInd w:val="0"/>
              <w:snapToGrid w:val="0"/>
              <w:jc w:val="center"/>
              <w:rPr>
                <w:sz w:val="21"/>
                <w:szCs w:val="21"/>
              </w:rPr>
            </w:pPr>
            <w:r>
              <w:rPr>
                <w:sz w:val="21"/>
                <w:szCs w:val="21"/>
              </w:rPr>
              <w:t>声环境</w:t>
            </w:r>
          </w:p>
        </w:tc>
        <w:tc>
          <w:tcPr>
            <w:tcW w:w="1562" w:type="dxa"/>
            <w:vAlign w:val="center"/>
          </w:tcPr>
          <w:p>
            <w:pPr>
              <w:adjustRightInd w:val="0"/>
              <w:snapToGrid w:val="0"/>
              <w:ind w:left="-76" w:right="-82" w:hanging="2"/>
              <w:jc w:val="center"/>
              <w:rPr>
                <w:sz w:val="21"/>
                <w:szCs w:val="21"/>
              </w:rPr>
            </w:pPr>
            <w:r>
              <w:rPr>
                <w:sz w:val="21"/>
                <w:szCs w:val="21"/>
              </w:rPr>
              <w:t>设备噪声</w:t>
            </w:r>
          </w:p>
        </w:tc>
        <w:tc>
          <w:tcPr>
            <w:tcW w:w="1115" w:type="dxa"/>
            <w:vMerge w:val="restart"/>
            <w:vAlign w:val="center"/>
          </w:tcPr>
          <w:p>
            <w:pPr>
              <w:adjustRightInd w:val="0"/>
              <w:snapToGrid w:val="0"/>
              <w:jc w:val="center"/>
              <w:rPr>
                <w:sz w:val="21"/>
                <w:szCs w:val="21"/>
              </w:rPr>
            </w:pPr>
            <w:r>
              <w:rPr>
                <w:rFonts w:hint="eastAsia"/>
                <w:sz w:val="21"/>
                <w:szCs w:val="21"/>
              </w:rPr>
              <w:t>噪声</w:t>
            </w:r>
          </w:p>
        </w:tc>
        <w:tc>
          <w:tcPr>
            <w:tcW w:w="2677" w:type="dxa"/>
            <w:vMerge w:val="restart"/>
            <w:vAlign w:val="center"/>
          </w:tcPr>
          <w:p>
            <w:pPr>
              <w:adjustRightInd w:val="0"/>
              <w:snapToGrid w:val="0"/>
              <w:jc w:val="center"/>
              <w:rPr>
                <w:rFonts w:hint="eastAsia" w:eastAsia="宋体"/>
                <w:sz w:val="21"/>
                <w:szCs w:val="21"/>
                <w:lang w:val="en-US" w:eastAsia="zh-CN"/>
              </w:rPr>
            </w:pPr>
            <w:r>
              <w:rPr>
                <w:sz w:val="21"/>
                <w:szCs w:val="21"/>
              </w:rPr>
              <w:t>隔声、减振</w:t>
            </w:r>
            <w:r>
              <w:rPr>
                <w:rFonts w:hint="eastAsia"/>
                <w:sz w:val="21"/>
                <w:szCs w:val="21"/>
                <w:lang w:val="en-US" w:eastAsia="zh-CN"/>
              </w:rPr>
              <w:t>等</w:t>
            </w:r>
          </w:p>
        </w:tc>
        <w:tc>
          <w:tcPr>
            <w:tcW w:w="2380" w:type="dxa"/>
            <w:vMerge w:val="restart"/>
            <w:vAlign w:val="center"/>
          </w:tcPr>
          <w:p>
            <w:pPr>
              <w:adjustRightInd w:val="0"/>
              <w:snapToGrid w:val="0"/>
              <w:jc w:val="left"/>
              <w:rPr>
                <w:sz w:val="21"/>
                <w:szCs w:val="21"/>
              </w:rPr>
            </w:pPr>
            <w:r>
              <w:rPr>
                <w:rFonts w:eastAsia="宋体"/>
                <w:sz w:val="21"/>
                <w:szCs w:val="21"/>
              </w:rPr>
              <w:t>《工业企业厂界环境噪声排放标准》（GB12348-2008）</w:t>
            </w:r>
            <w:r>
              <w:rPr>
                <w:rFonts w:hint="eastAsia"/>
                <w:color w:val="000000" w:themeColor="text1"/>
                <w:sz w:val="21"/>
                <w:szCs w:val="21"/>
                <w:lang w:val="en-US" w:eastAsia="zh-CN"/>
                <w14:textFill>
                  <w14:solidFill>
                    <w14:schemeClr w14:val="tx1"/>
                  </w14:solidFill>
                </w14:textFill>
              </w:rPr>
              <w:t>1</w:t>
            </w:r>
            <w:r>
              <w:rPr>
                <w:rFonts w:hint="eastAsia" w:eastAsia="宋体"/>
                <w:sz w:val="21"/>
                <w:szCs w:val="21"/>
              </w:rPr>
              <w:t>类</w:t>
            </w:r>
            <w:r>
              <w:rPr>
                <w:rFonts w:eastAsia="宋体"/>
                <w:sz w:val="21"/>
                <w:szCs w:val="21"/>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409" w:hRule="atLeast"/>
          <w:jc w:val="center"/>
        </w:trPr>
        <w:tc>
          <w:tcPr>
            <w:tcW w:w="1143" w:type="dxa"/>
            <w:vMerge w:val="continue"/>
            <w:vAlign w:val="center"/>
          </w:tcPr>
          <w:p>
            <w:pPr>
              <w:adjustRightInd w:val="0"/>
              <w:snapToGrid w:val="0"/>
              <w:jc w:val="center"/>
              <w:rPr>
                <w:sz w:val="21"/>
                <w:szCs w:val="21"/>
              </w:rPr>
            </w:pPr>
          </w:p>
        </w:tc>
        <w:tc>
          <w:tcPr>
            <w:tcW w:w="1562" w:type="dxa"/>
            <w:vAlign w:val="center"/>
          </w:tcPr>
          <w:p>
            <w:pPr>
              <w:adjustRightInd w:val="0"/>
              <w:snapToGrid w:val="0"/>
              <w:jc w:val="center"/>
              <w:rPr>
                <w:sz w:val="21"/>
                <w:szCs w:val="21"/>
              </w:rPr>
            </w:pPr>
            <w:r>
              <w:rPr>
                <w:sz w:val="21"/>
                <w:szCs w:val="21"/>
              </w:rPr>
              <w:t>交通噪声</w:t>
            </w:r>
          </w:p>
        </w:tc>
        <w:tc>
          <w:tcPr>
            <w:tcW w:w="1115" w:type="dxa"/>
            <w:vMerge w:val="continue"/>
            <w:vAlign w:val="center"/>
          </w:tcPr>
          <w:p>
            <w:pPr>
              <w:adjustRightInd w:val="0"/>
              <w:snapToGrid w:val="0"/>
              <w:jc w:val="center"/>
              <w:rPr>
                <w:sz w:val="21"/>
                <w:szCs w:val="21"/>
              </w:rPr>
            </w:pPr>
          </w:p>
        </w:tc>
        <w:tc>
          <w:tcPr>
            <w:tcW w:w="2677" w:type="dxa"/>
            <w:vMerge w:val="continue"/>
            <w:vAlign w:val="center"/>
          </w:tcPr>
          <w:p>
            <w:pPr>
              <w:adjustRightInd w:val="0"/>
              <w:snapToGrid w:val="0"/>
              <w:jc w:val="center"/>
              <w:rPr>
                <w:sz w:val="21"/>
                <w:szCs w:val="21"/>
              </w:rPr>
            </w:pPr>
          </w:p>
        </w:tc>
        <w:tc>
          <w:tcPr>
            <w:tcW w:w="2380"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jc w:val="center"/>
              <w:rPr>
                <w:sz w:val="21"/>
                <w:szCs w:val="21"/>
              </w:rPr>
            </w:pPr>
            <w:r>
              <w:rPr>
                <w:sz w:val="21"/>
                <w:szCs w:val="21"/>
              </w:rPr>
              <w:t>电磁辐射</w:t>
            </w:r>
          </w:p>
        </w:tc>
        <w:tc>
          <w:tcPr>
            <w:tcW w:w="7755" w:type="dxa"/>
            <w:gridSpan w:val="5"/>
            <w:vAlign w:val="center"/>
          </w:tcPr>
          <w:p>
            <w:pPr>
              <w:adjustRightInd w:val="0"/>
              <w:snapToGrid w:val="0"/>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trHeight w:val="733" w:hRule="atLeast"/>
          <w:jc w:val="center"/>
        </w:trPr>
        <w:tc>
          <w:tcPr>
            <w:tcW w:w="1143" w:type="dxa"/>
            <w:vMerge w:val="restart"/>
            <w:vAlign w:val="center"/>
          </w:tcPr>
          <w:p>
            <w:pPr>
              <w:adjustRightInd w:val="0"/>
              <w:snapToGrid w:val="0"/>
              <w:jc w:val="center"/>
              <w:rPr>
                <w:sz w:val="21"/>
                <w:szCs w:val="21"/>
              </w:rPr>
            </w:pPr>
            <w:r>
              <w:rPr>
                <w:sz w:val="21"/>
                <w:szCs w:val="21"/>
              </w:rPr>
              <w:t>固体废物</w:t>
            </w:r>
          </w:p>
        </w:tc>
        <w:tc>
          <w:tcPr>
            <w:tcW w:w="1562" w:type="dxa"/>
            <w:vMerge w:val="restart"/>
            <w:vAlign w:val="center"/>
          </w:tcPr>
          <w:p>
            <w:pPr>
              <w:adjustRightInd w:val="0"/>
              <w:snapToGrid w:val="0"/>
              <w:jc w:val="center"/>
              <w:rPr>
                <w:sz w:val="21"/>
                <w:szCs w:val="21"/>
              </w:rPr>
            </w:pPr>
            <w:r>
              <w:rPr>
                <w:sz w:val="21"/>
                <w:szCs w:val="21"/>
              </w:rPr>
              <w:t>院区</w:t>
            </w:r>
          </w:p>
        </w:tc>
        <w:tc>
          <w:tcPr>
            <w:tcW w:w="1115" w:type="dxa"/>
            <w:vAlign w:val="center"/>
          </w:tcPr>
          <w:p>
            <w:pPr>
              <w:adjustRightInd w:val="0"/>
              <w:snapToGrid w:val="0"/>
              <w:jc w:val="center"/>
              <w:rPr>
                <w:sz w:val="21"/>
                <w:szCs w:val="21"/>
              </w:rPr>
            </w:pPr>
            <w:r>
              <w:rPr>
                <w:sz w:val="21"/>
                <w:szCs w:val="21"/>
              </w:rPr>
              <w:t>医疗垃圾</w:t>
            </w:r>
          </w:p>
        </w:tc>
        <w:tc>
          <w:tcPr>
            <w:tcW w:w="2677" w:type="dxa"/>
            <w:vAlign w:val="center"/>
          </w:tcPr>
          <w:p>
            <w:pPr>
              <w:adjustRightInd w:val="0"/>
              <w:snapToGrid w:val="0"/>
              <w:jc w:val="center"/>
              <w:rPr>
                <w:sz w:val="21"/>
                <w:szCs w:val="21"/>
              </w:rPr>
            </w:pPr>
            <w:r>
              <w:rPr>
                <w:sz w:val="21"/>
                <w:szCs w:val="21"/>
              </w:rPr>
              <w:t>经集中收集后，存放于医疗废物暂存间，并定期送往有相关处理资质的单位处理；</w:t>
            </w:r>
          </w:p>
        </w:tc>
        <w:tc>
          <w:tcPr>
            <w:tcW w:w="2380" w:type="dxa"/>
            <w:vMerge w:val="restart"/>
            <w:vAlign w:val="center"/>
          </w:tcPr>
          <w:p>
            <w:pPr>
              <w:adjustRightInd w:val="0"/>
              <w:snapToGrid w:val="0"/>
              <w:jc w:val="center"/>
              <w:rPr>
                <w:sz w:val="21"/>
                <w:szCs w:val="21"/>
              </w:rPr>
            </w:pPr>
            <w:r>
              <w:rPr>
                <w:sz w:val="21"/>
                <w:szCs w:val="21"/>
              </w:rPr>
              <w:t>《危险废物贮存污染控制标准》（GB18597-2001）中相关标准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143" w:type="dxa"/>
            <w:vMerge w:val="continue"/>
            <w:vAlign w:val="center"/>
          </w:tcPr>
          <w:p>
            <w:pPr>
              <w:adjustRightInd w:val="0"/>
              <w:snapToGrid w:val="0"/>
              <w:jc w:val="center"/>
              <w:rPr>
                <w:sz w:val="21"/>
                <w:szCs w:val="21"/>
              </w:rPr>
            </w:pPr>
          </w:p>
        </w:tc>
        <w:tc>
          <w:tcPr>
            <w:tcW w:w="1562" w:type="dxa"/>
            <w:vMerge w:val="continue"/>
            <w:vAlign w:val="center"/>
          </w:tcPr>
          <w:p>
            <w:pPr>
              <w:adjustRightInd w:val="0"/>
              <w:snapToGrid w:val="0"/>
              <w:jc w:val="center"/>
              <w:rPr>
                <w:sz w:val="21"/>
                <w:szCs w:val="21"/>
              </w:rPr>
            </w:pPr>
          </w:p>
        </w:tc>
        <w:tc>
          <w:tcPr>
            <w:tcW w:w="1115" w:type="dxa"/>
            <w:vAlign w:val="center"/>
          </w:tcPr>
          <w:p>
            <w:pPr>
              <w:adjustRightInd w:val="0"/>
              <w:snapToGrid w:val="0"/>
              <w:jc w:val="center"/>
              <w:rPr>
                <w:sz w:val="21"/>
                <w:szCs w:val="21"/>
              </w:rPr>
            </w:pPr>
            <w:r>
              <w:rPr>
                <w:sz w:val="21"/>
                <w:szCs w:val="21"/>
              </w:rPr>
              <w:t>污泥</w:t>
            </w:r>
          </w:p>
        </w:tc>
        <w:tc>
          <w:tcPr>
            <w:tcW w:w="2677" w:type="dxa"/>
            <w:vAlign w:val="center"/>
          </w:tcPr>
          <w:p>
            <w:pPr>
              <w:adjustRightInd w:val="0"/>
              <w:snapToGrid w:val="0"/>
              <w:jc w:val="left"/>
              <w:rPr>
                <w:sz w:val="21"/>
                <w:szCs w:val="21"/>
              </w:rPr>
            </w:pPr>
            <w:r>
              <w:rPr>
                <w:rFonts w:hint="eastAsia"/>
                <w:sz w:val="21"/>
                <w:szCs w:val="21"/>
              </w:rPr>
              <w:t>污水处理设施处理污泥应进行定期清运，脱水后将污泥装入双层黄色专用塑料袋密封包装，和医疗废物一同交由有资质单位进行处置</w:t>
            </w:r>
          </w:p>
        </w:tc>
        <w:tc>
          <w:tcPr>
            <w:tcW w:w="2380" w:type="dxa"/>
            <w:vMerge w:val="continue"/>
            <w:vAlign w:val="center"/>
          </w:tcPr>
          <w:p>
            <w:pPr>
              <w:adjustRightInd w:val="0"/>
              <w:snapToGrid w:val="0"/>
              <w:jc w:val="center"/>
              <w:rPr>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21" w:type="dxa"/>
          <w:jc w:val="center"/>
        </w:trPr>
        <w:tc>
          <w:tcPr>
            <w:tcW w:w="1143" w:type="dxa"/>
            <w:vMerge w:val="continue"/>
            <w:vAlign w:val="center"/>
          </w:tcPr>
          <w:p>
            <w:pPr>
              <w:adjustRightInd w:val="0"/>
              <w:snapToGrid w:val="0"/>
              <w:jc w:val="center"/>
              <w:rPr>
                <w:sz w:val="21"/>
                <w:szCs w:val="21"/>
              </w:rPr>
            </w:pPr>
          </w:p>
        </w:tc>
        <w:tc>
          <w:tcPr>
            <w:tcW w:w="1562" w:type="dxa"/>
            <w:vMerge w:val="continue"/>
            <w:vAlign w:val="center"/>
          </w:tcPr>
          <w:p>
            <w:pPr>
              <w:adjustRightInd w:val="0"/>
              <w:snapToGrid w:val="0"/>
              <w:jc w:val="center"/>
              <w:rPr>
                <w:sz w:val="21"/>
                <w:szCs w:val="21"/>
              </w:rPr>
            </w:pPr>
          </w:p>
        </w:tc>
        <w:tc>
          <w:tcPr>
            <w:tcW w:w="1115" w:type="dxa"/>
            <w:vAlign w:val="center"/>
          </w:tcPr>
          <w:p>
            <w:pPr>
              <w:adjustRightInd w:val="0"/>
              <w:snapToGrid w:val="0"/>
              <w:ind w:left="-76" w:leftChars="0" w:right="-82" w:rightChars="0" w:hanging="2" w:firstLineChars="0"/>
              <w:jc w:val="center"/>
              <w:rPr>
                <w:rFonts w:hint="eastAsia"/>
                <w:sz w:val="21"/>
                <w:szCs w:val="21"/>
              </w:rPr>
            </w:pPr>
            <w:r>
              <w:rPr>
                <w:sz w:val="21"/>
                <w:szCs w:val="21"/>
              </w:rPr>
              <w:t>生活垃圾</w:t>
            </w:r>
          </w:p>
        </w:tc>
        <w:tc>
          <w:tcPr>
            <w:tcW w:w="2677" w:type="dxa"/>
            <w:vAlign w:val="center"/>
          </w:tcPr>
          <w:p>
            <w:pPr>
              <w:adjustRightInd w:val="0"/>
              <w:snapToGrid w:val="0"/>
              <w:jc w:val="center"/>
              <w:rPr>
                <w:rFonts w:hint="default" w:eastAsia="宋体"/>
                <w:sz w:val="21"/>
                <w:szCs w:val="21"/>
                <w:lang w:val="en-US" w:eastAsia="zh-CN"/>
              </w:rPr>
            </w:pPr>
            <w:r>
              <w:rPr>
                <w:sz w:val="21"/>
                <w:szCs w:val="21"/>
              </w:rPr>
              <w:t>集中收集</w:t>
            </w:r>
            <w:r>
              <w:rPr>
                <w:rFonts w:hint="eastAsia"/>
                <w:sz w:val="21"/>
                <w:szCs w:val="21"/>
                <w:lang w:eastAsia="zh-CN"/>
              </w:rPr>
              <w:t>，</w:t>
            </w:r>
            <w:r>
              <w:rPr>
                <w:rFonts w:hint="eastAsia"/>
                <w:sz w:val="21"/>
                <w:szCs w:val="21"/>
                <w:lang w:val="en-US" w:eastAsia="zh-CN"/>
              </w:rPr>
              <w:t>由环卫部门统一清运处理</w:t>
            </w:r>
          </w:p>
        </w:tc>
        <w:tc>
          <w:tcPr>
            <w:tcW w:w="2380" w:type="dxa"/>
            <w:vAlign w:val="center"/>
          </w:tcPr>
          <w:p>
            <w:pPr>
              <w:pStyle w:val="106"/>
              <w:keepNext w:val="0"/>
              <w:keepLines w:val="0"/>
              <w:pageBreakBefore w:val="0"/>
              <w:widowControl w:val="0"/>
              <w:pBdr>
                <w:left w:val="none" w:color="auto" w:sz="0" w:space="0"/>
                <w:bottom w:val="none" w:color="auto" w:sz="0" w:space="0"/>
                <w:right w:val="none" w:color="auto" w:sz="0" w:space="0"/>
              </w:pBdr>
              <w:kinsoku/>
              <w:wordWrap/>
              <w:overflowPunct/>
              <w:topLinePunct w:val="0"/>
              <w:autoSpaceDE/>
              <w:autoSpaceDN/>
              <w:bidi w:val="0"/>
              <w:adjustRightInd w:val="0"/>
              <w:snapToGrid w:val="0"/>
              <w:spacing w:before="0" w:beforeAutospacing="0" w:after="0" w:afterAutospacing="0"/>
              <w:jc w:val="center"/>
              <w:textAlignment w:val="auto"/>
              <w:rPr>
                <w:rFonts w:hint="eastAsia" w:eastAsia="Arial Unicode MS"/>
                <w:sz w:val="21"/>
                <w:szCs w:val="21"/>
                <w:lang w:val="en-US" w:eastAsia="zh-CN"/>
              </w:rPr>
            </w:pPr>
            <w:r>
              <w:rPr>
                <w:rFonts w:hint="eastAsia"/>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143" w:type="dxa"/>
            <w:vAlign w:val="center"/>
          </w:tcPr>
          <w:p>
            <w:pPr>
              <w:adjustRightInd w:val="0"/>
              <w:snapToGrid w:val="0"/>
              <w:jc w:val="both"/>
              <w:rPr>
                <w:sz w:val="21"/>
                <w:szCs w:val="21"/>
              </w:rPr>
            </w:pPr>
            <w:r>
              <w:rPr>
                <w:sz w:val="21"/>
                <w:szCs w:val="21"/>
              </w:rPr>
              <w:t>土壤及地下水污染防治措施</w:t>
            </w:r>
          </w:p>
        </w:tc>
        <w:tc>
          <w:tcPr>
            <w:tcW w:w="7755" w:type="dxa"/>
            <w:gridSpan w:val="5"/>
            <w:vAlign w:val="center"/>
          </w:tcPr>
          <w:p>
            <w:pPr>
              <w:adjustRightInd w:val="0"/>
              <w:snapToGrid w:val="0"/>
              <w:jc w:val="center"/>
              <w:rPr>
                <w:sz w:val="21"/>
                <w:szCs w:val="21"/>
              </w:rPr>
            </w:pPr>
            <w:r>
              <w:rPr>
                <w:rFonts w:hint="eastAsia"/>
                <w:sz w:val="21"/>
                <w:szCs w:val="21"/>
              </w:rPr>
              <w:t>本项目按照一般防渗区要求防护，其他区域按照非防渗区要求防护。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jc w:val="center"/>
              <w:rPr>
                <w:sz w:val="21"/>
                <w:szCs w:val="21"/>
              </w:rPr>
            </w:pPr>
            <w:r>
              <w:rPr>
                <w:sz w:val="21"/>
                <w:szCs w:val="21"/>
              </w:rPr>
              <w:t>生态保护措施</w:t>
            </w:r>
          </w:p>
        </w:tc>
        <w:tc>
          <w:tcPr>
            <w:tcW w:w="7755" w:type="dxa"/>
            <w:gridSpan w:val="5"/>
            <w:vAlign w:val="center"/>
          </w:tcPr>
          <w:p>
            <w:pPr>
              <w:adjustRightInd w:val="0"/>
              <w:snapToGrid w:val="0"/>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jc w:val="center"/>
              <w:rPr>
                <w:spacing w:val="-8"/>
                <w:sz w:val="21"/>
                <w:szCs w:val="21"/>
              </w:rPr>
            </w:pPr>
            <w:r>
              <w:rPr>
                <w:spacing w:val="-8"/>
                <w:sz w:val="21"/>
                <w:szCs w:val="21"/>
              </w:rPr>
              <w:t>环境风险</w:t>
            </w:r>
          </w:p>
          <w:p>
            <w:pPr>
              <w:adjustRightInd w:val="0"/>
              <w:snapToGrid w:val="0"/>
              <w:jc w:val="center"/>
              <w:rPr>
                <w:spacing w:val="-8"/>
                <w:sz w:val="21"/>
                <w:szCs w:val="21"/>
              </w:rPr>
            </w:pPr>
            <w:r>
              <w:rPr>
                <w:spacing w:val="-8"/>
                <w:sz w:val="21"/>
                <w:szCs w:val="21"/>
              </w:rPr>
              <w:t>防范措施</w:t>
            </w:r>
          </w:p>
        </w:tc>
        <w:tc>
          <w:tcPr>
            <w:tcW w:w="7755" w:type="dxa"/>
            <w:gridSpan w:val="5"/>
            <w:vAlign w:val="center"/>
          </w:tcPr>
          <w:p>
            <w:pPr>
              <w:adjustRightInd w:val="0"/>
              <w:snapToGrid w:val="0"/>
              <w:jc w:val="center"/>
              <w:rPr>
                <w:sz w:val="21"/>
                <w:szCs w:val="21"/>
              </w:rPr>
            </w:pPr>
            <w:r>
              <w:rPr>
                <w:rFonts w:hint="eastAsia"/>
                <w:sz w:val="21"/>
                <w:szCs w:val="21"/>
                <w:lang w:val="en-US" w:eastAsia="zh-CN"/>
              </w:rPr>
              <w:t>编制项目突发环境事故应急预案，并</w:t>
            </w:r>
            <w:r>
              <w:rPr>
                <w:sz w:val="21"/>
                <w:szCs w:val="21"/>
              </w:rPr>
              <w:t>定期完善和强化事故应急预案和对策。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jc w:val="center"/>
              <w:rPr>
                <w:spacing w:val="-8"/>
                <w:sz w:val="21"/>
                <w:szCs w:val="21"/>
              </w:rPr>
            </w:pPr>
            <w:r>
              <w:rPr>
                <w:spacing w:val="-8"/>
                <w:sz w:val="21"/>
                <w:szCs w:val="21"/>
              </w:rPr>
              <w:t>其他环境</w:t>
            </w:r>
          </w:p>
          <w:p>
            <w:pPr>
              <w:adjustRightInd w:val="0"/>
              <w:snapToGrid w:val="0"/>
              <w:jc w:val="center"/>
              <w:rPr>
                <w:spacing w:val="-8"/>
                <w:sz w:val="21"/>
                <w:szCs w:val="21"/>
              </w:rPr>
            </w:pPr>
            <w:r>
              <w:rPr>
                <w:spacing w:val="-8"/>
                <w:sz w:val="21"/>
                <w:szCs w:val="21"/>
              </w:rPr>
              <w:t>管理要求</w:t>
            </w:r>
          </w:p>
        </w:tc>
        <w:tc>
          <w:tcPr>
            <w:tcW w:w="7755" w:type="dxa"/>
            <w:gridSpan w:val="5"/>
            <w:vAlign w:val="center"/>
          </w:tcPr>
          <w:p>
            <w:pPr>
              <w:adjustRightInd w:val="0"/>
              <w:snapToGrid w:val="0"/>
              <w:jc w:val="center"/>
              <w:rPr>
                <w:sz w:val="21"/>
                <w:szCs w:val="21"/>
              </w:rPr>
            </w:pPr>
            <w:r>
              <w:rPr>
                <w:rFonts w:hint="eastAsia" w:ascii="Times New Roman" w:hAnsi="Times New Roman" w:eastAsia="宋体" w:cs="Times New Roman"/>
                <w:sz w:val="21"/>
                <w:szCs w:val="21"/>
                <w:lang w:val="en-US" w:eastAsia="zh-CN"/>
              </w:rPr>
              <w:t>根据《固定污染源排污许可分类管理名录（2019年版）》，本项目属于简化管理，</w:t>
            </w:r>
            <w:r>
              <w:rPr>
                <w:rFonts w:hint="eastAsia" w:cs="Times New Roman"/>
                <w:sz w:val="21"/>
                <w:szCs w:val="21"/>
                <w:lang w:val="en-US" w:eastAsia="zh-CN"/>
              </w:rPr>
              <w:t>玛纳斯县中医医院</w:t>
            </w:r>
            <w:r>
              <w:rPr>
                <w:rFonts w:hint="eastAsia" w:ascii="Times New Roman" w:hAnsi="Times New Roman" w:eastAsia="宋体" w:cs="Times New Roman"/>
                <w:sz w:val="21"/>
                <w:szCs w:val="21"/>
                <w:lang w:val="en-US" w:eastAsia="zh-CN"/>
              </w:rPr>
              <w:t>应根据《排污许可证申请与核发技术规范 医疗机构》相关要求，制定污染物自行监测方案，环境管理台账、定期信息公开等</w:t>
            </w:r>
          </w:p>
        </w:tc>
      </w:tr>
    </w:tbl>
    <w:p>
      <w:pPr>
        <w:pStyle w:val="24"/>
        <w:jc w:val="center"/>
        <w:outlineLvl w:val="0"/>
        <w:rPr>
          <w:rFonts w:ascii="黑体" w:hAnsi="黑体" w:eastAsia="黑体"/>
          <w:snapToGrid w:val="0"/>
          <w:color w:val="auto"/>
          <w:sz w:val="30"/>
          <w:szCs w:val="30"/>
        </w:rPr>
      </w:pPr>
      <w:r>
        <w:rPr>
          <w:snapToGrid w:val="0"/>
        </w:rPr>
        <w:br w:type="page"/>
      </w:r>
      <w:r>
        <w:rPr>
          <w:rFonts w:hint="eastAsia" w:ascii="黑体" w:hAnsi="黑体" w:eastAsia="黑体"/>
          <w:snapToGrid w:val="0"/>
          <w:color w:val="auto"/>
          <w:sz w:val="30"/>
          <w:szCs w:val="30"/>
        </w:rPr>
        <w:t>六、结论</w:t>
      </w:r>
    </w:p>
    <w:tbl>
      <w:tblPr>
        <w:tblStyle w:val="28"/>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top"/>
          </w:tcPr>
          <w:p>
            <w:pPr>
              <w:spacing w:line="520" w:lineRule="exact"/>
              <w:ind w:firstLine="480" w:firstLineChars="200"/>
              <w:rPr>
                <w:sz w:val="24"/>
              </w:rPr>
            </w:pPr>
            <w:r>
              <w:rPr>
                <w:sz w:val="24"/>
              </w:rPr>
              <w:t>本次评价对建项目及其周围区域环境现状进行了调查、监测和评价分析，通过对营运期污染物排放的环境影响分析和对环境风险的分析，提出了项目污染防治措施以及要求和建议，污染物的排放均能够严于相关标准，符合国家环境保护的要求。</w:t>
            </w:r>
          </w:p>
          <w:p>
            <w:pPr>
              <w:spacing w:line="520" w:lineRule="exact"/>
              <w:ind w:firstLine="480" w:firstLineChars="200"/>
              <w:rPr>
                <w:sz w:val="24"/>
              </w:rPr>
            </w:pPr>
            <w:r>
              <w:rPr>
                <w:rFonts w:hint="eastAsia"/>
                <w:sz w:val="24"/>
              </w:rPr>
              <w:t>根据工程分析可知，本项目</w:t>
            </w:r>
            <w:r>
              <w:rPr>
                <w:rFonts w:hint="eastAsia"/>
                <w:sz w:val="24"/>
                <w:lang w:val="en-US" w:eastAsia="zh-CN"/>
              </w:rPr>
              <w:t>建设后由于病床的增加，水污染物</w:t>
            </w:r>
            <w:r>
              <w:rPr>
                <w:rFonts w:hint="eastAsia"/>
                <w:sz w:val="24"/>
              </w:rPr>
              <w:t>排放量</w:t>
            </w:r>
            <w:r>
              <w:rPr>
                <w:rFonts w:hint="eastAsia"/>
                <w:sz w:val="24"/>
                <w:lang w:val="en-US" w:eastAsia="zh-CN"/>
              </w:rPr>
              <w:t>随废水量的</w:t>
            </w:r>
            <w:r>
              <w:rPr>
                <w:rFonts w:hint="eastAsia"/>
                <w:sz w:val="24"/>
              </w:rPr>
              <w:t>增大而增加，但污染物产生浓度未发生变化，</w:t>
            </w:r>
            <w:r>
              <w:rPr>
                <w:sz w:val="24"/>
              </w:rPr>
              <w:t>本项目运行期间产生一定量的废水、废气、噪声和固体废物，通过采取有效的污染防治措施，可将项目对周围环境造成的影响降到最低。同时，项目运营过程中，依据本次评价所提出的有关污染防治措施，全面落实</w:t>
            </w:r>
            <w:r>
              <w:rPr>
                <w:rFonts w:hint="eastAsia"/>
                <w:sz w:val="24"/>
                <w:lang w:eastAsia="zh-CN"/>
              </w:rPr>
              <w:t>“</w:t>
            </w:r>
            <w:r>
              <w:rPr>
                <w:sz w:val="24"/>
              </w:rPr>
              <w:t>三同时</w:t>
            </w:r>
            <w:r>
              <w:rPr>
                <w:rFonts w:hint="eastAsia"/>
                <w:sz w:val="24"/>
                <w:lang w:eastAsia="zh-CN"/>
              </w:rPr>
              <w:t>”</w:t>
            </w:r>
            <w:r>
              <w:rPr>
                <w:sz w:val="24"/>
              </w:rPr>
              <w:t>制度，加强运营期环境管理，定期监测，确保污染防治设施稳定达标运行，则项目建设对周围环境质量不会产生明显的影响，从环境保护角度出发，本项目</w:t>
            </w:r>
            <w:r>
              <w:rPr>
                <w:rFonts w:hint="eastAsia"/>
                <w:sz w:val="24"/>
              </w:rPr>
              <w:t>环评</w:t>
            </w:r>
            <w:r>
              <w:rPr>
                <w:sz w:val="24"/>
              </w:rPr>
              <w:t>是可行的。</w:t>
            </w:r>
          </w:p>
          <w:p>
            <w:pPr>
              <w:pStyle w:val="13"/>
              <w:rPr>
                <w:sz w:val="24"/>
              </w:rPr>
            </w:pPr>
          </w:p>
          <w:p>
            <w:pPr>
              <w:pStyle w:val="13"/>
              <w:rPr>
                <w:sz w:val="24"/>
              </w:rPr>
            </w:pPr>
          </w:p>
          <w:p>
            <w:pPr>
              <w:pStyle w:val="13"/>
              <w:rPr>
                <w:sz w:val="24"/>
              </w:rPr>
            </w:pPr>
          </w:p>
          <w:p>
            <w:pPr>
              <w:pStyle w:val="13"/>
              <w:rPr>
                <w:sz w:val="24"/>
              </w:rPr>
            </w:pPr>
          </w:p>
        </w:tc>
      </w:tr>
    </w:tbl>
    <w:p>
      <w:pPr>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4"/>
        <w:adjustRightInd w:val="0"/>
        <w:snapToGrid w:val="0"/>
        <w:spacing w:before="0" w:beforeAutospacing="0" w:after="0" w:afterAutospacing="0"/>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24"/>
        <w:adjustRightInd w:val="0"/>
        <w:snapToGrid w:val="0"/>
        <w:spacing w:before="0" w:beforeAutospacing="0" w:after="0" w:afterAutospacing="0"/>
        <w:jc w:val="center"/>
        <w:outlineLvl w:val="0"/>
        <w:rPr>
          <w:rFonts w:ascii="方正小标宋_GBK" w:hAnsi="黑体" w:eastAsia="方正小标宋_GBK"/>
          <w:snapToGrid w:val="0"/>
          <w:color w:val="000000" w:themeColor="text1"/>
          <w:sz w:val="38"/>
          <w:szCs w:val="38"/>
          <w14:textFill>
            <w14:solidFill>
              <w14:schemeClr w14:val="tx1"/>
            </w14:solidFill>
          </w14:textFill>
        </w:rPr>
      </w:pPr>
      <w:r>
        <w:rPr>
          <w:rFonts w:hint="eastAsia" w:ascii="方正小标宋_GBK" w:hAnsi="黑体" w:eastAsia="方正小标宋_GBK"/>
          <w:snapToGrid w:val="0"/>
          <w:color w:val="000000" w:themeColor="text1"/>
          <w:sz w:val="38"/>
          <w:szCs w:val="38"/>
          <w14:textFill>
            <w14:solidFill>
              <w14:schemeClr w14:val="tx1"/>
            </w14:solidFill>
          </w14:textFill>
        </w:rPr>
        <w:t>建设项目污染物排放量汇总表</w:t>
      </w:r>
    </w:p>
    <w:tbl>
      <w:tblPr>
        <w:tblStyle w:val="28"/>
        <w:tblW w:w="1363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275"/>
        <w:gridCol w:w="1701"/>
        <w:gridCol w:w="1276"/>
        <w:gridCol w:w="1701"/>
        <w:gridCol w:w="1559"/>
        <w:gridCol w:w="1761"/>
        <w:gridCol w:w="1641"/>
        <w:gridCol w:w="11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53"/>
              <w:spacing w:beforeLines="0" w:afterLines="0" w:line="240" w:lineRule="auto"/>
              <w:jc w:val="right"/>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项目</w:t>
            </w:r>
          </w:p>
          <w:p>
            <w:pPr>
              <w:pStyle w:val="53"/>
              <w:spacing w:beforeLines="0" w:afterLines="0" w:line="240" w:lineRule="auto"/>
              <w:jc w:val="left"/>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分类</w:t>
            </w:r>
          </w:p>
        </w:tc>
        <w:tc>
          <w:tcPr>
            <w:tcW w:w="1275" w:type="dxa"/>
            <w:tcMar>
              <w:left w:w="28" w:type="dxa"/>
              <w:right w:w="28" w:type="dxa"/>
            </w:tcMar>
            <w:vAlign w:val="center"/>
          </w:tcPr>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污染物名称</w:t>
            </w:r>
          </w:p>
        </w:tc>
        <w:tc>
          <w:tcPr>
            <w:tcW w:w="1701" w:type="dxa"/>
            <w:tcMar>
              <w:left w:w="28" w:type="dxa"/>
              <w:right w:w="28" w:type="dxa"/>
            </w:tcMar>
            <w:vAlign w:val="center"/>
          </w:tcPr>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现有工程</w:t>
            </w:r>
          </w:p>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排放量（固体废物产生量）</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1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kern w:val="2"/>
                <w:szCs w:val="21"/>
                <w14:textFill>
                  <w14:solidFill>
                    <w14:schemeClr w14:val="tx1"/>
                  </w14:solidFill>
                </w14:textFill>
              </w:rPr>
              <w:t>①</w:t>
            </w:r>
            <w:r>
              <w:rPr>
                <w:rFonts w:ascii="Times New Roman"/>
                <w:snapToGrid w:val="0"/>
                <w:color w:val="000000" w:themeColor="text1"/>
                <w:spacing w:val="-6"/>
                <w:kern w:val="21"/>
                <w:szCs w:val="21"/>
                <w14:textFill>
                  <w14:solidFill>
                    <w14:schemeClr w14:val="tx1"/>
                  </w14:solidFill>
                </w14:textFill>
              </w:rPr>
              <w:fldChar w:fldCharType="end"/>
            </w:r>
          </w:p>
        </w:tc>
        <w:tc>
          <w:tcPr>
            <w:tcW w:w="1276" w:type="dxa"/>
            <w:tcMar>
              <w:left w:w="28" w:type="dxa"/>
              <w:right w:w="28" w:type="dxa"/>
            </w:tcMar>
            <w:vAlign w:val="center"/>
          </w:tcPr>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现有工程</w:t>
            </w:r>
          </w:p>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许可排放量</w:t>
            </w:r>
          </w:p>
          <w:p>
            <w:pPr>
              <w:pStyle w:val="53"/>
              <w:spacing w:beforeLines="0" w:afterLines="0"/>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2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snapToGrid w:val="0"/>
                <w:color w:val="000000" w:themeColor="text1"/>
                <w:spacing w:val="-6"/>
                <w:kern w:val="21"/>
                <w:szCs w:val="21"/>
                <w14:textFill>
                  <w14:solidFill>
                    <w14:schemeClr w14:val="tx1"/>
                  </w14:solidFill>
                </w14:textFill>
              </w:rPr>
              <w:t>②</w:t>
            </w:r>
            <w:r>
              <w:rPr>
                <w:rFonts w:ascii="Times New Roman"/>
                <w:snapToGrid w:val="0"/>
                <w:color w:val="000000" w:themeColor="text1"/>
                <w:spacing w:val="-6"/>
                <w:kern w:val="21"/>
                <w:szCs w:val="21"/>
                <w14:textFill>
                  <w14:solidFill>
                    <w14:schemeClr w14:val="tx1"/>
                  </w14:solidFill>
                </w14:textFill>
              </w:rPr>
              <w:fldChar w:fldCharType="end"/>
            </w:r>
          </w:p>
        </w:tc>
        <w:tc>
          <w:tcPr>
            <w:tcW w:w="1701" w:type="dxa"/>
            <w:tcMar>
              <w:left w:w="28" w:type="dxa"/>
              <w:right w:w="28" w:type="dxa"/>
            </w:tcMar>
            <w:vAlign w:val="center"/>
          </w:tcPr>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在建工程</w:t>
            </w:r>
          </w:p>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排放量（固体废物产生量）</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3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kern w:val="2"/>
                <w:szCs w:val="21"/>
                <w14:textFill>
                  <w14:solidFill>
                    <w14:schemeClr w14:val="tx1"/>
                  </w14:solidFill>
                </w14:textFill>
              </w:rPr>
              <w:t>③</w:t>
            </w:r>
            <w:r>
              <w:rPr>
                <w:rFonts w:ascii="Times New Roman"/>
                <w:snapToGrid w:val="0"/>
                <w:color w:val="000000" w:themeColor="text1"/>
                <w:spacing w:val="-6"/>
                <w:kern w:val="21"/>
                <w:szCs w:val="21"/>
                <w14:textFill>
                  <w14:solidFill>
                    <w14:schemeClr w14:val="tx1"/>
                  </w14:solidFill>
                </w14:textFill>
              </w:rPr>
              <w:fldChar w:fldCharType="end"/>
            </w:r>
          </w:p>
        </w:tc>
        <w:tc>
          <w:tcPr>
            <w:tcW w:w="1559" w:type="dxa"/>
            <w:tcMar>
              <w:left w:w="28" w:type="dxa"/>
              <w:right w:w="28" w:type="dxa"/>
            </w:tcMar>
            <w:vAlign w:val="center"/>
          </w:tcPr>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本项目</w:t>
            </w:r>
          </w:p>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排放量（固体废物产生量）</w:t>
            </w: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4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kern w:val="2"/>
                <w:szCs w:val="21"/>
                <w14:textFill>
                  <w14:solidFill>
                    <w14:schemeClr w14:val="tx1"/>
                  </w14:solidFill>
                </w14:textFill>
              </w:rPr>
              <w:t>④</w:t>
            </w:r>
            <w:r>
              <w:rPr>
                <w:rFonts w:ascii="Times New Roman"/>
                <w:snapToGrid w:val="0"/>
                <w:color w:val="000000" w:themeColor="text1"/>
                <w:spacing w:val="-6"/>
                <w:kern w:val="21"/>
                <w:szCs w:val="21"/>
                <w14:textFill>
                  <w14:solidFill>
                    <w14:schemeClr w14:val="tx1"/>
                  </w14:solidFill>
                </w14:textFill>
              </w:rPr>
              <w:fldChar w:fldCharType="end"/>
            </w:r>
          </w:p>
        </w:tc>
        <w:tc>
          <w:tcPr>
            <w:tcW w:w="1761" w:type="dxa"/>
            <w:tcMar>
              <w:left w:w="28" w:type="dxa"/>
              <w:right w:w="28" w:type="dxa"/>
            </w:tcMar>
            <w:vAlign w:val="center"/>
          </w:tcPr>
          <w:p>
            <w:pPr>
              <w:pStyle w:val="53"/>
              <w:spacing w:beforeLines="0" w:afterLines="0" w:line="240" w:lineRule="auto"/>
              <w:rPr>
                <w:rFonts w:ascii="Times New Roman"/>
                <w:snapToGrid w:val="0"/>
                <w:color w:val="000000" w:themeColor="text1"/>
                <w:spacing w:val="-16"/>
                <w:kern w:val="21"/>
                <w:szCs w:val="21"/>
                <w14:textFill>
                  <w14:solidFill>
                    <w14:schemeClr w14:val="tx1"/>
                  </w14:solidFill>
                </w14:textFill>
              </w:rPr>
            </w:pPr>
            <w:r>
              <w:rPr>
                <w:rFonts w:ascii="Times New Roman"/>
                <w:snapToGrid w:val="0"/>
                <w:color w:val="000000" w:themeColor="text1"/>
                <w:spacing w:val="-16"/>
                <w:kern w:val="21"/>
                <w:szCs w:val="21"/>
                <w14:textFill>
                  <w14:solidFill>
                    <w14:schemeClr w14:val="tx1"/>
                  </w14:solidFill>
                </w14:textFill>
              </w:rPr>
              <w:t>以新带老削减量</w:t>
            </w:r>
          </w:p>
          <w:p>
            <w:pPr>
              <w:pStyle w:val="53"/>
              <w:spacing w:beforeLines="0" w:afterLines="0" w:line="240" w:lineRule="auto"/>
              <w:rPr>
                <w:rFonts w:ascii="Times New Roman"/>
                <w:snapToGrid w:val="0"/>
                <w:color w:val="000000" w:themeColor="text1"/>
                <w:spacing w:val="-16"/>
                <w:kern w:val="21"/>
                <w:szCs w:val="21"/>
                <w14:textFill>
                  <w14:solidFill>
                    <w14:schemeClr w14:val="tx1"/>
                  </w14:solidFill>
                </w14:textFill>
              </w:rPr>
            </w:pPr>
            <w:r>
              <w:rPr>
                <w:rFonts w:ascii="Times New Roman"/>
                <w:snapToGrid w:val="0"/>
                <w:color w:val="000000" w:themeColor="text1"/>
                <w:spacing w:val="-16"/>
                <w:kern w:val="21"/>
                <w:szCs w:val="21"/>
                <w14:textFill>
                  <w14:solidFill>
                    <w14:schemeClr w14:val="tx1"/>
                  </w14:solidFill>
                </w14:textFill>
              </w:rPr>
              <w:t>（新建项目不填）</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5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kern w:val="2"/>
                <w:szCs w:val="21"/>
                <w14:textFill>
                  <w14:solidFill>
                    <w14:schemeClr w14:val="tx1"/>
                  </w14:solidFill>
                </w14:textFill>
              </w:rPr>
              <w:t>⑤</w:t>
            </w:r>
            <w:r>
              <w:rPr>
                <w:rFonts w:ascii="Times New Roman"/>
                <w:snapToGrid w:val="0"/>
                <w:color w:val="000000" w:themeColor="text1"/>
                <w:spacing w:val="-16"/>
                <w:kern w:val="21"/>
                <w:szCs w:val="21"/>
                <w14:textFill>
                  <w14:solidFill>
                    <w14:schemeClr w14:val="tx1"/>
                  </w14:solidFill>
                </w14:textFill>
              </w:rPr>
              <w:fldChar w:fldCharType="end"/>
            </w:r>
          </w:p>
        </w:tc>
        <w:tc>
          <w:tcPr>
            <w:tcW w:w="1641" w:type="dxa"/>
            <w:tcMar>
              <w:left w:w="28" w:type="dxa"/>
              <w:right w:w="28" w:type="dxa"/>
            </w:tcMar>
            <w:vAlign w:val="center"/>
          </w:tcPr>
          <w:p>
            <w:pPr>
              <w:pStyle w:val="53"/>
              <w:spacing w:beforeLines="0" w:afterLines="0" w:line="240" w:lineRule="auto"/>
              <w:rPr>
                <w:rFonts w:ascii="Times New Roman"/>
                <w:snapToGrid w:val="0"/>
                <w:color w:val="000000" w:themeColor="text1"/>
                <w:spacing w:val="-16"/>
                <w:kern w:val="21"/>
                <w:szCs w:val="21"/>
                <w14:textFill>
                  <w14:solidFill>
                    <w14:schemeClr w14:val="tx1"/>
                  </w14:solidFill>
                </w14:textFill>
              </w:rPr>
            </w:pPr>
            <w:r>
              <w:rPr>
                <w:rFonts w:ascii="Times New Roman"/>
                <w:snapToGrid w:val="0"/>
                <w:color w:val="000000" w:themeColor="text1"/>
                <w:spacing w:val="-16"/>
                <w:kern w:val="21"/>
                <w:szCs w:val="21"/>
                <w14:textFill>
                  <w14:solidFill>
                    <w14:schemeClr w14:val="tx1"/>
                  </w14:solidFill>
                </w14:textFill>
              </w:rPr>
              <w:t>本项目建成后</w:t>
            </w:r>
          </w:p>
          <w:p>
            <w:pPr>
              <w:pStyle w:val="53"/>
              <w:spacing w:beforeLines="0" w:afterLines="0" w:line="240" w:lineRule="auto"/>
              <w:rPr>
                <w:rFonts w:ascii="Times New Roman"/>
                <w:snapToGrid w:val="0"/>
                <w:color w:val="000000" w:themeColor="text1"/>
                <w:spacing w:val="-16"/>
                <w:kern w:val="21"/>
                <w:szCs w:val="21"/>
                <w14:textFill>
                  <w14:solidFill>
                    <w14:schemeClr w14:val="tx1"/>
                  </w14:solidFill>
                </w14:textFill>
              </w:rPr>
            </w:pPr>
            <w:r>
              <w:rPr>
                <w:rFonts w:ascii="Times New Roman"/>
                <w:snapToGrid w:val="0"/>
                <w:color w:val="000000" w:themeColor="text1"/>
                <w:spacing w:val="-16"/>
                <w:kern w:val="21"/>
                <w:szCs w:val="21"/>
                <w14:textFill>
                  <w14:solidFill>
                    <w14:schemeClr w14:val="tx1"/>
                  </w14:solidFill>
                </w14:textFill>
              </w:rPr>
              <w:t>全厂排放量（固体废物产生量）</w:t>
            </w:r>
            <w:r>
              <w:rPr>
                <w:rFonts w:ascii="Times New Roman"/>
                <w:snapToGrid w:val="0"/>
                <w:color w:val="000000" w:themeColor="text1"/>
                <w:spacing w:val="-16"/>
                <w:kern w:val="21"/>
                <w:szCs w:val="21"/>
                <w14:textFill>
                  <w14:solidFill>
                    <w14:schemeClr w14:val="tx1"/>
                  </w14:solidFill>
                </w14:textFill>
              </w:rPr>
              <w:fldChar w:fldCharType="begin"/>
            </w:r>
            <w:r>
              <w:rPr>
                <w:rFonts w:ascii="Times New Roman"/>
                <w:snapToGrid w:val="0"/>
                <w:color w:val="000000" w:themeColor="text1"/>
                <w:spacing w:val="-16"/>
                <w:kern w:val="21"/>
                <w:szCs w:val="21"/>
                <w14:textFill>
                  <w14:solidFill>
                    <w14:schemeClr w14:val="tx1"/>
                  </w14:solidFill>
                </w14:textFill>
              </w:rPr>
              <w:instrText xml:space="preserve"> = 6 \* GB3 \* MERGEFORMAT </w:instrText>
            </w:r>
            <w:r>
              <w:rPr>
                <w:rFonts w:ascii="Times New Roman"/>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kern w:val="2"/>
                <w:szCs w:val="21"/>
                <w14:textFill>
                  <w14:solidFill>
                    <w14:schemeClr w14:val="tx1"/>
                  </w14:solidFill>
                </w14:textFill>
              </w:rPr>
              <w:t>⑥</w:t>
            </w:r>
            <w:r>
              <w:rPr>
                <w:rFonts w:ascii="Times New Roman"/>
                <w:snapToGrid w:val="0"/>
                <w:color w:val="000000" w:themeColor="text1"/>
                <w:spacing w:val="-16"/>
                <w:kern w:val="21"/>
                <w:szCs w:val="21"/>
                <w14:textFill>
                  <w14:solidFill>
                    <w14:schemeClr w14:val="tx1"/>
                  </w14:solidFill>
                </w14:textFill>
              </w:rPr>
              <w:fldChar w:fldCharType="end"/>
            </w:r>
          </w:p>
        </w:tc>
        <w:tc>
          <w:tcPr>
            <w:tcW w:w="1134" w:type="dxa"/>
            <w:tcMar>
              <w:left w:w="28" w:type="dxa"/>
              <w:right w:w="28" w:type="dxa"/>
            </w:tcMar>
            <w:vAlign w:val="center"/>
          </w:tcPr>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t>变化量</w:t>
            </w:r>
          </w:p>
          <w:p>
            <w:pPr>
              <w:pStyle w:val="53"/>
              <w:spacing w:beforeLines="0" w:afterLines="0" w:line="240" w:lineRule="auto"/>
              <w:rPr>
                <w:rFonts w:ascii="Times New Roman"/>
                <w:snapToGrid w:val="0"/>
                <w:color w:val="000000" w:themeColor="text1"/>
                <w:spacing w:val="-6"/>
                <w:kern w:val="21"/>
                <w:szCs w:val="21"/>
                <w14:textFill>
                  <w14:solidFill>
                    <w14:schemeClr w14:val="tx1"/>
                  </w14:solidFill>
                </w14:textFill>
              </w:rPr>
            </w:pPr>
            <w:r>
              <w:rPr>
                <w:rFonts w:ascii="Times New Roman"/>
                <w:snapToGrid w:val="0"/>
                <w:color w:val="000000" w:themeColor="text1"/>
                <w:spacing w:val="-6"/>
                <w:kern w:val="21"/>
                <w:szCs w:val="21"/>
                <w14:textFill>
                  <w14:solidFill>
                    <w14:schemeClr w14:val="tx1"/>
                  </w14:solidFill>
                </w14:textFill>
              </w:rPr>
              <w:fldChar w:fldCharType="begin"/>
            </w:r>
            <w:r>
              <w:rPr>
                <w:rFonts w:ascii="Times New Roman"/>
                <w:snapToGrid w:val="0"/>
                <w:color w:val="000000" w:themeColor="text1"/>
                <w:spacing w:val="-6"/>
                <w:kern w:val="21"/>
                <w:szCs w:val="21"/>
                <w14:textFill>
                  <w14:solidFill>
                    <w14:schemeClr w14:val="tx1"/>
                  </w14:solidFill>
                </w14:textFill>
              </w:rPr>
              <w:instrText xml:space="preserve"> = 7 \* GB3 \* MERGEFORMAT </w:instrText>
            </w:r>
            <w:r>
              <w:rPr>
                <w:rFonts w:ascii="Times New Roman"/>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kern w:val="2"/>
                <w:szCs w:val="21"/>
                <w14:textFill>
                  <w14:solidFill>
                    <w14:schemeClr w14:val="tx1"/>
                  </w14:solidFill>
                </w14:textFill>
              </w:rPr>
              <w:t>⑦</w:t>
            </w:r>
            <w:r>
              <w:rPr>
                <w:rFonts w:ascii="Times New Roman"/>
                <w:snapToGrid w:val="0"/>
                <w:color w:val="000000" w:themeColor="text1"/>
                <w:spacing w:val="-6"/>
                <w:kern w:val="21"/>
                <w:szCs w:val="21"/>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废气</w:t>
            </w: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color w:val="000000" w:themeColor="text1"/>
                <w:szCs w:val="21"/>
                <w14:textFill>
                  <w14:solidFill>
                    <w14:schemeClr w14:val="tx1"/>
                  </w14:solidFill>
                </w14:textFill>
              </w:rPr>
              <w:t>颗粒物</w:t>
            </w:r>
          </w:p>
        </w:tc>
        <w:tc>
          <w:tcPr>
            <w:tcW w:w="1701" w:type="dxa"/>
            <w:vAlign w:val="center"/>
          </w:tcPr>
          <w:p>
            <w:pPr>
              <w:jc w:val="center"/>
              <w:rPr>
                <w:rFonts w:hint="eastAsia" w:eastAsia="宋体"/>
                <w:snapToGrid w:val="0"/>
                <w:color w:val="000000" w:themeColor="text1"/>
                <w:kern w:val="2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0</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c>
          <w:tcPr>
            <w:tcW w:w="1134"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color w:val="000000" w:themeColor="text1"/>
                <w:spacing w:val="6"/>
                <w:szCs w:val="21"/>
                <w14:textFill>
                  <w14:solidFill>
                    <w14:schemeClr w14:val="tx1"/>
                  </w14:solidFill>
                </w14:textFill>
              </w:rPr>
              <w:t>SO</w:t>
            </w:r>
            <w:r>
              <w:rPr>
                <w:rFonts w:ascii="Times New Roman"/>
                <w:color w:val="000000" w:themeColor="text1"/>
                <w:spacing w:val="6"/>
                <w:szCs w:val="21"/>
                <w:vertAlign w:val="subscript"/>
                <w14:textFill>
                  <w14:solidFill>
                    <w14:schemeClr w14:val="tx1"/>
                  </w14:solidFill>
                </w14:textFill>
              </w:rPr>
              <w:t>2</w:t>
            </w:r>
          </w:p>
        </w:tc>
        <w:tc>
          <w:tcPr>
            <w:tcW w:w="1701" w:type="dxa"/>
            <w:vAlign w:val="center"/>
          </w:tcPr>
          <w:p>
            <w:pPr>
              <w:jc w:val="center"/>
              <w:rPr>
                <w:rFonts w:hint="eastAsia" w:eastAsia="宋体"/>
                <w:snapToGrid w:val="0"/>
                <w:color w:val="000000" w:themeColor="text1"/>
                <w:kern w:val="21"/>
                <w:szCs w:val="21"/>
                <w:lang w:eastAsia="zh-CN"/>
                <w14:textFill>
                  <w14:solidFill>
                    <w14:schemeClr w14:val="tx1"/>
                  </w14:solidFill>
                </w14:textFill>
              </w:rPr>
            </w:pPr>
            <w:r>
              <w:rPr>
                <w:rFonts w:hint="eastAsia" w:hAnsi="宋体"/>
                <w:color w:val="000000" w:themeColor="text1"/>
                <w:szCs w:val="21"/>
                <w:lang w:val="en-US" w:eastAsia="zh-CN"/>
                <w14:textFill>
                  <w14:solidFill>
                    <w14:schemeClr w14:val="tx1"/>
                  </w14:solidFill>
                </w14:textFill>
              </w:rPr>
              <w:t>0</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c>
          <w:tcPr>
            <w:tcW w:w="1134" w:type="dxa"/>
            <w:vAlign w:val="center"/>
          </w:tcPr>
          <w:p>
            <w:pPr>
              <w:pStyle w:val="53"/>
              <w:spacing w:beforeLines="0" w:afterLines="0" w:line="240" w:lineRule="auto"/>
              <w:rPr>
                <w:rFonts w:hint="eastAsia"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color w:val="000000" w:themeColor="text1"/>
                <w:spacing w:val="6"/>
                <w:szCs w:val="21"/>
                <w14:textFill>
                  <w14:solidFill>
                    <w14:schemeClr w14:val="tx1"/>
                  </w14:solidFill>
                </w14:textFill>
              </w:rPr>
              <w:t>NO</w:t>
            </w:r>
            <w:r>
              <w:rPr>
                <w:rFonts w:ascii="Times New Roman"/>
                <w:color w:val="000000" w:themeColor="text1"/>
                <w:spacing w:val="6"/>
                <w:szCs w:val="21"/>
                <w:vertAlign w:val="subscript"/>
                <w14:textFill>
                  <w14:solidFill>
                    <w14:schemeClr w14:val="tx1"/>
                  </w14:solidFill>
                </w14:textFill>
              </w:rPr>
              <w:t>x</w:t>
            </w:r>
          </w:p>
        </w:tc>
        <w:tc>
          <w:tcPr>
            <w:tcW w:w="1701" w:type="dxa"/>
            <w:vAlign w:val="center"/>
          </w:tcPr>
          <w:p>
            <w:pPr>
              <w:jc w:val="center"/>
              <w:rPr>
                <w:rFonts w:hint="eastAsia" w:eastAsia="宋体"/>
                <w:snapToGrid w:val="0"/>
                <w:color w:val="000000" w:themeColor="text1"/>
                <w:kern w:val="21"/>
                <w:szCs w:val="21"/>
                <w:lang w:val="en-US" w:eastAsia="zh-CN"/>
                <w14:textFill>
                  <w14:solidFill>
                    <w14:schemeClr w14:val="tx1"/>
                  </w14:solidFill>
                </w14:textFill>
              </w:rPr>
            </w:pPr>
            <w:r>
              <w:rPr>
                <w:rFonts w:hint="eastAsia" w:hAnsi="宋体"/>
                <w:color w:val="000000" w:themeColor="text1"/>
                <w:szCs w:val="21"/>
                <w:lang w:val="en-US" w:eastAsia="zh-CN"/>
                <w14:textFill>
                  <w14:solidFill>
                    <w14:schemeClr w14:val="tx1"/>
                  </w14:solidFill>
                </w14:textFill>
              </w:rPr>
              <w:t>0</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c>
          <w:tcPr>
            <w:tcW w:w="1134"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color w:val="000000" w:themeColor="text1"/>
                <w:szCs w:val="21"/>
                <w:lang w:val="en-US" w:eastAsia="zh-CN"/>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废水</w:t>
            </w: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COD</w:t>
            </w:r>
          </w:p>
        </w:tc>
        <w:tc>
          <w:tcPr>
            <w:tcW w:w="1701" w:type="dxa"/>
            <w:vAlign w:val="center"/>
          </w:tcPr>
          <w:p>
            <w:pPr>
              <w:jc w:val="center"/>
              <w:rPr>
                <w:rFonts w:hint="default" w:eastAsia="宋体"/>
                <w:snapToGrid w:val="0"/>
                <w:color w:val="000000" w:themeColor="text1"/>
                <w:kern w:val="21"/>
                <w:szCs w:val="21"/>
                <w:lang w:val="en-US" w:eastAsia="zh-CN"/>
                <w14:textFill>
                  <w14:solidFill>
                    <w14:schemeClr w14:val="tx1"/>
                  </w14:solidFill>
                </w14:textFill>
              </w:rPr>
            </w:pPr>
            <w:r>
              <w:rPr>
                <w:rFonts w:hint="eastAsia" w:hAnsi="宋体"/>
                <w:color w:val="000000" w:themeColor="text1"/>
                <w:szCs w:val="21"/>
                <w:lang w:val="en-US" w:eastAsia="zh-CN"/>
                <w14:textFill>
                  <w14:solidFill>
                    <w14:schemeClr w14:val="tx1"/>
                  </w14:solidFill>
                </w14:textFill>
              </w:rPr>
              <w:t>0.0744</w:t>
            </w:r>
            <w:r>
              <w:rPr>
                <w:rFonts w:hint="eastAsia" w:ascii="Times New Roman"/>
                <w:color w:val="000000" w:themeColor="text1"/>
                <w:szCs w:val="21"/>
                <w14:textFill>
                  <w14:solidFill>
                    <w14:schemeClr w14:val="tx1"/>
                  </w14:solidFill>
                </w14:textFill>
              </w:rPr>
              <w:t>t/a</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0.219</w:t>
            </w:r>
            <w:r>
              <w:rPr>
                <w:rFonts w:hint="eastAsia" w:ascii="Times New Roman"/>
                <w:color w:val="000000" w:themeColor="text1"/>
                <w:szCs w:val="21"/>
                <w14:textFill>
                  <w14:solidFill>
                    <w14:schemeClr w14:val="tx1"/>
                  </w14:solidFill>
                </w14:textFill>
              </w:rPr>
              <w:t>t/a</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0.29344</w:t>
            </w:r>
            <w:r>
              <w:rPr>
                <w:rFonts w:hint="eastAsia" w:ascii="Times New Roman"/>
                <w:color w:val="000000" w:themeColor="text1"/>
                <w:szCs w:val="21"/>
                <w14:textFill>
                  <w14:solidFill>
                    <w14:schemeClr w14:val="tx1"/>
                  </w14:solidFill>
                </w14:textFill>
              </w:rPr>
              <w:t>t/a</w:t>
            </w:r>
          </w:p>
        </w:tc>
        <w:tc>
          <w:tcPr>
            <w:tcW w:w="1134"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0.219</w:t>
            </w:r>
            <w:r>
              <w:rPr>
                <w:rFonts w:hint="eastAsia" w:ascii="Times New Roman"/>
                <w:color w:val="000000" w:themeColor="text1"/>
                <w:szCs w:val="2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NH</w:t>
            </w:r>
            <w:r>
              <w:rPr>
                <w:rFonts w:ascii="Times New Roman"/>
                <w:snapToGrid w:val="0"/>
                <w:color w:val="000000" w:themeColor="text1"/>
                <w:kern w:val="21"/>
                <w:szCs w:val="21"/>
                <w:vertAlign w:val="subscript"/>
                <w14:textFill>
                  <w14:solidFill>
                    <w14:schemeClr w14:val="tx1"/>
                  </w14:solidFill>
                </w14:textFill>
              </w:rPr>
              <w:t>3</w:t>
            </w:r>
            <w:r>
              <w:rPr>
                <w:rFonts w:ascii="Times New Roman"/>
                <w:snapToGrid w:val="0"/>
                <w:color w:val="000000" w:themeColor="text1"/>
                <w:kern w:val="21"/>
                <w:szCs w:val="21"/>
                <w14:textFill>
                  <w14:solidFill>
                    <w14:schemeClr w14:val="tx1"/>
                  </w14:solidFill>
                </w14:textFill>
              </w:rPr>
              <w:t>-N</w:t>
            </w:r>
          </w:p>
        </w:tc>
        <w:tc>
          <w:tcPr>
            <w:tcW w:w="1701" w:type="dxa"/>
            <w:vAlign w:val="center"/>
          </w:tcPr>
          <w:p>
            <w:pPr>
              <w:jc w:val="center"/>
              <w:rPr>
                <w:rFonts w:hint="default" w:eastAsia="宋体"/>
                <w:snapToGrid w:val="0"/>
                <w:color w:val="000000" w:themeColor="text1"/>
                <w:kern w:val="21"/>
                <w:szCs w:val="21"/>
                <w:lang w:val="en-US" w:eastAsia="zh-CN"/>
                <w14:textFill>
                  <w14:solidFill>
                    <w14:schemeClr w14:val="tx1"/>
                  </w14:solidFill>
                </w14:textFill>
              </w:rPr>
            </w:pPr>
            <w:r>
              <w:rPr>
                <w:rFonts w:hint="eastAsia" w:hAnsi="宋体"/>
                <w:color w:val="000000" w:themeColor="text1"/>
                <w:szCs w:val="21"/>
                <w:lang w:val="en-US" w:eastAsia="zh-CN"/>
                <w14:textFill>
                  <w14:solidFill>
                    <w14:schemeClr w14:val="tx1"/>
                  </w14:solidFill>
                </w14:textFill>
              </w:rPr>
              <w:t>0.366</w:t>
            </w:r>
            <w:r>
              <w:rPr>
                <w:rFonts w:hint="eastAsia" w:ascii="Times New Roman"/>
                <w:color w:val="000000" w:themeColor="text1"/>
                <w:szCs w:val="21"/>
                <w14:textFill>
                  <w14:solidFill>
                    <w14:schemeClr w14:val="tx1"/>
                  </w14:solidFill>
                </w14:textFill>
              </w:rPr>
              <w:t>t/a</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0.013</w:t>
            </w:r>
            <w:r>
              <w:rPr>
                <w:rFonts w:hint="eastAsia" w:ascii="Times New Roman"/>
                <w:color w:val="000000" w:themeColor="text1"/>
                <w:szCs w:val="21"/>
                <w14:textFill>
                  <w14:solidFill>
                    <w14:schemeClr w14:val="tx1"/>
                  </w14:solidFill>
                </w14:textFill>
              </w:rPr>
              <w:t>t/a</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0.379</w:t>
            </w:r>
            <w:r>
              <w:rPr>
                <w:rFonts w:hint="eastAsia" w:ascii="Times New Roman"/>
                <w:color w:val="000000" w:themeColor="text1"/>
                <w:szCs w:val="21"/>
                <w14:textFill>
                  <w14:solidFill>
                    <w14:schemeClr w14:val="tx1"/>
                  </w14:solidFill>
                </w14:textFill>
              </w:rPr>
              <w:t>t/a</w:t>
            </w:r>
          </w:p>
        </w:tc>
        <w:tc>
          <w:tcPr>
            <w:tcW w:w="1134"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0.013</w:t>
            </w:r>
            <w:r>
              <w:rPr>
                <w:rFonts w:hint="eastAsia" w:ascii="Times New Roman"/>
                <w:color w:val="000000" w:themeColor="text1"/>
                <w:szCs w:val="2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BOD</w:t>
            </w:r>
          </w:p>
        </w:tc>
        <w:tc>
          <w:tcPr>
            <w:tcW w:w="1701" w:type="dxa"/>
            <w:vAlign w:val="center"/>
          </w:tcPr>
          <w:p>
            <w:pPr>
              <w:jc w:val="center"/>
              <w:rPr>
                <w:rFonts w:hint="default" w:eastAsia="宋体"/>
                <w:snapToGrid w:val="0"/>
                <w:color w:val="000000" w:themeColor="text1"/>
                <w:kern w:val="21"/>
                <w:szCs w:val="21"/>
                <w:lang w:val="en-US" w:eastAsia="zh-CN"/>
                <w14:textFill>
                  <w14:solidFill>
                    <w14:schemeClr w14:val="tx1"/>
                  </w14:solidFill>
                </w14:textFill>
              </w:rPr>
            </w:pPr>
            <w:r>
              <w:rPr>
                <w:rFonts w:hint="eastAsia" w:hAnsi="宋体"/>
                <w:color w:val="000000" w:themeColor="text1"/>
                <w:szCs w:val="21"/>
                <w:lang w:val="en-US" w:eastAsia="zh-CN"/>
                <w14:textFill>
                  <w14:solidFill>
                    <w14:schemeClr w14:val="tx1"/>
                  </w14:solidFill>
                </w14:textFill>
              </w:rPr>
              <w:t>0.360</w:t>
            </w:r>
            <w:r>
              <w:rPr>
                <w:rFonts w:hint="eastAsia" w:ascii="Times New Roman"/>
                <w:color w:val="000000" w:themeColor="text1"/>
                <w:szCs w:val="21"/>
                <w14:textFill>
                  <w14:solidFill>
                    <w14:schemeClr w14:val="tx1"/>
                  </w14:solidFill>
                </w14:textFill>
              </w:rPr>
              <w:t>t/a</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0.118</w:t>
            </w:r>
            <w:r>
              <w:rPr>
                <w:rFonts w:hint="eastAsia" w:ascii="Times New Roman"/>
                <w:color w:val="000000" w:themeColor="text1"/>
                <w:szCs w:val="21"/>
                <w14:textFill>
                  <w14:solidFill>
                    <w14:schemeClr w14:val="tx1"/>
                  </w14:solidFill>
                </w14:textFill>
              </w:rPr>
              <w:t>t/a</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0.478</w:t>
            </w:r>
            <w:r>
              <w:rPr>
                <w:rFonts w:hint="eastAsia" w:ascii="Times New Roman"/>
                <w:color w:val="000000" w:themeColor="text1"/>
                <w:szCs w:val="21"/>
                <w14:textFill>
                  <w14:solidFill>
                    <w14:schemeClr w14:val="tx1"/>
                  </w14:solidFill>
                </w14:textFill>
              </w:rPr>
              <w:t>t/a</w:t>
            </w:r>
          </w:p>
        </w:tc>
        <w:tc>
          <w:tcPr>
            <w:tcW w:w="1134"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0.118</w:t>
            </w:r>
            <w:r>
              <w:rPr>
                <w:rFonts w:hint="eastAsia" w:ascii="Times New Roman"/>
                <w:color w:val="000000" w:themeColor="text1"/>
                <w:szCs w:val="2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SS</w:t>
            </w:r>
          </w:p>
        </w:tc>
        <w:tc>
          <w:tcPr>
            <w:tcW w:w="1701" w:type="dxa"/>
            <w:vAlign w:val="center"/>
          </w:tcPr>
          <w:p>
            <w:pPr>
              <w:jc w:val="center"/>
              <w:rPr>
                <w:rFonts w:hint="default" w:eastAsia="宋体"/>
                <w:snapToGrid w:val="0"/>
                <w:color w:val="000000" w:themeColor="text1"/>
                <w:kern w:val="21"/>
                <w:szCs w:val="21"/>
                <w:lang w:val="en-US" w:eastAsia="zh-CN"/>
                <w14:textFill>
                  <w14:solidFill>
                    <w14:schemeClr w14:val="tx1"/>
                  </w14:solidFill>
                </w14:textFill>
              </w:rPr>
            </w:pPr>
            <w:r>
              <w:rPr>
                <w:rFonts w:hint="eastAsia" w:hAnsi="宋体"/>
                <w:color w:val="000000" w:themeColor="text1"/>
                <w:szCs w:val="21"/>
                <w:lang w:val="en-US" w:eastAsia="zh-CN"/>
                <w14:textFill>
                  <w14:solidFill>
                    <w14:schemeClr w14:val="tx1"/>
                  </w14:solidFill>
                </w14:textFill>
              </w:rPr>
              <w:t>0.0248</w:t>
            </w:r>
            <w:r>
              <w:rPr>
                <w:rFonts w:hint="eastAsia" w:ascii="Times New Roman"/>
                <w:color w:val="000000" w:themeColor="text1"/>
                <w:szCs w:val="21"/>
                <w14:textFill>
                  <w14:solidFill>
                    <w14:schemeClr w14:val="tx1"/>
                  </w14:solidFill>
                </w14:textFill>
              </w:rPr>
              <w:t>t/a</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0.061</w:t>
            </w:r>
            <w:r>
              <w:rPr>
                <w:rFonts w:hint="eastAsia" w:ascii="Times New Roman"/>
                <w:color w:val="000000" w:themeColor="text1"/>
                <w:szCs w:val="21"/>
                <w14:textFill>
                  <w14:solidFill>
                    <w14:schemeClr w14:val="tx1"/>
                  </w14:solidFill>
                </w14:textFill>
              </w:rPr>
              <w:t>t/a</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0.0858</w:t>
            </w:r>
            <w:r>
              <w:rPr>
                <w:rFonts w:hint="eastAsia" w:ascii="Times New Roman"/>
                <w:color w:val="000000" w:themeColor="text1"/>
                <w:szCs w:val="21"/>
                <w14:textFill>
                  <w14:solidFill>
                    <w14:schemeClr w14:val="tx1"/>
                  </w14:solidFill>
                </w14:textFill>
              </w:rPr>
              <w:t>t/a</w:t>
            </w:r>
          </w:p>
        </w:tc>
        <w:tc>
          <w:tcPr>
            <w:tcW w:w="1134"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0.061</w:t>
            </w:r>
            <w:r>
              <w:rPr>
                <w:rFonts w:hint="eastAsia" w:ascii="Times New Roman"/>
                <w:color w:val="000000" w:themeColor="text1"/>
                <w:szCs w:val="2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p>
        </w:tc>
        <w:tc>
          <w:tcPr>
            <w:tcW w:w="1275"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石油类</w:t>
            </w:r>
          </w:p>
        </w:tc>
        <w:tc>
          <w:tcPr>
            <w:tcW w:w="1701" w:type="dxa"/>
            <w:vAlign w:val="center"/>
          </w:tcPr>
          <w:p>
            <w:pPr>
              <w:jc w:val="center"/>
              <w:rPr>
                <w:snapToGrid w:val="0"/>
                <w:color w:val="000000" w:themeColor="text1"/>
                <w:kern w:val="21"/>
                <w:szCs w:val="21"/>
                <w14:textFill>
                  <w14:solidFill>
                    <w14:schemeClr w14:val="tx1"/>
                  </w14:solidFill>
                </w14:textFill>
              </w:rPr>
            </w:pPr>
            <w:r>
              <w:rPr>
                <w:rFonts w:hint="eastAsia" w:hAnsi="宋体"/>
                <w:color w:val="000000" w:themeColor="text1"/>
                <w:szCs w:val="21"/>
                <w14:textFill>
                  <w14:solidFill>
                    <w14:schemeClr w14:val="tx1"/>
                  </w14:solidFill>
                </w14:textFill>
              </w:rPr>
              <w:t>0</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c>
          <w:tcPr>
            <w:tcW w:w="1134"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一般工业</w:t>
            </w:r>
          </w:p>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固体废物</w:t>
            </w:r>
          </w:p>
        </w:tc>
        <w:tc>
          <w:tcPr>
            <w:tcW w:w="1275"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生活垃圾</w:t>
            </w:r>
          </w:p>
        </w:tc>
        <w:tc>
          <w:tcPr>
            <w:tcW w:w="1701"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100</w:t>
            </w:r>
            <w:r>
              <w:rPr>
                <w:rFonts w:hint="eastAsia" w:ascii="Times New Roman"/>
                <w:color w:val="000000" w:themeColor="text1"/>
                <w:szCs w:val="21"/>
                <w14:textFill>
                  <w14:solidFill>
                    <w14:schemeClr w14:val="tx1"/>
                  </w14:solidFill>
                </w14:textFill>
              </w:rPr>
              <w:t>t/a</w:t>
            </w:r>
          </w:p>
        </w:tc>
        <w:tc>
          <w:tcPr>
            <w:tcW w:w="1276"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559"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63.87</w:t>
            </w:r>
            <w:r>
              <w:rPr>
                <w:rFonts w:hint="eastAsia" w:ascii="Times New Roman"/>
                <w:color w:val="000000" w:themeColor="text1"/>
                <w:szCs w:val="21"/>
                <w14:textFill>
                  <w14:solidFill>
                    <w14:schemeClr w14:val="tx1"/>
                  </w14:solidFill>
                </w14:textFill>
              </w:rPr>
              <w:t>t/a</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0</w:t>
            </w:r>
          </w:p>
        </w:tc>
        <w:tc>
          <w:tcPr>
            <w:tcW w:w="1641"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163.87</w:t>
            </w:r>
            <w:r>
              <w:rPr>
                <w:rFonts w:hint="eastAsia" w:ascii="Times New Roman"/>
                <w:color w:val="000000" w:themeColor="text1"/>
                <w:szCs w:val="21"/>
                <w14:textFill>
                  <w14:solidFill>
                    <w14:schemeClr w14:val="tx1"/>
                  </w14:solidFill>
                </w14:textFill>
              </w:rPr>
              <w:t>t/a</w:t>
            </w:r>
          </w:p>
        </w:tc>
        <w:tc>
          <w:tcPr>
            <w:tcW w:w="1134"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63.87</w:t>
            </w:r>
            <w:r>
              <w:rPr>
                <w:rFonts w:hint="eastAsia" w:ascii="Times New Roman"/>
                <w:color w:val="000000" w:themeColor="text1"/>
                <w:szCs w:val="2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ascii="Times New Roman"/>
                <w:snapToGrid w:val="0"/>
                <w:color w:val="000000" w:themeColor="text1"/>
                <w:kern w:val="21"/>
                <w:szCs w:val="21"/>
                <w14:textFill>
                  <w14:solidFill>
                    <w14:schemeClr w14:val="tx1"/>
                  </w14:solidFill>
                </w14:textFill>
              </w:rPr>
              <w:t>危险废物</w:t>
            </w:r>
          </w:p>
        </w:tc>
        <w:tc>
          <w:tcPr>
            <w:tcW w:w="1275"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医疗垃圾</w:t>
            </w:r>
          </w:p>
        </w:tc>
        <w:tc>
          <w:tcPr>
            <w:tcW w:w="1701"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4.25</w:t>
            </w:r>
            <w:r>
              <w:rPr>
                <w:rFonts w:hint="eastAsia" w:ascii="Times New Roman"/>
                <w:color w:val="000000" w:themeColor="text1"/>
                <w:szCs w:val="21"/>
                <w14:textFill>
                  <w14:solidFill>
                    <w14:schemeClr w14:val="tx1"/>
                  </w14:solidFill>
                </w14:textFill>
              </w:rPr>
              <w:t>t/a</w:t>
            </w:r>
          </w:p>
        </w:tc>
        <w:tc>
          <w:tcPr>
            <w:tcW w:w="1276"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70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559"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43.8</w:t>
            </w:r>
            <w:r>
              <w:rPr>
                <w:rFonts w:hint="eastAsia" w:ascii="Times New Roman"/>
                <w:color w:val="000000" w:themeColor="text1"/>
                <w:szCs w:val="21"/>
                <w14:textFill>
                  <w14:solidFill>
                    <w14:schemeClr w14:val="tx1"/>
                  </w14:solidFill>
                </w14:textFill>
              </w:rPr>
              <w:t>t/a</w:t>
            </w:r>
          </w:p>
        </w:tc>
        <w:tc>
          <w:tcPr>
            <w:tcW w:w="1761" w:type="dxa"/>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p>
        </w:tc>
        <w:tc>
          <w:tcPr>
            <w:tcW w:w="1641"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48.05</w:t>
            </w:r>
            <w:r>
              <w:rPr>
                <w:rFonts w:hint="eastAsia" w:ascii="Times New Roman"/>
                <w:color w:val="000000" w:themeColor="text1"/>
                <w:szCs w:val="21"/>
                <w14:textFill>
                  <w14:solidFill>
                    <w14:schemeClr w14:val="tx1"/>
                  </w14:solidFill>
                </w14:textFill>
              </w:rPr>
              <w:t>t/a</w:t>
            </w:r>
          </w:p>
        </w:tc>
        <w:tc>
          <w:tcPr>
            <w:tcW w:w="1134"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43.8</w:t>
            </w:r>
            <w:r>
              <w:rPr>
                <w:rFonts w:hint="eastAsia" w:ascii="Times New Roman"/>
                <w:color w:val="000000" w:themeColor="text1"/>
                <w:szCs w:val="21"/>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pStyle w:val="53"/>
              <w:spacing w:beforeLines="0" w:afterLines="0" w:line="240" w:lineRule="auto"/>
              <w:rPr>
                <w:rFonts w:ascii="Times New Roman"/>
                <w:snapToGrid w:val="0"/>
                <w:color w:val="000000" w:themeColor="text1"/>
                <w:kern w:val="21"/>
                <w:szCs w:val="21"/>
                <w14:textFill>
                  <w14:solidFill>
                    <w14:schemeClr w14:val="tx1"/>
                  </w14:solidFill>
                </w14:textFill>
              </w:rPr>
            </w:pPr>
          </w:p>
        </w:tc>
        <w:tc>
          <w:tcPr>
            <w:tcW w:w="1275" w:type="dxa"/>
            <w:vAlign w:val="center"/>
          </w:tcPr>
          <w:p>
            <w:pPr>
              <w:pStyle w:val="53"/>
              <w:spacing w:beforeLines="0" w:afterLines="0" w:line="240" w:lineRule="auto"/>
              <w:rPr>
                <w:rFonts w:hint="default" w:ascii="Times New Roman"/>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污泥</w:t>
            </w:r>
          </w:p>
        </w:tc>
        <w:tc>
          <w:tcPr>
            <w:tcW w:w="1701" w:type="dxa"/>
            <w:vAlign w:val="center"/>
          </w:tcPr>
          <w:p>
            <w:pPr>
              <w:pStyle w:val="53"/>
              <w:spacing w:beforeLines="0" w:afterLines="0" w:line="240" w:lineRule="auto"/>
              <w:rPr>
                <w:rFonts w:hint="eastAsia" w:ascii="Times New Roman" w:eastAsia="宋体"/>
                <w:snapToGrid w:val="0"/>
                <w:color w:val="000000" w:themeColor="text1"/>
                <w:kern w:val="21"/>
                <w:szCs w:val="21"/>
                <w:lang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0</w:t>
            </w:r>
          </w:p>
        </w:tc>
        <w:tc>
          <w:tcPr>
            <w:tcW w:w="1276"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w:t>
            </w:r>
          </w:p>
        </w:tc>
        <w:tc>
          <w:tcPr>
            <w:tcW w:w="1701" w:type="dxa"/>
            <w:vAlign w:val="center"/>
          </w:tcPr>
          <w:p>
            <w:pPr>
              <w:pStyle w:val="53"/>
              <w:spacing w:beforeLines="0" w:afterLines="0" w:line="240" w:lineRule="auto"/>
              <w:rPr>
                <w:rFonts w:hint="eastAsia" w:ascii="Times New Roman"/>
                <w:snapToGrid w:val="0"/>
                <w:color w:val="000000" w:themeColor="text1"/>
                <w:kern w:val="21"/>
                <w:szCs w:val="21"/>
                <w14:textFill>
                  <w14:solidFill>
                    <w14:schemeClr w14:val="tx1"/>
                  </w14:solidFill>
                </w14:textFill>
              </w:rPr>
            </w:pPr>
          </w:p>
        </w:tc>
        <w:tc>
          <w:tcPr>
            <w:tcW w:w="1559"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1.36</w:t>
            </w:r>
            <w:r>
              <w:rPr>
                <w:rFonts w:hint="eastAsia" w:ascii="Times New Roman"/>
                <w:color w:val="000000" w:themeColor="text1"/>
                <w:szCs w:val="21"/>
                <w14:textFill>
                  <w14:solidFill>
                    <w14:schemeClr w14:val="tx1"/>
                  </w14:solidFill>
                </w14:textFill>
              </w:rPr>
              <w:t>t/a</w:t>
            </w:r>
          </w:p>
        </w:tc>
        <w:tc>
          <w:tcPr>
            <w:tcW w:w="1761" w:type="dxa"/>
            <w:vAlign w:val="center"/>
          </w:tcPr>
          <w:p>
            <w:pPr>
              <w:pStyle w:val="53"/>
              <w:spacing w:beforeLines="0" w:afterLines="0" w:line="240" w:lineRule="auto"/>
              <w:rPr>
                <w:rFonts w:hint="eastAsia" w:ascii="Times New Roman"/>
                <w:snapToGrid w:val="0"/>
                <w:color w:val="000000" w:themeColor="text1"/>
                <w:kern w:val="21"/>
                <w:szCs w:val="21"/>
                <w14:textFill>
                  <w14:solidFill>
                    <w14:schemeClr w14:val="tx1"/>
                  </w14:solidFill>
                </w14:textFill>
              </w:rPr>
            </w:pPr>
          </w:p>
        </w:tc>
        <w:tc>
          <w:tcPr>
            <w:tcW w:w="1641"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lang w:val="en-US" w:eastAsia="zh-CN"/>
                <w14:textFill>
                  <w14:solidFill>
                    <w14:schemeClr w14:val="tx1"/>
                  </w14:solidFill>
                </w14:textFill>
              </w:rPr>
              <w:t>1.36</w:t>
            </w:r>
            <w:r>
              <w:rPr>
                <w:rFonts w:hint="eastAsia" w:ascii="Times New Roman"/>
                <w:color w:val="000000" w:themeColor="text1"/>
                <w:szCs w:val="21"/>
                <w14:textFill>
                  <w14:solidFill>
                    <w14:schemeClr w14:val="tx1"/>
                  </w14:solidFill>
                </w14:textFill>
              </w:rPr>
              <w:t>t/a</w:t>
            </w:r>
          </w:p>
        </w:tc>
        <w:tc>
          <w:tcPr>
            <w:tcW w:w="1134" w:type="dxa"/>
            <w:vAlign w:val="center"/>
          </w:tcPr>
          <w:p>
            <w:pPr>
              <w:pStyle w:val="53"/>
              <w:spacing w:beforeLines="0" w:afterLines="0" w:line="240" w:lineRule="auto"/>
              <w:rPr>
                <w:rFonts w:hint="default" w:ascii="Times New Roman" w:eastAsia="宋体"/>
                <w:snapToGrid w:val="0"/>
                <w:color w:val="000000" w:themeColor="text1"/>
                <w:kern w:val="21"/>
                <w:szCs w:val="21"/>
                <w:lang w:val="en-US" w:eastAsia="zh-CN"/>
                <w14:textFill>
                  <w14:solidFill>
                    <w14:schemeClr w14:val="tx1"/>
                  </w14:solidFill>
                </w14:textFill>
              </w:rPr>
            </w:pPr>
            <w:r>
              <w:rPr>
                <w:rFonts w:hint="eastAsia" w:ascii="Times New Roman"/>
                <w:snapToGrid w:val="0"/>
                <w:color w:val="000000" w:themeColor="text1"/>
                <w:kern w:val="21"/>
                <w:szCs w:val="21"/>
                <w14:textFill>
                  <w14:solidFill>
                    <w14:schemeClr w14:val="tx1"/>
                  </w14:solidFill>
                </w14:textFill>
              </w:rPr>
              <w:t>+</w:t>
            </w:r>
            <w:r>
              <w:rPr>
                <w:rFonts w:hint="eastAsia" w:ascii="Times New Roman"/>
                <w:snapToGrid w:val="0"/>
                <w:color w:val="000000" w:themeColor="text1"/>
                <w:kern w:val="21"/>
                <w:szCs w:val="21"/>
                <w:lang w:val="en-US" w:eastAsia="zh-CN"/>
                <w14:textFill>
                  <w14:solidFill>
                    <w14:schemeClr w14:val="tx1"/>
                  </w14:solidFill>
                </w14:textFill>
              </w:rPr>
              <w:t>1.36</w:t>
            </w:r>
            <w:r>
              <w:rPr>
                <w:rFonts w:hint="eastAsia" w:ascii="Times New Roman"/>
                <w:color w:val="000000" w:themeColor="text1"/>
                <w:szCs w:val="21"/>
                <w14:textFill>
                  <w14:solidFill>
                    <w14:schemeClr w14:val="tx1"/>
                  </w14:solidFill>
                </w14:textFill>
              </w:rPr>
              <w:t>t/a</w:t>
            </w:r>
          </w:p>
        </w:tc>
      </w:tr>
    </w:tbl>
    <w:p>
      <w:pPr>
        <w:pStyle w:val="53"/>
        <w:spacing w:before="192" w:beforeLines="80" w:after="24"/>
        <w:jc w:val="left"/>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int="eastAsia" w:hAnsi="宋体"/>
          <w:snapToGrid w:val="0"/>
          <w:spacing w:val="-16"/>
          <w:kern w:val="21"/>
          <w:szCs w:val="21"/>
          <w:lang w:val="en-US" w:eastAsia="zh-CN"/>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p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jc w:val="both"/>
        <w:rPr>
          <w:rFonts w:hint="eastAsia"/>
          <w:b/>
          <w:bCs/>
          <w:sz w:val="28"/>
          <w:szCs w:val="28"/>
        </w:rPr>
      </w:pPr>
      <w:r>
        <w:rPr>
          <w:rFonts w:hint="eastAsia"/>
          <w:b/>
          <w:bCs/>
          <w:sz w:val="28"/>
          <w:szCs w:val="28"/>
        </w:rPr>
        <w:t>附件</w:t>
      </w:r>
      <w:r>
        <w:rPr>
          <w:rFonts w:hint="eastAsia"/>
          <w:b/>
          <w:bCs/>
          <w:sz w:val="28"/>
          <w:szCs w:val="28"/>
          <w:lang w:val="en-US" w:eastAsia="zh-CN"/>
        </w:rPr>
        <w:t>1</w:t>
      </w:r>
      <w:r>
        <w:rPr>
          <w:rFonts w:hint="eastAsia"/>
          <w:b/>
          <w:bCs/>
          <w:sz w:val="28"/>
          <w:szCs w:val="28"/>
        </w:rPr>
        <w:t xml:space="preserve">   委托书</w:t>
      </w:r>
    </w:p>
    <w:p>
      <w:pPr>
        <w:jc w:val="center"/>
        <w:rPr>
          <w:b/>
          <w:sz w:val="44"/>
          <w:szCs w:val="44"/>
        </w:rPr>
      </w:pPr>
      <w:r>
        <w:rPr>
          <w:rFonts w:hint="eastAsia" w:eastAsia="宋体"/>
          <w:sz w:val="32"/>
          <w:szCs w:val="32"/>
          <w:lang w:eastAsia="zh-CN"/>
        </w:rPr>
        <w:drawing>
          <wp:anchor distT="0" distB="0" distL="114300" distR="114300" simplePos="0" relativeHeight="251683840" behindDoc="0" locked="0" layoutInCell="1" allowOverlap="1">
            <wp:simplePos x="0" y="0"/>
            <wp:positionH relativeFrom="column">
              <wp:posOffset>-191135</wp:posOffset>
            </wp:positionH>
            <wp:positionV relativeFrom="paragraph">
              <wp:posOffset>158115</wp:posOffset>
            </wp:positionV>
            <wp:extent cx="5982970" cy="8018145"/>
            <wp:effectExtent l="0" t="0" r="17780" b="1905"/>
            <wp:wrapNone/>
            <wp:docPr id="1" name="图片 1" descr="a1de41af7705939dbb7861c055ab4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1de41af7705939dbb7861c055ab43d"/>
                    <pic:cNvPicPr>
                      <a:picLocks noChangeAspect="1"/>
                    </pic:cNvPicPr>
                  </pic:nvPicPr>
                  <pic:blipFill>
                    <a:blip r:embed="rId21">
                      <a:lum bright="12000"/>
                    </a:blip>
                    <a:stretch>
                      <a:fillRect/>
                    </a:stretch>
                  </pic:blipFill>
                  <pic:spPr>
                    <a:xfrm>
                      <a:off x="0" y="0"/>
                      <a:ext cx="5982970" cy="8018145"/>
                    </a:xfrm>
                    <a:prstGeom prst="rect">
                      <a:avLst/>
                    </a:prstGeom>
                  </pic:spPr>
                </pic:pic>
              </a:graphicData>
            </a:graphic>
          </wp:anchor>
        </w:drawing>
      </w:r>
    </w:p>
    <w:p>
      <w:pPr>
        <w:rPr>
          <w:b/>
          <w:sz w:val="28"/>
          <w:szCs w:val="28"/>
        </w:rPr>
      </w:pPr>
    </w:p>
    <w:p>
      <w:pPr>
        <w:ind w:right="206" w:firstLine="1440" w:firstLineChars="450"/>
        <w:jc w:val="center"/>
        <w:rPr>
          <w:rFonts w:hint="eastAsia" w:eastAsia="宋体"/>
          <w:sz w:val="32"/>
          <w:szCs w:val="32"/>
          <w:lang w:eastAsia="zh-CN"/>
        </w:rPr>
        <w:sectPr>
          <w:footerReference r:id="rId7" w:type="default"/>
          <w:pgSz w:w="11906" w:h="16838"/>
          <w:pgMar w:top="1134" w:right="1134" w:bottom="1701" w:left="1701" w:header="851" w:footer="992" w:gutter="0"/>
          <w:pgBorders>
            <w:top w:val="none" w:sz="0" w:space="0"/>
            <w:left w:val="none" w:sz="0" w:space="0"/>
            <w:bottom w:val="none" w:sz="0" w:space="0"/>
            <w:right w:val="none" w:sz="0" w:space="0"/>
          </w:pgBorders>
          <w:cols w:space="720" w:num="1"/>
          <w:docGrid w:type="lines" w:linePitch="312" w:charSpace="0"/>
        </w:sectPr>
      </w:pPr>
    </w:p>
    <w:p>
      <w:pPr>
        <w:pStyle w:val="27"/>
        <w:ind w:left="0" w:leftChars="0" w:firstLine="0" w:firstLineChars="0"/>
        <w:rPr>
          <w:rFonts w:hint="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14:textFill>
            <w14:solidFill>
              <w14:schemeClr w14:val="tx1"/>
            </w14:solidFill>
          </w14:textFill>
        </w:rPr>
        <w:t xml:space="preserve">附件2   </w:t>
      </w:r>
      <w:r>
        <w:rPr>
          <w:rFonts w:hint="eastAsia"/>
          <w:b/>
          <w:bCs/>
          <w:color w:val="000000" w:themeColor="text1"/>
          <w:sz w:val="28"/>
          <w:szCs w:val="28"/>
          <w:lang w:val="en-US" w:eastAsia="zh-CN"/>
          <w14:textFill>
            <w14:solidFill>
              <w14:schemeClr w14:val="tx1"/>
            </w14:solidFill>
          </w14:textFill>
        </w:rPr>
        <w:t>项目可研批复</w:t>
      </w:r>
    </w:p>
    <w:p>
      <w:pPr>
        <w:rPr>
          <w:rFonts w:hint="eastAsia"/>
          <w:b/>
          <w:bCs/>
          <w:color w:val="FF0000"/>
          <w:sz w:val="28"/>
          <w:szCs w:val="28"/>
          <w:lang w:val="en-US" w:eastAsia="zh-CN"/>
        </w:rPr>
      </w:pPr>
      <w:r>
        <w:drawing>
          <wp:anchor distT="0" distB="0" distL="114300" distR="114300" simplePos="0" relativeHeight="251684864" behindDoc="0" locked="0" layoutInCell="1" allowOverlap="1">
            <wp:simplePos x="0" y="0"/>
            <wp:positionH relativeFrom="column">
              <wp:posOffset>-6985</wp:posOffset>
            </wp:positionH>
            <wp:positionV relativeFrom="paragraph">
              <wp:posOffset>23495</wp:posOffset>
            </wp:positionV>
            <wp:extent cx="5610225" cy="7642860"/>
            <wp:effectExtent l="0" t="0" r="9525" b="1524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2"/>
                    <a:stretch>
                      <a:fillRect/>
                    </a:stretch>
                  </pic:blipFill>
                  <pic:spPr>
                    <a:xfrm>
                      <a:off x="0" y="0"/>
                      <a:ext cx="5610225" cy="7642860"/>
                    </a:xfrm>
                    <a:prstGeom prst="rect">
                      <a:avLst/>
                    </a:prstGeom>
                    <a:noFill/>
                    <a:ln>
                      <a:noFill/>
                    </a:ln>
                  </pic:spPr>
                </pic:pic>
              </a:graphicData>
            </a:graphic>
          </wp:anchor>
        </w:drawing>
      </w:r>
    </w:p>
    <w:p>
      <w:pPr>
        <w:pStyle w:val="7"/>
        <w:rPr>
          <w:rFonts w:hint="eastAsia"/>
          <w:b/>
          <w:bCs/>
          <w:color w:val="FF0000"/>
          <w:sz w:val="28"/>
          <w:szCs w:val="28"/>
          <w:lang w:val="en-US" w:eastAsia="zh-CN"/>
        </w:rPr>
      </w:pPr>
    </w:p>
    <w:p>
      <w:pPr>
        <w:rPr>
          <w:rFonts w:hint="eastAsia"/>
          <w:b/>
          <w:bCs/>
          <w:color w:val="FF0000"/>
          <w:sz w:val="28"/>
          <w:szCs w:val="28"/>
          <w:lang w:val="en-US" w:eastAsia="zh-CN"/>
        </w:rPr>
      </w:pPr>
    </w:p>
    <w:p>
      <w:pPr>
        <w:pStyle w:val="7"/>
        <w:rPr>
          <w:rFonts w:hint="eastAsia"/>
          <w:b/>
          <w:bCs/>
          <w:color w:val="FF0000"/>
          <w:sz w:val="28"/>
          <w:szCs w:val="28"/>
          <w:lang w:val="en-US" w:eastAsia="zh-CN"/>
        </w:rPr>
      </w:pPr>
    </w:p>
    <w:p>
      <w:pPr>
        <w:rPr>
          <w:rFonts w:hint="eastAsia"/>
          <w:b/>
          <w:bCs/>
          <w:color w:val="FF0000"/>
          <w:sz w:val="28"/>
          <w:szCs w:val="28"/>
          <w:lang w:val="en-US" w:eastAsia="zh-CN"/>
        </w:rPr>
      </w:pPr>
    </w:p>
    <w:p>
      <w:pPr>
        <w:pStyle w:val="7"/>
        <w:rPr>
          <w:rFonts w:hint="eastAsia"/>
          <w:b/>
          <w:bCs/>
          <w:color w:val="FF0000"/>
          <w:sz w:val="28"/>
          <w:szCs w:val="28"/>
          <w:lang w:val="en-US" w:eastAsia="zh-CN"/>
        </w:rPr>
      </w:pPr>
    </w:p>
    <w:p>
      <w:pPr>
        <w:rPr>
          <w:rFonts w:hint="eastAsia"/>
          <w:b/>
          <w:bCs/>
          <w:color w:val="FF0000"/>
          <w:sz w:val="28"/>
          <w:szCs w:val="28"/>
          <w:lang w:val="en-US" w:eastAsia="zh-CN"/>
        </w:rPr>
      </w:pPr>
    </w:p>
    <w:p>
      <w:pPr>
        <w:pStyle w:val="7"/>
        <w:rPr>
          <w:rFonts w:hint="eastAsia"/>
          <w:b/>
          <w:bCs/>
          <w:color w:val="FF0000"/>
          <w:sz w:val="28"/>
          <w:szCs w:val="28"/>
          <w:lang w:val="en-US" w:eastAsia="zh-CN"/>
        </w:rPr>
      </w:pPr>
    </w:p>
    <w:p>
      <w:pPr>
        <w:rPr>
          <w:rFonts w:hint="eastAsia"/>
          <w:b/>
          <w:bCs/>
          <w:color w:val="FF0000"/>
          <w:sz w:val="28"/>
          <w:szCs w:val="28"/>
          <w:lang w:val="en-US" w:eastAsia="zh-CN"/>
        </w:rPr>
      </w:pPr>
    </w:p>
    <w:p>
      <w:pPr>
        <w:pStyle w:val="7"/>
        <w:rPr>
          <w:rFonts w:hint="eastAsia"/>
          <w:b/>
          <w:bCs/>
          <w:color w:val="FF0000"/>
          <w:sz w:val="28"/>
          <w:szCs w:val="28"/>
          <w:lang w:val="en-US" w:eastAsia="zh-CN"/>
        </w:rPr>
      </w:pPr>
    </w:p>
    <w:p>
      <w:pPr>
        <w:rPr>
          <w:rFonts w:hint="eastAsia"/>
          <w:b/>
          <w:bCs/>
          <w:color w:val="FF0000"/>
          <w:sz w:val="28"/>
          <w:szCs w:val="28"/>
          <w:lang w:val="en-US" w:eastAsia="zh-CN"/>
        </w:rPr>
      </w:pPr>
    </w:p>
    <w:p>
      <w:pPr>
        <w:pStyle w:val="7"/>
        <w:rPr>
          <w:rFonts w:hint="eastAsia"/>
          <w:b/>
          <w:bCs/>
          <w:color w:val="FF0000"/>
          <w:sz w:val="28"/>
          <w:szCs w:val="28"/>
          <w:lang w:val="en-US" w:eastAsia="zh-CN"/>
        </w:rPr>
      </w:pPr>
    </w:p>
    <w:p>
      <w:pPr>
        <w:rPr>
          <w:rFonts w:hint="eastAsia"/>
          <w:b/>
          <w:bCs/>
          <w:color w:val="FF0000"/>
          <w:sz w:val="28"/>
          <w:szCs w:val="28"/>
          <w:lang w:val="en-US" w:eastAsia="zh-CN"/>
        </w:rPr>
      </w:pPr>
    </w:p>
    <w:p>
      <w:pPr>
        <w:pStyle w:val="7"/>
        <w:rPr>
          <w:rFonts w:hint="default"/>
          <w:lang w:val="en-US" w:eastAsia="zh-CN"/>
        </w:rPr>
      </w:pPr>
    </w:p>
    <w:p>
      <w:pPr>
        <w:rPr>
          <w:rFonts w:hint="default"/>
          <w:lang w:val="en-US" w:eastAsia="zh-CN"/>
        </w:rPr>
      </w:pPr>
    </w:p>
    <w:p>
      <w:pPr>
        <w:pStyle w:val="7"/>
        <w:rPr>
          <w:rFonts w:hint="default"/>
          <w:lang w:val="en-US" w:eastAsia="zh-CN"/>
        </w:rPr>
      </w:pPr>
    </w:p>
    <w:p>
      <w:pPr>
        <w:rPr>
          <w:rFonts w:hint="default"/>
          <w:lang w:val="en-US" w:eastAsia="zh-CN"/>
        </w:rPr>
      </w:pPr>
    </w:p>
    <w:p>
      <w:pPr>
        <w:pStyle w:val="7"/>
        <w:rPr>
          <w:rFonts w:hint="default"/>
          <w:lang w:val="en-US" w:eastAsia="zh-CN"/>
        </w:rPr>
      </w:pPr>
    </w:p>
    <w:p>
      <w:pPr>
        <w:rPr>
          <w:rFonts w:hint="default"/>
          <w:lang w:val="en-US" w:eastAsia="zh-CN"/>
        </w:rPr>
      </w:pPr>
    </w:p>
    <w:p>
      <w:pPr>
        <w:pStyle w:val="7"/>
        <w:rPr>
          <w:rFonts w:hint="default"/>
          <w:lang w:val="en-US" w:eastAsia="zh-CN"/>
        </w:rPr>
      </w:pPr>
      <w:r>
        <w:drawing>
          <wp:anchor distT="0" distB="0" distL="114300" distR="114300" simplePos="0" relativeHeight="251685888" behindDoc="0" locked="0" layoutInCell="1" allowOverlap="1">
            <wp:simplePos x="0" y="0"/>
            <wp:positionH relativeFrom="column">
              <wp:posOffset>-66040</wp:posOffset>
            </wp:positionH>
            <wp:positionV relativeFrom="paragraph">
              <wp:posOffset>29210</wp:posOffset>
            </wp:positionV>
            <wp:extent cx="5610860" cy="7683500"/>
            <wp:effectExtent l="0" t="0" r="8890" b="12700"/>
            <wp:wrapNone/>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3"/>
                    <a:stretch>
                      <a:fillRect/>
                    </a:stretch>
                  </pic:blipFill>
                  <pic:spPr>
                    <a:xfrm>
                      <a:off x="0" y="0"/>
                      <a:ext cx="5610860" cy="7683500"/>
                    </a:xfrm>
                    <a:prstGeom prst="rect">
                      <a:avLst/>
                    </a:prstGeom>
                    <a:noFill/>
                    <a:ln>
                      <a:noFill/>
                    </a:ln>
                  </pic:spPr>
                </pic:pic>
              </a:graphicData>
            </a:graphic>
          </wp:anchor>
        </w:drawing>
      </w:r>
    </w:p>
    <w:p>
      <w:pPr>
        <w:rPr>
          <w:rFonts w:hint="default"/>
          <w:lang w:val="en-US" w:eastAsia="zh-CN"/>
        </w:rPr>
      </w:pPr>
    </w:p>
    <w:p>
      <w:pPr>
        <w:pStyle w:val="7"/>
        <w:rPr>
          <w:rFonts w:hint="default"/>
          <w:lang w:val="en-US" w:eastAsia="zh-CN"/>
        </w:rPr>
      </w:pPr>
    </w:p>
    <w:p>
      <w:pPr>
        <w:rPr>
          <w:rFonts w:hint="default"/>
          <w:lang w:val="en-US" w:eastAsia="zh-CN"/>
        </w:rPr>
      </w:pPr>
    </w:p>
    <w:p>
      <w:pPr>
        <w:pStyle w:val="7"/>
        <w:rPr>
          <w:rFonts w:hint="default"/>
          <w:lang w:val="en-US" w:eastAsia="zh-CN"/>
        </w:rPr>
      </w:pPr>
    </w:p>
    <w:p>
      <w:pPr>
        <w:rPr>
          <w:rFonts w:hint="default"/>
          <w:lang w:val="en-US" w:eastAsia="zh-CN"/>
        </w:rPr>
      </w:pPr>
    </w:p>
    <w:p>
      <w:pPr>
        <w:pStyle w:val="7"/>
        <w:rPr>
          <w:rFonts w:hint="default"/>
          <w:lang w:val="en-US" w:eastAsia="zh-CN"/>
        </w:rPr>
      </w:pPr>
    </w:p>
    <w:p>
      <w:pPr>
        <w:rPr>
          <w:rFonts w:hint="default"/>
          <w:lang w:val="en-US" w:eastAsia="zh-CN"/>
        </w:rPr>
      </w:pPr>
    </w:p>
    <w:p>
      <w:pPr>
        <w:pStyle w:val="27"/>
        <w:ind w:left="0" w:leftChars="0" w:firstLine="0" w:firstLineChars="0"/>
        <w:jc w:val="center"/>
        <w:rPr>
          <w:rFonts w:hint="eastAsia" w:eastAsia="宋体"/>
          <w:b/>
          <w:bCs/>
          <w:sz w:val="28"/>
          <w:szCs w:val="28"/>
          <w:lang w:eastAsia="zh-CN"/>
        </w:rPr>
      </w:pPr>
    </w:p>
    <w:p/>
    <w:p>
      <w:pPr>
        <w:pStyle w:val="27"/>
        <w:ind w:leftChars="0" w:hanging="420" w:hangingChars="200"/>
      </w:pPr>
    </w:p>
    <w:p/>
    <w:p>
      <w:pPr>
        <w:pStyle w:val="27"/>
        <w:spacing w:line="360" w:lineRule="auto"/>
        <w:ind w:left="0" w:leftChars="0" w:firstLine="0" w:firstLineChars="0"/>
        <w:rPr>
          <w:b/>
          <w:bCs/>
          <w:sz w:val="28"/>
          <w:szCs w:val="28"/>
        </w:rPr>
      </w:pPr>
      <w:r>
        <w:rPr>
          <w:b/>
          <w:bCs/>
          <w:sz w:val="28"/>
          <w:szCs w:val="28"/>
        </w:rPr>
        <w:br w:type="page"/>
      </w:r>
    </w:p>
    <w:p>
      <w:pPr>
        <w:pStyle w:val="27"/>
        <w:ind w:left="0" w:leftChars="0" w:firstLine="0" w:firstLineChars="0"/>
        <w:rPr>
          <w:rFonts w:hint="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14:textFill>
            <w14:solidFill>
              <w14:schemeClr w14:val="tx1"/>
            </w14:solidFill>
          </w14:textFill>
        </w:rPr>
        <w:t xml:space="preserve">附件2   </w:t>
      </w:r>
      <w:r>
        <w:rPr>
          <w:rFonts w:hint="eastAsia"/>
          <w:b/>
          <w:bCs/>
          <w:color w:val="000000" w:themeColor="text1"/>
          <w:sz w:val="28"/>
          <w:szCs w:val="28"/>
          <w:lang w:val="en-US" w:eastAsia="zh-CN"/>
          <w14:textFill>
            <w14:solidFill>
              <w14:schemeClr w14:val="tx1"/>
            </w14:solidFill>
          </w14:textFill>
        </w:rPr>
        <w:t>项目建设内容变更批复</w:t>
      </w:r>
    </w:p>
    <w:p>
      <w:pPr>
        <w:pStyle w:val="27"/>
        <w:tabs>
          <w:tab w:val="left" w:pos="4695"/>
        </w:tabs>
        <w:spacing w:line="360" w:lineRule="auto"/>
        <w:ind w:left="0" w:leftChars="0" w:firstLine="0" w:firstLineChars="0"/>
        <w:rPr>
          <w:rFonts w:hint="eastAsia"/>
          <w:b/>
          <w:bCs/>
          <w:sz w:val="28"/>
          <w:szCs w:val="28"/>
        </w:rPr>
      </w:pPr>
      <w:r>
        <w:drawing>
          <wp:anchor distT="0" distB="0" distL="114300" distR="114300" simplePos="0" relativeHeight="251686912" behindDoc="0" locked="0" layoutInCell="1" allowOverlap="1">
            <wp:simplePos x="0" y="0"/>
            <wp:positionH relativeFrom="column">
              <wp:posOffset>-60325</wp:posOffset>
            </wp:positionH>
            <wp:positionV relativeFrom="paragraph">
              <wp:posOffset>90170</wp:posOffset>
            </wp:positionV>
            <wp:extent cx="5494655" cy="7701280"/>
            <wp:effectExtent l="0" t="0" r="10795" b="13970"/>
            <wp:wrapNone/>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4"/>
                    <a:stretch>
                      <a:fillRect/>
                    </a:stretch>
                  </pic:blipFill>
                  <pic:spPr>
                    <a:xfrm>
                      <a:off x="0" y="0"/>
                      <a:ext cx="5494655" cy="7701280"/>
                    </a:xfrm>
                    <a:prstGeom prst="rect">
                      <a:avLst/>
                    </a:prstGeom>
                    <a:noFill/>
                    <a:ln>
                      <a:noFill/>
                    </a:ln>
                  </pic:spPr>
                </pic:pic>
              </a:graphicData>
            </a:graphic>
          </wp:anchor>
        </w:drawing>
      </w: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b/>
          <w:bCs/>
          <w:sz w:val="28"/>
          <w:szCs w:val="28"/>
        </w:rPr>
      </w:pPr>
      <w:r>
        <w:drawing>
          <wp:anchor distT="0" distB="0" distL="114300" distR="114300" simplePos="0" relativeHeight="251674624" behindDoc="0" locked="0" layoutInCell="1" allowOverlap="1">
            <wp:simplePos x="0" y="0"/>
            <wp:positionH relativeFrom="column">
              <wp:posOffset>6985</wp:posOffset>
            </wp:positionH>
            <wp:positionV relativeFrom="paragraph">
              <wp:posOffset>401955</wp:posOffset>
            </wp:positionV>
            <wp:extent cx="5660390" cy="7871460"/>
            <wp:effectExtent l="0" t="0" r="16510" b="15240"/>
            <wp:wrapNone/>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5"/>
                    <a:stretch>
                      <a:fillRect/>
                    </a:stretch>
                  </pic:blipFill>
                  <pic:spPr>
                    <a:xfrm>
                      <a:off x="0" y="0"/>
                      <a:ext cx="5660390" cy="7871460"/>
                    </a:xfrm>
                    <a:prstGeom prst="rect">
                      <a:avLst/>
                    </a:prstGeom>
                    <a:noFill/>
                    <a:ln>
                      <a:noFill/>
                    </a:ln>
                  </pic:spPr>
                </pic:pic>
              </a:graphicData>
            </a:graphic>
          </wp:anchor>
        </w:drawing>
      </w:r>
      <w:r>
        <w:rPr>
          <w:rFonts w:hint="eastAsia"/>
          <w:b/>
          <w:bCs/>
          <w:sz w:val="28"/>
          <w:szCs w:val="28"/>
        </w:rPr>
        <w:t>附件</w:t>
      </w:r>
      <w:r>
        <w:rPr>
          <w:rFonts w:hint="eastAsia"/>
          <w:b/>
          <w:bCs/>
          <w:sz w:val="28"/>
          <w:szCs w:val="28"/>
          <w:lang w:val="en-US" w:eastAsia="zh-CN"/>
        </w:rPr>
        <w:t>3</w:t>
      </w:r>
      <w:r>
        <w:rPr>
          <w:rFonts w:hint="eastAsia"/>
          <w:b/>
          <w:bCs/>
          <w:sz w:val="28"/>
          <w:szCs w:val="28"/>
        </w:rPr>
        <w:t xml:space="preserve">   </w:t>
      </w:r>
      <w:r>
        <w:rPr>
          <w:rFonts w:hint="eastAsia"/>
          <w:b/>
          <w:bCs/>
          <w:sz w:val="28"/>
          <w:szCs w:val="28"/>
          <w:lang w:val="en-US" w:eastAsia="zh-CN"/>
        </w:rPr>
        <w:t>医疗废物处理协议</w:t>
      </w:r>
      <w:r>
        <w:rPr>
          <w:b/>
          <w:bCs/>
          <w:sz w:val="28"/>
          <w:szCs w:val="28"/>
        </w:rPr>
        <w:tab/>
      </w:r>
    </w:p>
    <w:p/>
    <w:p>
      <w:pPr>
        <w:pStyle w:val="2"/>
        <w:rPr>
          <w:rFonts w:hint="eastAsia" w:eastAsia="宋体"/>
          <w:lang w:eastAsia="zh-CN"/>
        </w:rPr>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Pr>
        <w:rPr>
          <w:rFonts w:hint="eastAsia" w:eastAsia="宋体"/>
          <w:lang w:eastAsia="zh-CN"/>
        </w:rPr>
      </w:pPr>
      <w:r>
        <w:drawing>
          <wp:anchor distT="0" distB="0" distL="114300" distR="114300" simplePos="0" relativeHeight="251675648" behindDoc="0" locked="0" layoutInCell="1" allowOverlap="1">
            <wp:simplePos x="0" y="0"/>
            <wp:positionH relativeFrom="column">
              <wp:posOffset>-6985</wp:posOffset>
            </wp:positionH>
            <wp:positionV relativeFrom="paragraph">
              <wp:posOffset>91440</wp:posOffset>
            </wp:positionV>
            <wp:extent cx="5610860" cy="8228965"/>
            <wp:effectExtent l="0" t="0" r="8890" b="635"/>
            <wp:wrapNone/>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26"/>
                    <a:stretch>
                      <a:fillRect/>
                    </a:stretch>
                  </pic:blipFill>
                  <pic:spPr>
                    <a:xfrm>
                      <a:off x="0" y="0"/>
                      <a:ext cx="5610860" cy="8228965"/>
                    </a:xfrm>
                    <a:prstGeom prst="rect">
                      <a:avLst/>
                    </a:prstGeom>
                    <a:noFill/>
                    <a:ln>
                      <a:noFill/>
                    </a:ln>
                  </pic:spPr>
                </pic:pic>
              </a:graphicData>
            </a:graphic>
          </wp:anchor>
        </w:drawing>
      </w: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Pr>
        <w:pStyle w:val="2"/>
      </w:pPr>
    </w:p>
    <w:p/>
    <w:p>
      <w:pPr>
        <w:pStyle w:val="2"/>
      </w:pPr>
    </w:p>
    <w:p/>
    <w:p>
      <w:pPr>
        <w:pStyle w:val="27"/>
        <w:tabs>
          <w:tab w:val="left" w:pos="4695"/>
        </w:tabs>
        <w:spacing w:line="360" w:lineRule="auto"/>
        <w:ind w:left="0" w:leftChars="0" w:firstLine="0" w:firstLineChars="0"/>
        <w:rPr>
          <w:rFonts w:hint="eastAsia" w:eastAsia="宋体"/>
          <w:b/>
          <w:bCs/>
          <w:sz w:val="28"/>
          <w:szCs w:val="28"/>
          <w:lang w:eastAsia="zh-CN"/>
        </w:rPr>
      </w:pPr>
      <w:r>
        <w:drawing>
          <wp:anchor distT="0" distB="0" distL="114300" distR="114300" simplePos="0" relativeHeight="251676672" behindDoc="0" locked="0" layoutInCell="1" allowOverlap="1">
            <wp:simplePos x="0" y="0"/>
            <wp:positionH relativeFrom="column">
              <wp:posOffset>0</wp:posOffset>
            </wp:positionH>
            <wp:positionV relativeFrom="paragraph">
              <wp:posOffset>20320</wp:posOffset>
            </wp:positionV>
            <wp:extent cx="5612130" cy="8072120"/>
            <wp:effectExtent l="0" t="0" r="7620" b="5080"/>
            <wp:wrapNone/>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27"/>
                    <a:stretch>
                      <a:fillRect/>
                    </a:stretch>
                  </pic:blipFill>
                  <pic:spPr>
                    <a:xfrm>
                      <a:off x="0" y="0"/>
                      <a:ext cx="5612130" cy="8072120"/>
                    </a:xfrm>
                    <a:prstGeom prst="rect">
                      <a:avLst/>
                    </a:prstGeom>
                    <a:noFill/>
                    <a:ln>
                      <a:noFill/>
                    </a:ln>
                  </pic:spPr>
                </pic:pic>
              </a:graphicData>
            </a:graphic>
          </wp:anchor>
        </w:drawing>
      </w: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rFonts w:hint="eastAsia"/>
          <w:b/>
          <w:bCs/>
          <w:sz w:val="28"/>
          <w:szCs w:val="28"/>
        </w:rPr>
      </w:pPr>
    </w:p>
    <w:p>
      <w:pPr>
        <w:pStyle w:val="27"/>
        <w:tabs>
          <w:tab w:val="left" w:pos="4695"/>
        </w:tabs>
        <w:spacing w:line="360" w:lineRule="auto"/>
        <w:ind w:left="0" w:leftChars="0" w:firstLine="0" w:firstLineChars="0"/>
        <w:rPr>
          <w:b/>
          <w:bCs/>
          <w:sz w:val="28"/>
          <w:szCs w:val="28"/>
        </w:rPr>
      </w:pPr>
      <w:r>
        <w:drawing>
          <wp:anchor distT="0" distB="0" distL="114300" distR="114300" simplePos="0" relativeHeight="251697152" behindDoc="0" locked="0" layoutInCell="1" allowOverlap="1">
            <wp:simplePos x="0" y="0"/>
            <wp:positionH relativeFrom="column">
              <wp:posOffset>8255</wp:posOffset>
            </wp:positionH>
            <wp:positionV relativeFrom="paragraph">
              <wp:posOffset>310515</wp:posOffset>
            </wp:positionV>
            <wp:extent cx="5614670" cy="7950835"/>
            <wp:effectExtent l="0" t="0" r="5080" b="12065"/>
            <wp:wrapNone/>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28"/>
                    <a:stretch>
                      <a:fillRect/>
                    </a:stretch>
                  </pic:blipFill>
                  <pic:spPr>
                    <a:xfrm>
                      <a:off x="0" y="0"/>
                      <a:ext cx="5614670" cy="7950835"/>
                    </a:xfrm>
                    <a:prstGeom prst="rect">
                      <a:avLst/>
                    </a:prstGeom>
                    <a:noFill/>
                    <a:ln>
                      <a:noFill/>
                    </a:ln>
                  </pic:spPr>
                </pic:pic>
              </a:graphicData>
            </a:graphic>
          </wp:anchor>
        </w:drawing>
      </w:r>
      <w:r>
        <w:rPr>
          <w:rFonts w:hint="eastAsia"/>
          <w:b/>
          <w:bCs/>
          <w:sz w:val="28"/>
          <w:szCs w:val="28"/>
        </w:rPr>
        <w:t>附件</w:t>
      </w:r>
      <w:r>
        <w:rPr>
          <w:b/>
          <w:bCs/>
          <w:sz w:val="28"/>
          <w:szCs w:val="28"/>
        </w:rPr>
        <w:t>6</w:t>
      </w:r>
      <w:r>
        <w:rPr>
          <w:rFonts w:hint="eastAsia"/>
          <w:b/>
          <w:bCs/>
          <w:sz w:val="28"/>
          <w:szCs w:val="28"/>
        </w:rPr>
        <w:t xml:space="preserve">   环境质量现状监测报告</w:t>
      </w:r>
      <w:r>
        <w:rPr>
          <w:b/>
          <w:bCs/>
          <w:sz w:val="28"/>
          <w:szCs w:val="28"/>
        </w:rPr>
        <w:tab/>
      </w:r>
    </w:p>
    <w:p>
      <w:r>
        <w:t xml:space="preserve">   </w:t>
      </w:r>
    </w:p>
    <w:p/>
    <w:p>
      <w:pPr>
        <w:pStyle w:val="27"/>
        <w:ind w:leftChars="68" w:hanging="277" w:hangingChars="132"/>
      </w:pPr>
    </w:p>
    <w:p/>
    <w:p>
      <w:pPr>
        <w:pStyle w:val="27"/>
        <w:ind w:leftChars="0" w:hanging="420" w:hangingChars="200"/>
      </w:pPr>
    </w:p>
    <w:p/>
    <w:p>
      <w:pPr>
        <w:pStyle w:val="27"/>
        <w:ind w:left="0" w:leftChars="0" w:firstLine="0" w:firstLineChars="0"/>
        <w:rPr>
          <w:b/>
          <w:bCs/>
          <w:sz w:val="28"/>
          <w:szCs w:val="28"/>
        </w:rPr>
      </w:pPr>
      <w:r>
        <w:rPr>
          <w:b/>
          <w:bCs/>
          <w:sz w:val="28"/>
          <w:szCs w:val="28"/>
        </w:rPr>
        <w:br w:type="page"/>
      </w:r>
    </w:p>
    <w:p>
      <w:pPr>
        <w:pStyle w:val="27"/>
        <w:ind w:left="0" w:leftChars="0" w:firstLine="0" w:firstLineChars="0"/>
      </w:pPr>
      <w:r>
        <w:drawing>
          <wp:anchor distT="0" distB="0" distL="114300" distR="114300" simplePos="0" relativeHeight="251698176" behindDoc="0" locked="0" layoutInCell="1" allowOverlap="1">
            <wp:simplePos x="0" y="0"/>
            <wp:positionH relativeFrom="column">
              <wp:posOffset>-63500</wp:posOffset>
            </wp:positionH>
            <wp:positionV relativeFrom="paragraph">
              <wp:posOffset>23495</wp:posOffset>
            </wp:positionV>
            <wp:extent cx="5610225" cy="7937500"/>
            <wp:effectExtent l="0" t="0" r="9525" b="6350"/>
            <wp:wrapNone/>
            <wp:docPr id="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pic:cNvPicPr>
                      <a:picLocks noChangeAspect="1"/>
                    </pic:cNvPicPr>
                  </pic:nvPicPr>
                  <pic:blipFill>
                    <a:blip r:embed="rId29"/>
                    <a:stretch>
                      <a:fillRect/>
                    </a:stretch>
                  </pic:blipFill>
                  <pic:spPr>
                    <a:xfrm>
                      <a:off x="0" y="0"/>
                      <a:ext cx="5610225" cy="7937500"/>
                    </a:xfrm>
                    <a:prstGeom prst="rect">
                      <a:avLst/>
                    </a:prstGeom>
                    <a:noFill/>
                    <a:ln>
                      <a:noFill/>
                    </a:ln>
                  </pic:spPr>
                </pic:pic>
              </a:graphicData>
            </a:graphic>
          </wp:anchor>
        </w:drawing>
      </w:r>
    </w:p>
    <w:p/>
    <w:p>
      <w:pPr>
        <w:pStyle w:val="7"/>
      </w:pPr>
    </w:p>
    <w:p/>
    <w:p>
      <w:pPr>
        <w:pStyle w:val="7"/>
      </w:pPr>
    </w:p>
    <w:p/>
    <w:p>
      <w:pPr>
        <w:pStyle w:val="7"/>
      </w:pPr>
    </w:p>
    <w:p/>
    <w:p>
      <w:pPr>
        <w:pStyle w:val="7"/>
      </w:pPr>
    </w:p>
    <w:p/>
    <w:p>
      <w:pPr>
        <w:pStyle w:val="7"/>
      </w:pPr>
    </w:p>
    <w:p/>
    <w:p>
      <w:pPr>
        <w:pStyle w:val="7"/>
      </w:pPr>
    </w:p>
    <w:p/>
    <w:p>
      <w:pPr>
        <w:pStyle w:val="7"/>
      </w:pPr>
    </w:p>
    <w:p/>
    <w:p>
      <w:pPr>
        <w:pStyle w:val="7"/>
      </w:pPr>
    </w:p>
    <w:p/>
    <w:p>
      <w:pPr>
        <w:pStyle w:val="7"/>
      </w:pPr>
    </w:p>
    <w:p/>
    <w:p>
      <w:pPr>
        <w:pStyle w:val="7"/>
      </w:pPr>
      <w:r>
        <w:drawing>
          <wp:anchor distT="0" distB="0" distL="114300" distR="114300" simplePos="0" relativeHeight="251699200" behindDoc="0" locked="0" layoutInCell="1" allowOverlap="1">
            <wp:simplePos x="0" y="0"/>
            <wp:positionH relativeFrom="column">
              <wp:posOffset>0</wp:posOffset>
            </wp:positionH>
            <wp:positionV relativeFrom="paragraph">
              <wp:posOffset>0</wp:posOffset>
            </wp:positionV>
            <wp:extent cx="5610860" cy="7911465"/>
            <wp:effectExtent l="0" t="0" r="8890" b="13335"/>
            <wp:wrapNone/>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30"/>
                    <a:stretch>
                      <a:fillRect/>
                    </a:stretch>
                  </pic:blipFill>
                  <pic:spPr>
                    <a:xfrm>
                      <a:off x="0" y="0"/>
                      <a:ext cx="5610860" cy="7911465"/>
                    </a:xfrm>
                    <a:prstGeom prst="rect">
                      <a:avLst/>
                    </a:prstGeom>
                    <a:noFill/>
                    <a:ln>
                      <a:noFill/>
                    </a:ln>
                  </pic:spPr>
                </pic:pic>
              </a:graphicData>
            </a:graphic>
          </wp:anchor>
        </w:drawing>
      </w:r>
    </w:p>
    <w:p/>
    <w:p>
      <w:pPr>
        <w:pStyle w:val="7"/>
      </w:pPr>
    </w:p>
    <w:p/>
    <w:p>
      <w:pPr>
        <w:pStyle w:val="7"/>
      </w:pPr>
    </w:p>
    <w:p/>
    <w:p>
      <w:pPr>
        <w:pStyle w:val="7"/>
      </w:pPr>
    </w:p>
    <w:p/>
    <w:p>
      <w:pPr>
        <w:pStyle w:val="7"/>
      </w:pPr>
    </w:p>
    <w:p/>
    <w:p>
      <w:pPr>
        <w:pStyle w:val="7"/>
      </w:pPr>
    </w:p>
    <w:p/>
    <w:p>
      <w:pPr>
        <w:pStyle w:val="7"/>
      </w:pPr>
    </w:p>
    <w:p/>
    <w:p>
      <w:pPr>
        <w:pStyle w:val="7"/>
      </w:pPr>
    </w:p>
    <w:p/>
    <w:p>
      <w:pPr>
        <w:pStyle w:val="7"/>
      </w:pPr>
    </w:p>
    <w:p/>
    <w:p>
      <w:pPr>
        <w:pStyle w:val="7"/>
      </w:pPr>
      <w:r>
        <w:drawing>
          <wp:anchor distT="0" distB="0" distL="114300" distR="114300" simplePos="0" relativeHeight="251700224" behindDoc="0" locked="0" layoutInCell="1" allowOverlap="1">
            <wp:simplePos x="0" y="0"/>
            <wp:positionH relativeFrom="column">
              <wp:posOffset>0</wp:posOffset>
            </wp:positionH>
            <wp:positionV relativeFrom="paragraph">
              <wp:posOffset>0</wp:posOffset>
            </wp:positionV>
            <wp:extent cx="5610860" cy="7920990"/>
            <wp:effectExtent l="0" t="0" r="8890" b="3810"/>
            <wp:wrapNone/>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31"/>
                    <a:stretch>
                      <a:fillRect/>
                    </a:stretch>
                  </pic:blipFill>
                  <pic:spPr>
                    <a:xfrm>
                      <a:off x="0" y="0"/>
                      <a:ext cx="5610860" cy="7920990"/>
                    </a:xfrm>
                    <a:prstGeom prst="rect">
                      <a:avLst/>
                    </a:prstGeom>
                    <a:noFill/>
                    <a:ln>
                      <a:noFill/>
                    </a:ln>
                  </pic:spPr>
                </pic:pic>
              </a:graphicData>
            </a:graphic>
          </wp:anchor>
        </w:drawing>
      </w:r>
    </w:p>
    <w:p/>
    <w:p>
      <w:pPr>
        <w:pStyle w:val="7"/>
      </w:pPr>
    </w:p>
    <w:p/>
    <w:p>
      <w:pPr>
        <w:pStyle w:val="7"/>
      </w:pPr>
    </w:p>
    <w:p/>
    <w:p>
      <w:pPr>
        <w:pStyle w:val="7"/>
      </w:pPr>
    </w:p>
    <w:p/>
    <w:p>
      <w:pPr>
        <w:pStyle w:val="7"/>
      </w:pPr>
    </w:p>
    <w:p/>
    <w:p>
      <w:pPr>
        <w:pStyle w:val="7"/>
      </w:pPr>
    </w:p>
    <w:p/>
    <w:p>
      <w:pPr>
        <w:pStyle w:val="7"/>
      </w:pPr>
    </w:p>
    <w:p/>
    <w:p>
      <w:pPr>
        <w:pStyle w:val="7"/>
      </w:pPr>
    </w:p>
    <w:p/>
    <w:p>
      <w:pPr>
        <w:pStyle w:val="7"/>
      </w:pPr>
    </w:p>
    <w:p/>
    <w:p>
      <w:pPr>
        <w:pStyle w:val="7"/>
      </w:pPr>
      <w:r>
        <w:drawing>
          <wp:anchor distT="0" distB="0" distL="114300" distR="114300" simplePos="0" relativeHeight="251701248" behindDoc="0" locked="0" layoutInCell="1" allowOverlap="1">
            <wp:simplePos x="0" y="0"/>
            <wp:positionH relativeFrom="column">
              <wp:posOffset>8255</wp:posOffset>
            </wp:positionH>
            <wp:positionV relativeFrom="paragraph">
              <wp:posOffset>119380</wp:posOffset>
            </wp:positionV>
            <wp:extent cx="5614035" cy="7788910"/>
            <wp:effectExtent l="0" t="0" r="5715" b="2540"/>
            <wp:wrapNone/>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32"/>
                    <a:stretch>
                      <a:fillRect/>
                    </a:stretch>
                  </pic:blipFill>
                  <pic:spPr>
                    <a:xfrm>
                      <a:off x="0" y="0"/>
                      <a:ext cx="5614035" cy="7788910"/>
                    </a:xfrm>
                    <a:prstGeom prst="rect">
                      <a:avLst/>
                    </a:prstGeom>
                    <a:noFill/>
                    <a:ln>
                      <a:noFill/>
                    </a:ln>
                  </pic:spPr>
                </pic:pic>
              </a:graphicData>
            </a:graphic>
          </wp:anchor>
        </w:drawing>
      </w:r>
    </w:p>
    <w:p/>
    <w:p>
      <w:pPr>
        <w:pStyle w:val="7"/>
      </w:pPr>
    </w:p>
    <w:p/>
    <w:p>
      <w:pPr>
        <w:pStyle w:val="7"/>
      </w:pPr>
    </w:p>
    <w:p/>
    <w:p>
      <w:pPr>
        <w:pStyle w:val="7"/>
      </w:pPr>
    </w:p>
    <w:p/>
    <w:p>
      <w:pPr>
        <w:pStyle w:val="7"/>
      </w:pPr>
    </w:p>
    <w:p/>
    <w:p>
      <w:pPr>
        <w:pStyle w:val="7"/>
      </w:pPr>
    </w:p>
    <w:p/>
    <w:p>
      <w:pPr>
        <w:pStyle w:val="7"/>
      </w:pPr>
    </w:p>
    <w:p/>
    <w:p>
      <w:pPr>
        <w:pStyle w:val="7"/>
      </w:pPr>
    </w:p>
    <w:p/>
    <w:p>
      <w:pPr>
        <w:pStyle w:val="7"/>
      </w:pPr>
    </w:p>
    <w:p/>
    <w:p>
      <w:pPr>
        <w:pStyle w:val="7"/>
      </w:pPr>
      <w:r>
        <w:drawing>
          <wp:anchor distT="0" distB="0" distL="114300" distR="114300" simplePos="0" relativeHeight="251702272" behindDoc="0" locked="0" layoutInCell="1" allowOverlap="1">
            <wp:simplePos x="0" y="0"/>
            <wp:positionH relativeFrom="column">
              <wp:posOffset>0</wp:posOffset>
            </wp:positionH>
            <wp:positionV relativeFrom="paragraph">
              <wp:posOffset>63500</wp:posOffset>
            </wp:positionV>
            <wp:extent cx="5612765" cy="7955915"/>
            <wp:effectExtent l="0" t="0" r="6985" b="6985"/>
            <wp:wrapNone/>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33"/>
                    <a:stretch>
                      <a:fillRect/>
                    </a:stretch>
                  </pic:blipFill>
                  <pic:spPr>
                    <a:xfrm>
                      <a:off x="0" y="0"/>
                      <a:ext cx="5612765" cy="7955915"/>
                    </a:xfrm>
                    <a:prstGeom prst="rect">
                      <a:avLst/>
                    </a:prstGeom>
                    <a:noFill/>
                    <a:ln>
                      <a:noFill/>
                    </a:ln>
                  </pic:spPr>
                </pic:pic>
              </a:graphicData>
            </a:graphic>
          </wp:anchor>
        </w:drawing>
      </w:r>
    </w:p>
    <w:p/>
    <w:p>
      <w:pPr>
        <w:pStyle w:val="7"/>
      </w:pPr>
    </w:p>
    <w:p/>
    <w:p>
      <w:pPr>
        <w:pStyle w:val="7"/>
      </w:pPr>
    </w:p>
    <w:p/>
    <w:p>
      <w:pPr>
        <w:pStyle w:val="7"/>
      </w:pPr>
    </w:p>
    <w:p/>
    <w:p>
      <w:pPr>
        <w:pStyle w:val="7"/>
      </w:pPr>
    </w:p>
    <w:p/>
    <w:p>
      <w:pPr>
        <w:pStyle w:val="7"/>
      </w:pPr>
    </w:p>
    <w:p/>
    <w:p>
      <w:pPr>
        <w:pStyle w:val="7"/>
      </w:pPr>
    </w:p>
    <w:p/>
    <w:p>
      <w:pPr>
        <w:pStyle w:val="7"/>
      </w:pPr>
    </w:p>
    <w:p/>
    <w:p>
      <w:pPr>
        <w:pStyle w:val="7"/>
      </w:pPr>
    </w:p>
    <w:p/>
    <w:p>
      <w:pPr>
        <w:pStyle w:val="15"/>
      </w:pPr>
    </w:p>
    <w:p/>
    <w:p>
      <w:pPr>
        <w:pStyle w:val="15"/>
      </w:pPr>
    </w:p>
    <w:p/>
    <w:p>
      <w:pPr>
        <w:pStyle w:val="7"/>
        <w:tabs>
          <w:tab w:val="left" w:pos="630"/>
        </w:tabs>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7"/>
        <w:ind w:left="0" w:leftChars="0" w:firstLine="0" w:firstLineChars="0"/>
        <w:rPr>
          <w:b/>
          <w:bCs/>
          <w:sz w:val="28"/>
          <w:szCs w:val="28"/>
        </w:rPr>
      </w:pPr>
      <w:r>
        <w:drawing>
          <wp:anchor distT="0" distB="0" distL="114300" distR="114300" simplePos="0" relativeHeight="251689984" behindDoc="0" locked="0" layoutInCell="1" allowOverlap="1">
            <wp:simplePos x="0" y="0"/>
            <wp:positionH relativeFrom="column">
              <wp:posOffset>-47625</wp:posOffset>
            </wp:positionH>
            <wp:positionV relativeFrom="paragraph">
              <wp:posOffset>301625</wp:posOffset>
            </wp:positionV>
            <wp:extent cx="5612765" cy="8095615"/>
            <wp:effectExtent l="19050" t="19050" r="26035" b="19685"/>
            <wp:wrapNone/>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4"/>
                    <a:stretch>
                      <a:fillRect/>
                    </a:stretch>
                  </pic:blipFill>
                  <pic:spPr>
                    <a:xfrm>
                      <a:off x="0" y="0"/>
                      <a:ext cx="5612765" cy="8095615"/>
                    </a:xfrm>
                    <a:prstGeom prst="rect">
                      <a:avLst/>
                    </a:prstGeom>
                    <a:noFill/>
                    <a:ln w="19050" cmpd="sng">
                      <a:solidFill>
                        <a:schemeClr val="tx1"/>
                      </a:solidFill>
                      <a:prstDash val="solid"/>
                    </a:ln>
                  </pic:spPr>
                </pic:pic>
              </a:graphicData>
            </a:graphic>
          </wp:anchor>
        </w:drawing>
      </w:r>
      <w:r>
        <w:rPr>
          <w:rFonts w:hint="eastAsia"/>
          <w:b/>
          <w:bCs/>
          <w:sz w:val="28"/>
          <w:szCs w:val="28"/>
        </w:rPr>
        <w:t>附图</w:t>
      </w:r>
      <w:r>
        <w:rPr>
          <w:rFonts w:hint="eastAsia"/>
          <w:b/>
          <w:bCs/>
          <w:sz w:val="28"/>
          <w:szCs w:val="28"/>
          <w:lang w:val="en-US" w:eastAsia="zh-CN"/>
        </w:rPr>
        <w:t>1</w:t>
      </w:r>
      <w:r>
        <w:rPr>
          <w:rFonts w:hint="eastAsia"/>
          <w:b/>
          <w:bCs/>
          <w:sz w:val="28"/>
          <w:szCs w:val="28"/>
        </w:rPr>
        <w:t xml:space="preserve">   </w:t>
      </w:r>
      <w:r>
        <w:rPr>
          <w:rFonts w:hint="eastAsia"/>
          <w:b/>
          <w:bCs/>
          <w:sz w:val="28"/>
          <w:szCs w:val="28"/>
          <w:lang w:val="en-US" w:eastAsia="zh-CN"/>
        </w:rPr>
        <w:t xml:space="preserve"> 项目区</w:t>
      </w:r>
      <w:r>
        <w:rPr>
          <w:rFonts w:hint="eastAsia"/>
          <w:b/>
          <w:bCs/>
          <w:sz w:val="28"/>
          <w:szCs w:val="28"/>
        </w:rPr>
        <w:t>地理位置图</w:t>
      </w:r>
    </w:p>
    <w:p>
      <w:pPr>
        <w:pStyle w:val="27"/>
        <w:ind w:left="0" w:leftChars="0" w:firstLine="0" w:firstLineChars="0"/>
        <w:rPr>
          <w:rFonts w:hint="eastAsia"/>
          <w:b/>
          <w:bCs/>
          <w:sz w:val="28"/>
          <w:szCs w:val="28"/>
        </w:rPr>
      </w:pPr>
      <w:r>
        <w:drawing>
          <wp:anchor distT="0" distB="0" distL="114300" distR="114300" simplePos="0" relativeHeight="251691008" behindDoc="0" locked="0" layoutInCell="1" allowOverlap="1">
            <wp:simplePos x="0" y="0"/>
            <wp:positionH relativeFrom="column">
              <wp:posOffset>4989830</wp:posOffset>
            </wp:positionH>
            <wp:positionV relativeFrom="paragraph">
              <wp:posOffset>43815</wp:posOffset>
            </wp:positionV>
            <wp:extent cx="549275" cy="676275"/>
            <wp:effectExtent l="0" t="0" r="3175" b="9525"/>
            <wp:wrapNone/>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35"/>
                    <a:stretch>
                      <a:fillRect/>
                    </a:stretch>
                  </pic:blipFill>
                  <pic:spPr>
                    <a:xfrm>
                      <a:off x="0" y="0"/>
                      <a:ext cx="549275" cy="676275"/>
                    </a:xfrm>
                    <a:prstGeom prst="rect">
                      <a:avLst/>
                    </a:prstGeom>
                    <a:noFill/>
                    <a:ln>
                      <a:noFill/>
                    </a:ln>
                  </pic:spPr>
                </pic:pic>
              </a:graphicData>
            </a:graphic>
          </wp:anchor>
        </w:drawing>
      </w:r>
    </w:p>
    <w:p>
      <w:pPr>
        <w:pStyle w:val="27"/>
        <w:ind w:left="0" w:leftChars="0" w:firstLine="0" w:firstLineChars="0"/>
        <w:rPr>
          <w:rFonts w:hint="eastAsia"/>
          <w:b/>
          <w:bCs/>
          <w:sz w:val="28"/>
          <w:szCs w:val="28"/>
        </w:rPr>
      </w:pPr>
    </w:p>
    <w:p>
      <w:pPr>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r>
        <w:rPr>
          <w:sz w:val="28"/>
        </w:rPr>
        <mc:AlternateContent>
          <mc:Choice Requires="wps">
            <w:drawing>
              <wp:anchor distT="0" distB="0" distL="114300" distR="114300" simplePos="0" relativeHeight="251692032" behindDoc="0" locked="0" layoutInCell="1" allowOverlap="1">
                <wp:simplePos x="0" y="0"/>
                <wp:positionH relativeFrom="column">
                  <wp:posOffset>3160395</wp:posOffset>
                </wp:positionH>
                <wp:positionV relativeFrom="paragraph">
                  <wp:posOffset>167640</wp:posOffset>
                </wp:positionV>
                <wp:extent cx="745490" cy="293370"/>
                <wp:effectExtent l="179705" t="12700" r="27305" b="532130"/>
                <wp:wrapNone/>
                <wp:docPr id="19" name="矩形标注 19"/>
                <wp:cNvGraphicFramePr/>
                <a:graphic xmlns:a="http://schemas.openxmlformats.org/drawingml/2006/main">
                  <a:graphicData uri="http://schemas.microsoft.com/office/word/2010/wordprocessingShape">
                    <wps:wsp>
                      <wps:cNvSpPr/>
                      <wps:spPr>
                        <a:xfrm>
                          <a:off x="4450715" y="4566285"/>
                          <a:ext cx="745490" cy="293370"/>
                        </a:xfrm>
                        <a:prstGeom prst="wedgeRectCallout">
                          <a:avLst>
                            <a:gd name="adj1" fmla="val -72451"/>
                            <a:gd name="adj2" fmla="val 22384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8.85pt;margin-top:13.2pt;height:23.1pt;width:58.7pt;z-index:251692032;v-text-anchor:middle;mso-width-relative:page;mso-height-relative:page;" filled="f" stroked="t" coordsize="21600,21600" o:gfxdata="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7sgf21gAAAAkBAAAPAAAAAAAAAAEAIAAA&#10;ACIAAABkcnMvZG93bnJldi54bWxQSwECFAAUAAAACACHTuJAiZhlmbkCAABSBQAADgAAAAAAAAAB&#10;ACAAAAAlAQAAZHJzL2Uyb0RvYy54bWxQSwUGAAAAAAYABgBZAQAAUAYAAAAA&#10;" adj="-4849,59151">
                <v:fill on="f" focussize="0,0"/>
                <v:stroke weight="2pt" color="#385D8A [3204]" joinstyle="round"/>
                <v:imagedata o:title=""/>
                <o:lock v:ext="edit" aspectratio="f"/>
                <v:textbox>
                  <w:txbxContent>
                    <w:p>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项目区</w:t>
                      </w:r>
                    </w:p>
                  </w:txbxContent>
                </v:textbox>
              </v:shape>
            </w:pict>
          </mc:Fallback>
        </mc:AlternateContent>
      </w: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7"/>
        <w:ind w:left="0" w:leftChars="0" w:firstLine="0" w:firstLineChars="0"/>
        <w:rPr>
          <w:b/>
          <w:bCs/>
          <w:sz w:val="28"/>
          <w:szCs w:val="28"/>
        </w:rPr>
      </w:pPr>
      <w:r>
        <w:rPr>
          <w:rFonts w:hint="eastAsia"/>
          <w:b/>
          <w:bCs/>
          <w:sz w:val="28"/>
          <w:szCs w:val="28"/>
        </w:rPr>
        <w:t>附图</w:t>
      </w:r>
      <w:r>
        <w:rPr>
          <w:rFonts w:hint="eastAsia"/>
          <w:b/>
          <w:bCs/>
          <w:sz w:val="28"/>
          <w:szCs w:val="28"/>
          <w:lang w:val="en-US" w:eastAsia="zh-CN"/>
        </w:rPr>
        <w:t>2</w:t>
      </w:r>
      <w:r>
        <w:rPr>
          <w:rFonts w:hint="eastAsia"/>
          <w:b/>
          <w:bCs/>
          <w:sz w:val="28"/>
          <w:szCs w:val="28"/>
        </w:rPr>
        <w:t xml:space="preserve">    </w:t>
      </w:r>
      <w:r>
        <w:rPr>
          <w:rFonts w:hint="eastAsia"/>
          <w:b/>
          <w:bCs/>
          <w:sz w:val="28"/>
          <w:szCs w:val="28"/>
          <w:lang w:val="en-US" w:eastAsia="zh-CN"/>
        </w:rPr>
        <w:t>项目区</w:t>
      </w:r>
      <w:r>
        <w:rPr>
          <w:rFonts w:hint="eastAsia"/>
          <w:b/>
          <w:bCs/>
          <w:sz w:val="28"/>
          <w:szCs w:val="28"/>
        </w:rPr>
        <w:t>卫星影像图</w:t>
      </w:r>
    </w:p>
    <w:p>
      <w:r>
        <w:drawing>
          <wp:anchor distT="0" distB="0" distL="114300" distR="114300" simplePos="0" relativeHeight="251680768" behindDoc="0" locked="0" layoutInCell="1" allowOverlap="1">
            <wp:simplePos x="0" y="0"/>
            <wp:positionH relativeFrom="column">
              <wp:posOffset>8070850</wp:posOffset>
            </wp:positionH>
            <wp:positionV relativeFrom="paragraph">
              <wp:posOffset>34290</wp:posOffset>
            </wp:positionV>
            <wp:extent cx="549275" cy="676275"/>
            <wp:effectExtent l="0" t="0" r="3175" b="9525"/>
            <wp:wrapNone/>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35"/>
                    <a:stretch>
                      <a:fillRect/>
                    </a:stretch>
                  </pic:blipFill>
                  <pic:spPr>
                    <a:xfrm>
                      <a:off x="0" y="0"/>
                      <a:ext cx="549275" cy="676275"/>
                    </a:xfrm>
                    <a:prstGeom prst="rect">
                      <a:avLst/>
                    </a:prstGeom>
                    <a:noFill/>
                    <a:ln>
                      <a:noFill/>
                    </a:ln>
                  </pic:spPr>
                </pic:pic>
              </a:graphicData>
            </a:graphic>
          </wp:anchor>
        </w:drawing>
      </w:r>
      <w:r>
        <w:drawing>
          <wp:anchor distT="0" distB="0" distL="114300" distR="114300" simplePos="0" relativeHeight="251677696" behindDoc="0" locked="0" layoutInCell="1" allowOverlap="1">
            <wp:simplePos x="0" y="0"/>
            <wp:positionH relativeFrom="column">
              <wp:posOffset>-149225</wp:posOffset>
            </wp:positionH>
            <wp:positionV relativeFrom="paragraph">
              <wp:posOffset>40640</wp:posOffset>
            </wp:positionV>
            <wp:extent cx="8782685" cy="5179060"/>
            <wp:effectExtent l="19050" t="19050" r="37465" b="21590"/>
            <wp:wrapNone/>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36"/>
                    <a:stretch>
                      <a:fillRect/>
                    </a:stretch>
                  </pic:blipFill>
                  <pic:spPr>
                    <a:xfrm>
                      <a:off x="0" y="0"/>
                      <a:ext cx="8782685" cy="5179060"/>
                    </a:xfrm>
                    <a:prstGeom prst="rect">
                      <a:avLst/>
                    </a:prstGeom>
                    <a:noFill/>
                    <a:ln w="19050" cmpd="sng">
                      <a:solidFill>
                        <a:schemeClr val="tx1"/>
                      </a:solidFill>
                      <a:prstDash val="solid"/>
                    </a:ln>
                  </pic:spPr>
                </pic:pic>
              </a:graphicData>
            </a:graphic>
          </wp:anchor>
        </w:drawing>
      </w:r>
      <w:r>
        <w:br w:type="page"/>
      </w:r>
    </w:p>
    <w:p>
      <w:pPr>
        <w:pStyle w:val="27"/>
        <w:ind w:left="0" w:leftChars="0" w:firstLine="0" w:firstLineChars="0"/>
        <w:rPr>
          <w:rFonts w:hint="eastAsia"/>
          <w:b/>
          <w:bCs/>
          <w:sz w:val="28"/>
          <w:szCs w:val="28"/>
        </w:rPr>
      </w:pPr>
      <w:r>
        <w:rPr>
          <w:rFonts w:hint="eastAsia"/>
          <w:b/>
          <w:bCs/>
          <w:sz w:val="28"/>
          <w:szCs w:val="28"/>
        </w:rPr>
        <w:t>附图</w:t>
      </w:r>
      <w:r>
        <w:rPr>
          <w:rFonts w:hint="eastAsia"/>
          <w:b/>
          <w:bCs/>
          <w:sz w:val="28"/>
          <w:szCs w:val="28"/>
          <w:lang w:val="en-US" w:eastAsia="zh-CN"/>
        </w:rPr>
        <w:t>3</w:t>
      </w:r>
      <w:r>
        <w:rPr>
          <w:rFonts w:hint="eastAsia"/>
          <w:b/>
          <w:bCs/>
          <w:sz w:val="28"/>
          <w:szCs w:val="28"/>
        </w:rPr>
        <w:t xml:space="preserve">   </w:t>
      </w:r>
      <w:r>
        <w:rPr>
          <w:rFonts w:hint="eastAsia"/>
          <w:b/>
          <w:bCs/>
          <w:sz w:val="28"/>
          <w:szCs w:val="28"/>
          <w:lang w:val="en-US" w:eastAsia="zh-CN"/>
        </w:rPr>
        <w:t>玛纳斯县中医医院</w:t>
      </w:r>
      <w:r>
        <w:rPr>
          <w:rFonts w:hint="eastAsia"/>
          <w:b/>
          <w:bCs/>
          <w:sz w:val="28"/>
          <w:szCs w:val="28"/>
        </w:rPr>
        <w:t>环境敏感保护目标示意图</w:t>
      </w:r>
    </w:p>
    <w:p>
      <w:pPr>
        <w:rPr>
          <w:rFonts w:hint="eastAsia"/>
          <w:b/>
          <w:bCs/>
          <w:sz w:val="28"/>
          <w:szCs w:val="28"/>
        </w:rPr>
      </w:pPr>
      <w:r>
        <w:drawing>
          <wp:anchor distT="0" distB="0" distL="114300" distR="114300" simplePos="0" relativeHeight="251704320" behindDoc="0" locked="0" layoutInCell="1" allowOverlap="1">
            <wp:simplePos x="0" y="0"/>
            <wp:positionH relativeFrom="column">
              <wp:posOffset>8251825</wp:posOffset>
            </wp:positionH>
            <wp:positionV relativeFrom="paragraph">
              <wp:posOffset>120015</wp:posOffset>
            </wp:positionV>
            <wp:extent cx="549275" cy="676275"/>
            <wp:effectExtent l="0" t="0" r="3175" b="9525"/>
            <wp:wrapNone/>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35"/>
                    <a:stretch>
                      <a:fillRect/>
                    </a:stretch>
                  </pic:blipFill>
                  <pic:spPr>
                    <a:xfrm>
                      <a:off x="0" y="0"/>
                      <a:ext cx="549275" cy="676275"/>
                    </a:xfrm>
                    <a:prstGeom prst="rect">
                      <a:avLst/>
                    </a:prstGeom>
                    <a:noFill/>
                    <a:ln>
                      <a:noFill/>
                    </a:ln>
                  </pic:spPr>
                </pic:pic>
              </a:graphicData>
            </a:graphic>
          </wp:anchor>
        </w:drawing>
      </w:r>
      <w:r>
        <w:drawing>
          <wp:anchor distT="0" distB="0" distL="114300" distR="114300" simplePos="0" relativeHeight="251703296" behindDoc="0" locked="0" layoutInCell="1" allowOverlap="1">
            <wp:simplePos x="0" y="0"/>
            <wp:positionH relativeFrom="column">
              <wp:posOffset>-149860</wp:posOffset>
            </wp:positionH>
            <wp:positionV relativeFrom="paragraph">
              <wp:posOffset>106045</wp:posOffset>
            </wp:positionV>
            <wp:extent cx="8967470" cy="5155565"/>
            <wp:effectExtent l="19050" t="19050" r="24130" b="26035"/>
            <wp:wrapNone/>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37"/>
                    <a:stretch>
                      <a:fillRect/>
                    </a:stretch>
                  </pic:blipFill>
                  <pic:spPr>
                    <a:xfrm>
                      <a:off x="0" y="0"/>
                      <a:ext cx="8967470" cy="5155565"/>
                    </a:xfrm>
                    <a:prstGeom prst="rect">
                      <a:avLst/>
                    </a:prstGeom>
                    <a:noFill/>
                    <a:ln w="19050" cmpd="sng">
                      <a:solidFill>
                        <a:schemeClr val="tx1"/>
                      </a:solidFill>
                      <a:prstDash val="solid"/>
                    </a:ln>
                  </pic:spPr>
                </pic:pic>
              </a:graphicData>
            </a:graphic>
          </wp:anchor>
        </w:drawing>
      </w: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27"/>
        <w:ind w:left="0" w:leftChars="0" w:firstLine="0" w:firstLineChars="0"/>
        <w:rPr>
          <w:rFonts w:hint="default" w:eastAsia="宋体"/>
          <w:b/>
          <w:bCs/>
          <w:sz w:val="28"/>
          <w:szCs w:val="28"/>
          <w:lang w:val="en-US" w:eastAsia="zh-CN"/>
        </w:rPr>
      </w:pPr>
      <w:r>
        <w:rPr>
          <w:rFonts w:hint="eastAsia"/>
          <w:b/>
          <w:bCs/>
          <w:sz w:val="28"/>
          <w:szCs w:val="28"/>
        </w:rPr>
        <w:t>附图</w:t>
      </w:r>
      <w:r>
        <w:rPr>
          <w:rFonts w:hint="eastAsia"/>
          <w:b/>
          <w:bCs/>
          <w:sz w:val="28"/>
          <w:szCs w:val="28"/>
          <w:lang w:val="en-US" w:eastAsia="zh-CN"/>
        </w:rPr>
        <w:t>4  本项目与玛纳斯县成总体规划位置示意图</w:t>
      </w:r>
    </w:p>
    <w:p>
      <w:pPr>
        <w:pStyle w:val="35"/>
        <w:ind w:left="0" w:leftChars="0" w:firstLine="0" w:firstLineChars="0"/>
        <w:rPr>
          <w:rFonts w:hint="default"/>
          <w:b/>
          <w:bCs/>
          <w:sz w:val="28"/>
          <w:szCs w:val="28"/>
          <w:lang w:val="en-US"/>
        </w:rPr>
      </w:pPr>
      <w:r>
        <w:drawing>
          <wp:anchor distT="0" distB="0" distL="114300" distR="114300" simplePos="0" relativeHeight="251678720" behindDoc="0" locked="0" layoutInCell="1" allowOverlap="1">
            <wp:simplePos x="0" y="0"/>
            <wp:positionH relativeFrom="column">
              <wp:posOffset>-215900</wp:posOffset>
            </wp:positionH>
            <wp:positionV relativeFrom="paragraph">
              <wp:posOffset>24130</wp:posOffset>
            </wp:positionV>
            <wp:extent cx="8860790" cy="5257165"/>
            <wp:effectExtent l="12700" t="12700" r="22860" b="26035"/>
            <wp:wrapNone/>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38"/>
                    <a:stretch>
                      <a:fillRect/>
                    </a:stretch>
                  </pic:blipFill>
                  <pic:spPr>
                    <a:xfrm>
                      <a:off x="0" y="0"/>
                      <a:ext cx="8860790" cy="5257165"/>
                    </a:xfrm>
                    <a:prstGeom prst="rect">
                      <a:avLst/>
                    </a:prstGeom>
                    <a:noFill/>
                    <a:ln w="12700" cmpd="sng">
                      <a:solidFill>
                        <a:schemeClr val="tx1"/>
                      </a:solidFill>
                      <a:prstDash val="solid"/>
                    </a:ln>
                  </pic:spPr>
                </pic:pic>
              </a:graphicData>
            </a:graphic>
          </wp:anchor>
        </w:drawing>
      </w: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35"/>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r>
        <w:rPr>
          <w:sz w:val="28"/>
        </w:rPr>
        <mc:AlternateContent>
          <mc:Choice Requires="wps">
            <w:drawing>
              <wp:anchor distT="0" distB="0" distL="114300" distR="114300" simplePos="0" relativeHeight="251679744" behindDoc="0" locked="0" layoutInCell="1" allowOverlap="1">
                <wp:simplePos x="0" y="0"/>
                <wp:positionH relativeFrom="column">
                  <wp:posOffset>5344795</wp:posOffset>
                </wp:positionH>
                <wp:positionV relativeFrom="paragraph">
                  <wp:posOffset>227965</wp:posOffset>
                </wp:positionV>
                <wp:extent cx="671830" cy="372110"/>
                <wp:effectExtent l="381635" t="4445" r="13335" b="194945"/>
                <wp:wrapNone/>
                <wp:docPr id="37" name="圆角矩形标注 37"/>
                <wp:cNvGraphicFramePr/>
                <a:graphic xmlns:a="http://schemas.openxmlformats.org/drawingml/2006/main">
                  <a:graphicData uri="http://schemas.microsoft.com/office/word/2010/wordprocessingShape">
                    <wps:wsp>
                      <wps:cNvSpPr/>
                      <wps:spPr>
                        <a:xfrm>
                          <a:off x="6125210" y="4043045"/>
                          <a:ext cx="671830" cy="372110"/>
                        </a:xfrm>
                        <a:prstGeom prst="wedgeRoundRectCallout">
                          <a:avLst>
                            <a:gd name="adj1" fmla="val -106090"/>
                            <a:gd name="adj2" fmla="val 99705"/>
                            <a:gd name="adj3" fmla="val 16667"/>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sz w:val="15"/>
                                <w:szCs w:val="15"/>
                                <w:lang w:val="en-US" w:eastAsia="zh-CN"/>
                                <w14:textFill>
                                  <w14:solidFill>
                                    <w14:schemeClr w14:val="tx1"/>
                                  </w14:solidFill>
                                </w14:textFill>
                              </w:rPr>
                            </w:pPr>
                            <w:r>
                              <w:rPr>
                                <w:rFonts w:hint="eastAsia"/>
                                <w:b/>
                                <w:bCs/>
                                <w:color w:val="000000" w:themeColor="text1"/>
                                <w:sz w:val="15"/>
                                <w:szCs w:val="15"/>
                                <w:lang w:val="en-US" w:eastAsia="zh-CN"/>
                                <w14:textFill>
                                  <w14:solidFill>
                                    <w14:schemeClr w14:val="tx1"/>
                                  </w14:solidFill>
                                </w14:textFill>
                              </w:rPr>
                              <w:t>中医康复治疗项目区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0.85pt;margin-top:17.95pt;height:29.3pt;width:52.9pt;z-index:251679744;v-text-anchor:middle;mso-width-relative:page;mso-height-relative:page;" filled="f" stroked="t" coordsize="21600,21600" o:gfxdata="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A4w9KS2wAAAAkB&#10;AAAPAAAAAAAAAAEAIAAAACIAAABkcnMvZG93bnJldi54bWxQSwECFAAUAAAACACHTuJAgcKCnsMC&#10;AABfBQAADgAAAAAAAAABACAAAAAqAQAAZHJzL2Uyb0RvYy54bWxQSwUGAAAAAAYABgBZAQAAXwYA&#10;AAAA&#10;" adj="-12115,32336,14400">
                <v:fill on="f" focussize="0,0"/>
                <v:stroke color="#FF0000 [3204]" joinstyle="round"/>
                <v:imagedata o:title=""/>
                <o:lock v:ext="edit" aspectratio="f"/>
                <v:textbox>
                  <w:txbxContent>
                    <w:p>
                      <w:pPr>
                        <w:jc w:val="center"/>
                        <w:rPr>
                          <w:rFonts w:hint="eastAsia" w:eastAsia="宋体"/>
                          <w:b/>
                          <w:bCs/>
                          <w:color w:val="000000" w:themeColor="text1"/>
                          <w:sz w:val="15"/>
                          <w:szCs w:val="15"/>
                          <w:lang w:val="en-US" w:eastAsia="zh-CN"/>
                          <w14:textFill>
                            <w14:solidFill>
                              <w14:schemeClr w14:val="tx1"/>
                            </w14:solidFill>
                          </w14:textFill>
                        </w:rPr>
                      </w:pPr>
                      <w:r>
                        <w:rPr>
                          <w:rFonts w:hint="eastAsia"/>
                          <w:b/>
                          <w:bCs/>
                          <w:color w:val="000000" w:themeColor="text1"/>
                          <w:sz w:val="15"/>
                          <w:szCs w:val="15"/>
                          <w:lang w:val="en-US" w:eastAsia="zh-CN"/>
                          <w14:textFill>
                            <w14:solidFill>
                              <w14:schemeClr w14:val="tx1"/>
                            </w14:solidFill>
                          </w14:textFill>
                        </w:rPr>
                        <w:t>中医康复治疗项目区</w:t>
                      </w:r>
                    </w:p>
                  </w:txbxContent>
                </v:textbox>
              </v:shape>
            </w:pict>
          </mc:Fallback>
        </mc:AlternateContent>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default" w:eastAsia="宋体"/>
          <w:b/>
          <w:bCs/>
          <w:sz w:val="28"/>
          <w:szCs w:val="28"/>
          <w:lang w:val="en-US" w:eastAsia="zh-CN"/>
        </w:rPr>
      </w:pPr>
      <w:r>
        <w:drawing>
          <wp:anchor distT="0" distB="0" distL="114300" distR="114300" simplePos="0" relativeHeight="251695104" behindDoc="0" locked="0" layoutInCell="1" allowOverlap="1">
            <wp:simplePos x="0" y="0"/>
            <wp:positionH relativeFrom="column">
              <wp:posOffset>-40005</wp:posOffset>
            </wp:positionH>
            <wp:positionV relativeFrom="paragraph">
              <wp:posOffset>248285</wp:posOffset>
            </wp:positionV>
            <wp:extent cx="8529320" cy="5334635"/>
            <wp:effectExtent l="0" t="0" r="5080" b="18415"/>
            <wp:wrapNone/>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39"/>
                    <a:stretch>
                      <a:fillRect/>
                    </a:stretch>
                  </pic:blipFill>
                  <pic:spPr>
                    <a:xfrm>
                      <a:off x="0" y="0"/>
                      <a:ext cx="8529320" cy="5334635"/>
                    </a:xfrm>
                    <a:prstGeom prst="rect">
                      <a:avLst/>
                    </a:prstGeom>
                    <a:noFill/>
                    <a:ln>
                      <a:noFill/>
                    </a:ln>
                  </pic:spPr>
                </pic:pic>
              </a:graphicData>
            </a:graphic>
          </wp:anchor>
        </w:drawing>
      </w:r>
      <w:r>
        <w:rPr>
          <w:rFonts w:hint="eastAsia"/>
          <w:b/>
          <w:bCs/>
          <w:sz w:val="28"/>
          <w:szCs w:val="28"/>
        </w:rPr>
        <w:t>附图</w:t>
      </w:r>
      <w:r>
        <w:rPr>
          <w:rFonts w:hint="eastAsia"/>
          <w:b/>
          <w:bCs/>
          <w:sz w:val="28"/>
          <w:szCs w:val="28"/>
          <w:lang w:val="en-US" w:eastAsia="zh-CN"/>
        </w:rPr>
        <w:t>5  本项目与昌吉回族自治州“三线一单”环境管控单元关系示意图</w:t>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r>
        <mc:AlternateContent>
          <mc:Choice Requires="wps">
            <w:drawing>
              <wp:anchor distT="0" distB="0" distL="114300" distR="114300" simplePos="0" relativeHeight="251696128" behindDoc="0" locked="0" layoutInCell="1" allowOverlap="1">
                <wp:simplePos x="0" y="0"/>
                <wp:positionH relativeFrom="column">
                  <wp:posOffset>488315</wp:posOffset>
                </wp:positionH>
                <wp:positionV relativeFrom="paragraph">
                  <wp:posOffset>87630</wp:posOffset>
                </wp:positionV>
                <wp:extent cx="695325" cy="333375"/>
                <wp:effectExtent l="12700" t="12700" r="15875" b="758825"/>
                <wp:wrapNone/>
                <wp:docPr id="31" name="矩形标注 4"/>
                <wp:cNvGraphicFramePr/>
                <a:graphic xmlns:a="http://schemas.openxmlformats.org/drawingml/2006/main">
                  <a:graphicData uri="http://schemas.microsoft.com/office/word/2010/wordprocessingShape">
                    <wps:wsp>
                      <wps:cNvSpPr/>
                      <wps:spPr>
                        <a:xfrm>
                          <a:off x="0" y="0"/>
                          <a:ext cx="695325" cy="333375"/>
                        </a:xfrm>
                        <a:prstGeom prst="wedgeRectCallout">
                          <a:avLst>
                            <a:gd name="adj1" fmla="val -410"/>
                            <a:gd name="adj2" fmla="val 271714"/>
                          </a:avLst>
                        </a:prstGeom>
                        <a:solidFill>
                          <a:srgbClr val="FFFFFF"/>
                        </a:solidFill>
                        <a:ln w="25400" cap="flat" cmpd="sng" algn="ctr">
                          <a:solidFill>
                            <a:srgbClr val="FF0000"/>
                          </a:solidFill>
                          <a:prstDash val="solid"/>
                        </a:ln>
                      </wps:spPr>
                      <wps:txbx>
                        <w:txbxContent>
                          <w:p>
                            <w:pPr>
                              <w:jc w:val="center"/>
                              <w:rPr>
                                <w:rFonts w:ascii="仿宋" w:hAnsi="仿宋" w:eastAsia="仿宋"/>
                                <w:b/>
                                <w:color w:val="000000"/>
                              </w:rPr>
                            </w:pPr>
                            <w:r>
                              <w:rPr>
                                <w:rFonts w:hint="eastAsia" w:ascii="仿宋" w:hAnsi="仿宋" w:eastAsia="仿宋"/>
                                <w:b/>
                                <w:color w:val="000000"/>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 o:spid="_x0000_s1026" o:spt="61" type="#_x0000_t61" style="position:absolute;left:0pt;margin-left:38.45pt;margin-top:6.9pt;height:26.25pt;width:54.75pt;z-index:251696128;v-text-anchor:middle;mso-width-relative:page;mso-height-relative:page;" fillcolor="#FFFFFF" filled="t" stroked="t" coordsize="21600,21600" o:gfxdata="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IGwcZtgAAAAIAQAADwAAAAAAAAABACAAAAAiAAAAZHJzL2Rvd25yZXYueG1sUEsB&#10;AhQAFAAAAAgAh07iQJfyL/2gAgAASwUAAA4AAAAAAAAAAQAgAAAAJwEAAGRycy9lMm9Eb2MueG1s&#10;UEsFBgAAAAAGAAYAWQEAADkGAAAAAA==&#10;" adj="10711,69490">
                <v:fill on="t" focussize="0,0"/>
                <v:stroke weight="2pt" color="#FF0000" joinstyle="round"/>
                <v:imagedata o:title=""/>
                <o:lock v:ext="edit" aspectratio="f"/>
                <v:textbox>
                  <w:txbxContent>
                    <w:p>
                      <w:pPr>
                        <w:jc w:val="center"/>
                        <w:rPr>
                          <w:rFonts w:ascii="仿宋" w:hAnsi="仿宋" w:eastAsia="仿宋"/>
                          <w:b/>
                          <w:color w:val="000000"/>
                        </w:rPr>
                      </w:pPr>
                      <w:r>
                        <w:rPr>
                          <w:rFonts w:hint="eastAsia" w:ascii="仿宋" w:hAnsi="仿宋" w:eastAsia="仿宋"/>
                          <w:b/>
                          <w:color w:val="000000"/>
                        </w:rPr>
                        <w:t>项目区</w:t>
                      </w:r>
                    </w:p>
                  </w:txbxContent>
                </v:textbox>
              </v:shape>
            </w:pict>
          </mc:Fallback>
        </mc:AlternateContent>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39"/>
        <w:snapToGrid w:val="0"/>
        <w:spacing w:line="240" w:lineRule="auto"/>
        <w:jc w:val="left"/>
        <w:rPr>
          <w:b/>
          <w:bCs/>
          <w:sz w:val="28"/>
          <w:szCs w:val="28"/>
        </w:rPr>
      </w:pPr>
      <w:r>
        <w:rPr>
          <w:rFonts w:hint="eastAsia"/>
          <w:b/>
          <w:bCs/>
          <w:sz w:val="28"/>
          <w:szCs w:val="28"/>
        </w:rPr>
        <w:t>附图</w:t>
      </w:r>
      <w:r>
        <w:rPr>
          <w:rFonts w:hint="eastAsia" w:ascii="Times New Roman" w:hAnsi="Times New Roman" w:cs="Times New Roman"/>
          <w:b/>
          <w:bCs/>
          <w:sz w:val="28"/>
          <w:szCs w:val="28"/>
          <w:lang w:val="en-US" w:eastAsia="zh-CN"/>
        </w:rPr>
        <w:t>6</w:t>
      </w:r>
      <w:r>
        <w:rPr>
          <w:rFonts w:hint="eastAsia"/>
          <w:b/>
          <w:bCs/>
          <w:sz w:val="28"/>
          <w:szCs w:val="28"/>
          <w:lang w:val="en-US" w:eastAsia="zh-CN"/>
        </w:rPr>
        <w:t xml:space="preserve">  </w:t>
      </w:r>
      <w:r>
        <w:rPr>
          <w:rFonts w:hint="eastAsia"/>
          <w:b/>
          <w:bCs/>
          <w:sz w:val="28"/>
          <w:szCs w:val="28"/>
        </w:rPr>
        <w:t>本项目与全疆沙化土地分布关系位置示意图</w:t>
      </w:r>
    </w:p>
    <w:p>
      <w:pPr>
        <w:pStyle w:val="27"/>
        <w:ind w:left="0" w:leftChars="0" w:firstLine="0" w:firstLineChars="0"/>
        <w:rPr>
          <w:rFonts w:hint="eastAsia"/>
          <w:b/>
          <w:bCs/>
          <w:sz w:val="28"/>
          <w:szCs w:val="28"/>
        </w:rPr>
      </w:pPr>
      <w:r>
        <w:rPr>
          <w:b/>
          <w:bCs/>
          <w:sz w:val="28"/>
          <w:szCs w:val="28"/>
        </w:rPr>
        <w:drawing>
          <wp:anchor distT="0" distB="0" distL="0" distR="0" simplePos="0" relativeHeight="251693056" behindDoc="0" locked="0" layoutInCell="1" allowOverlap="1">
            <wp:simplePos x="0" y="0"/>
            <wp:positionH relativeFrom="column">
              <wp:posOffset>-393700</wp:posOffset>
            </wp:positionH>
            <wp:positionV relativeFrom="paragraph">
              <wp:posOffset>92075</wp:posOffset>
            </wp:positionV>
            <wp:extent cx="8956040" cy="5174615"/>
            <wp:effectExtent l="0" t="0" r="16510" b="6985"/>
            <wp:wrapNone/>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8956040" cy="5174615"/>
                    </a:xfrm>
                    <a:prstGeom prst="rect">
                      <a:avLst/>
                    </a:prstGeom>
                    <a:noFill/>
                    <a:ln>
                      <a:noFill/>
                    </a:ln>
                  </pic:spPr>
                </pic:pic>
              </a:graphicData>
            </a:graphic>
          </wp:anchor>
        </w:drawing>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r>
        <mc:AlternateContent>
          <mc:Choice Requires="wps">
            <w:drawing>
              <wp:anchor distT="0" distB="0" distL="114300" distR="114300" simplePos="0" relativeHeight="251694080" behindDoc="0" locked="0" layoutInCell="1" allowOverlap="1">
                <wp:simplePos x="0" y="0"/>
                <wp:positionH relativeFrom="column">
                  <wp:posOffset>3417570</wp:posOffset>
                </wp:positionH>
                <wp:positionV relativeFrom="paragraph">
                  <wp:posOffset>127635</wp:posOffset>
                </wp:positionV>
                <wp:extent cx="695325" cy="333375"/>
                <wp:effectExtent l="12700" t="12700" r="415925" b="682625"/>
                <wp:wrapNone/>
                <wp:docPr id="124" name="矩形标注 4"/>
                <wp:cNvGraphicFramePr/>
                <a:graphic xmlns:a="http://schemas.openxmlformats.org/drawingml/2006/main">
                  <a:graphicData uri="http://schemas.microsoft.com/office/word/2010/wordprocessingShape">
                    <wps:wsp>
                      <wps:cNvSpPr/>
                      <wps:spPr>
                        <a:xfrm>
                          <a:off x="0" y="0"/>
                          <a:ext cx="695325" cy="333375"/>
                        </a:xfrm>
                        <a:prstGeom prst="wedgeRectCallout">
                          <a:avLst>
                            <a:gd name="adj1" fmla="val 108021"/>
                            <a:gd name="adj2" fmla="val 245501"/>
                          </a:avLst>
                        </a:prstGeom>
                        <a:solidFill>
                          <a:srgbClr val="FFFFFF"/>
                        </a:solidFill>
                        <a:ln w="25400" cap="flat" cmpd="sng" algn="ctr">
                          <a:solidFill>
                            <a:srgbClr val="FF0000"/>
                          </a:solidFill>
                          <a:prstDash val="solid"/>
                        </a:ln>
                      </wps:spPr>
                      <wps:txbx>
                        <w:txbxContent>
                          <w:p>
                            <w:pPr>
                              <w:jc w:val="center"/>
                              <w:rPr>
                                <w:rFonts w:ascii="仿宋" w:hAnsi="仿宋" w:eastAsia="仿宋"/>
                                <w:b/>
                                <w:color w:val="000000"/>
                              </w:rPr>
                            </w:pPr>
                            <w:r>
                              <w:rPr>
                                <w:rFonts w:hint="eastAsia" w:ascii="仿宋" w:hAnsi="仿宋" w:eastAsia="仿宋"/>
                                <w:b/>
                                <w:color w:val="000000"/>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 o:spid="_x0000_s1026" o:spt="61" type="#_x0000_t61" style="position:absolute;left:0pt;margin-left:269.1pt;margin-top:10.05pt;height:26.25pt;width:54.75pt;z-index:251694080;v-text-anchor:middle;mso-width-relative:page;mso-height-relative:page;" fillcolor="#FFFFFF" filled="t" stroked="t" coordsize="21600,21600" o:gfxdata="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KTbAebaAAAACQEAAA8AAAAAAAAAAQAgAAAAIgAAAGRycy9kb3ducmV2Lnht&#10;bFBLAQIUABQAAAAIAIdO4kAL3a/bogIAAE4FAAAOAAAAAAAAAAEAIAAAACkBAABkcnMvZTJvRG9j&#10;LnhtbFBLBQYAAAAABgAGAFkBAAA9BgAAAAA=&#10;" adj="34133,63828">
                <v:fill on="t" focussize="0,0"/>
                <v:stroke weight="2pt" color="#FF0000" joinstyle="round"/>
                <v:imagedata o:title=""/>
                <o:lock v:ext="edit" aspectratio="f"/>
                <v:textbox>
                  <w:txbxContent>
                    <w:p>
                      <w:pPr>
                        <w:jc w:val="center"/>
                        <w:rPr>
                          <w:rFonts w:ascii="仿宋" w:hAnsi="仿宋" w:eastAsia="仿宋"/>
                          <w:b/>
                          <w:color w:val="000000"/>
                        </w:rPr>
                      </w:pPr>
                      <w:r>
                        <w:rPr>
                          <w:rFonts w:hint="eastAsia" w:ascii="仿宋" w:hAnsi="仿宋" w:eastAsia="仿宋"/>
                          <w:b/>
                          <w:color w:val="000000"/>
                        </w:rPr>
                        <w:t>项目区</w:t>
                      </w:r>
                    </w:p>
                  </w:txbxContent>
                </v:textbox>
              </v:shape>
            </w:pict>
          </mc:Fallback>
        </mc:AlternateContent>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p>
    <w:p>
      <w:pPr>
        <w:pStyle w:val="22"/>
        <w:spacing w:line="240" w:lineRule="auto"/>
        <w:rPr>
          <w:rFonts w:hint="eastAsia"/>
          <w:b/>
          <w:bCs/>
          <w:sz w:val="28"/>
          <w:szCs w:val="28"/>
        </w:rPr>
      </w:pPr>
      <w:r>
        <w:rPr>
          <w:rFonts w:hint="eastAsia"/>
          <w:b/>
          <w:bCs/>
          <w:sz w:val="28"/>
          <w:szCs w:val="28"/>
        </w:rPr>
        <w:t>附图</w:t>
      </w:r>
      <w:r>
        <w:rPr>
          <w:rFonts w:hint="eastAsia"/>
          <w:b/>
          <w:bCs/>
          <w:sz w:val="28"/>
          <w:szCs w:val="28"/>
          <w:lang w:val="en-US" w:eastAsia="zh-CN"/>
        </w:rPr>
        <w:t xml:space="preserve">7  </w:t>
      </w:r>
      <w:r>
        <w:rPr>
          <w:rFonts w:hint="eastAsia"/>
          <w:b/>
          <w:bCs/>
          <w:sz w:val="28"/>
          <w:szCs w:val="28"/>
        </w:rPr>
        <w:t>项目与主体功能区划位置关系示意图</w:t>
      </w:r>
      <w:bookmarkStart w:id="16" w:name="_GoBack"/>
      <w:bookmarkEnd w:id="16"/>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r>
        <mc:AlternateContent>
          <mc:Choice Requires="wps">
            <w:drawing>
              <wp:anchor distT="0" distB="0" distL="114300" distR="114300" simplePos="0" relativeHeight="251682816" behindDoc="0" locked="0" layoutInCell="1" allowOverlap="1">
                <wp:simplePos x="0" y="0"/>
                <wp:positionH relativeFrom="column">
                  <wp:posOffset>3858895</wp:posOffset>
                </wp:positionH>
                <wp:positionV relativeFrom="paragraph">
                  <wp:posOffset>244475</wp:posOffset>
                </wp:positionV>
                <wp:extent cx="695325" cy="333375"/>
                <wp:effectExtent l="12700" t="12700" r="15875" b="530225"/>
                <wp:wrapNone/>
                <wp:docPr id="25" name="矩形标注 4"/>
                <wp:cNvGraphicFramePr/>
                <a:graphic xmlns:a="http://schemas.openxmlformats.org/drawingml/2006/main">
                  <a:graphicData uri="http://schemas.microsoft.com/office/word/2010/wordprocessingShape">
                    <wps:wsp>
                      <wps:cNvSpPr/>
                      <wps:spPr>
                        <a:xfrm>
                          <a:off x="0" y="0"/>
                          <a:ext cx="695325" cy="333375"/>
                        </a:xfrm>
                        <a:prstGeom prst="wedgeRectCallout">
                          <a:avLst>
                            <a:gd name="adj1" fmla="val -34264"/>
                            <a:gd name="adj2" fmla="val 201782"/>
                          </a:avLst>
                        </a:prstGeom>
                        <a:solidFill>
                          <a:srgbClr val="FFFFFF"/>
                        </a:solidFill>
                        <a:ln w="25400" cap="flat" cmpd="sng" algn="ctr">
                          <a:solidFill>
                            <a:srgbClr val="FF0000"/>
                          </a:solidFill>
                          <a:prstDash val="solid"/>
                        </a:ln>
                      </wps:spPr>
                      <wps:txbx>
                        <w:txbxContent>
                          <w:p>
                            <w:pPr>
                              <w:jc w:val="center"/>
                              <w:rPr>
                                <w:rFonts w:ascii="仿宋" w:hAnsi="仿宋" w:eastAsia="仿宋"/>
                                <w:b/>
                                <w:color w:val="000000"/>
                              </w:rPr>
                            </w:pPr>
                            <w:r>
                              <w:rPr>
                                <w:rFonts w:hint="eastAsia" w:ascii="仿宋" w:hAnsi="仿宋" w:eastAsia="仿宋"/>
                                <w:b/>
                                <w:color w:val="000000"/>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4" o:spid="_x0000_s1026" o:spt="61" type="#_x0000_t61" style="position:absolute;left:0pt;margin-left:303.85pt;margin-top:19.25pt;height:26.25pt;width:54.75pt;z-index:251682816;v-text-anchor:middle;mso-width-relative:page;mso-height-relative:page;" fillcolor="#FFFFFF" filled="t" stroked="t" coordsize="21600,21600" o:gfxdata="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qgbVT1wAAAAkBAAAPAAAAAAAAAAEAIAAAACIAAABkcnMvZG93bnJldi54bWxQSwEC&#10;FAAUAAAACACHTuJATlEam6ACAABNBQAADgAAAAAAAAABACAAAAAmAQAAZHJzL2Uyb0RvYy54bWxQ&#10;SwUGAAAAAAYABgBZAQAAOAYAAAAA&#10;" adj="3399,54385">
                <v:fill on="t" focussize="0,0"/>
                <v:stroke weight="2pt" color="#FF0000" joinstyle="round"/>
                <v:imagedata o:title=""/>
                <o:lock v:ext="edit" aspectratio="f"/>
                <v:textbox>
                  <w:txbxContent>
                    <w:p>
                      <w:pPr>
                        <w:jc w:val="center"/>
                        <w:rPr>
                          <w:rFonts w:ascii="仿宋" w:hAnsi="仿宋" w:eastAsia="仿宋"/>
                          <w:b/>
                          <w:color w:val="000000"/>
                        </w:rPr>
                      </w:pPr>
                      <w:r>
                        <w:rPr>
                          <w:rFonts w:hint="eastAsia" w:ascii="仿宋" w:hAnsi="仿宋" w:eastAsia="仿宋"/>
                          <w:b/>
                          <w:color w:val="000000"/>
                        </w:rPr>
                        <w:t>项目区</w:t>
                      </w:r>
                    </w:p>
                  </w:txbxContent>
                </v:textbox>
              </v:shape>
            </w:pict>
          </mc:Fallback>
        </mc:AlternateContent>
      </w:r>
      <w:r>
        <w:drawing>
          <wp:anchor distT="0" distB="0" distL="0" distR="0" simplePos="0" relativeHeight="251681792" behindDoc="0" locked="0" layoutInCell="1" allowOverlap="1">
            <wp:simplePos x="0" y="0"/>
            <wp:positionH relativeFrom="column">
              <wp:posOffset>-146050</wp:posOffset>
            </wp:positionH>
            <wp:positionV relativeFrom="paragraph">
              <wp:posOffset>-229235</wp:posOffset>
            </wp:positionV>
            <wp:extent cx="8824595" cy="5153025"/>
            <wp:effectExtent l="19050" t="19050" r="33655" b="28575"/>
            <wp:wrapNone/>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41"/>
                    <a:stretch>
                      <a:fillRect/>
                    </a:stretch>
                  </pic:blipFill>
                  <pic:spPr>
                    <a:xfrm>
                      <a:off x="0" y="0"/>
                      <a:ext cx="8824595" cy="5153025"/>
                    </a:xfrm>
                    <a:prstGeom prst="rect">
                      <a:avLst/>
                    </a:prstGeom>
                    <a:ln w="19050">
                      <a:solidFill>
                        <a:schemeClr val="tx1"/>
                      </a:solidFill>
                    </a:ln>
                  </pic:spPr>
                </pic:pic>
              </a:graphicData>
            </a:graphic>
          </wp:anchor>
        </w:drawing>
      </w: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p>
      <w:pPr>
        <w:pStyle w:val="27"/>
        <w:ind w:left="0" w:leftChars="0" w:firstLine="0" w:firstLineChars="0"/>
        <w:rPr>
          <w:rFonts w:hint="eastAsia"/>
          <w:b/>
          <w:bCs/>
          <w:sz w:val="28"/>
          <w:szCs w:val="28"/>
        </w:rPr>
      </w:pP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楷体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方正仿宋简体">
    <w:panose1 w:val="02010601030101010101"/>
    <w:charset w:val="86"/>
    <w:family w:val="script"/>
    <w:pitch w:val="default"/>
    <w:sig w:usb0="00000001" w:usb1="080E0000" w:usb2="00000000" w:usb3="00000000" w:csb0="00040000" w:csb1="00000000"/>
  </w:font>
  <w:font w:name="PMingLiU">
    <w:panose1 w:val="02020500000000000000"/>
    <w:charset w:val="88"/>
    <w:family w:val="roman"/>
    <w:pitch w:val="default"/>
    <w:sig w:usb0="A00002FF" w:usb1="28CFFCFA" w:usb2="00000016" w:usb3="00000000" w:csb0="00100001" w:csb1="00000000"/>
  </w:font>
  <w:font w:name="方正小标宋_GBK">
    <w:panose1 w:val="03000509000000000000"/>
    <w:charset w:val="86"/>
    <w:family w:val="script"/>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CF3C50" w:usb2="00000016" w:usb3="00000000" w:csb0="0004001F" w:csb1="00000000"/>
  </w:font>
  <w:font w:name="Cambria Math">
    <w:panose1 w:val="02040503050406030204"/>
    <w:charset w:val="00"/>
    <w:family w:val="auto"/>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framePr w:wrap="around" w:vAnchor="text" w:hAnchor="margin" w:xAlign="center" w:y="1"/>
      <w:rPr>
        <w:rStyle w:val="31"/>
      </w:rPr>
    </w:pPr>
    <w:r>
      <w:fldChar w:fldCharType="begin"/>
    </w:r>
    <w:r>
      <w:rPr>
        <w:rStyle w:val="31"/>
      </w:rPr>
      <w:instrText xml:space="preserve">PAGE  </w:instrText>
    </w:r>
    <w:r>
      <w:fldChar w:fldCharType="end"/>
    </w:r>
  </w:p>
  <w:p>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posOffset>2799715</wp:posOffset>
              </wp:positionH>
              <wp:positionV relativeFrom="paragraph">
                <wp:posOffset>-103505</wp:posOffset>
              </wp:positionV>
              <wp:extent cx="314325" cy="194945"/>
              <wp:effectExtent l="0" t="0" r="9525" b="14605"/>
              <wp:wrapNone/>
              <wp:docPr id="98" name="文本框 98"/>
              <wp:cNvGraphicFramePr/>
              <a:graphic xmlns:a="http://schemas.openxmlformats.org/drawingml/2006/main">
                <a:graphicData uri="http://schemas.microsoft.com/office/word/2010/wordprocessingShape">
                  <wps:wsp>
                    <wps:cNvSpPr txBox="1"/>
                    <wps:spPr>
                      <a:xfrm>
                        <a:off x="0" y="0"/>
                        <a:ext cx="314325" cy="194945"/>
                      </a:xfrm>
                      <a:prstGeom prst="rect">
                        <a:avLst/>
                      </a:prstGeom>
                      <a:noFill/>
                      <a:ln w="6350">
                        <a:noFill/>
                      </a:ln>
                      <a:effectLst/>
                    </wps:spPr>
                    <wps:txbx>
                      <w:txbxContent>
                        <w:p>
                          <w:pPr>
                            <w:pStyle w:val="20"/>
                            <w:rPr>
                              <w:b w:val="0"/>
                              <w:bCs w:val="0"/>
                            </w:rPr>
                          </w:pPr>
                          <w:r>
                            <w:rPr>
                              <w:b w:val="0"/>
                              <w:bCs w:val="0"/>
                            </w:rPr>
                            <w:fldChar w:fldCharType="begin"/>
                          </w:r>
                          <w:r>
                            <w:rPr>
                              <w:b w:val="0"/>
                              <w:bCs w:val="0"/>
                            </w:rPr>
                            <w:instrText xml:space="preserve"> PAGE  \* MERGEFORMAT </w:instrText>
                          </w:r>
                          <w:r>
                            <w:rPr>
                              <w:b w:val="0"/>
                              <w:bCs w:val="0"/>
                            </w:rPr>
                            <w:fldChar w:fldCharType="separate"/>
                          </w:r>
                          <w:r>
                            <w:rPr>
                              <w:b w:val="0"/>
                              <w:bCs w:val="0"/>
                            </w:rPr>
                            <w:t>4</w:t>
                          </w:r>
                          <w:r>
                            <w:rPr>
                              <w:b w:val="0"/>
                              <w:bCs w:val="0"/>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0.45pt;margin-top:-8.15pt;height:15.35pt;width:24.75pt;mso-position-horizontal-relative:margin;z-index:251659264;mso-width-relative:page;mso-height-relative:page;" filled="f" stroked="f" coordsize="21600,21600" o:gfxdata="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s0wKO2AAAAAoBAAAPAAAAAAAAAAEAIAAAACIAAABkcnMvZG93&#10;bnJldi54bWxQSwECFAAUAAAACACHTuJAYNj5ejkCAABlBAAADgAAAAAAAAABACAAAAAnAQAAZHJz&#10;L2Uyb0RvYy54bWxQSwUGAAAAAAYABgBZAQAA0gUAAAAA&#10;">
              <v:fill on="f" focussize="0,0"/>
              <v:stroke on="f" weight="0.5pt"/>
              <v:imagedata o:title=""/>
              <o:lock v:ext="edit" aspectratio="f"/>
              <v:textbox inset="0mm,0mm,0mm,0mm">
                <w:txbxContent>
                  <w:p>
                    <w:pPr>
                      <w:pStyle w:val="20"/>
                      <w:rPr>
                        <w:b w:val="0"/>
                        <w:bCs w:val="0"/>
                      </w:rPr>
                    </w:pPr>
                    <w:r>
                      <w:rPr>
                        <w:b w:val="0"/>
                        <w:bCs w:val="0"/>
                      </w:rPr>
                      <w:fldChar w:fldCharType="begin"/>
                    </w:r>
                    <w:r>
                      <w:rPr>
                        <w:b w:val="0"/>
                        <w:bCs w:val="0"/>
                      </w:rPr>
                      <w:instrText xml:space="preserve"> PAGE  \* MERGEFORMAT </w:instrText>
                    </w:r>
                    <w:r>
                      <w:rPr>
                        <w:b w:val="0"/>
                        <w:bCs w:val="0"/>
                      </w:rPr>
                      <w:fldChar w:fldCharType="separate"/>
                    </w:r>
                    <w:r>
                      <w:rPr>
                        <w:b w:val="0"/>
                        <w:bCs w:val="0"/>
                      </w:rPr>
                      <w:t>4</w:t>
                    </w:r>
                    <w:r>
                      <w:rPr>
                        <w:b w:val="0"/>
                        <w:bCs w:val="0"/>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46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8e40IzAgAAZQQAAA4AAAAAAAAAAQAgAAAAHwEAAGRycy9lMm9Eb2MueG1sUEsF&#10;BgAAAAAGAAYAWQEAAMQ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46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47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1fQYkxAgAAZ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dX0GJMQIAAGcEAAAOAAAAAAAAAAEAIAAAAB8BAABkcnMvZTJvRG9jLnhtbFBLBQYA&#10;AAAABgAGAFkBAADCBQ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47</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9E5F10"/>
    <w:multiLevelType w:val="singleLevel"/>
    <w:tmpl w:val="A79E5F10"/>
    <w:lvl w:ilvl="0" w:tentative="0">
      <w:start w:val="4"/>
      <w:numFmt w:val="decimal"/>
      <w:suff w:val="nothing"/>
      <w:lvlText w:val="（%1）"/>
      <w:lvlJc w:val="left"/>
    </w:lvl>
  </w:abstractNum>
  <w:abstractNum w:abstractNumId="1">
    <w:nsid w:val="A87C600C"/>
    <w:multiLevelType w:val="singleLevel"/>
    <w:tmpl w:val="A87C600C"/>
    <w:lvl w:ilvl="0" w:tentative="0">
      <w:start w:val="1"/>
      <w:numFmt w:val="decimal"/>
      <w:suff w:val="nothing"/>
      <w:lvlText w:val="（%1）"/>
      <w:lvlJc w:val="left"/>
    </w:lvl>
  </w:abstractNum>
  <w:abstractNum w:abstractNumId="2">
    <w:nsid w:val="F85E0FD8"/>
    <w:multiLevelType w:val="singleLevel"/>
    <w:tmpl w:val="F85E0FD8"/>
    <w:lvl w:ilvl="0" w:tentative="0">
      <w:start w:val="1"/>
      <w:numFmt w:val="decimal"/>
      <w:lvlText w:val="%1."/>
      <w:lvlJc w:val="left"/>
      <w:pPr>
        <w:tabs>
          <w:tab w:val="left" w:pos="312"/>
        </w:tabs>
      </w:pPr>
    </w:lvl>
  </w:abstractNum>
  <w:abstractNum w:abstractNumId="3">
    <w:nsid w:val="1397053F"/>
    <w:multiLevelType w:val="singleLevel"/>
    <w:tmpl w:val="1397053F"/>
    <w:lvl w:ilvl="0" w:tentative="0">
      <w:start w:val="3"/>
      <w:numFmt w:val="decimal"/>
      <w:suff w:val="nothing"/>
      <w:lvlText w:val="（%1）"/>
      <w:lvlJc w:val="left"/>
    </w:lvl>
  </w:abstractNum>
  <w:abstractNum w:abstractNumId="4">
    <w:nsid w:val="576167E7"/>
    <w:multiLevelType w:val="multilevel"/>
    <w:tmpl w:val="576167E7"/>
    <w:lvl w:ilvl="0" w:tentative="0">
      <w:start w:val="1"/>
      <w:numFmt w:val="decimal"/>
      <w:lvlText w:val="%1"/>
      <w:lvlJc w:val="left"/>
      <w:pPr>
        <w:tabs>
          <w:tab w:val="left" w:pos="432"/>
        </w:tabs>
        <w:ind w:left="432" w:hanging="432"/>
      </w:pPr>
      <w:rPr>
        <w:rFonts w:hint="eastAsia"/>
      </w:rPr>
    </w:lvl>
    <w:lvl w:ilvl="1" w:tentative="0">
      <w:start w:val="1"/>
      <w:numFmt w:val="decimal"/>
      <w:lvlText w:val="%1.%2"/>
      <w:lvlJc w:val="left"/>
      <w:pPr>
        <w:tabs>
          <w:tab w:val="left" w:pos="576"/>
        </w:tabs>
        <w:ind w:left="576" w:hanging="576"/>
      </w:pPr>
      <w:rPr>
        <w:rFonts w:hint="eastAsia"/>
      </w:rPr>
    </w:lvl>
    <w:lvl w:ilvl="2" w:tentative="0">
      <w:start w:val="1"/>
      <w:numFmt w:val="decimal"/>
      <w:lvlText w:val="%1.%2.%3"/>
      <w:lvlJc w:val="left"/>
      <w:pPr>
        <w:tabs>
          <w:tab w:val="left" w:pos="720"/>
        </w:tabs>
        <w:ind w:left="720" w:hanging="720"/>
      </w:pPr>
      <w:rPr>
        <w:rFonts w:hint="eastAsia"/>
      </w:rPr>
    </w:lvl>
    <w:lvl w:ilvl="3" w:tentative="0">
      <w:start w:val="1"/>
      <w:numFmt w:val="decimal"/>
      <w:pStyle w:val="8"/>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7E0C05FC"/>
    <w:multiLevelType w:val="singleLevel"/>
    <w:tmpl w:val="7E0C05FC"/>
    <w:lvl w:ilvl="0" w:tentative="0">
      <w:start w:val="2"/>
      <w:numFmt w:val="decimal"/>
      <w:suff w:val="nothing"/>
      <w:lvlText w:val="（%1）"/>
      <w:lvlJc w:val="left"/>
    </w:lvl>
  </w:abstractNum>
  <w:num w:numId="1">
    <w:abstractNumId w:val="4"/>
  </w:num>
  <w:num w:numId="2">
    <w:abstractNumId w:val="0"/>
  </w:num>
  <w:num w:numId="3">
    <w:abstractNumId w:val="2"/>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5"/>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60B3"/>
    <w:rsid w:val="00027346"/>
    <w:rsid w:val="00037F47"/>
    <w:rsid w:val="00042886"/>
    <w:rsid w:val="0004364B"/>
    <w:rsid w:val="00061B1F"/>
    <w:rsid w:val="00065CB7"/>
    <w:rsid w:val="000733C4"/>
    <w:rsid w:val="00074783"/>
    <w:rsid w:val="0008070B"/>
    <w:rsid w:val="000810AC"/>
    <w:rsid w:val="00081A02"/>
    <w:rsid w:val="00082231"/>
    <w:rsid w:val="00092D38"/>
    <w:rsid w:val="0009377B"/>
    <w:rsid w:val="000A20C9"/>
    <w:rsid w:val="000B058F"/>
    <w:rsid w:val="000B3898"/>
    <w:rsid w:val="000B4467"/>
    <w:rsid w:val="000B4DB9"/>
    <w:rsid w:val="000C09AC"/>
    <w:rsid w:val="000C767F"/>
    <w:rsid w:val="000D5A44"/>
    <w:rsid w:val="000E320B"/>
    <w:rsid w:val="000E3ED2"/>
    <w:rsid w:val="00104980"/>
    <w:rsid w:val="00131F42"/>
    <w:rsid w:val="001357F1"/>
    <w:rsid w:val="001408F2"/>
    <w:rsid w:val="00140FA8"/>
    <w:rsid w:val="00142FEB"/>
    <w:rsid w:val="00143A2D"/>
    <w:rsid w:val="0014439D"/>
    <w:rsid w:val="00145A41"/>
    <w:rsid w:val="00151675"/>
    <w:rsid w:val="00157435"/>
    <w:rsid w:val="0017504D"/>
    <w:rsid w:val="001758EE"/>
    <w:rsid w:val="0017671A"/>
    <w:rsid w:val="00177422"/>
    <w:rsid w:val="00184590"/>
    <w:rsid w:val="001870D1"/>
    <w:rsid w:val="0018781E"/>
    <w:rsid w:val="0019262D"/>
    <w:rsid w:val="00196FD1"/>
    <w:rsid w:val="001A1B35"/>
    <w:rsid w:val="001A48A2"/>
    <w:rsid w:val="001A6F61"/>
    <w:rsid w:val="001B72B8"/>
    <w:rsid w:val="001C13B2"/>
    <w:rsid w:val="001C69B3"/>
    <w:rsid w:val="001D5595"/>
    <w:rsid w:val="001D7874"/>
    <w:rsid w:val="001D7F22"/>
    <w:rsid w:val="001F0F17"/>
    <w:rsid w:val="001F3347"/>
    <w:rsid w:val="001F69E4"/>
    <w:rsid w:val="002125B4"/>
    <w:rsid w:val="002155B8"/>
    <w:rsid w:val="00217C1E"/>
    <w:rsid w:val="00224839"/>
    <w:rsid w:val="002249B2"/>
    <w:rsid w:val="00224A1A"/>
    <w:rsid w:val="00226574"/>
    <w:rsid w:val="002278EC"/>
    <w:rsid w:val="0023280E"/>
    <w:rsid w:val="002377D1"/>
    <w:rsid w:val="00243B0C"/>
    <w:rsid w:val="002506BC"/>
    <w:rsid w:val="0025231A"/>
    <w:rsid w:val="00254345"/>
    <w:rsid w:val="00264557"/>
    <w:rsid w:val="002805AB"/>
    <w:rsid w:val="00284204"/>
    <w:rsid w:val="00291773"/>
    <w:rsid w:val="002A168C"/>
    <w:rsid w:val="002A1C8A"/>
    <w:rsid w:val="002A3DC7"/>
    <w:rsid w:val="002B49E2"/>
    <w:rsid w:val="002B5123"/>
    <w:rsid w:val="002B7B00"/>
    <w:rsid w:val="002B7C44"/>
    <w:rsid w:val="002C2B17"/>
    <w:rsid w:val="002C6B57"/>
    <w:rsid w:val="002D3DD0"/>
    <w:rsid w:val="002E1F3A"/>
    <w:rsid w:val="002E298A"/>
    <w:rsid w:val="002F3D2B"/>
    <w:rsid w:val="00301978"/>
    <w:rsid w:val="0030332C"/>
    <w:rsid w:val="00304E23"/>
    <w:rsid w:val="003051C2"/>
    <w:rsid w:val="00312296"/>
    <w:rsid w:val="00314F0E"/>
    <w:rsid w:val="00316131"/>
    <w:rsid w:val="00321D8E"/>
    <w:rsid w:val="00325928"/>
    <w:rsid w:val="00332863"/>
    <w:rsid w:val="0033684D"/>
    <w:rsid w:val="00336ABB"/>
    <w:rsid w:val="00337B42"/>
    <w:rsid w:val="00341B42"/>
    <w:rsid w:val="0034348F"/>
    <w:rsid w:val="00356653"/>
    <w:rsid w:val="0035743F"/>
    <w:rsid w:val="00357BE2"/>
    <w:rsid w:val="0036170C"/>
    <w:rsid w:val="003656DF"/>
    <w:rsid w:val="00366E0F"/>
    <w:rsid w:val="0037164D"/>
    <w:rsid w:val="00380C2A"/>
    <w:rsid w:val="00381A72"/>
    <w:rsid w:val="00384676"/>
    <w:rsid w:val="00390857"/>
    <w:rsid w:val="00392A94"/>
    <w:rsid w:val="003A4BF3"/>
    <w:rsid w:val="003B420D"/>
    <w:rsid w:val="003C6C16"/>
    <w:rsid w:val="003D3FBC"/>
    <w:rsid w:val="003D62D7"/>
    <w:rsid w:val="003D794D"/>
    <w:rsid w:val="003E3058"/>
    <w:rsid w:val="003E76A9"/>
    <w:rsid w:val="003F0809"/>
    <w:rsid w:val="003F3A8E"/>
    <w:rsid w:val="003F6A8C"/>
    <w:rsid w:val="003F755C"/>
    <w:rsid w:val="00406F01"/>
    <w:rsid w:val="004106CC"/>
    <w:rsid w:val="00416D50"/>
    <w:rsid w:val="00416FD5"/>
    <w:rsid w:val="00417772"/>
    <w:rsid w:val="00420E6A"/>
    <w:rsid w:val="00425A9E"/>
    <w:rsid w:val="00426D6B"/>
    <w:rsid w:val="00431E6C"/>
    <w:rsid w:val="00433CE7"/>
    <w:rsid w:val="0045210B"/>
    <w:rsid w:val="00452738"/>
    <w:rsid w:val="00456091"/>
    <w:rsid w:val="00466321"/>
    <w:rsid w:val="004719CF"/>
    <w:rsid w:val="00475CC1"/>
    <w:rsid w:val="00484B9B"/>
    <w:rsid w:val="004855F6"/>
    <w:rsid w:val="0048661E"/>
    <w:rsid w:val="00494670"/>
    <w:rsid w:val="004A3823"/>
    <w:rsid w:val="004C6FFF"/>
    <w:rsid w:val="004D259A"/>
    <w:rsid w:val="004E3EA6"/>
    <w:rsid w:val="004E6946"/>
    <w:rsid w:val="004F1AD8"/>
    <w:rsid w:val="004F4B06"/>
    <w:rsid w:val="005039CB"/>
    <w:rsid w:val="0050558F"/>
    <w:rsid w:val="00506286"/>
    <w:rsid w:val="00510813"/>
    <w:rsid w:val="00511990"/>
    <w:rsid w:val="00511DE0"/>
    <w:rsid w:val="00514870"/>
    <w:rsid w:val="00514B9B"/>
    <w:rsid w:val="00514E01"/>
    <w:rsid w:val="00517F02"/>
    <w:rsid w:val="00524303"/>
    <w:rsid w:val="005258A2"/>
    <w:rsid w:val="005366A0"/>
    <w:rsid w:val="00537F42"/>
    <w:rsid w:val="005401AE"/>
    <w:rsid w:val="00542E07"/>
    <w:rsid w:val="00545424"/>
    <w:rsid w:val="00553BE4"/>
    <w:rsid w:val="00554153"/>
    <w:rsid w:val="00554A7B"/>
    <w:rsid w:val="0055572C"/>
    <w:rsid w:val="00556E55"/>
    <w:rsid w:val="0056106A"/>
    <w:rsid w:val="005720AE"/>
    <w:rsid w:val="00573BE7"/>
    <w:rsid w:val="005800E0"/>
    <w:rsid w:val="00594D77"/>
    <w:rsid w:val="005969E4"/>
    <w:rsid w:val="005A06B7"/>
    <w:rsid w:val="005A1759"/>
    <w:rsid w:val="005A44BE"/>
    <w:rsid w:val="005A5FC4"/>
    <w:rsid w:val="005A68A7"/>
    <w:rsid w:val="005A7971"/>
    <w:rsid w:val="005C178B"/>
    <w:rsid w:val="005D36AB"/>
    <w:rsid w:val="005D7F68"/>
    <w:rsid w:val="00610E11"/>
    <w:rsid w:val="00617CC3"/>
    <w:rsid w:val="006377A6"/>
    <w:rsid w:val="00637A3D"/>
    <w:rsid w:val="006411EF"/>
    <w:rsid w:val="00644627"/>
    <w:rsid w:val="00651044"/>
    <w:rsid w:val="00663447"/>
    <w:rsid w:val="00665610"/>
    <w:rsid w:val="006748B8"/>
    <w:rsid w:val="006775C3"/>
    <w:rsid w:val="00691A6A"/>
    <w:rsid w:val="00692431"/>
    <w:rsid w:val="0069290A"/>
    <w:rsid w:val="0069775A"/>
    <w:rsid w:val="00697813"/>
    <w:rsid w:val="006A3EE8"/>
    <w:rsid w:val="006A72BF"/>
    <w:rsid w:val="006B03F2"/>
    <w:rsid w:val="006B37DC"/>
    <w:rsid w:val="006B4F68"/>
    <w:rsid w:val="006B6118"/>
    <w:rsid w:val="006B7335"/>
    <w:rsid w:val="006C0592"/>
    <w:rsid w:val="006C272E"/>
    <w:rsid w:val="006C5479"/>
    <w:rsid w:val="006D10B2"/>
    <w:rsid w:val="006D13B5"/>
    <w:rsid w:val="006E12FF"/>
    <w:rsid w:val="006E51EE"/>
    <w:rsid w:val="006E607E"/>
    <w:rsid w:val="00701B65"/>
    <w:rsid w:val="00706C5D"/>
    <w:rsid w:val="00732922"/>
    <w:rsid w:val="0075162E"/>
    <w:rsid w:val="00754034"/>
    <w:rsid w:val="00756556"/>
    <w:rsid w:val="007618C4"/>
    <w:rsid w:val="0076467D"/>
    <w:rsid w:val="00767980"/>
    <w:rsid w:val="00770B19"/>
    <w:rsid w:val="0077463F"/>
    <w:rsid w:val="007776D0"/>
    <w:rsid w:val="007836EA"/>
    <w:rsid w:val="00784CDA"/>
    <w:rsid w:val="007906C4"/>
    <w:rsid w:val="007909FB"/>
    <w:rsid w:val="007940EA"/>
    <w:rsid w:val="007967E8"/>
    <w:rsid w:val="007A2170"/>
    <w:rsid w:val="007A22BF"/>
    <w:rsid w:val="007A3323"/>
    <w:rsid w:val="007B2FEB"/>
    <w:rsid w:val="007B72B8"/>
    <w:rsid w:val="007B7A58"/>
    <w:rsid w:val="007C21B5"/>
    <w:rsid w:val="007E36EB"/>
    <w:rsid w:val="007E4BD2"/>
    <w:rsid w:val="007F511B"/>
    <w:rsid w:val="007F7CC5"/>
    <w:rsid w:val="00801393"/>
    <w:rsid w:val="00802F88"/>
    <w:rsid w:val="0081293E"/>
    <w:rsid w:val="00815465"/>
    <w:rsid w:val="00817E9A"/>
    <w:rsid w:val="008306BD"/>
    <w:rsid w:val="00831A80"/>
    <w:rsid w:val="00833743"/>
    <w:rsid w:val="008340A4"/>
    <w:rsid w:val="0087135F"/>
    <w:rsid w:val="00872D94"/>
    <w:rsid w:val="008777F1"/>
    <w:rsid w:val="00880364"/>
    <w:rsid w:val="00891592"/>
    <w:rsid w:val="00891E9E"/>
    <w:rsid w:val="008A2F68"/>
    <w:rsid w:val="008B4FA6"/>
    <w:rsid w:val="008B5282"/>
    <w:rsid w:val="008B7C17"/>
    <w:rsid w:val="008C20CF"/>
    <w:rsid w:val="008C2D01"/>
    <w:rsid w:val="008C40E6"/>
    <w:rsid w:val="008C5510"/>
    <w:rsid w:val="008D0F7A"/>
    <w:rsid w:val="008D66F1"/>
    <w:rsid w:val="008D68E4"/>
    <w:rsid w:val="008E0506"/>
    <w:rsid w:val="008E0CFF"/>
    <w:rsid w:val="008E5D6B"/>
    <w:rsid w:val="008E76F0"/>
    <w:rsid w:val="008F15FE"/>
    <w:rsid w:val="008F2D29"/>
    <w:rsid w:val="008F5187"/>
    <w:rsid w:val="008F60D8"/>
    <w:rsid w:val="00902727"/>
    <w:rsid w:val="0090312B"/>
    <w:rsid w:val="0090318F"/>
    <w:rsid w:val="00903450"/>
    <w:rsid w:val="0091736D"/>
    <w:rsid w:val="009175AF"/>
    <w:rsid w:val="0093037A"/>
    <w:rsid w:val="0094154D"/>
    <w:rsid w:val="0095155F"/>
    <w:rsid w:val="00954429"/>
    <w:rsid w:val="009563CE"/>
    <w:rsid w:val="009702EE"/>
    <w:rsid w:val="00976328"/>
    <w:rsid w:val="0097680D"/>
    <w:rsid w:val="00982438"/>
    <w:rsid w:val="0098404C"/>
    <w:rsid w:val="00985283"/>
    <w:rsid w:val="00991522"/>
    <w:rsid w:val="00995296"/>
    <w:rsid w:val="009953DB"/>
    <w:rsid w:val="00995992"/>
    <w:rsid w:val="009A03E5"/>
    <w:rsid w:val="009A0F3B"/>
    <w:rsid w:val="009A1BB4"/>
    <w:rsid w:val="009A2628"/>
    <w:rsid w:val="009A3200"/>
    <w:rsid w:val="009B0897"/>
    <w:rsid w:val="009B7BD9"/>
    <w:rsid w:val="009C7DD5"/>
    <w:rsid w:val="009D6BDF"/>
    <w:rsid w:val="009E227D"/>
    <w:rsid w:val="009E5019"/>
    <w:rsid w:val="00A04F1B"/>
    <w:rsid w:val="00A0501B"/>
    <w:rsid w:val="00A14947"/>
    <w:rsid w:val="00A32A83"/>
    <w:rsid w:val="00A368DB"/>
    <w:rsid w:val="00A423AA"/>
    <w:rsid w:val="00A53EC6"/>
    <w:rsid w:val="00A55C0F"/>
    <w:rsid w:val="00A67B41"/>
    <w:rsid w:val="00A746FC"/>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AF7ED4"/>
    <w:rsid w:val="00B002BD"/>
    <w:rsid w:val="00B0222D"/>
    <w:rsid w:val="00B1295A"/>
    <w:rsid w:val="00B20A45"/>
    <w:rsid w:val="00B22C5C"/>
    <w:rsid w:val="00B24F30"/>
    <w:rsid w:val="00B301C1"/>
    <w:rsid w:val="00B31ABF"/>
    <w:rsid w:val="00B33BE3"/>
    <w:rsid w:val="00B53B5D"/>
    <w:rsid w:val="00B6055E"/>
    <w:rsid w:val="00B6317D"/>
    <w:rsid w:val="00B66D19"/>
    <w:rsid w:val="00B7723F"/>
    <w:rsid w:val="00B80534"/>
    <w:rsid w:val="00B8433C"/>
    <w:rsid w:val="00B87491"/>
    <w:rsid w:val="00BA29E9"/>
    <w:rsid w:val="00BA3A13"/>
    <w:rsid w:val="00BA7142"/>
    <w:rsid w:val="00BB237C"/>
    <w:rsid w:val="00BB41A3"/>
    <w:rsid w:val="00BB6A1B"/>
    <w:rsid w:val="00BB6A42"/>
    <w:rsid w:val="00BC292D"/>
    <w:rsid w:val="00BC32DC"/>
    <w:rsid w:val="00BC35B6"/>
    <w:rsid w:val="00BD1B51"/>
    <w:rsid w:val="00BD4596"/>
    <w:rsid w:val="00BE1405"/>
    <w:rsid w:val="00BE312D"/>
    <w:rsid w:val="00BF1C20"/>
    <w:rsid w:val="00C10578"/>
    <w:rsid w:val="00C135BC"/>
    <w:rsid w:val="00C15C95"/>
    <w:rsid w:val="00C2596A"/>
    <w:rsid w:val="00C27537"/>
    <w:rsid w:val="00C30C12"/>
    <w:rsid w:val="00C328FE"/>
    <w:rsid w:val="00C33507"/>
    <w:rsid w:val="00C3751F"/>
    <w:rsid w:val="00C41D22"/>
    <w:rsid w:val="00C4409D"/>
    <w:rsid w:val="00C44E72"/>
    <w:rsid w:val="00C45A06"/>
    <w:rsid w:val="00C47E5B"/>
    <w:rsid w:val="00C50D79"/>
    <w:rsid w:val="00C61E4B"/>
    <w:rsid w:val="00C64BFF"/>
    <w:rsid w:val="00C704E9"/>
    <w:rsid w:val="00C71910"/>
    <w:rsid w:val="00C763C9"/>
    <w:rsid w:val="00C80057"/>
    <w:rsid w:val="00C82232"/>
    <w:rsid w:val="00C82913"/>
    <w:rsid w:val="00C83EDE"/>
    <w:rsid w:val="00C94296"/>
    <w:rsid w:val="00C972B1"/>
    <w:rsid w:val="00CA2CCE"/>
    <w:rsid w:val="00CA43FD"/>
    <w:rsid w:val="00CA7EF8"/>
    <w:rsid w:val="00CC489B"/>
    <w:rsid w:val="00CD2A97"/>
    <w:rsid w:val="00CD2BCD"/>
    <w:rsid w:val="00CD3A4C"/>
    <w:rsid w:val="00CE10E9"/>
    <w:rsid w:val="00CE2910"/>
    <w:rsid w:val="00CE5393"/>
    <w:rsid w:val="00CF36BE"/>
    <w:rsid w:val="00CF6000"/>
    <w:rsid w:val="00D003F3"/>
    <w:rsid w:val="00D0364F"/>
    <w:rsid w:val="00D06834"/>
    <w:rsid w:val="00D16D25"/>
    <w:rsid w:val="00D23ACE"/>
    <w:rsid w:val="00D308ED"/>
    <w:rsid w:val="00D36D86"/>
    <w:rsid w:val="00D428AA"/>
    <w:rsid w:val="00D50A34"/>
    <w:rsid w:val="00D50A53"/>
    <w:rsid w:val="00D53EFA"/>
    <w:rsid w:val="00D54EB4"/>
    <w:rsid w:val="00D571FC"/>
    <w:rsid w:val="00D64E37"/>
    <w:rsid w:val="00D6540A"/>
    <w:rsid w:val="00D94A7C"/>
    <w:rsid w:val="00D95896"/>
    <w:rsid w:val="00D95DAE"/>
    <w:rsid w:val="00DA0122"/>
    <w:rsid w:val="00DA7606"/>
    <w:rsid w:val="00DB2983"/>
    <w:rsid w:val="00DC1257"/>
    <w:rsid w:val="00DC3DC0"/>
    <w:rsid w:val="00DC56FA"/>
    <w:rsid w:val="00DC5B2B"/>
    <w:rsid w:val="00DC7623"/>
    <w:rsid w:val="00DD318D"/>
    <w:rsid w:val="00DF2E12"/>
    <w:rsid w:val="00DF514A"/>
    <w:rsid w:val="00DF6690"/>
    <w:rsid w:val="00DF6804"/>
    <w:rsid w:val="00E02489"/>
    <w:rsid w:val="00E0358D"/>
    <w:rsid w:val="00E04323"/>
    <w:rsid w:val="00E070A2"/>
    <w:rsid w:val="00E2656A"/>
    <w:rsid w:val="00E412D0"/>
    <w:rsid w:val="00E5401F"/>
    <w:rsid w:val="00E56322"/>
    <w:rsid w:val="00E60982"/>
    <w:rsid w:val="00E62C62"/>
    <w:rsid w:val="00E63C30"/>
    <w:rsid w:val="00E654C1"/>
    <w:rsid w:val="00E65D97"/>
    <w:rsid w:val="00E72A5A"/>
    <w:rsid w:val="00E72A67"/>
    <w:rsid w:val="00E73354"/>
    <w:rsid w:val="00E9242D"/>
    <w:rsid w:val="00E93108"/>
    <w:rsid w:val="00EB5255"/>
    <w:rsid w:val="00EB5C47"/>
    <w:rsid w:val="00ED028C"/>
    <w:rsid w:val="00ED0639"/>
    <w:rsid w:val="00ED1E43"/>
    <w:rsid w:val="00EF4755"/>
    <w:rsid w:val="00EF7135"/>
    <w:rsid w:val="00F027DB"/>
    <w:rsid w:val="00F14A7A"/>
    <w:rsid w:val="00F1600F"/>
    <w:rsid w:val="00F22985"/>
    <w:rsid w:val="00F3383E"/>
    <w:rsid w:val="00F370A0"/>
    <w:rsid w:val="00F465A7"/>
    <w:rsid w:val="00F50B7C"/>
    <w:rsid w:val="00F550E6"/>
    <w:rsid w:val="00F55404"/>
    <w:rsid w:val="00F55441"/>
    <w:rsid w:val="00F733CE"/>
    <w:rsid w:val="00F74345"/>
    <w:rsid w:val="00F80388"/>
    <w:rsid w:val="00F80A0A"/>
    <w:rsid w:val="00F82B19"/>
    <w:rsid w:val="00F9212D"/>
    <w:rsid w:val="00F961F0"/>
    <w:rsid w:val="00F965DA"/>
    <w:rsid w:val="00FA2BDD"/>
    <w:rsid w:val="00FA406A"/>
    <w:rsid w:val="00FB503A"/>
    <w:rsid w:val="00FB516C"/>
    <w:rsid w:val="00FB74ED"/>
    <w:rsid w:val="00FC1A7B"/>
    <w:rsid w:val="00FD0236"/>
    <w:rsid w:val="00FD1465"/>
    <w:rsid w:val="00FD18F4"/>
    <w:rsid w:val="00FD54DB"/>
    <w:rsid w:val="00FD593C"/>
    <w:rsid w:val="00FD619F"/>
    <w:rsid w:val="0114437B"/>
    <w:rsid w:val="01290F7E"/>
    <w:rsid w:val="012B4701"/>
    <w:rsid w:val="015D1E09"/>
    <w:rsid w:val="017E29E3"/>
    <w:rsid w:val="019F25E6"/>
    <w:rsid w:val="01AB5030"/>
    <w:rsid w:val="01BD1C60"/>
    <w:rsid w:val="021D05F0"/>
    <w:rsid w:val="02697903"/>
    <w:rsid w:val="02D21887"/>
    <w:rsid w:val="02F96569"/>
    <w:rsid w:val="030D1EF4"/>
    <w:rsid w:val="03175192"/>
    <w:rsid w:val="032D7F7E"/>
    <w:rsid w:val="037C61D6"/>
    <w:rsid w:val="03EA7B21"/>
    <w:rsid w:val="03F44587"/>
    <w:rsid w:val="041643E8"/>
    <w:rsid w:val="04173407"/>
    <w:rsid w:val="04470EA0"/>
    <w:rsid w:val="045521C0"/>
    <w:rsid w:val="04872F9F"/>
    <w:rsid w:val="049C25A4"/>
    <w:rsid w:val="04D33089"/>
    <w:rsid w:val="05067B4E"/>
    <w:rsid w:val="051536FE"/>
    <w:rsid w:val="05307755"/>
    <w:rsid w:val="053B74EE"/>
    <w:rsid w:val="054360DF"/>
    <w:rsid w:val="057237E6"/>
    <w:rsid w:val="05B17A34"/>
    <w:rsid w:val="05C20654"/>
    <w:rsid w:val="05F83EAE"/>
    <w:rsid w:val="06065B43"/>
    <w:rsid w:val="063E7D85"/>
    <w:rsid w:val="064179DC"/>
    <w:rsid w:val="06606BFB"/>
    <w:rsid w:val="066265A8"/>
    <w:rsid w:val="06930D46"/>
    <w:rsid w:val="06BB0DE3"/>
    <w:rsid w:val="06D04334"/>
    <w:rsid w:val="06F3796E"/>
    <w:rsid w:val="07293586"/>
    <w:rsid w:val="07295285"/>
    <w:rsid w:val="07530DD0"/>
    <w:rsid w:val="07636392"/>
    <w:rsid w:val="07682FDB"/>
    <w:rsid w:val="076E7D4C"/>
    <w:rsid w:val="07770C56"/>
    <w:rsid w:val="077A480B"/>
    <w:rsid w:val="07B7700B"/>
    <w:rsid w:val="07DA6A6A"/>
    <w:rsid w:val="089274F8"/>
    <w:rsid w:val="089A0371"/>
    <w:rsid w:val="089E154C"/>
    <w:rsid w:val="08CD62B5"/>
    <w:rsid w:val="08D13CB5"/>
    <w:rsid w:val="092217DD"/>
    <w:rsid w:val="093A2648"/>
    <w:rsid w:val="093A7294"/>
    <w:rsid w:val="099D3EF6"/>
    <w:rsid w:val="0A263993"/>
    <w:rsid w:val="0A2D3AC2"/>
    <w:rsid w:val="0A6E5D8A"/>
    <w:rsid w:val="0AA755DF"/>
    <w:rsid w:val="0AEF749C"/>
    <w:rsid w:val="0B120D44"/>
    <w:rsid w:val="0B37555E"/>
    <w:rsid w:val="0B3D2C95"/>
    <w:rsid w:val="0B954F3D"/>
    <w:rsid w:val="0BB70931"/>
    <w:rsid w:val="0BBB392A"/>
    <w:rsid w:val="0BBF69EB"/>
    <w:rsid w:val="0BD27BF6"/>
    <w:rsid w:val="0BF72C57"/>
    <w:rsid w:val="0BFC48DE"/>
    <w:rsid w:val="0C271BB9"/>
    <w:rsid w:val="0C3B3C7D"/>
    <w:rsid w:val="0C6B45DF"/>
    <w:rsid w:val="0CAB2EAE"/>
    <w:rsid w:val="0CAF472A"/>
    <w:rsid w:val="0CDE3C35"/>
    <w:rsid w:val="0CE5151D"/>
    <w:rsid w:val="0CF76928"/>
    <w:rsid w:val="0D1050BD"/>
    <w:rsid w:val="0D191390"/>
    <w:rsid w:val="0D5716BB"/>
    <w:rsid w:val="0D621C7D"/>
    <w:rsid w:val="0DBE36AD"/>
    <w:rsid w:val="0DDA3198"/>
    <w:rsid w:val="0DE04142"/>
    <w:rsid w:val="0DEA461B"/>
    <w:rsid w:val="0E19425F"/>
    <w:rsid w:val="0E262E7C"/>
    <w:rsid w:val="0E540FC7"/>
    <w:rsid w:val="0E687683"/>
    <w:rsid w:val="0E73034D"/>
    <w:rsid w:val="0ECA527C"/>
    <w:rsid w:val="0EDD34DE"/>
    <w:rsid w:val="0F13775A"/>
    <w:rsid w:val="0F5F45FE"/>
    <w:rsid w:val="0F650D44"/>
    <w:rsid w:val="0F655F3A"/>
    <w:rsid w:val="0F766FB3"/>
    <w:rsid w:val="0F782584"/>
    <w:rsid w:val="0F9A112B"/>
    <w:rsid w:val="0FB44F9A"/>
    <w:rsid w:val="0FC66870"/>
    <w:rsid w:val="0FE53663"/>
    <w:rsid w:val="10090044"/>
    <w:rsid w:val="103A04BC"/>
    <w:rsid w:val="106D2F64"/>
    <w:rsid w:val="10AE595B"/>
    <w:rsid w:val="10B63710"/>
    <w:rsid w:val="10D7697B"/>
    <w:rsid w:val="10F10820"/>
    <w:rsid w:val="10F21D8E"/>
    <w:rsid w:val="111C2F7A"/>
    <w:rsid w:val="114E52D8"/>
    <w:rsid w:val="11523BCF"/>
    <w:rsid w:val="11665CA1"/>
    <w:rsid w:val="11896323"/>
    <w:rsid w:val="11E9450F"/>
    <w:rsid w:val="12094DB2"/>
    <w:rsid w:val="12196698"/>
    <w:rsid w:val="121D4D3A"/>
    <w:rsid w:val="12617932"/>
    <w:rsid w:val="12687563"/>
    <w:rsid w:val="12886951"/>
    <w:rsid w:val="12906AB9"/>
    <w:rsid w:val="12A34005"/>
    <w:rsid w:val="12EE2719"/>
    <w:rsid w:val="131645CE"/>
    <w:rsid w:val="1387341A"/>
    <w:rsid w:val="13951726"/>
    <w:rsid w:val="13A465FF"/>
    <w:rsid w:val="13D57A27"/>
    <w:rsid w:val="140D5D6F"/>
    <w:rsid w:val="14396509"/>
    <w:rsid w:val="148A49AA"/>
    <w:rsid w:val="14B303D8"/>
    <w:rsid w:val="14D90484"/>
    <w:rsid w:val="14DD2C3C"/>
    <w:rsid w:val="15020A8B"/>
    <w:rsid w:val="153D18EE"/>
    <w:rsid w:val="153E1725"/>
    <w:rsid w:val="15443E1B"/>
    <w:rsid w:val="154C297A"/>
    <w:rsid w:val="156D734F"/>
    <w:rsid w:val="15A829C6"/>
    <w:rsid w:val="15C679C9"/>
    <w:rsid w:val="15E213DA"/>
    <w:rsid w:val="15E76625"/>
    <w:rsid w:val="15F35ED3"/>
    <w:rsid w:val="16032440"/>
    <w:rsid w:val="16087E1D"/>
    <w:rsid w:val="162023FC"/>
    <w:rsid w:val="16394285"/>
    <w:rsid w:val="165247B2"/>
    <w:rsid w:val="166511F2"/>
    <w:rsid w:val="169E6F9E"/>
    <w:rsid w:val="16B47306"/>
    <w:rsid w:val="16F83079"/>
    <w:rsid w:val="17131B44"/>
    <w:rsid w:val="171F21BA"/>
    <w:rsid w:val="17701D14"/>
    <w:rsid w:val="17735226"/>
    <w:rsid w:val="178D71D8"/>
    <w:rsid w:val="17DC3DC5"/>
    <w:rsid w:val="18372694"/>
    <w:rsid w:val="189F624C"/>
    <w:rsid w:val="18A91FB6"/>
    <w:rsid w:val="18CB5EE7"/>
    <w:rsid w:val="18FE7CF8"/>
    <w:rsid w:val="19166457"/>
    <w:rsid w:val="194B7D60"/>
    <w:rsid w:val="197C5DB6"/>
    <w:rsid w:val="198A7CFB"/>
    <w:rsid w:val="199973D5"/>
    <w:rsid w:val="199D1E47"/>
    <w:rsid w:val="19AE4A49"/>
    <w:rsid w:val="19D46B7B"/>
    <w:rsid w:val="19F05DD2"/>
    <w:rsid w:val="1A1320D9"/>
    <w:rsid w:val="1A1C66C0"/>
    <w:rsid w:val="1A283ED4"/>
    <w:rsid w:val="1A42393B"/>
    <w:rsid w:val="1AAD45DE"/>
    <w:rsid w:val="1AAE3D0A"/>
    <w:rsid w:val="1AB9712E"/>
    <w:rsid w:val="1ACE7C24"/>
    <w:rsid w:val="1AFB6415"/>
    <w:rsid w:val="1B046F80"/>
    <w:rsid w:val="1B0E1182"/>
    <w:rsid w:val="1B3267B5"/>
    <w:rsid w:val="1B40161D"/>
    <w:rsid w:val="1B441859"/>
    <w:rsid w:val="1B4F7512"/>
    <w:rsid w:val="1B6606B1"/>
    <w:rsid w:val="1B7311FC"/>
    <w:rsid w:val="1B991986"/>
    <w:rsid w:val="1C0F64A5"/>
    <w:rsid w:val="1C2269D4"/>
    <w:rsid w:val="1C5E7925"/>
    <w:rsid w:val="1C67088B"/>
    <w:rsid w:val="1C861F27"/>
    <w:rsid w:val="1C9E20EB"/>
    <w:rsid w:val="1CA94A00"/>
    <w:rsid w:val="1CFA2902"/>
    <w:rsid w:val="1CFD070F"/>
    <w:rsid w:val="1D5F6196"/>
    <w:rsid w:val="1D6132A5"/>
    <w:rsid w:val="1D8E56D5"/>
    <w:rsid w:val="1DB66C15"/>
    <w:rsid w:val="1E0F11DA"/>
    <w:rsid w:val="1E7A43DA"/>
    <w:rsid w:val="1EB47F8E"/>
    <w:rsid w:val="1ED728EC"/>
    <w:rsid w:val="1EDF7CA9"/>
    <w:rsid w:val="1F112AB0"/>
    <w:rsid w:val="1FAF1E5F"/>
    <w:rsid w:val="1FBE4C66"/>
    <w:rsid w:val="1FCA2C8C"/>
    <w:rsid w:val="1FD30889"/>
    <w:rsid w:val="1FDE78D1"/>
    <w:rsid w:val="1FE7539E"/>
    <w:rsid w:val="20626BA7"/>
    <w:rsid w:val="2063230F"/>
    <w:rsid w:val="20671BE0"/>
    <w:rsid w:val="20963CB8"/>
    <w:rsid w:val="20A81A1B"/>
    <w:rsid w:val="20B07FB6"/>
    <w:rsid w:val="20B646FB"/>
    <w:rsid w:val="210D6555"/>
    <w:rsid w:val="210E5779"/>
    <w:rsid w:val="210F1978"/>
    <w:rsid w:val="211B52FB"/>
    <w:rsid w:val="2122639B"/>
    <w:rsid w:val="21284586"/>
    <w:rsid w:val="213B74B1"/>
    <w:rsid w:val="213F281F"/>
    <w:rsid w:val="215A2310"/>
    <w:rsid w:val="216D2097"/>
    <w:rsid w:val="2178649D"/>
    <w:rsid w:val="21816D1D"/>
    <w:rsid w:val="218331DE"/>
    <w:rsid w:val="21C57E71"/>
    <w:rsid w:val="21DE318A"/>
    <w:rsid w:val="21EF11BC"/>
    <w:rsid w:val="21EF5B80"/>
    <w:rsid w:val="22070146"/>
    <w:rsid w:val="22576990"/>
    <w:rsid w:val="22F068FF"/>
    <w:rsid w:val="22F47480"/>
    <w:rsid w:val="22F86734"/>
    <w:rsid w:val="231B7C5C"/>
    <w:rsid w:val="231E6B3F"/>
    <w:rsid w:val="233F66BF"/>
    <w:rsid w:val="234E45A3"/>
    <w:rsid w:val="23975E06"/>
    <w:rsid w:val="23A966F3"/>
    <w:rsid w:val="23BD0BE6"/>
    <w:rsid w:val="23CB443D"/>
    <w:rsid w:val="23DE1C48"/>
    <w:rsid w:val="23FA2E32"/>
    <w:rsid w:val="23FC5480"/>
    <w:rsid w:val="240210CD"/>
    <w:rsid w:val="240512E3"/>
    <w:rsid w:val="24061A23"/>
    <w:rsid w:val="242D23BA"/>
    <w:rsid w:val="2439338E"/>
    <w:rsid w:val="24520C26"/>
    <w:rsid w:val="246A3D6E"/>
    <w:rsid w:val="246E3188"/>
    <w:rsid w:val="24B50369"/>
    <w:rsid w:val="24BF09F7"/>
    <w:rsid w:val="25203CCD"/>
    <w:rsid w:val="252D53FE"/>
    <w:rsid w:val="25432914"/>
    <w:rsid w:val="254911CF"/>
    <w:rsid w:val="25BE6CC9"/>
    <w:rsid w:val="25EC2D81"/>
    <w:rsid w:val="262D7D0C"/>
    <w:rsid w:val="264F7DF4"/>
    <w:rsid w:val="266B0815"/>
    <w:rsid w:val="267E2BB7"/>
    <w:rsid w:val="26832E31"/>
    <w:rsid w:val="277057A2"/>
    <w:rsid w:val="277D081C"/>
    <w:rsid w:val="27C66D46"/>
    <w:rsid w:val="27D40308"/>
    <w:rsid w:val="27F76F67"/>
    <w:rsid w:val="28005BEB"/>
    <w:rsid w:val="282239DE"/>
    <w:rsid w:val="28434304"/>
    <w:rsid w:val="28D35A40"/>
    <w:rsid w:val="28F76BEE"/>
    <w:rsid w:val="29206EB8"/>
    <w:rsid w:val="29345E82"/>
    <w:rsid w:val="29595666"/>
    <w:rsid w:val="29725C52"/>
    <w:rsid w:val="298622B3"/>
    <w:rsid w:val="29874881"/>
    <w:rsid w:val="29BB09F4"/>
    <w:rsid w:val="29E325E0"/>
    <w:rsid w:val="2A355B25"/>
    <w:rsid w:val="2A452503"/>
    <w:rsid w:val="2A874568"/>
    <w:rsid w:val="2AB54EB7"/>
    <w:rsid w:val="2AEC198E"/>
    <w:rsid w:val="2B047E3D"/>
    <w:rsid w:val="2B276594"/>
    <w:rsid w:val="2B6103AA"/>
    <w:rsid w:val="2BA936A8"/>
    <w:rsid w:val="2BD31B1A"/>
    <w:rsid w:val="2BF73129"/>
    <w:rsid w:val="2C1218EA"/>
    <w:rsid w:val="2C251082"/>
    <w:rsid w:val="2C2551A4"/>
    <w:rsid w:val="2C315A5A"/>
    <w:rsid w:val="2C4B1C25"/>
    <w:rsid w:val="2C9726AA"/>
    <w:rsid w:val="2CA4458C"/>
    <w:rsid w:val="2CEF1CD0"/>
    <w:rsid w:val="2CF120DE"/>
    <w:rsid w:val="2CFC4CE5"/>
    <w:rsid w:val="2D261DC5"/>
    <w:rsid w:val="2D5118F3"/>
    <w:rsid w:val="2D633B65"/>
    <w:rsid w:val="2D875F2A"/>
    <w:rsid w:val="2D9E56F5"/>
    <w:rsid w:val="2DBE22D5"/>
    <w:rsid w:val="2E1C4D8F"/>
    <w:rsid w:val="2E667F96"/>
    <w:rsid w:val="2E8226AB"/>
    <w:rsid w:val="2E837A6B"/>
    <w:rsid w:val="2EFF38E0"/>
    <w:rsid w:val="2F415705"/>
    <w:rsid w:val="2F63571D"/>
    <w:rsid w:val="2F6427FC"/>
    <w:rsid w:val="2F697261"/>
    <w:rsid w:val="2F724D86"/>
    <w:rsid w:val="2F8B24E4"/>
    <w:rsid w:val="2FD065E6"/>
    <w:rsid w:val="2FD96870"/>
    <w:rsid w:val="2FE71B25"/>
    <w:rsid w:val="30070933"/>
    <w:rsid w:val="301D1C79"/>
    <w:rsid w:val="30580BC9"/>
    <w:rsid w:val="30AE2769"/>
    <w:rsid w:val="30DF1C17"/>
    <w:rsid w:val="311E2ED7"/>
    <w:rsid w:val="315619EE"/>
    <w:rsid w:val="315C449C"/>
    <w:rsid w:val="318B6972"/>
    <w:rsid w:val="31B04DD9"/>
    <w:rsid w:val="31B82709"/>
    <w:rsid w:val="31C0089E"/>
    <w:rsid w:val="31D05482"/>
    <w:rsid w:val="320F65D3"/>
    <w:rsid w:val="32221C93"/>
    <w:rsid w:val="32255C90"/>
    <w:rsid w:val="32400B34"/>
    <w:rsid w:val="329E6876"/>
    <w:rsid w:val="32D03C76"/>
    <w:rsid w:val="32E97F01"/>
    <w:rsid w:val="33011094"/>
    <w:rsid w:val="333015F2"/>
    <w:rsid w:val="334B6320"/>
    <w:rsid w:val="33835005"/>
    <w:rsid w:val="33B74493"/>
    <w:rsid w:val="33D934D4"/>
    <w:rsid w:val="33FE2F6A"/>
    <w:rsid w:val="340E07E5"/>
    <w:rsid w:val="34235BF7"/>
    <w:rsid w:val="344D2E75"/>
    <w:rsid w:val="34512C96"/>
    <w:rsid w:val="345F0118"/>
    <w:rsid w:val="34FE677A"/>
    <w:rsid w:val="35840C31"/>
    <w:rsid w:val="358C5FA8"/>
    <w:rsid w:val="35971FEA"/>
    <w:rsid w:val="359A1669"/>
    <w:rsid w:val="35C15DF1"/>
    <w:rsid w:val="35F6632E"/>
    <w:rsid w:val="36074A7F"/>
    <w:rsid w:val="361C17F5"/>
    <w:rsid w:val="36653004"/>
    <w:rsid w:val="36845819"/>
    <w:rsid w:val="36923549"/>
    <w:rsid w:val="36A74ADF"/>
    <w:rsid w:val="36B75FBF"/>
    <w:rsid w:val="36BD0C45"/>
    <w:rsid w:val="3741535C"/>
    <w:rsid w:val="375E5E58"/>
    <w:rsid w:val="37E00298"/>
    <w:rsid w:val="380643EE"/>
    <w:rsid w:val="38082925"/>
    <w:rsid w:val="38150411"/>
    <w:rsid w:val="384B4462"/>
    <w:rsid w:val="38886FB1"/>
    <w:rsid w:val="38B302F9"/>
    <w:rsid w:val="38D15A06"/>
    <w:rsid w:val="38F12CD3"/>
    <w:rsid w:val="38F94775"/>
    <w:rsid w:val="3903243C"/>
    <w:rsid w:val="392971ED"/>
    <w:rsid w:val="39323647"/>
    <w:rsid w:val="39325651"/>
    <w:rsid w:val="39412EA6"/>
    <w:rsid w:val="395B264C"/>
    <w:rsid w:val="396A5315"/>
    <w:rsid w:val="39A11D24"/>
    <w:rsid w:val="39DD7374"/>
    <w:rsid w:val="39FB4287"/>
    <w:rsid w:val="39FD547E"/>
    <w:rsid w:val="3A48361D"/>
    <w:rsid w:val="3A7E2A66"/>
    <w:rsid w:val="3A872856"/>
    <w:rsid w:val="3AB26431"/>
    <w:rsid w:val="3B036941"/>
    <w:rsid w:val="3B3763D1"/>
    <w:rsid w:val="3B6B4B17"/>
    <w:rsid w:val="3B83689E"/>
    <w:rsid w:val="3BA54CBC"/>
    <w:rsid w:val="3BA96372"/>
    <w:rsid w:val="3C2A127E"/>
    <w:rsid w:val="3C2F6E1E"/>
    <w:rsid w:val="3C4B2DBB"/>
    <w:rsid w:val="3C4F64BA"/>
    <w:rsid w:val="3CAF0B37"/>
    <w:rsid w:val="3CD629C5"/>
    <w:rsid w:val="3CDA245A"/>
    <w:rsid w:val="3D001FAF"/>
    <w:rsid w:val="3D1E06B7"/>
    <w:rsid w:val="3D9C1286"/>
    <w:rsid w:val="3DA77731"/>
    <w:rsid w:val="3DCE23EC"/>
    <w:rsid w:val="3E0C3AEC"/>
    <w:rsid w:val="3E1848EB"/>
    <w:rsid w:val="3E4266B5"/>
    <w:rsid w:val="3E527CEA"/>
    <w:rsid w:val="3EAD617A"/>
    <w:rsid w:val="3ED90D1D"/>
    <w:rsid w:val="3EDA0523"/>
    <w:rsid w:val="3EDC48D8"/>
    <w:rsid w:val="3EFA7A5D"/>
    <w:rsid w:val="3F0B5584"/>
    <w:rsid w:val="3F100CCF"/>
    <w:rsid w:val="3F244998"/>
    <w:rsid w:val="3F5327C1"/>
    <w:rsid w:val="3F6156D4"/>
    <w:rsid w:val="3F777D06"/>
    <w:rsid w:val="3F8276A8"/>
    <w:rsid w:val="3FB9235A"/>
    <w:rsid w:val="40077295"/>
    <w:rsid w:val="407A6407"/>
    <w:rsid w:val="40B32BE1"/>
    <w:rsid w:val="40B7084D"/>
    <w:rsid w:val="40BC4792"/>
    <w:rsid w:val="40C92FCA"/>
    <w:rsid w:val="40EB6256"/>
    <w:rsid w:val="41177613"/>
    <w:rsid w:val="418538D4"/>
    <w:rsid w:val="418E0D47"/>
    <w:rsid w:val="419929E5"/>
    <w:rsid w:val="4200449D"/>
    <w:rsid w:val="423A3BCC"/>
    <w:rsid w:val="424E57D2"/>
    <w:rsid w:val="4259576B"/>
    <w:rsid w:val="42916243"/>
    <w:rsid w:val="429E7E3B"/>
    <w:rsid w:val="42A17DA3"/>
    <w:rsid w:val="42B26C49"/>
    <w:rsid w:val="42B62B53"/>
    <w:rsid w:val="42D706F5"/>
    <w:rsid w:val="42D84F65"/>
    <w:rsid w:val="42FA6161"/>
    <w:rsid w:val="43003024"/>
    <w:rsid w:val="433A6FE6"/>
    <w:rsid w:val="43480868"/>
    <w:rsid w:val="4350713C"/>
    <w:rsid w:val="436653E0"/>
    <w:rsid w:val="437411B0"/>
    <w:rsid w:val="439039A1"/>
    <w:rsid w:val="43C4431A"/>
    <w:rsid w:val="444638B3"/>
    <w:rsid w:val="4484169E"/>
    <w:rsid w:val="44904C10"/>
    <w:rsid w:val="44B951CC"/>
    <w:rsid w:val="44BF5774"/>
    <w:rsid w:val="44CD14E0"/>
    <w:rsid w:val="44F20B0B"/>
    <w:rsid w:val="452E5F4C"/>
    <w:rsid w:val="454E1EA7"/>
    <w:rsid w:val="45612018"/>
    <w:rsid w:val="457A3C3C"/>
    <w:rsid w:val="458946E9"/>
    <w:rsid w:val="45A47C0E"/>
    <w:rsid w:val="45A735A4"/>
    <w:rsid w:val="46502A5D"/>
    <w:rsid w:val="46577FD6"/>
    <w:rsid w:val="46CF24C1"/>
    <w:rsid w:val="46D35AD0"/>
    <w:rsid w:val="46D955A7"/>
    <w:rsid w:val="46FA54CC"/>
    <w:rsid w:val="47133957"/>
    <w:rsid w:val="47226A4C"/>
    <w:rsid w:val="473650D2"/>
    <w:rsid w:val="47467E4C"/>
    <w:rsid w:val="47594885"/>
    <w:rsid w:val="475F4596"/>
    <w:rsid w:val="47A07E0C"/>
    <w:rsid w:val="47A64C44"/>
    <w:rsid w:val="48040509"/>
    <w:rsid w:val="48312BEA"/>
    <w:rsid w:val="48314BCF"/>
    <w:rsid w:val="4870272E"/>
    <w:rsid w:val="48AD43FB"/>
    <w:rsid w:val="48C25CD4"/>
    <w:rsid w:val="491507D7"/>
    <w:rsid w:val="49184B37"/>
    <w:rsid w:val="49243B0C"/>
    <w:rsid w:val="494D1F25"/>
    <w:rsid w:val="49616C37"/>
    <w:rsid w:val="4962080E"/>
    <w:rsid w:val="49A95790"/>
    <w:rsid w:val="49DB003F"/>
    <w:rsid w:val="49DC7715"/>
    <w:rsid w:val="49F43884"/>
    <w:rsid w:val="4A023139"/>
    <w:rsid w:val="4A3B7AD3"/>
    <w:rsid w:val="4A522FF2"/>
    <w:rsid w:val="4A7B576F"/>
    <w:rsid w:val="4A856562"/>
    <w:rsid w:val="4AA67D6B"/>
    <w:rsid w:val="4AF561A9"/>
    <w:rsid w:val="4B107BAF"/>
    <w:rsid w:val="4B332719"/>
    <w:rsid w:val="4BB7409B"/>
    <w:rsid w:val="4C1E62B8"/>
    <w:rsid w:val="4C4A0649"/>
    <w:rsid w:val="4C5B1260"/>
    <w:rsid w:val="4C7E5ECA"/>
    <w:rsid w:val="4C876AA5"/>
    <w:rsid w:val="4C913633"/>
    <w:rsid w:val="4CF07C18"/>
    <w:rsid w:val="4CFB27A6"/>
    <w:rsid w:val="4D0A79CC"/>
    <w:rsid w:val="4D0E00FB"/>
    <w:rsid w:val="4D10423C"/>
    <w:rsid w:val="4D11539B"/>
    <w:rsid w:val="4D12476F"/>
    <w:rsid w:val="4D176606"/>
    <w:rsid w:val="4D293C48"/>
    <w:rsid w:val="4D3F4946"/>
    <w:rsid w:val="4D434A81"/>
    <w:rsid w:val="4D4A209F"/>
    <w:rsid w:val="4DD31794"/>
    <w:rsid w:val="4DDF0B2F"/>
    <w:rsid w:val="4DEA7385"/>
    <w:rsid w:val="4DEC4FB0"/>
    <w:rsid w:val="4DEF3DD5"/>
    <w:rsid w:val="4E075D8A"/>
    <w:rsid w:val="4E0B6A19"/>
    <w:rsid w:val="4E0D05CE"/>
    <w:rsid w:val="4E0F74CD"/>
    <w:rsid w:val="4E1A0BC2"/>
    <w:rsid w:val="4E2A327F"/>
    <w:rsid w:val="4E664843"/>
    <w:rsid w:val="4E6E4BB8"/>
    <w:rsid w:val="4EA002DD"/>
    <w:rsid w:val="4EA100BB"/>
    <w:rsid w:val="4EA50C1B"/>
    <w:rsid w:val="4EC00FAD"/>
    <w:rsid w:val="4EF50B15"/>
    <w:rsid w:val="4EFA609A"/>
    <w:rsid w:val="4F081382"/>
    <w:rsid w:val="4F2752A4"/>
    <w:rsid w:val="4F2F2F84"/>
    <w:rsid w:val="4F4949CF"/>
    <w:rsid w:val="4F8151E4"/>
    <w:rsid w:val="4F834A26"/>
    <w:rsid w:val="4F9843DC"/>
    <w:rsid w:val="4FC06A22"/>
    <w:rsid w:val="4FC62A8C"/>
    <w:rsid w:val="4FE20F0D"/>
    <w:rsid w:val="4FE51552"/>
    <w:rsid w:val="500A0850"/>
    <w:rsid w:val="50504C4B"/>
    <w:rsid w:val="506A725F"/>
    <w:rsid w:val="509C6E7C"/>
    <w:rsid w:val="50C23A0B"/>
    <w:rsid w:val="50DC0CC1"/>
    <w:rsid w:val="50DE7A9A"/>
    <w:rsid w:val="50E15C96"/>
    <w:rsid w:val="50FB1869"/>
    <w:rsid w:val="51525CD6"/>
    <w:rsid w:val="51527C52"/>
    <w:rsid w:val="5162104E"/>
    <w:rsid w:val="5171477D"/>
    <w:rsid w:val="51C72625"/>
    <w:rsid w:val="51E6296C"/>
    <w:rsid w:val="51F36068"/>
    <w:rsid w:val="524D5760"/>
    <w:rsid w:val="52925E9B"/>
    <w:rsid w:val="529E7E5B"/>
    <w:rsid w:val="52DC616C"/>
    <w:rsid w:val="531A3409"/>
    <w:rsid w:val="5322623A"/>
    <w:rsid w:val="5328570E"/>
    <w:rsid w:val="535E4E53"/>
    <w:rsid w:val="53884BB3"/>
    <w:rsid w:val="53A039CC"/>
    <w:rsid w:val="53A1505A"/>
    <w:rsid w:val="53B042ED"/>
    <w:rsid w:val="53BD0482"/>
    <w:rsid w:val="53E5165E"/>
    <w:rsid w:val="54063E08"/>
    <w:rsid w:val="541F52A9"/>
    <w:rsid w:val="542E3461"/>
    <w:rsid w:val="543437E8"/>
    <w:rsid w:val="54F33119"/>
    <w:rsid w:val="54F73313"/>
    <w:rsid w:val="54F80955"/>
    <w:rsid w:val="54F9655D"/>
    <w:rsid w:val="54FC0561"/>
    <w:rsid w:val="555170A7"/>
    <w:rsid w:val="5563094D"/>
    <w:rsid w:val="558414FB"/>
    <w:rsid w:val="5587536D"/>
    <w:rsid w:val="559B174B"/>
    <w:rsid w:val="55CE0CF4"/>
    <w:rsid w:val="55D4583C"/>
    <w:rsid w:val="565546E4"/>
    <w:rsid w:val="565E5E67"/>
    <w:rsid w:val="56987076"/>
    <w:rsid w:val="56B22A9C"/>
    <w:rsid w:val="57346908"/>
    <w:rsid w:val="57387D27"/>
    <w:rsid w:val="578245A0"/>
    <w:rsid w:val="578C16BE"/>
    <w:rsid w:val="57B72A76"/>
    <w:rsid w:val="57C20DC6"/>
    <w:rsid w:val="57C3426C"/>
    <w:rsid w:val="57CE1F93"/>
    <w:rsid w:val="57DB12F8"/>
    <w:rsid w:val="57E97DCB"/>
    <w:rsid w:val="584850D4"/>
    <w:rsid w:val="588743D1"/>
    <w:rsid w:val="5887701A"/>
    <w:rsid w:val="58AF31E4"/>
    <w:rsid w:val="58DE6061"/>
    <w:rsid w:val="58E07C77"/>
    <w:rsid w:val="58E5269C"/>
    <w:rsid w:val="594F3C5E"/>
    <w:rsid w:val="59673A73"/>
    <w:rsid w:val="597D6EA0"/>
    <w:rsid w:val="598A2DFA"/>
    <w:rsid w:val="59A457F7"/>
    <w:rsid w:val="59C0439F"/>
    <w:rsid w:val="5A0914C1"/>
    <w:rsid w:val="5A557695"/>
    <w:rsid w:val="5A8A0566"/>
    <w:rsid w:val="5A9E590F"/>
    <w:rsid w:val="5ABE2233"/>
    <w:rsid w:val="5AE229EA"/>
    <w:rsid w:val="5AFB66C0"/>
    <w:rsid w:val="5AFD4646"/>
    <w:rsid w:val="5B0B3FD4"/>
    <w:rsid w:val="5B2630E4"/>
    <w:rsid w:val="5B30041F"/>
    <w:rsid w:val="5B60377A"/>
    <w:rsid w:val="5B8E736C"/>
    <w:rsid w:val="5B8F2FEE"/>
    <w:rsid w:val="5B975D90"/>
    <w:rsid w:val="5BAF4667"/>
    <w:rsid w:val="5BDF5D95"/>
    <w:rsid w:val="5BF84851"/>
    <w:rsid w:val="5BFE7528"/>
    <w:rsid w:val="5C0610FE"/>
    <w:rsid w:val="5C323451"/>
    <w:rsid w:val="5C962C32"/>
    <w:rsid w:val="5CA32435"/>
    <w:rsid w:val="5CB35FF3"/>
    <w:rsid w:val="5D132CE3"/>
    <w:rsid w:val="5D2966FB"/>
    <w:rsid w:val="5D2C1366"/>
    <w:rsid w:val="5D30709F"/>
    <w:rsid w:val="5D672DB1"/>
    <w:rsid w:val="5D956074"/>
    <w:rsid w:val="5E2467F1"/>
    <w:rsid w:val="5E400A52"/>
    <w:rsid w:val="5E87578C"/>
    <w:rsid w:val="5F057D8C"/>
    <w:rsid w:val="5F1A2B43"/>
    <w:rsid w:val="5F5B55C4"/>
    <w:rsid w:val="5F6C469D"/>
    <w:rsid w:val="5F703DCF"/>
    <w:rsid w:val="5F7449CE"/>
    <w:rsid w:val="5F8E025D"/>
    <w:rsid w:val="5FB837BB"/>
    <w:rsid w:val="5FC85466"/>
    <w:rsid w:val="5FD443E5"/>
    <w:rsid w:val="5FE1142E"/>
    <w:rsid w:val="602A723C"/>
    <w:rsid w:val="60980FE6"/>
    <w:rsid w:val="60B10850"/>
    <w:rsid w:val="60CC405A"/>
    <w:rsid w:val="60FD1C9F"/>
    <w:rsid w:val="61043872"/>
    <w:rsid w:val="618E2C72"/>
    <w:rsid w:val="61E215D8"/>
    <w:rsid w:val="61F72881"/>
    <w:rsid w:val="621230CA"/>
    <w:rsid w:val="621B3775"/>
    <w:rsid w:val="6224619F"/>
    <w:rsid w:val="62364782"/>
    <w:rsid w:val="62993E2D"/>
    <w:rsid w:val="62A56FE4"/>
    <w:rsid w:val="632A3C77"/>
    <w:rsid w:val="6340099B"/>
    <w:rsid w:val="637B74D7"/>
    <w:rsid w:val="6394356A"/>
    <w:rsid w:val="63AD5BC5"/>
    <w:rsid w:val="63C10C3C"/>
    <w:rsid w:val="63C61B2C"/>
    <w:rsid w:val="63D40BE9"/>
    <w:rsid w:val="63DE7303"/>
    <w:rsid w:val="640A52AA"/>
    <w:rsid w:val="64102431"/>
    <w:rsid w:val="642525A7"/>
    <w:rsid w:val="646150FE"/>
    <w:rsid w:val="64960552"/>
    <w:rsid w:val="64A5243A"/>
    <w:rsid w:val="64B147AF"/>
    <w:rsid w:val="64BF35CF"/>
    <w:rsid w:val="64F06497"/>
    <w:rsid w:val="64F531DE"/>
    <w:rsid w:val="651630D9"/>
    <w:rsid w:val="65373578"/>
    <w:rsid w:val="65692FCF"/>
    <w:rsid w:val="657B39D8"/>
    <w:rsid w:val="659C3AAB"/>
    <w:rsid w:val="65A75204"/>
    <w:rsid w:val="65F046BB"/>
    <w:rsid w:val="6614554E"/>
    <w:rsid w:val="664F349C"/>
    <w:rsid w:val="665B0278"/>
    <w:rsid w:val="66BB0C85"/>
    <w:rsid w:val="670A0BE2"/>
    <w:rsid w:val="671F124A"/>
    <w:rsid w:val="677A33C6"/>
    <w:rsid w:val="67A901F8"/>
    <w:rsid w:val="681F6961"/>
    <w:rsid w:val="68366618"/>
    <w:rsid w:val="68534D10"/>
    <w:rsid w:val="68610A2F"/>
    <w:rsid w:val="686908DB"/>
    <w:rsid w:val="68805514"/>
    <w:rsid w:val="689F26C8"/>
    <w:rsid w:val="69274428"/>
    <w:rsid w:val="69316E2F"/>
    <w:rsid w:val="69330731"/>
    <w:rsid w:val="694D7761"/>
    <w:rsid w:val="694E2071"/>
    <w:rsid w:val="695970D3"/>
    <w:rsid w:val="69653029"/>
    <w:rsid w:val="69713933"/>
    <w:rsid w:val="69766163"/>
    <w:rsid w:val="697A3B33"/>
    <w:rsid w:val="697C4644"/>
    <w:rsid w:val="69962DC5"/>
    <w:rsid w:val="69B620F0"/>
    <w:rsid w:val="69BC0DBC"/>
    <w:rsid w:val="69D44760"/>
    <w:rsid w:val="69F14347"/>
    <w:rsid w:val="6A237AE1"/>
    <w:rsid w:val="6A520EC7"/>
    <w:rsid w:val="6A5922F3"/>
    <w:rsid w:val="6A59622C"/>
    <w:rsid w:val="6A6B6BF7"/>
    <w:rsid w:val="6A7B5AF4"/>
    <w:rsid w:val="6A905FCC"/>
    <w:rsid w:val="6AE657A1"/>
    <w:rsid w:val="6AE849F9"/>
    <w:rsid w:val="6AF87E20"/>
    <w:rsid w:val="6B284C71"/>
    <w:rsid w:val="6B322639"/>
    <w:rsid w:val="6B414F08"/>
    <w:rsid w:val="6B854113"/>
    <w:rsid w:val="6B9B39F8"/>
    <w:rsid w:val="6C636C38"/>
    <w:rsid w:val="6C6E3024"/>
    <w:rsid w:val="6C7F00F2"/>
    <w:rsid w:val="6C9078C0"/>
    <w:rsid w:val="6CD70338"/>
    <w:rsid w:val="6D027D50"/>
    <w:rsid w:val="6D2B458A"/>
    <w:rsid w:val="6DB34098"/>
    <w:rsid w:val="6DB545B6"/>
    <w:rsid w:val="6DE02FB4"/>
    <w:rsid w:val="6DF174A7"/>
    <w:rsid w:val="6E141F28"/>
    <w:rsid w:val="6E334D51"/>
    <w:rsid w:val="6E3E4966"/>
    <w:rsid w:val="6E514CED"/>
    <w:rsid w:val="6E75129D"/>
    <w:rsid w:val="6E7A1325"/>
    <w:rsid w:val="6EB563D5"/>
    <w:rsid w:val="6ED7030D"/>
    <w:rsid w:val="6ED92677"/>
    <w:rsid w:val="6EF161B5"/>
    <w:rsid w:val="6F225983"/>
    <w:rsid w:val="6F230905"/>
    <w:rsid w:val="6F6A779F"/>
    <w:rsid w:val="6FAD1973"/>
    <w:rsid w:val="6FD61F0D"/>
    <w:rsid w:val="6FE22F68"/>
    <w:rsid w:val="6FFC5590"/>
    <w:rsid w:val="701514FF"/>
    <w:rsid w:val="701F2DB4"/>
    <w:rsid w:val="705139A0"/>
    <w:rsid w:val="706D1DD0"/>
    <w:rsid w:val="70817E10"/>
    <w:rsid w:val="70856B87"/>
    <w:rsid w:val="70D45FB5"/>
    <w:rsid w:val="70D527EE"/>
    <w:rsid w:val="710B6EA4"/>
    <w:rsid w:val="714D316B"/>
    <w:rsid w:val="71512241"/>
    <w:rsid w:val="715B5300"/>
    <w:rsid w:val="71735FE1"/>
    <w:rsid w:val="719005A9"/>
    <w:rsid w:val="71CD5C10"/>
    <w:rsid w:val="71D27F8A"/>
    <w:rsid w:val="723F49EB"/>
    <w:rsid w:val="72553024"/>
    <w:rsid w:val="727A2530"/>
    <w:rsid w:val="72942B11"/>
    <w:rsid w:val="730F71A9"/>
    <w:rsid w:val="73122968"/>
    <w:rsid w:val="731D5D8A"/>
    <w:rsid w:val="731F5D5E"/>
    <w:rsid w:val="734C2E72"/>
    <w:rsid w:val="739300FC"/>
    <w:rsid w:val="73C51AD5"/>
    <w:rsid w:val="741E793C"/>
    <w:rsid w:val="7424577E"/>
    <w:rsid w:val="74325F80"/>
    <w:rsid w:val="745C147E"/>
    <w:rsid w:val="745E3944"/>
    <w:rsid w:val="74685B67"/>
    <w:rsid w:val="7499234F"/>
    <w:rsid w:val="74A40DCE"/>
    <w:rsid w:val="74C33581"/>
    <w:rsid w:val="74D4311C"/>
    <w:rsid w:val="751434AC"/>
    <w:rsid w:val="753D7BD6"/>
    <w:rsid w:val="757C5005"/>
    <w:rsid w:val="758A10F5"/>
    <w:rsid w:val="75904F22"/>
    <w:rsid w:val="75A946D2"/>
    <w:rsid w:val="75F728CA"/>
    <w:rsid w:val="7626186D"/>
    <w:rsid w:val="7635099D"/>
    <w:rsid w:val="764F3C8B"/>
    <w:rsid w:val="76695CAA"/>
    <w:rsid w:val="768A4D4D"/>
    <w:rsid w:val="76C814F7"/>
    <w:rsid w:val="76CC293A"/>
    <w:rsid w:val="76D22BE5"/>
    <w:rsid w:val="76EA5A76"/>
    <w:rsid w:val="770C3CAE"/>
    <w:rsid w:val="771D0725"/>
    <w:rsid w:val="77443163"/>
    <w:rsid w:val="77762421"/>
    <w:rsid w:val="7783566C"/>
    <w:rsid w:val="77947980"/>
    <w:rsid w:val="77B56B1F"/>
    <w:rsid w:val="77DE3F76"/>
    <w:rsid w:val="780805DD"/>
    <w:rsid w:val="780F09F4"/>
    <w:rsid w:val="78282B14"/>
    <w:rsid w:val="78287BAD"/>
    <w:rsid w:val="782E3564"/>
    <w:rsid w:val="785E4134"/>
    <w:rsid w:val="786673C2"/>
    <w:rsid w:val="78925224"/>
    <w:rsid w:val="78A90480"/>
    <w:rsid w:val="78D3652F"/>
    <w:rsid w:val="7964781C"/>
    <w:rsid w:val="79BB6108"/>
    <w:rsid w:val="79EF6145"/>
    <w:rsid w:val="7A04063C"/>
    <w:rsid w:val="7A364017"/>
    <w:rsid w:val="7A396B72"/>
    <w:rsid w:val="7A7E64E3"/>
    <w:rsid w:val="7A8265E1"/>
    <w:rsid w:val="7B131850"/>
    <w:rsid w:val="7B686D42"/>
    <w:rsid w:val="7B841746"/>
    <w:rsid w:val="7B914C8A"/>
    <w:rsid w:val="7BB45EFA"/>
    <w:rsid w:val="7C6C5AC7"/>
    <w:rsid w:val="7CAA323F"/>
    <w:rsid w:val="7CB447A7"/>
    <w:rsid w:val="7CBC6FAC"/>
    <w:rsid w:val="7CC6544B"/>
    <w:rsid w:val="7D0239FF"/>
    <w:rsid w:val="7D2174B0"/>
    <w:rsid w:val="7D5E40CD"/>
    <w:rsid w:val="7D866A0E"/>
    <w:rsid w:val="7DAF0E8F"/>
    <w:rsid w:val="7DB50AB9"/>
    <w:rsid w:val="7DC8525D"/>
    <w:rsid w:val="7DCD56F2"/>
    <w:rsid w:val="7DD07665"/>
    <w:rsid w:val="7E033657"/>
    <w:rsid w:val="7E2E2912"/>
    <w:rsid w:val="7E356B26"/>
    <w:rsid w:val="7E4F65AB"/>
    <w:rsid w:val="7F001CE7"/>
    <w:rsid w:val="7F122209"/>
    <w:rsid w:val="7F252C5F"/>
    <w:rsid w:val="7F322CFB"/>
    <w:rsid w:val="7F561EF2"/>
    <w:rsid w:val="7FB70B0F"/>
    <w:rsid w:val="7FE47E50"/>
    <w:rsid w:val="7FFC74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iPriority="99"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99"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iPriority="99"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91"/>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7">
    <w:name w:val="heading 3"/>
    <w:basedOn w:val="1"/>
    <w:next w:val="1"/>
    <w:link w:val="92"/>
    <w:semiHidden/>
    <w:unhideWhenUsed/>
    <w:qFormat/>
    <w:locked/>
    <w:uiPriority w:val="0"/>
    <w:pPr>
      <w:keepNext/>
      <w:keepLines/>
      <w:spacing w:before="260" w:after="260" w:line="416" w:lineRule="auto"/>
      <w:outlineLvl w:val="2"/>
    </w:pPr>
    <w:rPr>
      <w:b/>
      <w:bCs/>
      <w:sz w:val="32"/>
      <w:szCs w:val="32"/>
    </w:rPr>
  </w:style>
  <w:style w:type="paragraph" w:styleId="8">
    <w:name w:val="heading 4"/>
    <w:basedOn w:val="1"/>
    <w:next w:val="9"/>
    <w:qFormat/>
    <w:locked/>
    <w:uiPriority w:val="0"/>
    <w:pPr>
      <w:keepNext/>
      <w:keepLines/>
      <w:numPr>
        <w:ilvl w:val="3"/>
        <w:numId w:val="1"/>
      </w:numPr>
      <w:ind w:left="0" w:firstLine="643" w:firstLineChars="200"/>
      <w:outlineLvl w:val="3"/>
    </w:p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autoSpaceDE w:val="0"/>
      <w:autoSpaceDN w:val="0"/>
      <w:adjustRightInd w:val="0"/>
    </w:pPr>
    <w:rPr>
      <w:rFonts w:hAnsi="Times New Roman"/>
      <w:color w:val="000000"/>
      <w:sz w:val="24"/>
    </w:rPr>
  </w:style>
  <w:style w:type="paragraph" w:customStyle="1" w:styleId="3">
    <w:name w:val="纯文本1"/>
    <w:basedOn w:val="1"/>
    <w:qFormat/>
    <w:uiPriority w:val="0"/>
    <w:rPr>
      <w:rFonts w:ascii="宋体" w:hAnsi="Courier New"/>
    </w:rPr>
  </w:style>
  <w:style w:type="paragraph" w:styleId="4">
    <w:name w:val="List"/>
    <w:basedOn w:val="1"/>
    <w:next w:val="1"/>
    <w:qFormat/>
    <w:locked/>
    <w:uiPriority w:val="0"/>
    <w:pPr>
      <w:ind w:left="200" w:hanging="200" w:hangingChars="200"/>
    </w:pPr>
  </w:style>
  <w:style w:type="paragraph" w:customStyle="1" w:styleId="9">
    <w:name w:val="@正文缩进"/>
    <w:basedOn w:val="1"/>
    <w:qFormat/>
    <w:uiPriority w:val="0"/>
    <w:pPr>
      <w:ind w:firstLine="200" w:firstLineChars="200"/>
      <w:jc w:val="left"/>
    </w:pPr>
    <w:rPr>
      <w:kern w:val="0"/>
    </w:rPr>
  </w:style>
  <w:style w:type="paragraph" w:styleId="10">
    <w:name w:val="List 3"/>
    <w:basedOn w:val="1"/>
    <w:next w:val="1"/>
    <w:qFormat/>
    <w:locked/>
    <w:uiPriority w:val="0"/>
    <w:pPr>
      <w:autoSpaceDE w:val="0"/>
      <w:autoSpaceDN w:val="0"/>
      <w:adjustRightInd w:val="0"/>
      <w:spacing w:line="288" w:lineRule="auto"/>
      <w:ind w:left="1260" w:hanging="420"/>
      <w:jc w:val="left"/>
      <w:textAlignment w:val="baseline"/>
    </w:pPr>
    <w:rPr>
      <w:kern w:val="0"/>
      <w:sz w:val="20"/>
      <w:szCs w:val="20"/>
    </w:rPr>
  </w:style>
  <w:style w:type="paragraph" w:styleId="11">
    <w:name w:val="caption"/>
    <w:basedOn w:val="1"/>
    <w:next w:val="1"/>
    <w:qFormat/>
    <w:locked/>
    <w:uiPriority w:val="0"/>
    <w:pPr>
      <w:spacing w:before="152" w:after="160"/>
    </w:pPr>
    <w:rPr>
      <w:rFonts w:ascii="Arial" w:hAnsi="Arial" w:eastAsia="黑体" w:cs="Arial"/>
      <w:sz w:val="20"/>
      <w:szCs w:val="20"/>
    </w:rPr>
  </w:style>
  <w:style w:type="paragraph" w:styleId="12">
    <w:name w:val="annotation text"/>
    <w:basedOn w:val="1"/>
    <w:link w:val="40"/>
    <w:semiHidden/>
    <w:qFormat/>
    <w:uiPriority w:val="0"/>
    <w:pPr>
      <w:jc w:val="left"/>
    </w:pPr>
    <w:rPr>
      <w:kern w:val="0"/>
      <w:sz w:val="24"/>
      <w:szCs w:val="20"/>
    </w:rPr>
  </w:style>
  <w:style w:type="paragraph" w:styleId="13">
    <w:name w:val="Body Text"/>
    <w:basedOn w:val="1"/>
    <w:link w:val="41"/>
    <w:qFormat/>
    <w:uiPriority w:val="0"/>
    <w:pPr>
      <w:widowControl/>
      <w:snapToGrid w:val="0"/>
      <w:spacing w:before="60" w:after="160" w:line="259" w:lineRule="auto"/>
      <w:ind w:right="113"/>
    </w:pPr>
    <w:rPr>
      <w:kern w:val="0"/>
      <w:sz w:val="18"/>
      <w:szCs w:val="20"/>
    </w:rPr>
  </w:style>
  <w:style w:type="paragraph" w:styleId="14">
    <w:name w:val="Body Text Indent"/>
    <w:basedOn w:val="1"/>
    <w:next w:val="15"/>
    <w:link w:val="42"/>
    <w:qFormat/>
    <w:uiPriority w:val="0"/>
    <w:pPr>
      <w:spacing w:after="120"/>
      <w:ind w:left="420" w:leftChars="200"/>
    </w:pPr>
    <w:rPr>
      <w:kern w:val="0"/>
      <w:sz w:val="24"/>
      <w:szCs w:val="20"/>
    </w:rPr>
  </w:style>
  <w:style w:type="paragraph" w:styleId="15">
    <w:name w:val="header"/>
    <w:basedOn w:val="1"/>
    <w:next w:val="1"/>
    <w:link w:val="43"/>
    <w:qFormat/>
    <w:uiPriority w:val="0"/>
    <w:pPr>
      <w:pBdr>
        <w:bottom w:val="single" w:color="auto" w:sz="6" w:space="1"/>
      </w:pBdr>
      <w:tabs>
        <w:tab w:val="center" w:pos="4153"/>
        <w:tab w:val="right" w:pos="8306"/>
      </w:tabs>
      <w:snapToGrid w:val="0"/>
      <w:jc w:val="center"/>
    </w:pPr>
    <w:rPr>
      <w:kern w:val="0"/>
      <w:sz w:val="18"/>
      <w:szCs w:val="20"/>
    </w:rPr>
  </w:style>
  <w:style w:type="paragraph" w:styleId="16">
    <w:name w:val="Plain Text"/>
    <w:basedOn w:val="1"/>
    <w:link w:val="82"/>
    <w:qFormat/>
    <w:locked/>
    <w:uiPriority w:val="99"/>
    <w:rPr>
      <w:rFonts w:ascii="宋体" w:hAnsi="Courier New"/>
    </w:rPr>
  </w:style>
  <w:style w:type="paragraph" w:styleId="17">
    <w:name w:val="Date"/>
    <w:basedOn w:val="1"/>
    <w:next w:val="1"/>
    <w:link w:val="44"/>
    <w:qFormat/>
    <w:uiPriority w:val="0"/>
    <w:pPr>
      <w:ind w:left="100" w:leftChars="2500"/>
    </w:pPr>
    <w:rPr>
      <w:kern w:val="0"/>
      <w:sz w:val="24"/>
      <w:szCs w:val="20"/>
    </w:rPr>
  </w:style>
  <w:style w:type="paragraph" w:styleId="18">
    <w:name w:val="Body Text Indent 2"/>
    <w:basedOn w:val="1"/>
    <w:qFormat/>
    <w:locked/>
    <w:uiPriority w:val="0"/>
    <w:pPr>
      <w:spacing w:after="120" w:afterLines="0" w:line="480" w:lineRule="auto"/>
      <w:ind w:left="420" w:leftChars="200"/>
    </w:pPr>
    <w:rPr>
      <w:rFonts w:eastAsia="仿宋_GB2312"/>
      <w:sz w:val="28"/>
    </w:rPr>
  </w:style>
  <w:style w:type="paragraph" w:styleId="19">
    <w:name w:val="Balloon Text"/>
    <w:basedOn w:val="1"/>
    <w:link w:val="45"/>
    <w:semiHidden/>
    <w:qFormat/>
    <w:uiPriority w:val="0"/>
    <w:rPr>
      <w:kern w:val="0"/>
      <w:sz w:val="18"/>
      <w:szCs w:val="20"/>
    </w:rPr>
  </w:style>
  <w:style w:type="paragraph" w:styleId="20">
    <w:name w:val="footer"/>
    <w:basedOn w:val="1"/>
    <w:link w:val="46"/>
    <w:qFormat/>
    <w:uiPriority w:val="99"/>
    <w:pPr>
      <w:tabs>
        <w:tab w:val="center" w:pos="4153"/>
        <w:tab w:val="right" w:pos="8306"/>
      </w:tabs>
      <w:snapToGrid w:val="0"/>
      <w:jc w:val="left"/>
    </w:pPr>
    <w:rPr>
      <w:kern w:val="0"/>
      <w:sz w:val="18"/>
      <w:szCs w:val="20"/>
    </w:rPr>
  </w:style>
  <w:style w:type="paragraph" w:styleId="21">
    <w:name w:val="Body Text Indent 3"/>
    <w:basedOn w:val="1"/>
    <w:qFormat/>
    <w:locked/>
    <w:uiPriority w:val="0"/>
    <w:pPr>
      <w:spacing w:after="120"/>
      <w:ind w:left="420" w:leftChars="200"/>
    </w:pPr>
    <w:rPr>
      <w:sz w:val="16"/>
      <w:szCs w:val="16"/>
    </w:rPr>
  </w:style>
  <w:style w:type="paragraph" w:styleId="22">
    <w:name w:val="Body Text 2"/>
    <w:basedOn w:val="1"/>
    <w:qFormat/>
    <w:locked/>
    <w:uiPriority w:val="0"/>
    <w:pPr>
      <w:spacing w:after="120" w:line="480" w:lineRule="auto"/>
    </w:pPr>
  </w:style>
  <w:style w:type="paragraph" w:styleId="23">
    <w:name w:val="HTML Preformatted"/>
    <w:basedOn w:val="1"/>
    <w:unhideWhenUsed/>
    <w:qFormat/>
    <w:locked/>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200"/>
      <w:jc w:val="left"/>
    </w:pPr>
    <w:rPr>
      <w:rFonts w:hint="eastAsia" w:ascii="黑体" w:hAnsi="Courier New" w:eastAsia="黑体" w:cs="Courier New"/>
      <w:kern w:val="0"/>
      <w:sz w:val="20"/>
      <w:szCs w:val="20"/>
    </w:rPr>
  </w:style>
  <w:style w:type="paragraph" w:styleId="24">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5">
    <w:name w:val="annotation subject"/>
    <w:basedOn w:val="12"/>
    <w:next w:val="12"/>
    <w:link w:val="48"/>
    <w:semiHidden/>
    <w:qFormat/>
    <w:uiPriority w:val="0"/>
    <w:rPr>
      <w:b/>
    </w:rPr>
  </w:style>
  <w:style w:type="paragraph" w:styleId="26">
    <w:name w:val="Body Text First Indent"/>
    <w:basedOn w:val="13"/>
    <w:semiHidden/>
    <w:unhideWhenUsed/>
    <w:qFormat/>
    <w:locked/>
    <w:uiPriority w:val="99"/>
    <w:pPr>
      <w:ind w:firstLine="420" w:firstLineChars="100"/>
    </w:pPr>
    <w:rPr>
      <w:kern w:val="2"/>
      <w:sz w:val="21"/>
    </w:rPr>
  </w:style>
  <w:style w:type="paragraph" w:styleId="27">
    <w:name w:val="Body Text First Indent 2"/>
    <w:basedOn w:val="14"/>
    <w:next w:val="1"/>
    <w:qFormat/>
    <w:locked/>
    <w:uiPriority w:val="0"/>
    <w:pPr>
      <w:ind w:firstLine="420" w:firstLineChars="200"/>
    </w:pPr>
    <w:rPr>
      <w:sz w:val="21"/>
      <w:szCs w:val="24"/>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page number"/>
    <w:basedOn w:val="30"/>
    <w:qFormat/>
    <w:locked/>
    <w:uiPriority w:val="0"/>
  </w:style>
  <w:style w:type="character" w:styleId="32">
    <w:name w:val="FollowedHyperlink"/>
    <w:basedOn w:val="30"/>
    <w:qFormat/>
    <w:locked/>
    <w:uiPriority w:val="0"/>
    <w:rPr>
      <w:color w:val="800080" w:themeColor="followedHyperlink"/>
      <w:u w:val="single"/>
      <w14:textFill>
        <w14:solidFill>
          <w14:schemeClr w14:val="folHlink"/>
        </w14:solidFill>
      </w14:textFill>
    </w:rPr>
  </w:style>
  <w:style w:type="character" w:styleId="33">
    <w:name w:val="Hyperlink"/>
    <w:basedOn w:val="30"/>
    <w:qFormat/>
    <w:locked/>
    <w:uiPriority w:val="0"/>
    <w:rPr>
      <w:color w:val="0000FF" w:themeColor="hyperlink"/>
      <w:u w:val="single"/>
      <w14:textFill>
        <w14:solidFill>
          <w14:schemeClr w14:val="hlink"/>
        </w14:solidFill>
      </w14:textFill>
    </w:rPr>
  </w:style>
  <w:style w:type="character" w:styleId="34">
    <w:name w:val="annotation reference"/>
    <w:qFormat/>
    <w:uiPriority w:val="0"/>
    <w:rPr>
      <w:sz w:val="21"/>
    </w:rPr>
  </w:style>
  <w:style w:type="paragraph" w:customStyle="1" w:styleId="35">
    <w:name w:val="正文 首行缩进:  2 字符"/>
    <w:basedOn w:val="1"/>
    <w:qFormat/>
    <w:uiPriority w:val="0"/>
    <w:pPr>
      <w:adjustRightInd w:val="0"/>
      <w:snapToGrid w:val="0"/>
      <w:spacing w:line="500" w:lineRule="exact"/>
      <w:ind w:firstLine="480"/>
    </w:pPr>
    <w:rPr>
      <w:rFonts w:eastAsia="楷体_GB2312"/>
      <w:lang w:val="zh-CN"/>
    </w:rPr>
  </w:style>
  <w:style w:type="paragraph" w:customStyle="1" w:styleId="36">
    <w:name w:val="样式5"/>
    <w:basedOn w:val="37"/>
    <w:qFormat/>
    <w:uiPriority w:val="0"/>
    <w:pPr>
      <w:spacing w:line="360" w:lineRule="auto"/>
    </w:pPr>
    <w:rPr>
      <w:rFonts w:ascii="Times New Roman" w:hAnsi="Times New Roman"/>
      <w:sz w:val="24"/>
      <w:szCs w:val="22"/>
    </w:rPr>
  </w:style>
  <w:style w:type="paragraph" w:customStyle="1" w:styleId="37">
    <w:name w:val="正文1"/>
    <w:basedOn w:val="38"/>
    <w:next w:val="1"/>
    <w:qFormat/>
    <w:uiPriority w:val="0"/>
    <w:rPr>
      <w:rFonts w:ascii="宋体" w:hAnsi="宋体"/>
      <w:sz w:val="32"/>
      <w:szCs w:val="32"/>
    </w:rPr>
  </w:style>
  <w:style w:type="paragraph" w:customStyle="1" w:styleId="38">
    <w:name w:val="列出段落11"/>
    <w:basedOn w:val="1"/>
    <w:qFormat/>
    <w:uiPriority w:val="34"/>
    <w:pPr>
      <w:ind w:firstLine="420"/>
    </w:pPr>
  </w:style>
  <w:style w:type="paragraph" w:customStyle="1" w:styleId="39">
    <w:name w:val="表格内"/>
    <w:basedOn w:val="1"/>
    <w:qFormat/>
    <w:uiPriority w:val="0"/>
    <w:pPr>
      <w:spacing w:line="360" w:lineRule="exact"/>
      <w:jc w:val="center"/>
    </w:pPr>
    <w:rPr>
      <w:rFonts w:ascii="Calibri" w:hAnsi="Calibri"/>
      <w:snapToGrid w:val="0"/>
      <w:szCs w:val="21"/>
    </w:rPr>
  </w:style>
  <w:style w:type="character" w:customStyle="1" w:styleId="40">
    <w:name w:val="批注文字 字符"/>
    <w:link w:val="12"/>
    <w:qFormat/>
    <w:locked/>
    <w:uiPriority w:val="0"/>
    <w:rPr>
      <w:rFonts w:ascii="Times New Roman" w:hAnsi="Times New Roman" w:eastAsia="宋体"/>
      <w:sz w:val="24"/>
    </w:rPr>
  </w:style>
  <w:style w:type="character" w:customStyle="1" w:styleId="41">
    <w:name w:val="正文文本 字符"/>
    <w:link w:val="13"/>
    <w:qFormat/>
    <w:locked/>
    <w:uiPriority w:val="0"/>
    <w:rPr>
      <w:sz w:val="18"/>
    </w:rPr>
  </w:style>
  <w:style w:type="character" w:customStyle="1" w:styleId="42">
    <w:name w:val="正文文本缩进 字符"/>
    <w:link w:val="14"/>
    <w:semiHidden/>
    <w:qFormat/>
    <w:locked/>
    <w:uiPriority w:val="0"/>
    <w:rPr>
      <w:rFonts w:ascii="Times New Roman" w:hAnsi="Times New Roman" w:eastAsia="宋体"/>
      <w:sz w:val="24"/>
    </w:rPr>
  </w:style>
  <w:style w:type="character" w:customStyle="1" w:styleId="43">
    <w:name w:val="页眉 字符"/>
    <w:link w:val="15"/>
    <w:qFormat/>
    <w:locked/>
    <w:uiPriority w:val="0"/>
    <w:rPr>
      <w:sz w:val="18"/>
    </w:rPr>
  </w:style>
  <w:style w:type="character" w:customStyle="1" w:styleId="44">
    <w:name w:val="日期 字符1"/>
    <w:link w:val="17"/>
    <w:qFormat/>
    <w:locked/>
    <w:uiPriority w:val="0"/>
    <w:rPr>
      <w:rFonts w:ascii="Times New Roman" w:hAnsi="Times New Roman" w:eastAsia="宋体"/>
      <w:sz w:val="24"/>
    </w:rPr>
  </w:style>
  <w:style w:type="character" w:customStyle="1" w:styleId="45">
    <w:name w:val="批注框文本 字符"/>
    <w:link w:val="19"/>
    <w:semiHidden/>
    <w:qFormat/>
    <w:locked/>
    <w:uiPriority w:val="0"/>
    <w:rPr>
      <w:rFonts w:ascii="Times New Roman" w:hAnsi="Times New Roman" w:eastAsia="宋体"/>
      <w:sz w:val="18"/>
    </w:rPr>
  </w:style>
  <w:style w:type="character" w:customStyle="1" w:styleId="46">
    <w:name w:val="页脚 字符1"/>
    <w:link w:val="20"/>
    <w:qFormat/>
    <w:locked/>
    <w:uiPriority w:val="99"/>
    <w:rPr>
      <w:sz w:val="18"/>
    </w:rPr>
  </w:style>
  <w:style w:type="character" w:customStyle="1" w:styleId="47">
    <w:name w:val="普通(网站) 字符"/>
    <w:link w:val="24"/>
    <w:qFormat/>
    <w:locked/>
    <w:uiPriority w:val="0"/>
    <w:rPr>
      <w:rFonts w:ascii="宋体" w:hAnsi="宋体" w:eastAsia="宋体"/>
      <w:sz w:val="24"/>
    </w:rPr>
  </w:style>
  <w:style w:type="character" w:customStyle="1" w:styleId="48">
    <w:name w:val="批注主题 字符"/>
    <w:link w:val="25"/>
    <w:semiHidden/>
    <w:qFormat/>
    <w:locked/>
    <w:uiPriority w:val="0"/>
    <w:rPr>
      <w:rFonts w:ascii="Times New Roman" w:hAnsi="Times New Roman" w:eastAsia="宋体"/>
      <w:b/>
      <w:kern w:val="2"/>
      <w:sz w:val="24"/>
    </w:rPr>
  </w:style>
  <w:style w:type="character" w:customStyle="1" w:styleId="49">
    <w:name w:val="正文文本 字符1"/>
    <w:semiHidden/>
    <w:qFormat/>
    <w:uiPriority w:val="0"/>
    <w:rPr>
      <w:rFonts w:ascii="Times New Roman" w:hAnsi="Times New Roman" w:eastAsia="宋体"/>
      <w:sz w:val="24"/>
    </w:rPr>
  </w:style>
  <w:style w:type="character" w:customStyle="1" w:styleId="50">
    <w:name w:val="日期 字符"/>
    <w:semiHidden/>
    <w:qFormat/>
    <w:uiPriority w:val="0"/>
    <w:rPr>
      <w:rFonts w:ascii="Times New Roman" w:hAnsi="Times New Roman" w:eastAsia="宋体"/>
      <w:sz w:val="24"/>
    </w:rPr>
  </w:style>
  <w:style w:type="character" w:customStyle="1" w:styleId="51">
    <w:name w:val="页脚 字符"/>
    <w:qFormat/>
    <w:uiPriority w:val="99"/>
  </w:style>
  <w:style w:type="character" w:customStyle="1" w:styleId="52">
    <w:name w:val="表格 Char"/>
    <w:link w:val="53"/>
    <w:qFormat/>
    <w:locked/>
    <w:uiPriority w:val="0"/>
    <w:rPr>
      <w:rFonts w:ascii="宋体"/>
      <w:sz w:val="21"/>
    </w:rPr>
  </w:style>
  <w:style w:type="paragraph" w:customStyle="1" w:styleId="53">
    <w:name w:val="表格"/>
    <w:basedOn w:val="1"/>
    <w:next w:val="1"/>
    <w:link w:val="52"/>
    <w:qFormat/>
    <w:uiPriority w:val="0"/>
    <w:pPr>
      <w:adjustRightInd w:val="0"/>
      <w:snapToGrid w:val="0"/>
      <w:spacing w:beforeLines="10" w:afterLines="10" w:line="259" w:lineRule="auto"/>
      <w:jc w:val="center"/>
    </w:pPr>
    <w:rPr>
      <w:rFonts w:ascii="宋体"/>
      <w:kern w:val="0"/>
      <w:szCs w:val="20"/>
    </w:rPr>
  </w:style>
  <w:style w:type="character" w:customStyle="1" w:styleId="54">
    <w:name w:val="批注文字 字符1"/>
    <w:semiHidden/>
    <w:qFormat/>
    <w:uiPriority w:val="0"/>
    <w:rPr>
      <w:rFonts w:ascii="Times New Roman" w:hAnsi="Times New Roman" w:eastAsia="宋体"/>
      <w:sz w:val="24"/>
    </w:rPr>
  </w:style>
  <w:style w:type="paragraph" w:customStyle="1" w:styleId="5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56">
    <w:name w:val="Table Paragraph"/>
    <w:basedOn w:val="1"/>
    <w:qFormat/>
    <w:uiPriority w:val="1"/>
    <w:rPr>
      <w:rFonts w:ascii="仿宋" w:hAnsi="仿宋" w:eastAsia="仿宋" w:cs="仿宋"/>
      <w:lang w:val="zh-CN" w:bidi="zh-CN"/>
    </w:rPr>
  </w:style>
  <w:style w:type="paragraph" w:customStyle="1" w:styleId="57">
    <w:name w:val="xl26"/>
    <w:basedOn w:val="1"/>
    <w:qFormat/>
    <w:uiPriority w:val="0"/>
    <w:pPr>
      <w:widowControl/>
      <w:pBdr>
        <w:left w:val="single" w:color="auto" w:sz="12" w:space="0"/>
      </w:pBdr>
      <w:spacing w:before="100" w:beforeAutospacing="1" w:after="100" w:afterAutospacing="1"/>
      <w:jc w:val="left"/>
    </w:pPr>
    <w:rPr>
      <w:rFonts w:ascii="Arial Unicode MS" w:hAnsi="Arial Unicode MS" w:cs="宋体"/>
      <w:kern w:val="0"/>
      <w:sz w:val="24"/>
      <w:lang w:val="en-AU" w:eastAsia="en-US"/>
    </w:rPr>
  </w:style>
  <w:style w:type="paragraph" w:customStyle="1" w:styleId="58">
    <w:name w:val="表格内容"/>
    <w:basedOn w:val="1"/>
    <w:qFormat/>
    <w:uiPriority w:val="0"/>
    <w:pPr>
      <w:jc w:val="center"/>
    </w:pPr>
    <w:rPr>
      <w:szCs w:val="21"/>
    </w:rPr>
  </w:style>
  <w:style w:type="paragraph" w:customStyle="1" w:styleId="59">
    <w:name w:val="正文A"/>
    <w:basedOn w:val="1"/>
    <w:qFormat/>
    <w:uiPriority w:val="0"/>
    <w:pPr>
      <w:spacing w:line="500" w:lineRule="exact"/>
      <w:ind w:firstLine="200" w:firstLineChars="200"/>
    </w:pPr>
    <w:rPr>
      <w:sz w:val="24"/>
    </w:rPr>
  </w:style>
  <w:style w:type="paragraph" w:customStyle="1" w:styleId="60">
    <w:name w:val="正文(首行缩进)"/>
    <w:basedOn w:val="1"/>
    <w:link w:val="87"/>
    <w:qFormat/>
    <w:uiPriority w:val="0"/>
    <w:pPr>
      <w:adjustRightInd w:val="0"/>
      <w:snapToGrid w:val="0"/>
      <w:spacing w:line="360" w:lineRule="auto"/>
      <w:ind w:firstLine="482" w:firstLineChars="200"/>
    </w:pPr>
    <w:rPr>
      <w:rFonts w:hAnsi="宋体"/>
      <w:b/>
      <w:bCs/>
      <w:color w:val="000000"/>
      <w:sz w:val="24"/>
      <w:szCs w:val="28"/>
    </w:rPr>
  </w:style>
  <w:style w:type="paragraph" w:customStyle="1" w:styleId="61">
    <w:name w:val="表格标题"/>
    <w:basedOn w:val="9"/>
    <w:next w:val="9"/>
    <w:link w:val="88"/>
    <w:qFormat/>
    <w:uiPriority w:val="0"/>
    <w:pPr>
      <w:spacing w:before="50" w:beforeLines="50"/>
      <w:ind w:firstLine="0" w:firstLineChars="0"/>
      <w:jc w:val="center"/>
    </w:pPr>
    <w:rPr>
      <w:rFonts w:eastAsia="黑体"/>
    </w:rPr>
  </w:style>
  <w:style w:type="paragraph" w:customStyle="1" w:styleId="6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character" w:customStyle="1" w:styleId="63">
    <w:name w:val="fontstyle21"/>
    <w:qFormat/>
    <w:uiPriority w:val="0"/>
    <w:rPr>
      <w:rFonts w:hint="eastAsia" w:ascii="宋体" w:hAnsi="宋体" w:eastAsia="宋体"/>
      <w:color w:val="000000"/>
      <w:sz w:val="24"/>
      <w:szCs w:val="24"/>
    </w:rPr>
  </w:style>
  <w:style w:type="paragraph" w:customStyle="1" w:styleId="64">
    <w:name w:val="正文26-5.21"/>
    <w:basedOn w:val="1"/>
    <w:link w:val="65"/>
    <w:qFormat/>
    <w:uiPriority w:val="0"/>
    <w:pPr>
      <w:adjustRightInd w:val="0"/>
      <w:snapToGrid w:val="0"/>
      <w:spacing w:line="520" w:lineRule="exact"/>
      <w:ind w:firstLine="480" w:firstLineChars="200"/>
      <w:textAlignment w:val="baseline"/>
    </w:pPr>
    <w:rPr>
      <w:rFonts w:cs="宋体"/>
      <w:snapToGrid w:val="0"/>
      <w:sz w:val="24"/>
    </w:rPr>
  </w:style>
  <w:style w:type="character" w:customStyle="1" w:styleId="65">
    <w:name w:val="正文26-5.21 字符"/>
    <w:link w:val="64"/>
    <w:qFormat/>
    <w:uiPriority w:val="0"/>
    <w:rPr>
      <w:rFonts w:cs="宋体"/>
      <w:snapToGrid/>
      <w:kern w:val="2"/>
      <w:sz w:val="24"/>
      <w:szCs w:val="24"/>
    </w:rPr>
  </w:style>
  <w:style w:type="paragraph" w:customStyle="1" w:styleId="66">
    <w:name w:val="正文邓"/>
    <w:basedOn w:val="1"/>
    <w:qFormat/>
    <w:uiPriority w:val="0"/>
    <w:pPr>
      <w:adjustRightInd w:val="0"/>
      <w:snapToGrid w:val="0"/>
      <w:spacing w:line="360" w:lineRule="auto"/>
      <w:ind w:firstLine="480" w:firstLineChars="200"/>
      <w:jc w:val="left"/>
    </w:pPr>
    <w:rPr>
      <w:bCs/>
      <w:snapToGrid w:val="0"/>
      <w:kern w:val="0"/>
      <w:sz w:val="24"/>
    </w:rPr>
  </w:style>
  <w:style w:type="paragraph" w:customStyle="1" w:styleId="67">
    <w:name w:val="邓表头标题"/>
    <w:basedOn w:val="1"/>
    <w:qFormat/>
    <w:uiPriority w:val="0"/>
    <w:pPr>
      <w:snapToGrid w:val="0"/>
      <w:jc w:val="center"/>
    </w:pPr>
    <w:rPr>
      <w:rFonts w:ascii="黑体" w:hAnsi="黑体" w:eastAsia="黑体"/>
      <w:b/>
      <w:bCs/>
      <w:lang w:eastAsia="en-US"/>
    </w:rPr>
  </w:style>
  <w:style w:type="paragraph" w:customStyle="1" w:styleId="68">
    <w:name w:val="邓表格文字"/>
    <w:basedOn w:val="1"/>
    <w:qFormat/>
    <w:uiPriority w:val="0"/>
    <w:pPr>
      <w:widowControl/>
      <w:snapToGrid w:val="0"/>
      <w:spacing w:line="240" w:lineRule="exact"/>
      <w:jc w:val="center"/>
    </w:pPr>
    <w:rPr>
      <w:rFonts w:ascii="宋体" w:hAnsi="宋体"/>
    </w:rPr>
  </w:style>
  <w:style w:type="paragraph" w:customStyle="1" w:styleId="69">
    <w:name w:val="表头A"/>
    <w:basedOn w:val="70"/>
    <w:qFormat/>
    <w:uiPriority w:val="0"/>
    <w:pPr>
      <w:widowControl/>
      <w:spacing w:beforeLines="0" w:line="500" w:lineRule="exact"/>
      <w:ind w:firstLine="0" w:firstLineChars="0"/>
      <w:jc w:val="center"/>
    </w:pPr>
    <w:rPr>
      <w:rFonts w:eastAsia="宋体"/>
      <w:b/>
      <w:sz w:val="24"/>
    </w:rPr>
  </w:style>
  <w:style w:type="paragraph" w:customStyle="1" w:styleId="70">
    <w:name w:val="表头"/>
    <w:basedOn w:val="1"/>
    <w:link w:val="93"/>
    <w:qFormat/>
    <w:uiPriority w:val="0"/>
    <w:pPr>
      <w:spacing w:beforeLines="50" w:line="400" w:lineRule="exact"/>
      <w:ind w:firstLine="200" w:firstLineChars="200"/>
    </w:pPr>
    <w:rPr>
      <w:rFonts w:eastAsia="黑体"/>
    </w:rPr>
  </w:style>
  <w:style w:type="paragraph" w:customStyle="1" w:styleId="71">
    <w:name w:val="表格标题1"/>
    <w:basedOn w:val="72"/>
    <w:qFormat/>
    <w:uiPriority w:val="0"/>
    <w:pPr>
      <w:spacing w:line="240" w:lineRule="auto"/>
      <w:ind w:firstLine="0" w:firstLineChars="0"/>
      <w:jc w:val="center"/>
    </w:pPr>
    <w:rPr>
      <w:rFonts w:ascii="黑体" w:hAnsi="黑体" w:eastAsia="黑体"/>
      <w:kern w:val="0"/>
    </w:rPr>
  </w:style>
  <w:style w:type="paragraph" w:customStyle="1" w:styleId="72">
    <w:name w:val="正文26"/>
    <w:basedOn w:val="73"/>
    <w:qFormat/>
    <w:uiPriority w:val="0"/>
    <w:pPr>
      <w:snapToGrid w:val="0"/>
      <w:spacing w:line="520" w:lineRule="exact"/>
      <w:ind w:firstLine="480" w:firstLineChars="200"/>
      <w:jc w:val="both"/>
    </w:pPr>
    <w:rPr>
      <w:snapToGrid w:val="0"/>
      <w:kern w:val="2"/>
    </w:rPr>
  </w:style>
  <w:style w:type="paragraph" w:customStyle="1" w:styleId="73">
    <w:name w:val="样式2"/>
    <w:basedOn w:val="1"/>
    <w:qFormat/>
    <w:uiPriority w:val="0"/>
    <w:pPr>
      <w:adjustRightInd w:val="0"/>
      <w:spacing w:line="300" w:lineRule="atLeast"/>
      <w:jc w:val="center"/>
      <w:textAlignment w:val="baseline"/>
    </w:pPr>
    <w:rPr>
      <w:rFonts w:eastAsia="楷体_GB2312"/>
      <w:kern w:val="28"/>
      <w:szCs w:val="20"/>
    </w:rPr>
  </w:style>
  <w:style w:type="table" w:customStyle="1" w:styleId="74">
    <w:name w:val="Table Normal"/>
    <w:qFormat/>
    <w:uiPriority w:val="2"/>
    <w:pPr>
      <w:widowControl w:val="0"/>
      <w:autoSpaceDE w:val="0"/>
      <w:autoSpaceDN w:val="0"/>
    </w:pPr>
    <w:rPr>
      <w:rFonts w:ascii="Calibri" w:hAnsi="Calibri" w:cs="宋体"/>
      <w:sz w:val="22"/>
      <w:szCs w:val="22"/>
      <w:lang w:eastAsia="en-US"/>
    </w:rPr>
    <w:tblPr>
      <w:tblCellMar>
        <w:top w:w="0" w:type="dxa"/>
        <w:left w:w="0" w:type="dxa"/>
        <w:bottom w:w="0" w:type="dxa"/>
        <w:right w:w="0" w:type="dxa"/>
      </w:tblCellMar>
    </w:tblPr>
  </w:style>
  <w:style w:type="paragraph" w:customStyle="1" w:styleId="75">
    <w:name w:val="表格内文字"/>
    <w:basedOn w:val="1"/>
    <w:qFormat/>
    <w:uiPriority w:val="0"/>
    <w:pPr>
      <w:tabs>
        <w:tab w:val="left" w:pos="0"/>
      </w:tabs>
      <w:adjustRightInd w:val="0"/>
      <w:snapToGrid w:val="0"/>
      <w:jc w:val="center"/>
    </w:pPr>
    <w:rPr>
      <w:szCs w:val="21"/>
    </w:rPr>
  </w:style>
  <w:style w:type="paragraph" w:customStyle="1" w:styleId="76">
    <w:name w:val="表内容"/>
    <w:basedOn w:val="1"/>
    <w:next w:val="1"/>
    <w:qFormat/>
    <w:uiPriority w:val="0"/>
    <w:pPr>
      <w:jc w:val="center"/>
    </w:pPr>
    <w:rPr>
      <w:szCs w:val="21"/>
    </w:rPr>
  </w:style>
  <w:style w:type="character" w:customStyle="1" w:styleId="77">
    <w:name w:val="font01"/>
    <w:basedOn w:val="30"/>
    <w:qFormat/>
    <w:uiPriority w:val="0"/>
    <w:rPr>
      <w:rFonts w:hint="eastAsia" w:ascii="宋体" w:hAnsi="宋体" w:eastAsia="宋体" w:cs="宋体"/>
      <w:color w:val="000000"/>
      <w:sz w:val="21"/>
      <w:szCs w:val="21"/>
      <w:u w:val="none"/>
    </w:rPr>
  </w:style>
  <w:style w:type="paragraph" w:customStyle="1" w:styleId="78">
    <w:name w:val="正文首行缩进 21"/>
    <w:basedOn w:val="1"/>
    <w:link w:val="79"/>
    <w:qFormat/>
    <w:uiPriority w:val="0"/>
    <w:pPr>
      <w:spacing w:line="540" w:lineRule="exact"/>
      <w:ind w:firstLine="420" w:firstLineChars="200"/>
    </w:pPr>
    <w:rPr>
      <w:rFonts w:eastAsia="方正仿宋简体"/>
      <w:sz w:val="28"/>
      <w:szCs w:val="20"/>
    </w:rPr>
  </w:style>
  <w:style w:type="character" w:customStyle="1" w:styleId="79">
    <w:name w:val="正文首行缩进 2 Char"/>
    <w:link w:val="78"/>
    <w:qFormat/>
    <w:uiPriority w:val="0"/>
    <w:rPr>
      <w:rFonts w:eastAsia="方正仿宋简体"/>
      <w:kern w:val="2"/>
      <w:sz w:val="28"/>
    </w:rPr>
  </w:style>
  <w:style w:type="paragraph" w:customStyle="1" w:styleId="80">
    <w:name w:val="表格标题5.21"/>
    <w:basedOn w:val="1"/>
    <w:link w:val="81"/>
    <w:qFormat/>
    <w:uiPriority w:val="0"/>
    <w:pPr>
      <w:adjustRightInd w:val="0"/>
      <w:snapToGrid w:val="0"/>
      <w:spacing w:line="520" w:lineRule="exact"/>
      <w:jc w:val="center"/>
      <w:textAlignment w:val="baseline"/>
    </w:pPr>
    <w:rPr>
      <w:rFonts w:ascii="黑体" w:hAnsi="黑体" w:eastAsia="黑体" w:cs="宋体"/>
      <w:snapToGrid w:val="0"/>
      <w:kern w:val="0"/>
      <w:sz w:val="24"/>
    </w:rPr>
  </w:style>
  <w:style w:type="character" w:customStyle="1" w:styleId="81">
    <w:name w:val="表格标题5.21 字符"/>
    <w:link w:val="80"/>
    <w:qFormat/>
    <w:uiPriority w:val="0"/>
    <w:rPr>
      <w:rFonts w:ascii="黑体" w:hAnsi="黑体" w:eastAsia="黑体" w:cs="宋体"/>
      <w:snapToGrid w:val="0"/>
      <w:sz w:val="24"/>
      <w:szCs w:val="24"/>
    </w:rPr>
  </w:style>
  <w:style w:type="character" w:customStyle="1" w:styleId="82">
    <w:name w:val="纯文本 字符"/>
    <w:link w:val="16"/>
    <w:qFormat/>
    <w:uiPriority w:val="99"/>
    <w:rPr>
      <w:rFonts w:ascii="宋体" w:hAnsi="Courier New"/>
      <w:kern w:val="2"/>
      <w:sz w:val="21"/>
      <w:szCs w:val="24"/>
    </w:rPr>
  </w:style>
  <w:style w:type="character" w:customStyle="1" w:styleId="83">
    <w:name w:val="未处理的提及1"/>
    <w:basedOn w:val="30"/>
    <w:semiHidden/>
    <w:unhideWhenUsed/>
    <w:qFormat/>
    <w:uiPriority w:val="99"/>
    <w:rPr>
      <w:color w:val="605E5C"/>
      <w:shd w:val="clear" w:color="auto" w:fill="E1DFDD"/>
    </w:rPr>
  </w:style>
  <w:style w:type="character" w:customStyle="1" w:styleId="84">
    <w:name w:val="正文首行缩进 Char"/>
    <w:link w:val="85"/>
    <w:qFormat/>
    <w:uiPriority w:val="0"/>
    <w:rPr>
      <w:kern w:val="2"/>
      <w:sz w:val="21"/>
    </w:rPr>
  </w:style>
  <w:style w:type="paragraph" w:customStyle="1" w:styleId="85">
    <w:name w:val="正文首行缩进1"/>
    <w:basedOn w:val="13"/>
    <w:link w:val="84"/>
    <w:qFormat/>
    <w:uiPriority w:val="0"/>
    <w:pPr>
      <w:widowControl w:val="0"/>
      <w:snapToGrid/>
      <w:spacing w:before="0" w:after="120" w:line="240" w:lineRule="auto"/>
      <w:ind w:right="0" w:firstLine="420" w:firstLineChars="100"/>
    </w:pPr>
    <w:rPr>
      <w:kern w:val="2"/>
      <w:sz w:val="21"/>
    </w:rPr>
  </w:style>
  <w:style w:type="paragraph" w:customStyle="1" w:styleId="86">
    <w:name w:val="1正文"/>
    <w:basedOn w:val="1"/>
    <w:qFormat/>
    <w:uiPriority w:val="0"/>
    <w:pPr>
      <w:widowControl/>
      <w:spacing w:line="360" w:lineRule="auto"/>
      <w:ind w:firstLine="200" w:firstLineChars="200"/>
    </w:pPr>
    <w:rPr>
      <w:kern w:val="0"/>
      <w:sz w:val="24"/>
      <w:szCs w:val="20"/>
      <w:lang w:val="en-GB"/>
    </w:rPr>
  </w:style>
  <w:style w:type="character" w:customStyle="1" w:styleId="87">
    <w:name w:val="正文(首行缩进) Char"/>
    <w:link w:val="60"/>
    <w:qFormat/>
    <w:locked/>
    <w:uiPriority w:val="0"/>
    <w:rPr>
      <w:rFonts w:hAnsi="宋体"/>
      <w:b/>
      <w:bCs/>
      <w:color w:val="000000"/>
      <w:kern w:val="2"/>
      <w:sz w:val="24"/>
      <w:szCs w:val="28"/>
    </w:rPr>
  </w:style>
  <w:style w:type="character" w:customStyle="1" w:styleId="88">
    <w:name w:val="表格标题 Char Char"/>
    <w:link w:val="61"/>
    <w:qFormat/>
    <w:uiPriority w:val="0"/>
    <w:rPr>
      <w:rFonts w:eastAsia="黑体"/>
      <w:sz w:val="21"/>
      <w:szCs w:val="24"/>
    </w:rPr>
  </w:style>
  <w:style w:type="character" w:customStyle="1" w:styleId="89">
    <w:name w:val="15"/>
    <w:qFormat/>
    <w:uiPriority w:val="0"/>
    <w:rPr>
      <w:rFonts w:hint="eastAsia" w:ascii="PMingLiU" w:eastAsia="PMingLiU"/>
      <w:color w:val="000000"/>
      <w:spacing w:val="20"/>
      <w:sz w:val="24"/>
      <w:szCs w:val="24"/>
    </w:rPr>
  </w:style>
  <w:style w:type="paragraph" w:customStyle="1" w:styleId="90">
    <w:name w:val="无间隔1"/>
    <w:qFormat/>
    <w:uiPriority w:val="1"/>
    <w:rPr>
      <w:rFonts w:ascii="Times New Roman" w:hAnsi="Times New Roman" w:eastAsia="宋体" w:cs="Times New Roman"/>
      <w:sz w:val="22"/>
      <w:szCs w:val="22"/>
      <w:lang w:val="en-US" w:eastAsia="zh-CN" w:bidi="ar-SA"/>
    </w:rPr>
  </w:style>
  <w:style w:type="character" w:customStyle="1" w:styleId="91">
    <w:name w:val="标题 2 字符"/>
    <w:basedOn w:val="30"/>
    <w:link w:val="6"/>
    <w:semiHidden/>
    <w:qFormat/>
    <w:uiPriority w:val="0"/>
    <w:rPr>
      <w:rFonts w:asciiTheme="majorHAnsi" w:hAnsiTheme="majorHAnsi" w:eastAsiaTheme="majorEastAsia" w:cstheme="majorBidi"/>
      <w:b/>
      <w:bCs/>
      <w:kern w:val="2"/>
      <w:sz w:val="32"/>
      <w:szCs w:val="32"/>
    </w:rPr>
  </w:style>
  <w:style w:type="character" w:customStyle="1" w:styleId="92">
    <w:name w:val="标题 3 字符"/>
    <w:basedOn w:val="30"/>
    <w:link w:val="7"/>
    <w:semiHidden/>
    <w:qFormat/>
    <w:uiPriority w:val="0"/>
    <w:rPr>
      <w:b/>
      <w:bCs/>
      <w:kern w:val="2"/>
      <w:sz w:val="32"/>
      <w:szCs w:val="32"/>
    </w:rPr>
  </w:style>
  <w:style w:type="character" w:customStyle="1" w:styleId="93">
    <w:name w:val="表头 Char2"/>
    <w:link w:val="70"/>
    <w:qFormat/>
    <w:locked/>
    <w:uiPriority w:val="0"/>
    <w:rPr>
      <w:rFonts w:eastAsia="黑体"/>
      <w:kern w:val="2"/>
      <w:sz w:val="21"/>
      <w:szCs w:val="24"/>
    </w:rPr>
  </w:style>
  <w:style w:type="paragraph" w:customStyle="1" w:styleId="94">
    <w:name w:val="4正文"/>
    <w:basedOn w:val="1"/>
    <w:qFormat/>
    <w:uiPriority w:val="0"/>
    <w:pPr>
      <w:widowControl/>
      <w:spacing w:line="360" w:lineRule="auto"/>
      <w:ind w:firstLine="200" w:firstLineChars="200"/>
    </w:pPr>
    <w:rPr>
      <w:sz w:val="24"/>
      <w:szCs w:val="22"/>
    </w:rPr>
  </w:style>
  <w:style w:type="paragraph" w:customStyle="1" w:styleId="95">
    <w:name w:val="正文首行缩进 2 + Times New Roman"/>
    <w:basedOn w:val="1"/>
    <w:qFormat/>
    <w:uiPriority w:val="0"/>
    <w:pPr>
      <w:tabs>
        <w:tab w:val="left" w:pos="0"/>
        <w:tab w:val="left" w:pos="870"/>
        <w:tab w:val="left" w:pos="3150"/>
      </w:tabs>
      <w:autoSpaceDE w:val="0"/>
      <w:autoSpaceDN w:val="0"/>
      <w:spacing w:line="360" w:lineRule="auto"/>
      <w:ind w:firstLine="480" w:firstLineChars="200"/>
      <w:jc w:val="left"/>
    </w:pPr>
    <w:rPr>
      <w:kern w:val="0"/>
      <w:sz w:val="24"/>
    </w:rPr>
  </w:style>
  <w:style w:type="paragraph" w:customStyle="1" w:styleId="96">
    <w:name w:val="表格文字2"/>
    <w:basedOn w:val="1"/>
    <w:qFormat/>
    <w:uiPriority w:val="0"/>
    <w:pPr>
      <w:tabs>
        <w:tab w:val="left" w:pos="277"/>
        <w:tab w:val="left" w:pos="600"/>
        <w:tab w:val="left" w:pos="780"/>
        <w:tab w:val="left" w:pos="2517"/>
      </w:tabs>
      <w:spacing w:before="60"/>
      <w:jc w:val="center"/>
    </w:pPr>
    <w:rPr>
      <w:kern w:val="0"/>
      <w:szCs w:val="21"/>
    </w:rPr>
  </w:style>
  <w:style w:type="paragraph" w:customStyle="1" w:styleId="97">
    <w:name w:val="样式 正文首行缩进 + 首行缩进:  2 字符1"/>
    <w:basedOn w:val="26"/>
    <w:qFormat/>
    <w:uiPriority w:val="0"/>
    <w:pPr>
      <w:spacing w:after="0" w:line="360" w:lineRule="auto"/>
      <w:ind w:firstLine="480" w:firstLineChars="200"/>
    </w:pPr>
    <w:rPr>
      <w:sz w:val="24"/>
    </w:rPr>
  </w:style>
  <w:style w:type="paragraph" w:customStyle="1" w:styleId="98">
    <w:name w:val="Normal (Web)"/>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4"/>
      <w:szCs w:val="24"/>
    </w:rPr>
  </w:style>
  <w:style w:type="paragraph" w:customStyle="1" w:styleId="99">
    <w:name w:val="Plain Text"/>
    <w:basedOn w:val="1"/>
    <w:qFormat/>
    <w:uiPriority w:val="0"/>
    <w:rPr>
      <w:rFonts w:ascii="宋体" w:hAnsi="Courier New" w:eastAsia="仿宋_GB2312"/>
      <w:kern w:val="2"/>
      <w:sz w:val="28"/>
      <w:lang w:val="en-US" w:eastAsia="zh-CN"/>
    </w:rPr>
  </w:style>
  <w:style w:type="paragraph" w:customStyle="1" w:styleId="100">
    <w:name w:val="1"/>
    <w:basedOn w:val="1"/>
    <w:next w:val="16"/>
    <w:qFormat/>
    <w:uiPriority w:val="0"/>
    <w:rPr>
      <w:rFonts w:ascii="宋体" w:hAnsi="Courier New" w:cs="Courier New"/>
      <w:szCs w:val="21"/>
    </w:rPr>
  </w:style>
  <w:style w:type="paragraph" w:customStyle="1" w:styleId="101">
    <w:name w:val="！表"/>
    <w:basedOn w:val="1"/>
    <w:qFormat/>
    <w:uiPriority w:val="0"/>
    <w:pPr>
      <w:spacing w:line="360" w:lineRule="auto"/>
      <w:jc w:val="center"/>
    </w:pPr>
    <w:rPr>
      <w:rFonts w:eastAsia="黑体"/>
      <w:sz w:val="24"/>
    </w:rPr>
  </w:style>
  <w:style w:type="paragraph" w:customStyle="1" w:styleId="102">
    <w:name w:val="表格文字"/>
    <w:basedOn w:val="13"/>
    <w:next w:val="1"/>
    <w:qFormat/>
    <w:uiPriority w:val="0"/>
    <w:pPr>
      <w:spacing w:line="320" w:lineRule="exact"/>
      <w:jc w:val="center"/>
    </w:pPr>
    <w:rPr>
      <w:sz w:val="21"/>
    </w:rPr>
  </w:style>
  <w:style w:type="paragraph" w:customStyle="1" w:styleId="103">
    <w:name w:val="表文2"/>
    <w:basedOn w:val="1"/>
    <w:qFormat/>
    <w:uiPriority w:val="0"/>
    <w:pPr>
      <w:overflowPunct w:val="0"/>
      <w:autoSpaceDE w:val="0"/>
      <w:autoSpaceDN w:val="0"/>
      <w:adjustRightInd w:val="0"/>
      <w:spacing w:line="140" w:lineRule="atLeast"/>
      <w:jc w:val="center"/>
      <w:textAlignment w:val="baseline"/>
    </w:pPr>
    <w:rPr>
      <w:rFonts w:eastAsia="宋体"/>
      <w:color w:val="000000"/>
      <w:kern w:val="0"/>
      <w:sz w:val="21"/>
    </w:rPr>
  </w:style>
  <w:style w:type="paragraph" w:customStyle="1" w:styleId="104">
    <w:name w:val="表名"/>
    <w:basedOn w:val="1"/>
    <w:qFormat/>
    <w:uiPriority w:val="0"/>
    <w:pPr>
      <w:autoSpaceDE w:val="0"/>
      <w:autoSpaceDN w:val="0"/>
      <w:adjustRightInd w:val="0"/>
      <w:spacing w:before="163"/>
      <w:jc w:val="center"/>
      <w:textAlignment w:val="baseline"/>
    </w:pPr>
    <w:rPr>
      <w:rFonts w:ascii="Arial" w:hAnsi="Arial" w:eastAsia="黑体"/>
      <w:kern w:val="0"/>
      <w:sz w:val="21"/>
      <w:lang w:val="zh-CN"/>
    </w:rPr>
  </w:style>
  <w:style w:type="paragraph" w:customStyle="1" w:styleId="105">
    <w:name w:val="表格1"/>
    <w:basedOn w:val="1"/>
    <w:qFormat/>
    <w:uiPriority w:val="0"/>
    <w:pPr>
      <w:adjustRightInd w:val="0"/>
      <w:spacing w:line="400" w:lineRule="atLeast"/>
      <w:ind w:firstLine="200" w:firstLineChars="200"/>
      <w:jc w:val="center"/>
      <w:textAlignment w:val="baseline"/>
    </w:pPr>
    <w:rPr>
      <w:rFonts w:eastAsia="宋体"/>
      <w:kern w:val="0"/>
      <w:sz w:val="24"/>
    </w:rPr>
  </w:style>
  <w:style w:type="paragraph" w:customStyle="1" w:styleId="106">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eastAsia="Arial Unicode MS"/>
      <w:kern w:val="0"/>
      <w:sz w:val="28"/>
    </w:rPr>
  </w:style>
  <w:style w:type="paragraph" w:customStyle="1" w:styleId="107">
    <w:name w:val="!z"/>
    <w:basedOn w:val="1"/>
    <w:qFormat/>
    <w:uiPriority w:val="0"/>
    <w:pPr>
      <w:spacing w:line="560" w:lineRule="exact"/>
      <w:ind w:firstLine="480" w:firstLineChars="200"/>
    </w:pPr>
    <w:rPr>
      <w:sz w:val="24"/>
    </w:rPr>
  </w:style>
  <w:style w:type="paragraph" w:styleId="108">
    <w:name w:val="List Paragraph"/>
    <w:basedOn w:val="1"/>
    <w:qFormat/>
    <w:uiPriority w:val="34"/>
    <w:pPr>
      <w:ind w:firstLine="420" w:firstLineChars="200"/>
    </w:pPr>
    <w:rPr>
      <w:rFonts w:ascii="Calibri" w:hAnsi="Calibri"/>
    </w:rPr>
  </w:style>
  <w:style w:type="paragraph" w:customStyle="1" w:styleId="109">
    <w:name w:val="正文26-模板"/>
    <w:basedOn w:val="1"/>
    <w:qFormat/>
    <w:uiPriority w:val="0"/>
    <w:pPr>
      <w:adjustRightInd w:val="0"/>
      <w:snapToGrid w:val="0"/>
      <w:spacing w:line="520" w:lineRule="exact"/>
      <w:ind w:firstLine="480" w:firstLineChars="200"/>
      <w:textAlignment w:val="baseline"/>
    </w:pPr>
    <w:rPr>
      <w:snapToGrid w:val="0"/>
      <w:kern w:val="0"/>
      <w:sz w:val="24"/>
      <w:szCs w:val="20"/>
    </w:rPr>
  </w:style>
  <w:style w:type="paragraph" w:customStyle="1" w:styleId="110">
    <w:name w:val="表格内容-模板"/>
    <w:basedOn w:val="1"/>
    <w:qFormat/>
    <w:uiPriority w:val="0"/>
    <w:pPr>
      <w:widowControl/>
      <w:jc w:val="center"/>
    </w:pPr>
    <w:rPr>
      <w:kern w:val="0"/>
      <w:szCs w:val="20"/>
    </w:rPr>
  </w:style>
  <w:style w:type="paragraph" w:customStyle="1" w:styleId="111">
    <w:name w:val="A-z正文"/>
    <w:basedOn w:val="1"/>
    <w:qFormat/>
    <w:uiPriority w:val="0"/>
    <w:pPr>
      <w:spacing w:line="360" w:lineRule="auto"/>
      <w:ind w:firstLine="200" w:firstLineChars="200"/>
    </w:pPr>
    <w:rPr>
      <w:rFonts w:cs="宋体"/>
      <w:sz w:val="24"/>
      <w:szCs w:val="20"/>
    </w:rPr>
  </w:style>
  <w:style w:type="paragraph" w:customStyle="1" w:styleId="112">
    <w:name w:val="表头、图号"/>
    <w:basedOn w:val="1"/>
    <w:qFormat/>
    <w:uiPriority w:val="0"/>
    <w:pPr>
      <w:jc w:val="center"/>
    </w:pPr>
    <w:rPr>
      <w:rFonts w:eastAsia="黑体" w:cs="Times New Roman"/>
      <w:b/>
      <w:szCs w:val="22"/>
    </w:rPr>
  </w:style>
  <w:style w:type="paragraph" w:customStyle="1" w:styleId="113">
    <w:name w:val="表内文字"/>
    <w:basedOn w:val="1"/>
    <w:qFormat/>
    <w:uiPriority w:val="0"/>
    <w:pPr>
      <w:jc w:val="center"/>
    </w:pPr>
    <w:rPr>
      <w:rFonts w:cs="Times New Roman"/>
      <w:szCs w:val="21"/>
    </w:rPr>
  </w:style>
  <w:style w:type="paragraph" w:customStyle="1" w:styleId="114">
    <w:name w:val="表后空格"/>
    <w:basedOn w:val="1"/>
    <w:qFormat/>
    <w:uiPriority w:val="0"/>
    <w:pPr>
      <w:spacing w:line="240" w:lineRule="exact"/>
      <w:ind w:firstLine="964" w:firstLineChars="200"/>
    </w:pPr>
    <w:rPr>
      <w:rFonts w:cs="Times New Roman"/>
      <w:sz w:val="18"/>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33.pn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jpe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100</Pages>
  <Words>39185</Words>
  <Characters>44810</Characters>
  <Lines>241</Lines>
  <Paragraphs>67</Paragraphs>
  <TotalTime>27</TotalTime>
  <ScaleCrop>false</ScaleCrop>
  <LinksUpToDate>false</LinksUpToDate>
  <CharactersWithSpaces>45112</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2021-04-28T08:01:00Z</dcterms:created>
  <dc:creator>天之宇</dc:creator>
  <cp:lastModifiedBy>Administrator</cp:lastModifiedBy>
  <cp:lastPrinted>2022-02-28T05:00:10Z</cp:lastPrinted>
  <dcterms:modified xsi:type="dcterms:W3CDTF">2022-02-28T05:02:06Z</dcterms:modified>
  <dc:title>附件2</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81944FA173124E8AB4503F9C3B0CE816</vt:lpwstr>
  </property>
</Properties>
</file>