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ind w:left="0" w:leftChars="0" w:firstLine="0" w:firstLineChars="0"/>
        <w:jc w:val="both"/>
        <w:outlineLvl w:val="0"/>
        <w:rPr>
          <w:rFonts w:hint="eastAsia" w:ascii="黑体" w:hAnsi="黑体" w:eastAsia="黑体" w:cs="Times New Roman"/>
          <w:snapToGrid w:val="0"/>
          <w:kern w:val="0"/>
          <w:sz w:val="30"/>
          <w:szCs w:val="30"/>
          <w:lang w:eastAsia="zh-CN"/>
        </w:rPr>
      </w:pPr>
      <w:r>
        <w:rPr>
          <w:rFonts w:hint="eastAsia" w:ascii="黑体" w:hAnsi="黑体" w:eastAsia="黑体" w:cs="Times New Roman"/>
          <w:snapToGrid w:val="0"/>
          <w:kern w:val="0"/>
          <w:sz w:val="30"/>
          <w:szCs w:val="30"/>
          <w:lang w:eastAsia="zh-CN"/>
        </w:rPr>
        <w:drawing>
          <wp:inline distT="0" distB="0" distL="114300" distR="114300">
            <wp:extent cx="5609590" cy="8003540"/>
            <wp:effectExtent l="0" t="0" r="10160" b="16510"/>
            <wp:docPr id="23" name="图片 23" descr="CCI2021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CI20210618"/>
                    <pic:cNvPicPr>
                      <a:picLocks noChangeAspect="1"/>
                    </pic:cNvPicPr>
                  </pic:nvPicPr>
                  <pic:blipFill>
                    <a:blip r:embed="rId11"/>
                    <a:stretch>
                      <a:fillRect/>
                    </a:stretch>
                  </pic:blipFill>
                  <pic:spPr>
                    <a:xfrm>
                      <a:off x="0" y="0"/>
                      <a:ext cx="5609590" cy="8003540"/>
                    </a:xfrm>
                    <a:prstGeom prst="rect">
                      <a:avLst/>
                    </a:prstGeom>
                  </pic:spPr>
                </pic:pic>
              </a:graphicData>
            </a:graphic>
          </wp:inline>
        </w:drawing>
      </w:r>
    </w:p>
    <w:p>
      <w:pPr>
        <w:widowControl/>
        <w:spacing w:before="100" w:beforeAutospacing="1" w:after="100" w:afterAutospacing="1"/>
        <w:ind w:left="0" w:leftChars="0" w:firstLine="0" w:firstLineChars="0"/>
        <w:jc w:val="both"/>
        <w:outlineLvl w:val="0"/>
        <w:rPr>
          <w:rFonts w:hint="default" w:ascii="黑体" w:hAnsi="黑体" w:eastAsia="黑体" w:cs="Times New Roman"/>
          <w:snapToGrid w:val="0"/>
          <w:kern w:val="0"/>
          <w:sz w:val="30"/>
          <w:szCs w:val="30"/>
          <w:lang w:val="en-US" w:eastAsia="zh-CN"/>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pPr>
        <w:widowControl/>
        <w:spacing w:before="100" w:beforeAutospacing="1" w:after="100" w:afterAutospacing="1"/>
        <w:ind w:left="0" w:leftChars="0" w:firstLine="0" w:firstLineChars="0"/>
        <w:jc w:val="both"/>
        <w:outlineLvl w:val="0"/>
        <w:rPr>
          <w:rFonts w:hint="default" w:ascii="黑体" w:hAnsi="黑体" w:eastAsia="黑体" w:cs="Times New Roman"/>
          <w:snapToGrid w:val="0"/>
          <w:kern w:val="0"/>
          <w:sz w:val="30"/>
          <w:szCs w:val="30"/>
          <w:lang w:val="en-US" w:eastAsia="zh-CN"/>
        </w:rPr>
      </w:pPr>
    </w:p>
    <w:p>
      <w:pPr>
        <w:widowControl/>
        <w:spacing w:before="100" w:beforeAutospacing="1" w:after="100" w:afterAutospacing="1"/>
        <w:ind w:left="0" w:leftChars="0" w:firstLine="0" w:firstLineChars="0"/>
        <w:jc w:val="both"/>
        <w:outlineLvl w:val="0"/>
        <w:rPr>
          <w:rFonts w:hint="default" w:ascii="黑体" w:hAnsi="黑体" w:eastAsia="黑体" w:cs="Times New Roman"/>
          <w:snapToGrid w:val="0"/>
          <w:kern w:val="0"/>
          <w:sz w:val="30"/>
          <w:szCs w:val="30"/>
          <w:lang w:val="en-US" w:eastAsia="zh-CN"/>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r>
        <w:rPr>
          <w:rFonts w:hint="default" w:ascii="黑体" w:hAnsi="黑体" w:eastAsia="黑体" w:cs="Times New Roman"/>
          <w:snapToGrid w:val="0"/>
          <w:kern w:val="0"/>
          <w:sz w:val="30"/>
          <w:szCs w:val="30"/>
          <w:lang w:val="en-US" w:eastAsia="zh-CN"/>
        </w:rPr>
        <w:drawing>
          <wp:inline distT="0" distB="0" distL="114300" distR="114300">
            <wp:extent cx="5609590" cy="7893685"/>
            <wp:effectExtent l="0" t="0" r="10160" b="12065"/>
            <wp:docPr id="28" name="图片 28" descr="CCI20210618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CI20210618_0002"/>
                    <pic:cNvPicPr>
                      <a:picLocks noChangeAspect="1"/>
                    </pic:cNvPicPr>
                  </pic:nvPicPr>
                  <pic:blipFill>
                    <a:blip r:embed="rId12"/>
                    <a:srcRect t="1373"/>
                    <a:stretch>
                      <a:fillRect/>
                    </a:stretch>
                  </pic:blipFill>
                  <pic:spPr>
                    <a:xfrm rot="10800000">
                      <a:off x="0" y="0"/>
                      <a:ext cx="5609590" cy="789368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lang w:val="en-US" w:eastAsia="zh-CN"/>
        </w:rPr>
        <w:t>现场勘探图</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7" w:hRule="atLeast"/>
          <w:jc w:val="center"/>
        </w:trPr>
        <w:tc>
          <w:tcPr>
            <w:tcW w:w="886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微软雅黑" w:cs="Times New Roman"/>
                <w:kern w:val="0"/>
                <w:sz w:val="22"/>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微软雅黑" w:cs="Times New Roman"/>
                <w:kern w:val="0"/>
                <w:sz w:val="22"/>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微软雅黑" w:cs="Times New Roman"/>
                <w:kern w:val="0"/>
                <w:sz w:val="22"/>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微软雅黑" w:cs="Times New Roman"/>
                <w:kern w:val="0"/>
                <w:sz w:val="22"/>
                <w:szCs w:val="22"/>
              </w:rPr>
            </w:pPr>
            <w:r>
              <w:rPr>
                <w:rFonts w:hint="eastAsia"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lang w:val="en-US" w:eastAsia="zh-CN" w:bidi="ar"/>
              </w:rPr>
              <w:drawing>
                <wp:inline distT="0" distB="0" distL="114300" distR="114300">
                  <wp:extent cx="2376170" cy="1782445"/>
                  <wp:effectExtent l="19050" t="19050" r="24130" b="27305"/>
                  <wp:docPr id="3" name="图片 3" descr="QQ图片2021041713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10417131326"/>
                          <pic:cNvPicPr>
                            <a:picLocks noChangeAspect="1"/>
                          </pic:cNvPicPr>
                        </pic:nvPicPr>
                        <pic:blipFill>
                          <a:blip r:embed="rId13"/>
                          <a:stretch>
                            <a:fillRect/>
                          </a:stretch>
                        </pic:blipFill>
                        <pic:spPr>
                          <a:xfrm>
                            <a:off x="0" y="0"/>
                            <a:ext cx="2376170" cy="1782445"/>
                          </a:xfrm>
                          <a:prstGeom prst="rect">
                            <a:avLst/>
                          </a:prstGeom>
                          <a:ln w="19050">
                            <a:solidFill>
                              <a:schemeClr val="tx1"/>
                            </a:solidFill>
                          </a:ln>
                        </pic:spPr>
                      </pic:pic>
                    </a:graphicData>
                  </a:graphic>
                </wp:inline>
              </w:drawing>
            </w:r>
            <w:r>
              <w:rPr>
                <w:rFonts w:hint="eastAsia" w:ascii="Times New Roman" w:hAnsi="Times New Roman"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rPr>
              <w:drawing>
                <wp:inline distT="0" distB="0" distL="114300" distR="114300">
                  <wp:extent cx="2366010" cy="1774825"/>
                  <wp:effectExtent l="19050" t="19050" r="34290" b="34925"/>
                  <wp:docPr id="4" name="图片 4" descr="QQ图片2021041713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10417131437"/>
                          <pic:cNvPicPr>
                            <a:picLocks noChangeAspect="1"/>
                          </pic:cNvPicPr>
                        </pic:nvPicPr>
                        <pic:blipFill>
                          <a:blip r:embed="rId14"/>
                          <a:stretch>
                            <a:fillRect/>
                          </a:stretch>
                        </pic:blipFill>
                        <pic:spPr>
                          <a:xfrm>
                            <a:off x="0" y="0"/>
                            <a:ext cx="2366010" cy="1774825"/>
                          </a:xfrm>
                          <a:prstGeom prst="rect">
                            <a:avLst/>
                          </a:prstGeom>
                          <a:ln w="19050">
                            <a:solidFill>
                              <a:schemeClr val="tx1"/>
                            </a:solidFill>
                          </a:ln>
                        </pic:spPr>
                      </pic:pic>
                    </a:graphicData>
                  </a:graphic>
                </wp:inline>
              </w:drawing>
            </w:r>
          </w:p>
          <w:p>
            <w:pPr>
              <w:keepNext w:val="0"/>
              <w:keepLines w:val="0"/>
              <w:suppressLineNumbers w:val="0"/>
              <w:bidi w:val="0"/>
              <w:spacing w:before="0" w:beforeAutospacing="0" w:after="0" w:afterAutospacing="0" w:line="240" w:lineRule="auto"/>
              <w:ind w:left="0" w:right="0" w:firstLine="723" w:firstLineChars="300"/>
              <w:jc w:val="both"/>
              <w:rPr>
                <w:rFonts w:hint="default" w:cs="Times New Roman"/>
                <w:b/>
                <w:bCs/>
                <w:color w:val="auto"/>
                <w:lang w:val="en-US"/>
              </w:rPr>
            </w:pPr>
            <w:r>
              <w:rPr>
                <w:rFonts w:hint="eastAsia" w:cs="Times New Roman"/>
                <w:b/>
                <w:bCs/>
                <w:color w:val="auto"/>
                <w:lang w:val="en-US" w:eastAsia="zh-CN"/>
              </w:rPr>
              <w:t>项目西侧天之泽化工有限公司                项目东侧空地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微软雅黑" w:cs="Times New Roman"/>
                <w:kern w:val="0"/>
                <w:sz w:val="22"/>
                <w:szCs w:val="22"/>
              </w:rPr>
            </w:pPr>
            <w:r>
              <w:rPr>
                <w:rFonts w:hint="eastAsia"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lang w:val="en-US" w:eastAsia="zh-CN" w:bidi="ar"/>
              </w:rPr>
              <w:drawing>
                <wp:inline distT="0" distB="0" distL="114300" distR="114300">
                  <wp:extent cx="2363470" cy="1772920"/>
                  <wp:effectExtent l="19050" t="19050" r="36830" b="36830"/>
                  <wp:docPr id="6" name="图片 6" descr="QQ图片2021041713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10417131350"/>
                          <pic:cNvPicPr>
                            <a:picLocks noChangeAspect="1"/>
                          </pic:cNvPicPr>
                        </pic:nvPicPr>
                        <pic:blipFill>
                          <a:blip r:embed="rId15"/>
                          <a:stretch>
                            <a:fillRect/>
                          </a:stretch>
                        </pic:blipFill>
                        <pic:spPr>
                          <a:xfrm>
                            <a:off x="0" y="0"/>
                            <a:ext cx="2363470" cy="1772920"/>
                          </a:xfrm>
                          <a:prstGeom prst="rect">
                            <a:avLst/>
                          </a:prstGeom>
                          <a:ln w="19050">
                            <a:solidFill>
                              <a:schemeClr val="tx1"/>
                            </a:solidFill>
                          </a:ln>
                        </pic:spPr>
                      </pic:pic>
                    </a:graphicData>
                  </a:graphic>
                </wp:inline>
              </w:drawing>
            </w:r>
            <w:r>
              <w:rPr>
                <w:rFonts w:hint="eastAsia" w:ascii="Times New Roman" w:hAnsi="Times New Roman"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rPr>
              <w:drawing>
                <wp:inline distT="0" distB="0" distL="114300" distR="114300">
                  <wp:extent cx="2385060" cy="1790065"/>
                  <wp:effectExtent l="19050" t="19050" r="34290" b="19685"/>
                  <wp:docPr id="11" name="图片 11" descr="QQ图片2021041713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210417131405"/>
                          <pic:cNvPicPr>
                            <a:picLocks noChangeAspect="1"/>
                          </pic:cNvPicPr>
                        </pic:nvPicPr>
                        <pic:blipFill>
                          <a:blip r:embed="rId16"/>
                          <a:stretch>
                            <a:fillRect/>
                          </a:stretch>
                        </pic:blipFill>
                        <pic:spPr>
                          <a:xfrm>
                            <a:off x="0" y="0"/>
                            <a:ext cx="2385060" cy="1790065"/>
                          </a:xfrm>
                          <a:prstGeom prst="rect">
                            <a:avLst/>
                          </a:prstGeom>
                          <a:ln w="19050">
                            <a:solidFill>
                              <a:schemeClr val="tx1"/>
                            </a:solidFill>
                          </a:ln>
                        </pic:spPr>
                      </pic:pic>
                    </a:graphicData>
                  </a:graphic>
                </wp:inline>
              </w:drawing>
            </w:r>
          </w:p>
          <w:p>
            <w:pPr>
              <w:keepNext w:val="0"/>
              <w:keepLines w:val="0"/>
              <w:suppressLineNumbers w:val="0"/>
              <w:bidi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lang w:val="en-US" w:eastAsia="zh-CN"/>
              </w:rPr>
            </w:pPr>
            <w:r>
              <w:rPr>
                <w:rFonts w:hint="eastAsia" w:cs="Times New Roman"/>
                <w:b/>
                <w:bCs/>
                <w:color w:val="auto"/>
                <w:lang w:val="en-US" w:eastAsia="zh-CN"/>
              </w:rPr>
              <w:t>项目南侧空地</w:t>
            </w:r>
            <w:r>
              <w:rPr>
                <w:rFonts w:hint="eastAsia" w:ascii="Times New Roman" w:hAnsi="Times New Roman" w:eastAsia="宋体" w:cs="Times New Roman"/>
                <w:b/>
                <w:bCs/>
                <w:color w:val="auto"/>
                <w:lang w:val="en-US" w:eastAsia="zh-CN"/>
              </w:rPr>
              <w:t xml:space="preserve">                         </w:t>
            </w:r>
            <w:r>
              <w:rPr>
                <w:rFonts w:hint="eastAsia" w:cs="Times New Roman"/>
                <w:b/>
                <w:bCs/>
                <w:color w:val="auto"/>
                <w:lang w:val="en-US" w:eastAsia="zh-CN"/>
              </w:rPr>
              <w:t>项目北侧空地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imes New Roman" w:hAnsi="Times New Roman" w:eastAsia="微软雅黑" w:cs="Times New Roman"/>
                <w:kern w:val="0"/>
                <w:sz w:val="22"/>
                <w:szCs w:val="22"/>
              </w:rPr>
            </w:pPr>
            <w:r>
              <w:rPr>
                <w:rFonts w:hint="eastAsia" w:eastAsia="微软雅黑" w:cs="Times New Roman"/>
                <w:kern w:val="0"/>
                <w:sz w:val="22"/>
                <w:szCs w:val="22"/>
                <w:lang w:val="en-US" w:eastAsia="zh-CN" w:bidi="ar"/>
              </w:rPr>
              <w:t xml:space="preserve">   </w:t>
            </w:r>
            <w:r>
              <w:rPr>
                <w:rFonts w:hint="eastAsia" w:eastAsia="微软雅黑" w:cs="Times New Roman"/>
                <w:kern w:val="0"/>
                <w:sz w:val="22"/>
                <w:szCs w:val="22"/>
                <w:lang w:val="en-US" w:eastAsia="zh-CN" w:bidi="ar"/>
              </w:rPr>
              <w:drawing>
                <wp:inline distT="0" distB="0" distL="114300" distR="114300">
                  <wp:extent cx="2393315" cy="1795145"/>
                  <wp:effectExtent l="19050" t="19050" r="26035" b="33655"/>
                  <wp:docPr id="13" name="图片 13" descr="南侧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南侧 (2)"/>
                          <pic:cNvPicPr>
                            <a:picLocks noChangeAspect="1"/>
                          </pic:cNvPicPr>
                        </pic:nvPicPr>
                        <pic:blipFill>
                          <a:blip r:embed="rId17"/>
                          <a:stretch>
                            <a:fillRect/>
                          </a:stretch>
                        </pic:blipFill>
                        <pic:spPr>
                          <a:xfrm>
                            <a:off x="0" y="0"/>
                            <a:ext cx="2393315" cy="1795145"/>
                          </a:xfrm>
                          <a:prstGeom prst="rect">
                            <a:avLst/>
                          </a:prstGeom>
                          <a:ln w="19050">
                            <a:solidFill>
                              <a:schemeClr val="tx1"/>
                            </a:solidFill>
                          </a:ln>
                        </pic:spPr>
                      </pic:pic>
                    </a:graphicData>
                  </a:graphic>
                </wp:inline>
              </w:drawing>
            </w:r>
            <w:r>
              <w:rPr>
                <w:rFonts w:hint="eastAsia"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rPr>
              <w:drawing>
                <wp:inline distT="0" distB="0" distL="114300" distR="114300">
                  <wp:extent cx="2372995" cy="1795780"/>
                  <wp:effectExtent l="19050" t="19050" r="27305" b="33020"/>
                  <wp:docPr id="12" name="图片 12" descr="QQ图片2021041713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210417131359"/>
                          <pic:cNvPicPr>
                            <a:picLocks noChangeAspect="1"/>
                          </pic:cNvPicPr>
                        </pic:nvPicPr>
                        <pic:blipFill>
                          <a:blip r:embed="rId18"/>
                          <a:stretch>
                            <a:fillRect/>
                          </a:stretch>
                        </pic:blipFill>
                        <pic:spPr>
                          <a:xfrm>
                            <a:off x="0" y="0"/>
                            <a:ext cx="2372995" cy="1795780"/>
                          </a:xfrm>
                          <a:prstGeom prst="rect">
                            <a:avLst/>
                          </a:prstGeom>
                          <a:ln w="19050">
                            <a:solidFill>
                              <a:schemeClr val="tx1"/>
                            </a:solidFill>
                          </a:ln>
                        </pic:spPr>
                      </pic:pic>
                    </a:graphicData>
                  </a:graphic>
                </wp:inline>
              </w:drawing>
            </w:r>
          </w:p>
          <w:p>
            <w:pPr>
              <w:keepNext w:val="0"/>
              <w:keepLines w:val="0"/>
              <w:suppressLineNumbers w:val="0"/>
              <w:bidi w:val="0"/>
              <w:spacing w:before="0" w:beforeAutospacing="0" w:after="0" w:afterAutospacing="0" w:line="240" w:lineRule="auto"/>
              <w:ind w:left="0" w:leftChars="0" w:right="0" w:firstLine="0" w:firstLineChars="0"/>
              <w:jc w:val="center"/>
              <w:rPr>
                <w:rFonts w:hint="default" w:ascii="宋体" w:hAnsi="Times New Roman" w:eastAsia="宋体" w:cs="宋体"/>
                <w:sz w:val="24"/>
                <w:szCs w:val="24"/>
              </w:rPr>
            </w:pPr>
            <w:r>
              <w:rPr>
                <w:rFonts w:hint="eastAsia" w:cs="Times New Roman"/>
                <w:b/>
                <w:bCs/>
                <w:color w:val="auto"/>
                <w:lang w:val="en-US" w:eastAsia="zh-CN"/>
              </w:rPr>
              <w:t>项目占地区域</w:t>
            </w:r>
            <w:r>
              <w:rPr>
                <w:rFonts w:hint="eastAsia" w:ascii="Times New Roman" w:hAnsi="Times New Roman" w:eastAsia="宋体" w:cs="Times New Roman"/>
                <w:b/>
                <w:bCs/>
                <w:color w:val="auto"/>
                <w:lang w:val="en-US" w:eastAsia="zh-CN"/>
              </w:rPr>
              <w:t xml:space="preserve">     </w:t>
            </w:r>
            <w:r>
              <w:rPr>
                <w:rFonts w:hint="eastAsia" w:cs="Times New Roman"/>
                <w:b/>
                <w:bCs/>
                <w:color w:val="auto"/>
                <w:lang w:val="en-US" w:eastAsia="zh-CN"/>
              </w:rPr>
              <w:t xml:space="preserve">      </w:t>
            </w:r>
            <w:r>
              <w:rPr>
                <w:rFonts w:hint="eastAsia" w:ascii="Times New Roman" w:hAnsi="Times New Roman" w:eastAsia="宋体" w:cs="Times New Roman"/>
                <w:b/>
                <w:bCs/>
                <w:color w:val="auto"/>
                <w:lang w:val="en-US" w:eastAsia="zh-CN"/>
              </w:rPr>
              <w:t xml:space="preserve">         </w:t>
            </w:r>
            <w:r>
              <w:rPr>
                <w:rFonts w:hint="eastAsia" w:cs="Times New Roman"/>
                <w:b/>
                <w:bCs/>
                <w:color w:val="auto"/>
                <w:lang w:val="en-US" w:eastAsia="zh-CN"/>
              </w:rPr>
              <w:t xml:space="preserve">    项目占地区域</w:t>
            </w:r>
          </w:p>
        </w:tc>
      </w:tr>
    </w:tbl>
    <w:p>
      <w:pPr>
        <w:widowControl/>
        <w:spacing w:before="100" w:beforeAutospacing="1" w:after="100" w:afterAutospacing="1"/>
        <w:ind w:left="0" w:leftChars="0" w:firstLine="0" w:firstLineChars="0"/>
        <w:jc w:val="center"/>
        <w:outlineLvl w:val="0"/>
        <w:rPr>
          <w:rFonts w:hint="eastAsia" w:ascii="黑体" w:hAnsi="黑体" w:eastAsia="黑体" w:cs="Times New Roman"/>
          <w:snapToGrid w:val="0"/>
          <w:kern w:val="0"/>
          <w:sz w:val="30"/>
          <w:szCs w:val="30"/>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center"/>
        <w:outlineLvl w:val="0"/>
        <w:rPr>
          <w:rFonts w:hint="eastAsia" w:ascii="黑体" w:hAnsi="黑体" w:eastAsia="黑体" w:cs="Times New Roman"/>
          <w:snapToGrid w:val="0"/>
          <w:kern w:val="0"/>
          <w:sz w:val="30"/>
          <w:szCs w:val="30"/>
        </w:rPr>
      </w:pPr>
      <w:r>
        <w:rPr>
          <w:rFonts w:hint="eastAsia" w:ascii="黑体" w:hAnsi="黑体" w:eastAsia="黑体" w:cs="Times New Roman"/>
          <w:snapToGrid w:val="0"/>
          <w:kern w:val="0"/>
          <w:sz w:val="30"/>
          <w:szCs w:val="30"/>
        </w:rPr>
        <w:t>一、建设项目基本情况</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54"/>
        <w:gridCol w:w="1865"/>
        <w:gridCol w:w="1946"/>
        <w:gridCol w:w="29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建设项目名称</w:t>
            </w:r>
          </w:p>
        </w:tc>
        <w:tc>
          <w:tcPr>
            <w:tcW w:w="6716" w:type="dxa"/>
            <w:gridSpan w:val="3"/>
            <w:vAlign w:val="center"/>
          </w:tcPr>
          <w:p>
            <w:pPr>
              <w:pStyle w:val="22"/>
              <w:keepNext w:val="0"/>
              <w:keepLines w:val="0"/>
              <w:suppressLineNumbers w:val="0"/>
              <w:bidi w:val="0"/>
              <w:spacing w:before="0" w:beforeAutospacing="0" w:after="0" w:afterAutospacing="0"/>
              <w:jc w:val="center"/>
              <w:rPr>
                <w:rFonts w:hint="default" w:eastAsia="宋体"/>
                <w:lang w:val="en-US" w:eastAsia="zh-CN"/>
              </w:rPr>
            </w:pPr>
            <w:r>
              <w:rPr>
                <w:rFonts w:hint="eastAsia"/>
                <w:lang w:val="en-US" w:eastAsia="zh-CN"/>
              </w:rPr>
              <w:t>昌吉州病死畜禽无害化集中处理中心项目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highlight w:val="yellow"/>
              </w:rPr>
            </w:pPr>
            <w:r>
              <w:rPr>
                <w:rFonts w:hint="eastAsia" w:ascii="宋体" w:hAnsi="宋体" w:eastAsia="宋体" w:cs="宋体"/>
                <w:color w:val="auto"/>
                <w:szCs w:val="21"/>
                <w:highlight w:val="none"/>
              </w:rPr>
              <w:t>项目代码</w:t>
            </w:r>
          </w:p>
        </w:tc>
        <w:tc>
          <w:tcPr>
            <w:tcW w:w="6716" w:type="dxa"/>
            <w:gridSpan w:val="3"/>
            <w:vAlign w:val="center"/>
          </w:tcPr>
          <w:p>
            <w:pPr>
              <w:pStyle w:val="22"/>
              <w:keepNext w:val="0"/>
              <w:keepLines w:val="0"/>
              <w:suppressLineNumbers w:val="0"/>
              <w:bidi w:val="0"/>
              <w:spacing w:before="0" w:beforeAutospacing="0" w:after="0" w:afterAutospacing="0"/>
              <w:jc w:val="center"/>
              <w:rPr>
                <w:rFonts w:hint="default"/>
                <w:lang w:val="en-US" w:eastAsia="zh-CN"/>
              </w:rPr>
            </w:pPr>
            <w:r>
              <w:rPr>
                <w:rFonts w:hint="eastAsia"/>
                <w:lang w:val="en-US" w:eastAsia="zh-CN"/>
              </w:rPr>
              <w:t>HFG023-20210413-01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yellow"/>
              </w:rPr>
            </w:pPr>
            <w:r>
              <w:rPr>
                <w:rFonts w:hint="eastAsia" w:ascii="宋体" w:hAnsi="宋体" w:eastAsia="宋体" w:cs="宋体"/>
                <w:color w:val="auto"/>
                <w:szCs w:val="21"/>
                <w:highlight w:val="none"/>
              </w:rPr>
              <w:t>建设单位联系人</w:t>
            </w:r>
          </w:p>
        </w:tc>
        <w:tc>
          <w:tcPr>
            <w:tcW w:w="186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王永春</w:t>
            </w:r>
          </w:p>
        </w:tc>
        <w:tc>
          <w:tcPr>
            <w:tcW w:w="1946"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rPr>
            </w:pPr>
            <w:r>
              <w:rPr>
                <w:rFonts w:hint="eastAsia" w:ascii="宋体" w:hAnsi="宋体" w:eastAsia="宋体" w:cs="宋体"/>
                <w:color w:val="auto"/>
                <w:szCs w:val="21"/>
              </w:rPr>
              <w:t>联系方式</w:t>
            </w:r>
          </w:p>
        </w:tc>
        <w:tc>
          <w:tcPr>
            <w:tcW w:w="2905" w:type="dxa"/>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color w:val="auto"/>
                <w:szCs w:val="21"/>
                <w:lang w:val="en-US" w:eastAsia="zh-CN"/>
              </w:rPr>
            </w:pPr>
            <w:r>
              <w:rPr>
                <w:rFonts w:hint="default" w:ascii="Times New Roman" w:hAnsi="Times New Roman" w:cs="Times New Roman"/>
                <w:color w:val="auto"/>
                <w:szCs w:val="21"/>
                <w:lang w:val="en-US" w:eastAsia="zh-CN"/>
              </w:rPr>
              <w:t>18996378888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建设地点</w:t>
            </w:r>
          </w:p>
        </w:tc>
        <w:tc>
          <w:tcPr>
            <w:tcW w:w="6716" w:type="dxa"/>
            <w:gridSpan w:val="3"/>
            <w:vAlign w:val="center"/>
          </w:tcPr>
          <w:p>
            <w:pPr>
              <w:pStyle w:val="22"/>
              <w:keepNext w:val="0"/>
              <w:keepLines w:val="0"/>
              <w:suppressLineNumbers w:val="0"/>
              <w:bidi w:val="0"/>
              <w:spacing w:before="0" w:beforeAutospacing="0" w:after="0" w:afterAutospacing="0"/>
              <w:rPr>
                <w:rFonts w:hint="default" w:eastAsia="宋体"/>
                <w:lang w:val="en-US" w:eastAsia="zh-CN"/>
              </w:rPr>
            </w:pPr>
            <w:r>
              <w:rPr>
                <w:rFonts w:hint="eastAsia"/>
                <w:lang w:val="en-US" w:eastAsia="zh-CN"/>
              </w:rPr>
              <w:t>新疆昌吉州呼图壁县大丰工业园区天之泽化工有限公司东侧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地理坐标</w:t>
            </w:r>
          </w:p>
        </w:tc>
        <w:tc>
          <w:tcPr>
            <w:tcW w:w="6716" w:type="dxa"/>
            <w:gridSpan w:val="3"/>
            <w:vAlign w:val="center"/>
          </w:tcPr>
          <w:p>
            <w:pPr>
              <w:pStyle w:val="22"/>
              <w:keepNext w:val="0"/>
              <w:keepLines w:val="0"/>
              <w:suppressLineNumbers w:val="0"/>
              <w:bidi w:val="0"/>
              <w:spacing w:before="0" w:beforeAutospacing="0" w:after="0" w:afterAutospacing="0"/>
              <w:rPr>
                <w:rFonts w:hint="eastAsia" w:eastAsia="宋体"/>
                <w:lang w:eastAsia="zh-CN"/>
              </w:rPr>
            </w:pPr>
            <w:r>
              <w:rPr>
                <w:rFonts w:hint="eastAsia"/>
                <w:lang w:eastAsia="zh-CN"/>
              </w:rPr>
              <w:t>(</w:t>
            </w:r>
            <w:r>
              <w:rPr>
                <w:rFonts w:hint="eastAsia"/>
              </w:rPr>
              <w:t>8</w:t>
            </w:r>
            <w:r>
              <w:rPr>
                <w:rFonts w:hint="eastAsia"/>
                <w:lang w:val="en-US" w:eastAsia="zh-CN"/>
              </w:rPr>
              <w:t>6</w:t>
            </w:r>
            <w:r>
              <w:rPr>
                <w:rFonts w:hint="eastAsia"/>
              </w:rPr>
              <w:t>度</w:t>
            </w:r>
            <w:r>
              <w:rPr>
                <w:rFonts w:hint="eastAsia"/>
                <w:lang w:val="en-US" w:eastAsia="zh-CN"/>
              </w:rPr>
              <w:t>36</w:t>
            </w:r>
            <w:r>
              <w:rPr>
                <w:rFonts w:hint="eastAsia"/>
              </w:rPr>
              <w:t>分</w:t>
            </w:r>
            <w:r>
              <w:rPr>
                <w:rFonts w:hint="eastAsia"/>
                <w:lang w:val="en-US" w:eastAsia="zh-CN"/>
              </w:rPr>
              <w:t>10.658</w:t>
            </w:r>
            <w:r>
              <w:rPr>
                <w:rFonts w:hint="eastAsia"/>
              </w:rPr>
              <w:t>秒，44度</w:t>
            </w:r>
            <w:r>
              <w:rPr>
                <w:rFonts w:hint="eastAsia"/>
                <w:lang w:val="en-US" w:eastAsia="zh-CN"/>
              </w:rPr>
              <w:t>17</w:t>
            </w:r>
            <w:r>
              <w:rPr>
                <w:rFonts w:hint="eastAsia"/>
              </w:rPr>
              <w:t>分</w:t>
            </w:r>
            <w:r>
              <w:rPr>
                <w:rFonts w:hint="eastAsia"/>
                <w:lang w:val="en-US" w:eastAsia="zh-CN"/>
              </w:rPr>
              <w:t>38.508</w:t>
            </w:r>
            <w:r>
              <w:rPr>
                <w:rFonts w:hint="eastAsia"/>
              </w:rPr>
              <w:t>秒</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8" w:hRule="atLeast"/>
          <w:jc w:val="center"/>
        </w:trPr>
        <w:tc>
          <w:tcPr>
            <w:tcW w:w="2154" w:type="dxa"/>
            <w:tcMar>
              <w:top w:w="16" w:type="dxa"/>
              <w:left w:w="16" w:type="dxa"/>
              <w:right w:w="16" w:type="dxa"/>
            </w:tcMar>
            <w:vAlign w:val="center"/>
          </w:tcPr>
          <w:p>
            <w:pPr>
              <w:pStyle w:val="22"/>
              <w:keepNext w:val="0"/>
              <w:keepLines w:val="0"/>
              <w:suppressLineNumbers w:val="0"/>
              <w:bidi w:val="0"/>
              <w:spacing w:before="0" w:beforeAutospacing="0" w:after="0" w:afterAutospacing="0"/>
              <w:rPr>
                <w:rFonts w:hint="eastAsia"/>
              </w:rPr>
            </w:pPr>
            <w:r>
              <w:rPr>
                <w:rFonts w:hint="eastAsia"/>
              </w:rPr>
              <w:t>国民经济</w:t>
            </w:r>
          </w:p>
          <w:p>
            <w:pPr>
              <w:pStyle w:val="22"/>
              <w:keepNext w:val="0"/>
              <w:keepLines w:val="0"/>
              <w:suppressLineNumbers w:val="0"/>
              <w:bidi w:val="0"/>
              <w:spacing w:before="0" w:beforeAutospacing="0" w:after="0" w:afterAutospacing="0"/>
              <w:rPr>
                <w:rFonts w:hint="default"/>
              </w:rPr>
            </w:pPr>
            <w:r>
              <w:rPr>
                <w:rFonts w:hint="eastAsia"/>
              </w:rPr>
              <w:t>行业类别</w:t>
            </w:r>
          </w:p>
        </w:tc>
        <w:tc>
          <w:tcPr>
            <w:tcW w:w="1865" w:type="dxa"/>
            <w:vAlign w:val="center"/>
          </w:tcPr>
          <w:p>
            <w:pPr>
              <w:pStyle w:val="22"/>
              <w:keepNext w:val="0"/>
              <w:keepLines w:val="0"/>
              <w:suppressLineNumbers w:val="0"/>
              <w:bidi w:val="0"/>
              <w:spacing w:before="0" w:beforeAutospacing="0" w:after="0" w:afterAutospacing="0"/>
              <w:rPr>
                <w:rFonts w:hint="default"/>
                <w:lang w:val="en-US" w:eastAsia="zh-CN"/>
              </w:rPr>
            </w:pPr>
            <w:r>
              <w:rPr>
                <w:rFonts w:hint="eastAsia"/>
                <w:lang w:val="en-US" w:eastAsia="zh-CN"/>
              </w:rPr>
              <w:t>C42废弃资源综合利用业</w:t>
            </w:r>
          </w:p>
        </w:tc>
        <w:tc>
          <w:tcPr>
            <w:tcW w:w="1946" w:type="dxa"/>
            <w:vAlign w:val="center"/>
          </w:tcPr>
          <w:p>
            <w:pPr>
              <w:pStyle w:val="22"/>
              <w:keepNext w:val="0"/>
              <w:keepLines w:val="0"/>
              <w:suppressLineNumbers w:val="0"/>
              <w:bidi w:val="0"/>
              <w:spacing w:before="0" w:beforeAutospacing="0" w:after="0" w:afterAutospacing="0"/>
              <w:rPr>
                <w:rFonts w:hint="eastAsia"/>
              </w:rPr>
            </w:pPr>
            <w:bookmarkStart w:id="0" w:name="_Hlk49843745"/>
            <w:r>
              <w:rPr>
                <w:rFonts w:hint="eastAsia"/>
              </w:rPr>
              <w:t>建设项目</w:t>
            </w:r>
          </w:p>
          <w:p>
            <w:pPr>
              <w:pStyle w:val="22"/>
              <w:keepNext w:val="0"/>
              <w:keepLines w:val="0"/>
              <w:suppressLineNumbers w:val="0"/>
              <w:bidi w:val="0"/>
              <w:spacing w:before="0" w:beforeAutospacing="0" w:after="0" w:afterAutospacing="0"/>
              <w:rPr>
                <w:rFonts w:hint="default" w:ascii="宋体" w:hAnsi="宋体" w:eastAsia="宋体" w:cs="宋体"/>
                <w:szCs w:val="21"/>
              </w:rPr>
            </w:pPr>
            <w:r>
              <w:rPr>
                <w:rFonts w:hint="eastAsia"/>
              </w:rPr>
              <w:t>行业类别</w:t>
            </w:r>
            <w:bookmarkEnd w:id="0"/>
          </w:p>
        </w:tc>
        <w:tc>
          <w:tcPr>
            <w:tcW w:w="2905" w:type="dxa"/>
            <w:vAlign w:val="center"/>
          </w:tcPr>
          <w:p>
            <w:pPr>
              <w:pStyle w:val="22"/>
              <w:keepNext w:val="0"/>
              <w:keepLines w:val="0"/>
              <w:suppressLineNumbers w:val="0"/>
              <w:bidi w:val="0"/>
              <w:spacing w:before="0" w:beforeAutospacing="0" w:after="0" w:afterAutospacing="0"/>
              <w:rPr>
                <w:rFonts w:hint="eastAsia"/>
                <w:lang w:val="en-US" w:eastAsia="zh-CN"/>
              </w:rPr>
            </w:pPr>
            <w:r>
              <w:rPr>
                <w:rFonts w:hint="eastAsia"/>
                <w:lang w:val="en-US" w:eastAsia="zh-CN"/>
              </w:rPr>
              <w:t>四十七、生态保护和环境治理业</w:t>
            </w:r>
          </w:p>
          <w:p>
            <w:pPr>
              <w:pStyle w:val="22"/>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lang w:val="en-US" w:eastAsia="zh-CN"/>
              </w:rPr>
              <w:t>102病死及病害动物无害化处理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建设性质</w:t>
            </w:r>
          </w:p>
        </w:tc>
        <w:tc>
          <w:tcPr>
            <w:tcW w:w="1865" w:type="dxa"/>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szCs w:val="21"/>
                <w:lang w:eastAsia="zh-CN"/>
              </w:rPr>
            </w:pPr>
            <w:r>
              <w:rPr>
                <w:rFonts w:hint="eastAsia" w:ascii="宋体" w:hAnsi="宋体" w:eastAsia="宋体" w:cs="宋体"/>
                <w:szCs w:val="21"/>
              </w:rPr>
              <w:sym w:font="Wingdings 2" w:char="0052"/>
            </w:r>
            <w:r>
              <w:rPr>
                <w:rFonts w:hint="eastAsia" w:ascii="宋体" w:hAnsi="宋体" w:eastAsia="宋体" w:cs="宋体"/>
                <w:szCs w:val="21"/>
              </w:rPr>
              <w:t>新建</w:t>
            </w:r>
            <w:r>
              <w:rPr>
                <w:rFonts w:hint="eastAsia" w:ascii="宋体" w:hAnsi="宋体" w:cs="宋体"/>
                <w:szCs w:val="21"/>
                <w:lang w:eastAsia="zh-CN"/>
              </w:rPr>
              <w:t>(</w:t>
            </w:r>
            <w:r>
              <w:rPr>
                <w:rFonts w:hint="eastAsia" w:ascii="宋体" w:hAnsi="宋体" w:eastAsia="宋体" w:cs="宋体"/>
                <w:szCs w:val="21"/>
              </w:rPr>
              <w:t>迁建</w:t>
            </w:r>
            <w:r>
              <w:rPr>
                <w:rFonts w:hint="eastAsia" w:ascii="宋体" w:hAnsi="宋体" w:cs="宋体"/>
                <w:szCs w:val="21"/>
                <w:lang w:eastAsia="zh-CN"/>
              </w:rPr>
              <w:t>)</w:t>
            </w:r>
          </w:p>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改建</w:t>
            </w:r>
          </w:p>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扩建</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szCs w:val="21"/>
              </w:rPr>
            </w:pPr>
            <w:r>
              <w:rPr>
                <w:rFonts w:hint="eastAsia" w:ascii="宋体" w:hAnsi="宋体" w:eastAsia="宋体" w:cs="宋体"/>
                <w:szCs w:val="21"/>
              </w:rPr>
              <w:t>□技术改造</w:t>
            </w:r>
          </w:p>
        </w:tc>
        <w:tc>
          <w:tcPr>
            <w:tcW w:w="1946"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建设项目</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rPr>
            </w:pPr>
            <w:r>
              <w:rPr>
                <w:rFonts w:hint="eastAsia" w:ascii="宋体" w:hAnsi="宋体" w:eastAsia="宋体" w:cs="宋体"/>
                <w:color w:val="auto"/>
                <w:szCs w:val="21"/>
              </w:rPr>
              <w:t>申报情形</w:t>
            </w:r>
          </w:p>
        </w:tc>
        <w:tc>
          <w:tcPr>
            <w:tcW w:w="2905" w:type="dxa"/>
            <w:vAlign w:val="center"/>
          </w:tcPr>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sym w:font="Wingdings 2" w:char="0052"/>
            </w:r>
            <w:r>
              <w:rPr>
                <w:rFonts w:hint="eastAsia" w:ascii="宋体" w:hAnsi="宋体" w:eastAsia="宋体" w:cs="宋体"/>
                <w:color w:val="auto"/>
                <w:szCs w:val="21"/>
              </w:rPr>
              <w:t>首次申报项目</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t>□不予批准后再次申报项目</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超五年重新审核项目</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lang w:eastAsia="zh-CN"/>
              </w:rPr>
            </w:pPr>
            <w:r>
              <w:rPr>
                <w:rFonts w:hint="eastAsia" w:ascii="宋体" w:hAnsi="宋体" w:eastAsia="宋体" w:cs="宋体"/>
                <w:szCs w:val="21"/>
              </w:rPr>
              <w:t>项目审批</w:t>
            </w:r>
            <w:r>
              <w:rPr>
                <w:rFonts w:hint="eastAsia" w:ascii="宋体" w:hAnsi="宋体" w:cs="宋体"/>
                <w:szCs w:val="21"/>
                <w:lang w:eastAsia="zh-CN"/>
              </w:rPr>
              <w:t>(</w:t>
            </w:r>
            <w:r>
              <w:rPr>
                <w:rFonts w:hint="eastAsia" w:ascii="宋体" w:hAnsi="宋体" w:eastAsia="宋体" w:cs="宋体"/>
                <w:szCs w:val="21"/>
              </w:rPr>
              <w:t>核准</w:t>
            </w:r>
            <w:r>
              <w:rPr>
                <w:rFonts w:hint="default" w:ascii="宋体" w:hAnsi="宋体" w:eastAsia="宋体" w:cs="宋体"/>
                <w:szCs w:val="21"/>
              </w:rPr>
              <w:t>/</w:t>
            </w:r>
            <w:r>
              <w:rPr>
                <w:rFonts w:hint="eastAsia" w:ascii="宋体" w:hAnsi="宋体" w:eastAsia="宋体" w:cs="宋体"/>
                <w:szCs w:val="21"/>
              </w:rPr>
              <w:t>备案</w:t>
            </w:r>
            <w:r>
              <w:rPr>
                <w:rFonts w:hint="eastAsia" w:ascii="宋体" w:hAnsi="宋体" w:cs="宋体"/>
                <w:szCs w:val="21"/>
                <w:lang w:eastAsia="zh-CN"/>
              </w:rPr>
              <w:t>)</w:t>
            </w:r>
            <w:r>
              <w:rPr>
                <w:rFonts w:hint="eastAsia" w:ascii="宋体" w:hAnsi="宋体" w:eastAsia="宋体" w:cs="宋体"/>
                <w:szCs w:val="21"/>
              </w:rPr>
              <w:t>部门</w:t>
            </w:r>
            <w:r>
              <w:rPr>
                <w:rFonts w:hint="eastAsia" w:ascii="宋体" w:hAnsi="宋体" w:cs="宋体"/>
                <w:szCs w:val="21"/>
                <w:lang w:eastAsia="zh-CN"/>
              </w:rPr>
              <w:t>(</w:t>
            </w:r>
            <w:r>
              <w:rPr>
                <w:rFonts w:hint="eastAsia" w:ascii="宋体" w:hAnsi="宋体" w:eastAsia="宋体" w:cs="宋体"/>
                <w:szCs w:val="21"/>
              </w:rPr>
              <w:t>选填</w:t>
            </w:r>
            <w:r>
              <w:rPr>
                <w:rFonts w:hint="eastAsia" w:ascii="宋体" w:hAnsi="宋体" w:cs="宋体"/>
                <w:szCs w:val="21"/>
                <w:lang w:eastAsia="zh-CN"/>
              </w:rPr>
              <w:t>)</w:t>
            </w:r>
          </w:p>
        </w:tc>
        <w:tc>
          <w:tcPr>
            <w:tcW w:w="1865" w:type="dxa"/>
            <w:vAlign w:val="center"/>
          </w:tcPr>
          <w:p>
            <w:pPr>
              <w:pStyle w:val="22"/>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ascii="宋体" w:hAnsi="宋体" w:eastAsia="宋体" w:cs="宋体"/>
                <w:szCs w:val="21"/>
                <w:lang w:val="en-US" w:eastAsia="zh-CN"/>
              </w:rPr>
              <w:t>呼图壁县发展和改革委员会</w:t>
            </w:r>
          </w:p>
        </w:tc>
        <w:tc>
          <w:tcPr>
            <w:tcW w:w="1946"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lang w:eastAsia="zh-CN"/>
              </w:rPr>
            </w:pPr>
            <w:r>
              <w:rPr>
                <w:rFonts w:hint="eastAsia" w:ascii="宋体" w:hAnsi="宋体" w:eastAsia="宋体" w:cs="宋体"/>
                <w:szCs w:val="21"/>
                <w:highlight w:val="none"/>
              </w:rPr>
              <w:t>项目审批</w:t>
            </w:r>
            <w:r>
              <w:rPr>
                <w:rFonts w:hint="eastAsia" w:ascii="宋体" w:hAnsi="宋体" w:cs="宋体"/>
                <w:szCs w:val="21"/>
                <w:highlight w:val="none"/>
                <w:lang w:eastAsia="zh-CN"/>
              </w:rPr>
              <w:t>(</w:t>
            </w:r>
            <w:r>
              <w:rPr>
                <w:rFonts w:hint="eastAsia" w:ascii="宋体" w:hAnsi="宋体" w:eastAsia="宋体" w:cs="宋体"/>
                <w:szCs w:val="21"/>
                <w:highlight w:val="none"/>
              </w:rPr>
              <w:t>核准</w:t>
            </w:r>
            <w:r>
              <w:rPr>
                <w:rFonts w:hint="default" w:ascii="宋体" w:hAnsi="宋体" w:eastAsia="宋体" w:cs="宋体"/>
                <w:szCs w:val="21"/>
                <w:highlight w:val="none"/>
              </w:rPr>
              <w:t>/</w:t>
            </w:r>
            <w:r>
              <w:rPr>
                <w:rFonts w:hint="eastAsia" w:ascii="宋体" w:hAnsi="宋体" w:eastAsia="宋体" w:cs="宋体"/>
                <w:szCs w:val="21"/>
                <w:highlight w:val="none"/>
              </w:rPr>
              <w:t>备案</w:t>
            </w:r>
            <w:r>
              <w:rPr>
                <w:rFonts w:hint="eastAsia" w:ascii="宋体" w:hAnsi="宋体" w:cs="宋体"/>
                <w:szCs w:val="21"/>
                <w:highlight w:val="none"/>
                <w:lang w:eastAsia="zh-CN"/>
              </w:rPr>
              <w:t>)</w:t>
            </w:r>
            <w:r>
              <w:rPr>
                <w:rFonts w:hint="eastAsia" w:ascii="宋体" w:hAnsi="宋体" w:eastAsia="宋体" w:cs="宋体"/>
                <w:szCs w:val="21"/>
                <w:highlight w:val="none"/>
              </w:rPr>
              <w:t>文号</w:t>
            </w:r>
            <w:r>
              <w:rPr>
                <w:rFonts w:hint="eastAsia" w:ascii="宋体" w:hAnsi="宋体" w:cs="宋体"/>
                <w:szCs w:val="21"/>
                <w:highlight w:val="none"/>
                <w:lang w:eastAsia="zh-CN"/>
              </w:rPr>
              <w:t>(</w:t>
            </w:r>
            <w:r>
              <w:rPr>
                <w:rFonts w:hint="eastAsia" w:ascii="宋体" w:hAnsi="宋体" w:eastAsia="宋体" w:cs="宋体"/>
                <w:szCs w:val="21"/>
                <w:highlight w:val="none"/>
              </w:rPr>
              <w:t>选填</w:t>
            </w:r>
            <w:r>
              <w:rPr>
                <w:rFonts w:hint="eastAsia" w:ascii="宋体" w:hAnsi="宋体" w:cs="宋体"/>
                <w:szCs w:val="21"/>
                <w:highlight w:val="none"/>
                <w:lang w:eastAsia="zh-CN"/>
              </w:rPr>
              <w:t>)</w:t>
            </w:r>
          </w:p>
        </w:tc>
        <w:tc>
          <w:tcPr>
            <w:tcW w:w="2905" w:type="dxa"/>
            <w:vAlign w:val="center"/>
          </w:tcPr>
          <w:p>
            <w:pPr>
              <w:pStyle w:val="22"/>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ascii="宋体" w:hAnsi="宋体" w:cs="宋体"/>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总投资</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万元</w:t>
            </w:r>
            <w:r>
              <w:rPr>
                <w:rFonts w:hint="eastAsia" w:ascii="宋体" w:hAnsi="宋体" w:cs="宋体"/>
                <w:color w:val="auto"/>
                <w:szCs w:val="21"/>
                <w:highlight w:val="none"/>
                <w:shd w:val="clear" w:color="auto" w:fill="auto"/>
                <w:lang w:eastAsia="zh-CN"/>
              </w:rPr>
              <w:t>)</w:t>
            </w:r>
          </w:p>
        </w:tc>
        <w:tc>
          <w:tcPr>
            <w:tcW w:w="1865" w:type="dxa"/>
            <w:vAlign w:val="center"/>
          </w:tcPr>
          <w:p>
            <w:pPr>
              <w:pStyle w:val="22"/>
              <w:keepNext w:val="0"/>
              <w:keepLines w:val="0"/>
              <w:suppressLineNumbers w:val="0"/>
              <w:bidi w:val="0"/>
              <w:spacing w:before="0" w:beforeAutospacing="0" w:after="0" w:afterAutospacing="0"/>
              <w:rPr>
                <w:rFonts w:hint="default" w:ascii="宋体" w:hAnsi="宋体" w:eastAsia="宋体" w:cs="宋体"/>
                <w:color w:val="auto"/>
                <w:szCs w:val="21"/>
                <w:highlight w:val="none"/>
                <w:shd w:val="clear" w:color="auto" w:fill="auto"/>
                <w:lang w:val="en-US" w:eastAsia="zh-CN"/>
              </w:rPr>
            </w:pPr>
            <w:r>
              <w:rPr>
                <w:rFonts w:hint="eastAsia"/>
                <w:lang w:val="en-US" w:eastAsia="zh-CN"/>
              </w:rPr>
              <w:t>3000</w:t>
            </w:r>
          </w:p>
        </w:tc>
        <w:tc>
          <w:tcPr>
            <w:tcW w:w="1946"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环保投资</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万元</w:t>
            </w:r>
            <w:r>
              <w:rPr>
                <w:rFonts w:hint="eastAsia" w:ascii="宋体" w:hAnsi="宋体" w:cs="宋体"/>
                <w:color w:val="auto"/>
                <w:szCs w:val="21"/>
                <w:highlight w:val="none"/>
                <w:shd w:val="clear" w:color="auto" w:fill="auto"/>
                <w:lang w:eastAsia="zh-CN"/>
              </w:rPr>
              <w:t>)</w:t>
            </w:r>
          </w:p>
        </w:tc>
        <w:tc>
          <w:tcPr>
            <w:tcW w:w="29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lang w:val="en-US" w:eastAsia="zh-CN"/>
              </w:rPr>
            </w:pPr>
            <w:r>
              <w:rPr>
                <w:rFonts w:hint="default" w:ascii="Times New Roman" w:hAnsi="Times New Roman" w:cs="Times New Roman"/>
                <w:color w:val="auto"/>
                <w:szCs w:val="21"/>
                <w:lang w:val="en-US" w:eastAsia="zh-CN"/>
              </w:rPr>
              <w:t>174.85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环保投资占比</w:t>
            </w:r>
            <w:r>
              <w:rPr>
                <w:rFonts w:hint="eastAsia" w:ascii="宋体" w:hAnsi="宋体" w:cs="宋体"/>
                <w:color w:val="auto"/>
                <w:szCs w:val="21"/>
                <w:highlight w:val="none"/>
                <w:shd w:val="clear" w:color="auto" w:fill="auto"/>
                <w:lang w:eastAsia="zh-CN"/>
              </w:rPr>
              <w:t>(</w:t>
            </w:r>
            <w:r>
              <w:rPr>
                <w:rFonts w:hint="default"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eastAsia="zh-CN"/>
              </w:rPr>
              <w:t>)</w:t>
            </w:r>
          </w:p>
        </w:tc>
        <w:tc>
          <w:tcPr>
            <w:tcW w:w="1865" w:type="dxa"/>
            <w:vAlign w:val="center"/>
          </w:tcPr>
          <w:p>
            <w:pPr>
              <w:pStyle w:val="22"/>
              <w:keepNext w:val="0"/>
              <w:keepLines w:val="0"/>
              <w:suppressLineNumbers w:val="0"/>
              <w:bidi w:val="0"/>
              <w:spacing w:before="0" w:beforeAutospacing="0" w:after="0" w:afterAutospacing="0"/>
              <w:rPr>
                <w:rFonts w:hint="default" w:ascii="宋体" w:hAnsi="宋体" w:eastAsia="宋体" w:cs="宋体"/>
                <w:color w:val="auto"/>
                <w:szCs w:val="21"/>
                <w:highlight w:val="none"/>
                <w:shd w:val="clear" w:color="auto" w:fill="auto"/>
                <w:lang w:val="en-US" w:eastAsia="zh-CN"/>
              </w:rPr>
            </w:pPr>
            <w:r>
              <w:rPr>
                <w:rFonts w:hint="eastAsia"/>
                <w:lang w:val="en-US" w:eastAsia="zh-CN"/>
              </w:rPr>
              <w:t>5.8</w:t>
            </w:r>
          </w:p>
        </w:tc>
        <w:tc>
          <w:tcPr>
            <w:tcW w:w="1946"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施工工期</w:t>
            </w:r>
          </w:p>
        </w:tc>
        <w:tc>
          <w:tcPr>
            <w:tcW w:w="2905" w:type="dxa"/>
            <w:vAlign w:val="center"/>
          </w:tcPr>
          <w:p>
            <w:pPr>
              <w:pStyle w:val="22"/>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lang w:val="en-US" w:eastAsia="zh-CN"/>
              </w:rPr>
              <w:t>7个月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65"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是否开工建设</w:t>
            </w:r>
          </w:p>
        </w:tc>
        <w:tc>
          <w:tcPr>
            <w:tcW w:w="1865" w:type="dxa"/>
            <w:vAlign w:val="center"/>
          </w:tcPr>
          <w:p>
            <w:pPr>
              <w:keepNext w:val="0"/>
              <w:keepLines w:val="0"/>
              <w:suppressLineNumbers w:val="0"/>
              <w:adjustRightInd w:val="0"/>
              <w:snapToGrid w:val="0"/>
              <w:spacing w:before="0" w:beforeAutospacing="0" w:after="0" w:afterAutospacing="0"/>
              <w:ind w:left="0" w:leftChars="0" w:right="0" w:firstLine="0" w:firstLineChars="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否</w:t>
            </w:r>
          </w:p>
          <w:p>
            <w:pPr>
              <w:keepNext w:val="0"/>
              <w:keepLines w:val="0"/>
              <w:suppressLineNumbers w:val="0"/>
              <w:adjustRightInd w:val="0"/>
              <w:snapToGrid w:val="0"/>
              <w:spacing w:before="0" w:beforeAutospacing="0" w:after="0" w:afterAutospacing="0"/>
              <w:ind w:left="0" w:leftChars="0" w:right="0" w:firstLine="0" w:firstLineChars="0"/>
              <w:jc w:val="both"/>
              <w:rPr>
                <w:rFonts w:hint="eastAsia" w:eastAsia="宋体"/>
                <w:color w:val="auto"/>
                <w:highlight w:val="none"/>
                <w:lang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是</w:t>
            </w:r>
            <w:r>
              <w:rPr>
                <w:rFonts w:hint="eastAsia" w:ascii="宋体" w:hAnsi="宋体" w:cs="宋体"/>
                <w:color w:val="auto"/>
                <w:szCs w:val="21"/>
                <w:highlight w:val="none"/>
                <w:lang w:eastAsia="zh-CN"/>
              </w:rPr>
              <w:t>：</w:t>
            </w:r>
          </w:p>
        </w:tc>
        <w:tc>
          <w:tcPr>
            <w:tcW w:w="1946" w:type="dxa"/>
            <w:tcMar>
              <w:top w:w="16" w:type="dxa"/>
              <w:left w:w="16" w:type="dxa"/>
              <w:right w:w="16"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4"/>
                <w:szCs w:val="21"/>
                <w:highlight w:val="none"/>
                <w:shd w:val="clear" w:color="auto" w:fill="auto"/>
                <w:lang w:val="en-US" w:eastAsia="zh-CN" w:bidi="ar-SA"/>
              </w:rPr>
            </w:pPr>
            <w:r>
              <w:rPr>
                <w:rFonts w:hint="eastAsia" w:ascii="宋体" w:hAnsi="宋体" w:eastAsia="宋体" w:cs="宋体"/>
                <w:color w:val="auto"/>
                <w:kern w:val="2"/>
                <w:sz w:val="24"/>
                <w:szCs w:val="21"/>
                <w:highlight w:val="none"/>
                <w:shd w:val="clear" w:color="auto" w:fill="auto"/>
                <w:lang w:val="en-US" w:eastAsia="zh-CN" w:bidi="ar-SA"/>
              </w:rPr>
              <w:t>用地</w:t>
            </w:r>
            <w:r>
              <w:rPr>
                <w:rFonts w:hint="eastAsia" w:ascii="宋体" w:hAnsi="宋体" w:cs="宋体"/>
                <w:color w:val="auto"/>
                <w:kern w:val="2"/>
                <w:sz w:val="24"/>
                <w:szCs w:val="21"/>
                <w:highlight w:val="none"/>
                <w:shd w:val="clear" w:color="auto" w:fill="auto"/>
                <w:lang w:val="en-US" w:eastAsia="zh-CN" w:bidi="ar-SA"/>
              </w:rPr>
              <w:t>(</w:t>
            </w:r>
            <w:r>
              <w:rPr>
                <w:rFonts w:hint="eastAsia" w:ascii="宋体" w:hAnsi="宋体" w:eastAsia="宋体" w:cs="宋体"/>
                <w:color w:val="auto"/>
                <w:kern w:val="2"/>
                <w:sz w:val="24"/>
                <w:szCs w:val="21"/>
                <w:highlight w:val="none"/>
                <w:shd w:val="clear" w:color="auto" w:fill="auto"/>
                <w:lang w:val="en-US" w:eastAsia="zh-CN" w:bidi="ar-SA"/>
              </w:rPr>
              <w:t>用海</w:t>
            </w:r>
            <w:r>
              <w:rPr>
                <w:rFonts w:hint="eastAsia" w:ascii="宋体" w:hAnsi="宋体" w:cs="宋体"/>
                <w:color w:val="auto"/>
                <w:kern w:val="2"/>
                <w:sz w:val="24"/>
                <w:szCs w:val="21"/>
                <w:highlight w:val="none"/>
                <w:shd w:val="clear" w:color="auto" w:fill="auto"/>
                <w:lang w:val="en-US" w:eastAsia="zh-CN" w:bidi="ar-SA"/>
              </w:rPr>
              <w:t>)</w:t>
            </w:r>
          </w:p>
          <w:p>
            <w:pPr>
              <w:keepNext w:val="0"/>
              <w:keepLines w:val="0"/>
              <w:suppressLineNumbers w:val="0"/>
              <w:spacing w:before="0" w:beforeAutospacing="0" w:after="0" w:afterAutospacing="0"/>
              <w:ind w:left="0" w:leftChars="0" w:right="0" w:firstLine="0" w:firstLineChars="0"/>
              <w:jc w:val="center"/>
              <w:rPr>
                <w:rFonts w:hint="default"/>
                <w:color w:val="auto"/>
                <w:highlight w:val="none"/>
              </w:rPr>
            </w:pPr>
            <w:r>
              <w:rPr>
                <w:rFonts w:hint="eastAsia" w:ascii="宋体" w:hAnsi="宋体" w:eastAsia="宋体" w:cs="宋体"/>
                <w:color w:val="auto"/>
                <w:kern w:val="2"/>
                <w:sz w:val="24"/>
                <w:szCs w:val="21"/>
                <w:highlight w:val="none"/>
                <w:shd w:val="clear" w:color="auto" w:fill="auto"/>
                <w:lang w:val="en-US" w:eastAsia="zh-CN" w:bidi="ar-SA"/>
              </w:rPr>
              <w:t>面积</w:t>
            </w:r>
            <w:r>
              <w:rPr>
                <w:rFonts w:hint="eastAsia" w:ascii="宋体" w:hAnsi="宋体" w:cs="宋体"/>
                <w:color w:val="auto"/>
                <w:kern w:val="2"/>
                <w:sz w:val="24"/>
                <w:szCs w:val="21"/>
                <w:highlight w:val="none"/>
                <w:shd w:val="clear" w:color="auto" w:fill="auto"/>
                <w:lang w:val="en-US" w:eastAsia="zh-CN" w:bidi="ar-SA"/>
              </w:rPr>
              <w:t>(</w:t>
            </w:r>
            <w:r>
              <w:rPr>
                <w:rFonts w:hint="default" w:ascii="Times New Roman" w:hAnsi="Times New Roman" w:eastAsia="宋体" w:cs="Times New Roman"/>
                <w:color w:val="auto"/>
                <w:kern w:val="2"/>
                <w:sz w:val="24"/>
                <w:szCs w:val="21"/>
                <w:highlight w:val="none"/>
                <w:shd w:val="clear" w:color="auto" w:fill="auto"/>
                <w:lang w:val="en-US" w:eastAsia="zh-CN" w:bidi="ar-SA"/>
              </w:rPr>
              <w:t>m</w:t>
            </w:r>
            <w:r>
              <w:rPr>
                <w:rFonts w:hint="default" w:ascii="Times New Roman" w:hAnsi="Times New Roman" w:eastAsia="宋体" w:cs="Times New Roman"/>
                <w:color w:val="auto"/>
                <w:kern w:val="2"/>
                <w:sz w:val="24"/>
                <w:szCs w:val="21"/>
                <w:highlight w:val="none"/>
                <w:shd w:val="clear" w:color="auto" w:fill="auto"/>
                <w:vertAlign w:val="superscript"/>
                <w:lang w:val="en-US" w:eastAsia="zh-CN" w:bidi="ar-SA"/>
              </w:rPr>
              <w:t>2</w:t>
            </w:r>
            <w:r>
              <w:rPr>
                <w:rFonts w:hint="eastAsia" w:ascii="宋体" w:hAnsi="宋体" w:cs="宋体"/>
                <w:color w:val="auto"/>
                <w:kern w:val="2"/>
                <w:sz w:val="24"/>
                <w:szCs w:val="21"/>
                <w:highlight w:val="none"/>
                <w:shd w:val="clear" w:color="auto" w:fill="auto"/>
                <w:lang w:val="en-US" w:eastAsia="zh-CN" w:bidi="ar-SA"/>
              </w:rPr>
              <w:t>)</w:t>
            </w:r>
          </w:p>
        </w:tc>
        <w:tc>
          <w:tcPr>
            <w:tcW w:w="2905" w:type="dxa"/>
            <w:vAlign w:val="center"/>
          </w:tcPr>
          <w:p>
            <w:pPr>
              <w:pStyle w:val="22"/>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lang w:val="en-US" w:eastAsia="zh-CN"/>
              </w:rPr>
              <w:t>6622.05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专项评价设置情况</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rPr>
                <w:rFonts w:hint="default"/>
                <w:lang w:val="en-US" w:eastAsia="zh-CN"/>
              </w:rPr>
            </w:pPr>
            <w:r>
              <w:rPr>
                <w:rFonts w:hint="eastAsia"/>
                <w:lang w:val="en-US" w:eastAsia="zh-CN"/>
              </w:rPr>
              <w:t>专项评价类别：环境风险专项评价</w:t>
            </w:r>
          </w:p>
          <w:p>
            <w:pPr>
              <w:keepNext w:val="0"/>
              <w:keepLines w:val="0"/>
              <w:suppressLineNumbers w:val="0"/>
              <w:bidi w:val="0"/>
              <w:spacing w:before="0" w:beforeAutospacing="0" w:after="0" w:afterAutospacing="0"/>
              <w:ind w:left="0" w:leftChars="0" w:right="0" w:firstLine="0" w:firstLineChars="0"/>
              <w:rPr>
                <w:rFonts w:hint="default" w:ascii="宋体" w:hAnsi="宋体" w:cs="宋体"/>
                <w:kern w:val="0"/>
                <w:szCs w:val="21"/>
                <w:lang w:val="en-US" w:eastAsia="zh-CN"/>
              </w:rPr>
            </w:pPr>
            <w:r>
              <w:rPr>
                <w:rFonts w:hint="eastAsia"/>
                <w:lang w:val="en-US" w:eastAsia="zh-CN"/>
              </w:rPr>
              <w:t>设置理由：本项目为有毒有害和易燃易爆危险物质存储量超过临界量的建设项目。硫酸最大储存量为</w:t>
            </w:r>
            <w:r>
              <w:rPr>
                <w:rFonts w:hint="eastAsia"/>
                <w:highlight w:val="none"/>
                <w:lang w:val="en-US" w:eastAsia="zh-CN"/>
              </w:rPr>
              <w:t>27.6t</w:t>
            </w:r>
            <w:r>
              <w:rPr>
                <w:rFonts w:hint="eastAsia"/>
                <w:lang w:val="en-US" w:eastAsia="zh-CN"/>
              </w:rPr>
              <w:t>，超过《建设项目环境风险评价技术导则》(HJ-169)中规定的临界量10t，故设置环境风险专项评价。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规划情况</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color w:val="auto"/>
                <w:kern w:val="0"/>
                <w:szCs w:val="21"/>
                <w:highlight w:val="none"/>
                <w:lang w:val="en-US" w:eastAsia="zh-CN"/>
              </w:rPr>
            </w:pPr>
            <w:r>
              <w:rPr>
                <w:rFonts w:hint="eastAsia"/>
                <w:color w:val="auto"/>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2154"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规划环境影响</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1F497D" w:themeColor="text2"/>
                <w:kern w:val="0"/>
                <w:szCs w:val="21"/>
                <w:highlight w:val="none"/>
                <w14:textFill>
                  <w14:solidFill>
                    <w14:schemeClr w14:val="tx2"/>
                  </w14:solidFill>
                </w14:textFill>
              </w:rPr>
            </w:pPr>
            <w:r>
              <w:rPr>
                <w:rFonts w:hint="eastAsia" w:ascii="宋体" w:hAnsi="宋体" w:eastAsia="宋体" w:cs="宋体"/>
                <w:color w:val="auto"/>
                <w:szCs w:val="21"/>
                <w:highlight w:val="none"/>
              </w:rPr>
              <w:t>评价情况</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kern w:val="0"/>
                <w:szCs w:val="21"/>
                <w:highlight w:val="none"/>
                <w:lang w:val="en-US" w:eastAsia="zh-CN"/>
              </w:rPr>
            </w:pPr>
            <w:r>
              <w:rPr>
                <w:rFonts w:hint="eastAsia"/>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规划及规划环境影响评价符合性分析</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3"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其他符合性分析</w:t>
            </w:r>
          </w:p>
        </w:tc>
        <w:tc>
          <w:tcPr>
            <w:tcW w:w="6716" w:type="dxa"/>
            <w:gridSpan w:val="3"/>
            <w:vAlign w:val="center"/>
          </w:tcPr>
          <w:p>
            <w:pPr>
              <w:pStyle w:val="2"/>
              <w:suppressLineNumbers w:val="0"/>
              <w:bidi w:val="0"/>
              <w:spacing w:before="0" w:after="0"/>
              <w:ind w:right="0"/>
              <w:rPr>
                <w:rFonts w:hint="eastAsia"/>
                <w:lang w:val="en-US" w:eastAsia="zh-CN"/>
              </w:rPr>
            </w:pPr>
            <w:r>
              <w:rPr>
                <w:rFonts w:hint="eastAsia"/>
                <w:lang w:val="en-US" w:eastAsia="zh-CN"/>
              </w:rPr>
              <w:t>产业政策符合性分析</w:t>
            </w:r>
          </w:p>
          <w:p>
            <w:pPr>
              <w:pStyle w:val="20"/>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产业政策</w:t>
            </w:r>
            <w:r>
              <w:rPr>
                <w:rFonts w:hint="eastAsia"/>
                <w:lang w:val="en-US" w:eastAsia="zh-CN"/>
              </w:rPr>
              <w:t>符合性</w:t>
            </w:r>
            <w:r>
              <w:rPr>
                <w:rFonts w:hint="default"/>
                <w:lang w:val="en-US" w:eastAsia="zh-CN"/>
              </w:rPr>
              <w:t>分析</w:t>
            </w:r>
            <w:r>
              <w:rPr>
                <w:rFonts w:hint="eastAsia"/>
                <w:lang w:val="en-US" w:eastAsia="zh-CN"/>
              </w:rPr>
              <w:t>一览表</w:t>
            </w:r>
          </w:p>
          <w:tbl>
            <w:tblPr>
              <w:tblStyle w:val="16"/>
              <w:tblpPr w:leftFromText="180" w:rightFromText="180" w:vertAnchor="text" w:tblpXSpec="center" w:tblpY="44"/>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3793"/>
              <w:gridCol w:w="697"/>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文件名称</w:t>
                  </w:r>
                </w:p>
              </w:tc>
              <w:tc>
                <w:tcPr>
                  <w:tcW w:w="2923"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政策准入条件</w:t>
                  </w:r>
                </w:p>
              </w:tc>
              <w:tc>
                <w:tcPr>
                  <w:tcW w:w="537"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项目情况</w:t>
                  </w:r>
                </w:p>
              </w:tc>
              <w:tc>
                <w:tcPr>
                  <w:tcW w:w="5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Merge w:val="restar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《产业结构调整指导目录(2019 年本)》</w:t>
                  </w:r>
                </w:p>
              </w:tc>
              <w:tc>
                <w:tcPr>
                  <w:tcW w:w="2923" w:type="pct"/>
                  <w:vAlign w:val="center"/>
                </w:tcPr>
                <w:p>
                  <w:pPr>
                    <w:pStyle w:val="19"/>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鼓励类，第一项农林业第24条：“有机废弃物无害化处理及有机肥料产业化技术开发与应用”</w:t>
                  </w:r>
                </w:p>
              </w:tc>
              <w:tc>
                <w:tcPr>
                  <w:tcW w:w="537" w:type="pct"/>
                  <w:vMerge w:val="restar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本项目属于病死动物无害化处理项目</w:t>
                  </w:r>
                </w:p>
              </w:tc>
              <w:tc>
                <w:tcPr>
                  <w:tcW w:w="5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Merge w:val="continue"/>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c>
                <w:tcPr>
                  <w:tcW w:w="2923" w:type="pct"/>
                  <w:vAlign w:val="center"/>
                </w:tcPr>
                <w:p>
                  <w:pPr>
                    <w:pStyle w:val="19"/>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鼓励类，第十九项轻工第30条：“畜禽骨、血、羽毛及内脏等副产物综合利用与无害化处理”</w:t>
                  </w:r>
                </w:p>
              </w:tc>
              <w:tc>
                <w:tcPr>
                  <w:tcW w:w="537" w:type="pct"/>
                  <w:vMerge w:val="continue"/>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c>
                <w:tcPr>
                  <w:tcW w:w="5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Merge w:val="continue"/>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c>
                <w:tcPr>
                  <w:tcW w:w="2923" w:type="pct"/>
                  <w:vAlign w:val="center"/>
                </w:tcPr>
                <w:p>
                  <w:pPr>
                    <w:pStyle w:val="19"/>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鼓励类，第四十三项环境保护与资源节约综合利用第20条：“城镇垃圾、农村生活垃圾、农村生活污水、污泥及其他固体废弃物减量化、资源化、无害化处理和综合利用工程”</w:t>
                  </w:r>
                </w:p>
              </w:tc>
              <w:tc>
                <w:tcPr>
                  <w:tcW w:w="537" w:type="pct"/>
                  <w:vMerge w:val="continue"/>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c>
                <w:tcPr>
                  <w:tcW w:w="5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《关于建立病死畜禽无害化处理机制的实施意见》(新政办发〔2016〕1 号)</w:t>
                  </w:r>
                </w:p>
              </w:tc>
              <w:tc>
                <w:tcPr>
                  <w:tcW w:w="2923" w:type="pct"/>
                  <w:vAlign w:val="center"/>
                </w:tcPr>
                <w:p>
                  <w:pPr>
                    <w:pStyle w:val="19"/>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全面推进病死畜禽无害化处理，保障畜产品安全和生态环境安全，促进养殖业健康发展。加强病死畜禽无害化处理基础设施建设投入，建设覆盖饲养、屠宰、经营、运输各环节的无害化处理场所及病死畜禽收集网点、暂存设施，保障病死畜禽能够得到及时收集、有效处理。</w:t>
                  </w:r>
                </w:p>
              </w:tc>
              <w:tc>
                <w:tcPr>
                  <w:tcW w:w="537" w:type="pct"/>
                  <w:vMerge w:val="continue"/>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c>
                <w:tcPr>
                  <w:tcW w:w="5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bl>
          <w:p>
            <w:pPr>
              <w:keepNext w:val="0"/>
              <w:keepLines w:val="0"/>
              <w:suppressLineNumbers w:val="0"/>
              <w:bidi w:val="0"/>
              <w:spacing w:before="0" w:beforeAutospacing="0" w:after="0" w:afterAutospacing="0"/>
              <w:ind w:left="0" w:right="0"/>
              <w:rPr>
                <w:rFonts w:hint="eastAsia" w:ascii="Times New Roman" w:hAnsi="Times New Roman" w:eastAsia="宋体"/>
                <w:lang w:val="en-US" w:eastAsia="zh-CN"/>
              </w:rPr>
            </w:pPr>
            <w:r>
              <w:rPr>
                <w:rFonts w:hint="eastAsia" w:ascii="Times New Roman" w:hAnsi="Times New Roman" w:eastAsia="宋体"/>
                <w:lang w:val="en-US" w:eastAsia="zh-CN"/>
              </w:rPr>
              <w:t>由上表可知，本项目符合国家产业政策，且属于</w:t>
            </w:r>
            <w:r>
              <w:rPr>
                <w:rFonts w:hint="eastAsia"/>
                <w:lang w:val="en-US" w:eastAsia="zh-CN"/>
              </w:rPr>
              <w:t>《产业结构调整指导目录(2019年本)》</w:t>
            </w:r>
            <w:r>
              <w:rPr>
                <w:rFonts w:hint="eastAsia" w:ascii="Times New Roman" w:hAnsi="Times New Roman" w:eastAsia="宋体"/>
                <w:lang w:val="en-US" w:eastAsia="zh-CN"/>
              </w:rPr>
              <w:t>中的鼓励类项目。</w:t>
            </w:r>
          </w:p>
          <w:p>
            <w:pPr>
              <w:pStyle w:val="2"/>
              <w:suppressLineNumbers w:val="0"/>
              <w:bidi w:val="0"/>
              <w:spacing w:before="0" w:after="0"/>
              <w:ind w:right="0"/>
              <w:rPr>
                <w:rFonts w:hint="eastAsia" w:ascii="宋体" w:hAnsi="宋体" w:eastAsia="宋体" w:cs="宋体"/>
                <w:b/>
                <w:bCs w:val="0"/>
                <w:kern w:val="0"/>
                <w:sz w:val="24"/>
                <w:szCs w:val="24"/>
                <w:highlight w:val="none"/>
                <w:lang w:val="en-US" w:eastAsia="zh-CN"/>
              </w:rPr>
            </w:pPr>
            <w:r>
              <w:rPr>
                <w:rFonts w:hint="eastAsia"/>
                <w:b/>
                <w:snapToGrid w:val="0"/>
                <w:kern w:val="0"/>
                <w:sz w:val="24"/>
                <w:szCs w:val="24"/>
                <w:highlight w:val="none"/>
                <w:lang w:eastAsia="zh-CN"/>
              </w:rPr>
              <w:t>“</w:t>
            </w:r>
            <w:r>
              <w:rPr>
                <w:rFonts w:hint="eastAsia" w:ascii="Times New Roman" w:hAnsi="宋体" w:eastAsia="宋体"/>
                <w:b/>
                <w:bCs w:val="0"/>
                <w:snapToGrid w:val="0"/>
                <w:kern w:val="0"/>
                <w:sz w:val="24"/>
                <w:szCs w:val="24"/>
                <w:highlight w:val="none"/>
              </w:rPr>
              <w:t>三线一单</w:t>
            </w:r>
            <w:r>
              <w:rPr>
                <w:rFonts w:hint="eastAsia"/>
                <w:b/>
                <w:bCs w:val="0"/>
                <w:snapToGrid w:val="0"/>
                <w:kern w:val="0"/>
                <w:sz w:val="24"/>
                <w:szCs w:val="24"/>
                <w:highlight w:val="none"/>
                <w:lang w:eastAsia="zh-CN"/>
              </w:rPr>
              <w:t>”</w:t>
            </w:r>
            <w:r>
              <w:rPr>
                <w:rFonts w:hint="eastAsia" w:ascii="Times New Roman" w:hAnsi="宋体" w:eastAsia="宋体"/>
                <w:b/>
                <w:bCs w:val="0"/>
                <w:snapToGrid w:val="0"/>
                <w:kern w:val="0"/>
                <w:sz w:val="24"/>
                <w:szCs w:val="24"/>
                <w:highlight w:val="none"/>
              </w:rPr>
              <w:t>符合性分析</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2021年2月22日新疆维吾尔自治区人民政府办公厅发布了关于印发《新疆维吾尔自治区“三线一单”生态环境分区管控方案》的通知，“为贯彻落实《中共中央、国务院关于全面加强生态环境保护坚决打好污染防治攻坚战的意见》和《自治区党委、自治区人民政府关于全面加强生态环境保护坚决打好污染防治攻坚战实施方案》，按照生态环境部统一部署，自治区组织编制了‘生态保护红线、环境质量底线、资源利用上线和生态环境准入清单’现就实施‘三线一单’生态环境分区管控制定本方案。”现就本项目“三线一单”符合性进行分析。</w:t>
            </w:r>
          </w:p>
          <w:p>
            <w:pPr>
              <w:pStyle w:val="3"/>
              <w:suppressLineNumbers w:val="0"/>
              <w:bidi w:val="0"/>
              <w:spacing w:before="0" w:after="0"/>
              <w:ind w:right="0"/>
              <w:rPr>
                <w:rFonts w:hint="eastAsia"/>
                <w:lang w:val="en-US" w:eastAsia="zh-CN"/>
              </w:rPr>
            </w:pPr>
            <w:r>
              <w:rPr>
                <w:rFonts w:hint="eastAsia"/>
                <w:lang w:val="en-US" w:eastAsia="zh-CN"/>
              </w:rPr>
              <w:t>生态保护红线符合性分析</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本项目位于新疆昌吉州呼图壁县大丰工业园区</w:t>
            </w:r>
            <w:r>
              <w:rPr>
                <w:rFonts w:hint="eastAsia"/>
                <w:color w:val="auto"/>
                <w:lang w:val="en-US" w:eastAsia="zh-CN"/>
              </w:rPr>
              <w:t>东侧</w:t>
            </w:r>
            <w:r>
              <w:rPr>
                <w:rFonts w:hint="eastAsia"/>
                <w:lang w:val="en-US" w:eastAsia="zh-CN"/>
              </w:rPr>
              <w:t>，大丰镇以北约12.5km，本项目评价范围内无自然保护区、风景名胜区、水源地保护区等生态保护目标，为一般管控单元，占地区域非生态红线划定范围区，符合生态环境保护红线要求。</w:t>
            </w:r>
          </w:p>
          <w:p>
            <w:pPr>
              <w:pStyle w:val="3"/>
              <w:suppressLineNumbers w:val="0"/>
              <w:bidi w:val="0"/>
              <w:spacing w:before="0" w:after="0"/>
              <w:ind w:right="0"/>
              <w:rPr>
                <w:rFonts w:hint="eastAsia"/>
                <w:lang w:val="en-US" w:eastAsia="zh-CN"/>
              </w:rPr>
            </w:pPr>
            <w:r>
              <w:rPr>
                <w:rFonts w:hint="eastAsia"/>
                <w:lang w:val="en-US" w:eastAsia="zh-CN"/>
              </w:rPr>
              <w:t>环境质量底线符合性分析</w:t>
            </w:r>
          </w:p>
          <w:p>
            <w:pPr>
              <w:keepNext w:val="0"/>
              <w:keepLines w:val="0"/>
              <w:suppressLineNumbers w:val="0"/>
              <w:autoSpaceDE w:val="0"/>
              <w:autoSpaceDN w:val="0"/>
              <w:adjustRightInd w:val="0"/>
              <w:snapToGrid w:val="0"/>
              <w:spacing w:before="0" w:beforeAutospacing="0" w:after="0" w:afterAutospacing="0"/>
              <w:ind w:left="0" w:right="0" w:firstLine="480" w:firstLineChars="2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本项目废气、废水采取措施后可达标排放，项目污染物排放量较小，对区域环境质量影响很小，能够符合环境质量底线要求。</w:t>
            </w:r>
          </w:p>
          <w:p>
            <w:pPr>
              <w:pStyle w:val="3"/>
              <w:suppressLineNumbers w:val="0"/>
              <w:bidi w:val="0"/>
              <w:spacing w:before="0" w:after="0"/>
              <w:ind w:right="0"/>
              <w:rPr>
                <w:rFonts w:hint="eastAsia"/>
                <w:lang w:val="en-US" w:eastAsia="zh-CN"/>
              </w:rPr>
            </w:pPr>
            <w:r>
              <w:rPr>
                <w:rFonts w:hint="eastAsia"/>
                <w:lang w:val="en-US" w:eastAsia="zh-CN"/>
              </w:rPr>
              <w:t>资源利用上线符合性分析</w:t>
            </w:r>
          </w:p>
          <w:p>
            <w:pPr>
              <w:keepNext w:val="0"/>
              <w:keepLines w:val="0"/>
              <w:suppressLineNumbers w:val="0"/>
              <w:autoSpaceDE w:val="0"/>
              <w:autoSpaceDN w:val="0"/>
              <w:adjustRightInd w:val="0"/>
              <w:snapToGrid w:val="0"/>
              <w:spacing w:before="0" w:beforeAutospacing="0" w:after="0" w:afterAutospacing="0"/>
              <w:ind w:left="0" w:right="0" w:firstLine="480" w:firstLineChars="2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本项目为无害化处理项目，资源消耗量相对区域资源利用总量较小，</w:t>
            </w:r>
            <w:r>
              <w:rPr>
                <w:rFonts w:hint="eastAsia" w:ascii="宋体" w:hAnsi="宋体" w:cs="宋体"/>
                <w:kern w:val="0"/>
                <w:szCs w:val="21"/>
                <w:lang w:val="en-US" w:eastAsia="zh-CN"/>
              </w:rPr>
              <w:t>且可实现废弃物资源化利用，</w:t>
            </w:r>
            <w:r>
              <w:rPr>
                <w:rFonts w:hint="eastAsia" w:ascii="宋体" w:hAnsi="宋体" w:eastAsia="宋体" w:cs="宋体"/>
                <w:kern w:val="0"/>
                <w:szCs w:val="21"/>
                <w:lang w:val="en-US" w:eastAsia="zh-CN"/>
              </w:rPr>
              <w:t>符合资源利用上线。</w:t>
            </w:r>
          </w:p>
          <w:p>
            <w:pPr>
              <w:pStyle w:val="3"/>
              <w:suppressLineNumbers w:val="0"/>
              <w:bidi w:val="0"/>
              <w:spacing w:before="0" w:after="0"/>
              <w:ind w:right="0"/>
              <w:rPr>
                <w:rFonts w:hint="eastAsia"/>
                <w:lang w:val="en-US" w:eastAsia="zh-CN"/>
              </w:rPr>
            </w:pPr>
            <w:r>
              <w:rPr>
                <w:rFonts w:hint="eastAsia"/>
                <w:lang w:val="en-US" w:eastAsia="zh-CN"/>
              </w:rPr>
              <w:t>生态环境准入清单符合性分析</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根据《</w:t>
            </w:r>
            <w:r>
              <w:rPr>
                <w:rFonts w:hint="default"/>
              </w:rPr>
              <w:t>呼图壁县环境管控单元生态环境准入清单</w:t>
            </w:r>
            <w:r>
              <w:rPr>
                <w:rFonts w:hint="eastAsia"/>
                <w:lang w:val="en-US" w:eastAsia="zh-CN"/>
              </w:rPr>
              <w:t>》本项目不在生态红线区或其他敏感保护区域内，项目在呼图壁大丰工业园外东侧，不属于优先保护单元和重点管控单元，属于一般管控单元，</w:t>
            </w:r>
            <w:r>
              <w:rPr>
                <w:rFonts w:hint="default"/>
              </w:rPr>
              <w:t>执行自治区总体准入要求</w:t>
            </w:r>
            <w:r>
              <w:rPr>
                <w:rFonts w:hint="eastAsia"/>
                <w:lang w:eastAsia="zh-CN"/>
              </w:rPr>
              <w:t>。</w:t>
            </w:r>
            <w:r>
              <w:rPr>
                <w:rFonts w:hint="eastAsia"/>
                <w:lang w:val="en-US" w:eastAsia="zh-CN"/>
              </w:rPr>
              <w:t>本项目为病死畜禽无害化处理项目，根据《新疆维吾尔自治区生态环境准入清单(征求意见稿)》，符合“乌昌石区域”和“昌吉回族自治州”总体准入要求</w:t>
            </w:r>
            <w:r>
              <w:rPr>
                <w:rFonts w:hint="default"/>
              </w:rPr>
              <w:t>。</w:t>
            </w:r>
          </w:p>
          <w:p>
            <w:pPr>
              <w:keepNext w:val="0"/>
              <w:keepLines w:val="0"/>
              <w:suppressLineNumbers w:val="0"/>
              <w:autoSpaceDE w:val="0"/>
              <w:autoSpaceDN w:val="0"/>
              <w:adjustRightInd w:val="0"/>
              <w:snapToGrid w:val="0"/>
              <w:spacing w:before="0" w:beforeAutospacing="0" w:after="0" w:afterAutospacing="0"/>
              <w:ind w:left="0" w:right="0" w:firstLine="480" w:firstLineChars="200"/>
              <w:jc w:val="both"/>
              <w:rPr>
                <w:rFonts w:hint="eastAsia"/>
              </w:rPr>
            </w:pPr>
            <w:r>
              <w:rPr>
                <w:rFonts w:hint="eastAsia" w:ascii="宋体" w:hAnsi="宋体" w:eastAsia="宋体" w:cs="宋体"/>
                <w:kern w:val="0"/>
                <w:szCs w:val="21"/>
                <w:lang w:val="en-US" w:eastAsia="zh-CN"/>
              </w:rPr>
              <w:t>综上所述，本项目符合“三线一单”的准入条件</w:t>
            </w:r>
            <w:r>
              <w:rPr>
                <w:rFonts w:hint="eastAsia" w:ascii="宋体" w:hAnsi="宋体" w:eastAsia="宋体" w:cs="宋体"/>
                <w:kern w:val="0"/>
                <w:szCs w:val="21"/>
              </w:rPr>
              <w:t>。</w:t>
            </w:r>
          </w:p>
        </w:tc>
      </w:tr>
    </w:tbl>
    <w:p>
      <w:pPr>
        <w:spacing w:line="360" w:lineRule="auto"/>
        <w:outlineLvl w:val="0"/>
        <w:rPr>
          <w:rFonts w:ascii="Times New Roman" w:hAnsi="Times New Roman" w:eastAsia="黑体" w:cs="Times New Roman"/>
          <w:sz w:val="30"/>
          <w:szCs w:val="24"/>
        </w:rPr>
        <w:sectPr>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hint="eastAsia" w:ascii="黑体" w:hAnsi="黑体" w:eastAsia="黑体" w:cs="Times New Roman"/>
          <w:snapToGrid w:val="0"/>
          <w:kern w:val="0"/>
          <w:sz w:val="30"/>
          <w:szCs w:val="30"/>
        </w:rPr>
        <w:t>二、建设项目工程分析</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25" w:hRule="atLeast"/>
          <w:jc w:val="center"/>
        </w:trPr>
        <w:tc>
          <w:tcPr>
            <w:tcW w:w="823"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建设内容</w:t>
            </w:r>
          </w:p>
        </w:tc>
        <w:tc>
          <w:tcPr>
            <w:tcW w:w="8161" w:type="dxa"/>
          </w:tcPr>
          <w:p>
            <w:pPr>
              <w:pStyle w:val="2"/>
              <w:numPr>
                <w:ilvl w:val="0"/>
                <w:numId w:val="4"/>
              </w:numPr>
              <w:suppressLineNumbers w:val="0"/>
              <w:bidi w:val="0"/>
              <w:spacing w:before="0" w:after="0"/>
              <w:ind w:right="0"/>
              <w:rPr>
                <w:rFonts w:hint="eastAsia"/>
                <w:lang w:val="en-US" w:eastAsia="zh-CN"/>
              </w:rPr>
            </w:pPr>
            <w:r>
              <w:rPr>
                <w:rFonts w:hint="eastAsia"/>
                <w:lang w:val="en-US" w:eastAsia="zh-CN"/>
              </w:rPr>
              <w:t>项目名称、地点、建设性质</w:t>
            </w:r>
          </w:p>
          <w:p>
            <w:pPr>
              <w:pStyle w:val="6"/>
              <w:suppressLineNumbers w:val="0"/>
              <w:bidi w:val="0"/>
              <w:spacing w:before="0" w:after="0"/>
              <w:ind w:right="0"/>
              <w:rPr>
                <w:rFonts w:hint="eastAsia"/>
                <w:lang w:val="en-US" w:eastAsia="zh-CN"/>
              </w:rPr>
            </w:pPr>
            <w:r>
              <w:rPr>
                <w:rFonts w:hint="eastAsia"/>
                <w:lang w:val="en-US" w:eastAsia="zh-CN"/>
              </w:rPr>
              <w:t>项目名称：昌吉州病死畜禽无害化集中处理中心项目；</w:t>
            </w:r>
          </w:p>
          <w:p>
            <w:pPr>
              <w:pStyle w:val="6"/>
              <w:suppressLineNumbers w:val="0"/>
              <w:bidi w:val="0"/>
              <w:spacing w:before="0" w:after="0"/>
              <w:ind w:right="0"/>
              <w:rPr>
                <w:rFonts w:hint="eastAsia"/>
                <w:lang w:val="en-US" w:eastAsia="zh-CN"/>
              </w:rPr>
            </w:pPr>
            <w:r>
              <w:rPr>
                <w:rFonts w:hint="eastAsia"/>
                <w:lang w:val="en-US" w:eastAsia="zh-CN"/>
              </w:rPr>
              <w:t>建设单位：昌吉鹏鹞康霖生物科技有限公司；</w:t>
            </w:r>
          </w:p>
          <w:p>
            <w:pPr>
              <w:pStyle w:val="6"/>
              <w:suppressLineNumbers w:val="0"/>
              <w:bidi w:val="0"/>
              <w:spacing w:before="0" w:after="0"/>
              <w:ind w:right="0"/>
              <w:rPr>
                <w:rFonts w:hint="eastAsia"/>
                <w:lang w:val="en-US" w:eastAsia="zh-CN"/>
              </w:rPr>
            </w:pPr>
            <w:r>
              <w:rPr>
                <w:rFonts w:hint="eastAsia"/>
                <w:lang w:val="en-US" w:eastAsia="zh-CN"/>
              </w:rPr>
              <w:t>建设性质：新建；</w:t>
            </w:r>
          </w:p>
          <w:p>
            <w:pPr>
              <w:pStyle w:val="6"/>
              <w:suppressLineNumbers w:val="0"/>
              <w:bidi w:val="0"/>
              <w:spacing w:before="0" w:after="0"/>
              <w:ind w:right="0"/>
              <w:rPr>
                <w:rFonts w:hint="eastAsia"/>
                <w:lang w:val="en-US" w:eastAsia="zh-CN"/>
              </w:rPr>
            </w:pPr>
            <w:r>
              <w:rPr>
                <w:rFonts w:hint="eastAsia"/>
                <w:lang w:val="en-US" w:eastAsia="zh-CN"/>
              </w:rPr>
              <w:t>建设地点：本项目位于新疆昌吉州呼图壁县大丰工业园区的天之泽化工有限公司东侧(园区外)，大丰镇以北约12.5km，呼图壁县西北方向22km处。中心地理坐标为：</w:t>
            </w:r>
            <w:r>
              <w:rPr>
                <w:rFonts w:hint="default"/>
                <w:lang w:val="en-US" w:eastAsia="zh-CN"/>
              </w:rPr>
              <w:t>E</w:t>
            </w:r>
            <w:r>
              <w:rPr>
                <w:rFonts w:hint="eastAsia"/>
                <w:lang w:val="en-US" w:eastAsia="zh-CN"/>
              </w:rPr>
              <w:t>86</w:t>
            </w:r>
            <w:r>
              <w:rPr>
                <w:rFonts w:hint="default"/>
                <w:lang w:val="en-US" w:eastAsia="zh-CN"/>
              </w:rPr>
              <w:t>°</w:t>
            </w:r>
            <w:r>
              <w:rPr>
                <w:rFonts w:hint="eastAsia"/>
                <w:lang w:val="en-US" w:eastAsia="zh-CN"/>
              </w:rPr>
              <w:t>36</w:t>
            </w:r>
            <w:r>
              <w:rPr>
                <w:rFonts w:hint="default"/>
                <w:lang w:val="en-US" w:eastAsia="zh-CN"/>
              </w:rPr>
              <w:t>'</w:t>
            </w:r>
            <w:r>
              <w:rPr>
                <w:rFonts w:hint="eastAsia"/>
                <w:lang w:val="en-US" w:eastAsia="zh-CN"/>
              </w:rPr>
              <w:t>10</w:t>
            </w:r>
            <w:r>
              <w:rPr>
                <w:rFonts w:hint="default"/>
                <w:lang w:val="en-US" w:eastAsia="zh-CN"/>
              </w:rPr>
              <w:t>.</w:t>
            </w:r>
            <w:r>
              <w:rPr>
                <w:rFonts w:hint="eastAsia"/>
                <w:lang w:val="en-US" w:eastAsia="zh-CN"/>
              </w:rPr>
              <w:t>658</w:t>
            </w:r>
            <w:r>
              <w:rPr>
                <w:rFonts w:hint="default"/>
                <w:lang w:val="en-US" w:eastAsia="zh-CN"/>
              </w:rPr>
              <w:t>"，N4</w:t>
            </w:r>
            <w:r>
              <w:rPr>
                <w:rFonts w:hint="eastAsia"/>
                <w:lang w:val="en-US" w:eastAsia="zh-CN"/>
              </w:rPr>
              <w:t>4</w:t>
            </w:r>
            <w:r>
              <w:rPr>
                <w:rFonts w:hint="default"/>
                <w:lang w:val="en-US" w:eastAsia="zh-CN"/>
              </w:rPr>
              <w:t>°</w:t>
            </w:r>
            <w:r>
              <w:rPr>
                <w:rFonts w:hint="eastAsia"/>
                <w:lang w:val="en-US" w:eastAsia="zh-CN"/>
              </w:rPr>
              <w:t>17</w:t>
            </w:r>
            <w:r>
              <w:rPr>
                <w:rFonts w:hint="default"/>
                <w:lang w:val="en-US" w:eastAsia="zh-CN"/>
              </w:rPr>
              <w:t>'</w:t>
            </w:r>
            <w:r>
              <w:rPr>
                <w:rFonts w:hint="eastAsia"/>
                <w:lang w:val="en-US" w:eastAsia="zh-CN"/>
              </w:rPr>
              <w:t>38</w:t>
            </w:r>
            <w:r>
              <w:rPr>
                <w:rFonts w:hint="default"/>
                <w:lang w:val="en-US" w:eastAsia="zh-CN"/>
              </w:rPr>
              <w:t>.</w:t>
            </w:r>
            <w:r>
              <w:rPr>
                <w:rFonts w:hint="eastAsia"/>
                <w:lang w:val="en-US" w:eastAsia="zh-CN"/>
              </w:rPr>
              <w:t>508</w:t>
            </w:r>
            <w:r>
              <w:rPr>
                <w:rFonts w:hint="default"/>
                <w:lang w:val="en-US" w:eastAsia="zh-CN"/>
              </w:rPr>
              <w:t>"</w:t>
            </w:r>
            <w:r>
              <w:rPr>
                <w:rFonts w:hint="eastAsia"/>
                <w:lang w:val="en-US" w:eastAsia="zh-CN"/>
              </w:rPr>
              <w:t>，详见图1项目地理位置图。项目区西侧为大丰工业园的天之泽化工有限公司，其余三面均为荒地。项目选址周边情况见现场勘查照片；</w:t>
            </w:r>
          </w:p>
          <w:p>
            <w:pPr>
              <w:pStyle w:val="6"/>
              <w:suppressLineNumbers w:val="0"/>
              <w:bidi w:val="0"/>
              <w:spacing w:before="0" w:after="0"/>
              <w:ind w:right="0"/>
              <w:rPr>
                <w:rFonts w:hint="eastAsia"/>
                <w:lang w:val="en-US" w:eastAsia="zh-CN"/>
              </w:rPr>
            </w:pPr>
            <w:r>
              <w:rPr>
                <w:rFonts w:hint="eastAsia"/>
                <w:lang w:val="en-US" w:eastAsia="zh-CN"/>
              </w:rPr>
              <w:t>总投资：3000万元，本项目的建设资金全部由企业自筹。</w:t>
            </w:r>
          </w:p>
          <w:p>
            <w:pPr>
              <w:pStyle w:val="2"/>
              <w:numPr>
                <w:ilvl w:val="0"/>
                <w:numId w:val="4"/>
              </w:numPr>
              <w:suppressLineNumbers w:val="0"/>
              <w:bidi w:val="0"/>
              <w:spacing w:before="0" w:after="0"/>
              <w:ind w:right="0"/>
              <w:rPr>
                <w:rFonts w:hint="eastAsia"/>
                <w:lang w:val="en-US" w:eastAsia="zh-CN"/>
              </w:rPr>
            </w:pPr>
            <w:r>
              <w:rPr>
                <w:rFonts w:hint="eastAsia"/>
                <w:lang w:val="en-US" w:eastAsia="zh-CN"/>
              </w:rPr>
              <w:t>建设规模及内容</w:t>
            </w:r>
          </w:p>
          <w:p>
            <w:pPr>
              <w:pStyle w:val="3"/>
              <w:suppressLineNumbers w:val="0"/>
              <w:bidi w:val="0"/>
              <w:spacing w:before="0" w:after="0"/>
              <w:ind w:right="0"/>
              <w:rPr>
                <w:rFonts w:hint="default"/>
                <w:lang w:val="en-US" w:eastAsia="zh-CN"/>
              </w:rPr>
            </w:pPr>
            <w:r>
              <w:rPr>
                <w:rFonts w:hint="eastAsia"/>
                <w:lang w:val="en-US" w:eastAsia="zh-CN"/>
              </w:rPr>
              <w:t>生产规模</w:t>
            </w:r>
          </w:p>
          <w:p>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病死畜禽无害化处理中心设计处理能力为3600t/a(12t/d)。</w:t>
            </w:r>
          </w:p>
          <w:p>
            <w:pPr>
              <w:pStyle w:val="3"/>
              <w:suppressLineNumbers w:val="0"/>
              <w:bidi w:val="0"/>
              <w:spacing w:before="0" w:after="0"/>
              <w:ind w:right="0"/>
              <w:rPr>
                <w:rFonts w:hint="default"/>
                <w:lang w:val="en-US" w:eastAsia="zh-CN"/>
              </w:rPr>
            </w:pPr>
            <w:r>
              <w:rPr>
                <w:rFonts w:hint="eastAsia"/>
                <w:lang w:val="en-US" w:eastAsia="zh-CN"/>
              </w:rPr>
              <w:t>建设内容</w:t>
            </w:r>
          </w:p>
          <w:p>
            <w:pPr>
              <w:keepNext w:val="0"/>
              <w:keepLines w:val="0"/>
              <w:suppressLineNumbers w:val="0"/>
              <w:bidi w:val="0"/>
              <w:spacing w:before="0" w:beforeAutospacing="0" w:after="0" w:afterAutospacing="0"/>
              <w:ind w:left="0" w:right="0"/>
              <w:rPr>
                <w:rFonts w:hint="eastAsia"/>
                <w:vertAlign w:val="baseline"/>
                <w:lang w:val="en-US" w:eastAsia="zh-CN"/>
              </w:rPr>
            </w:pPr>
            <w:r>
              <w:rPr>
                <w:rFonts w:hint="eastAsia"/>
                <w:lang w:val="en-US" w:eastAsia="zh-CN"/>
              </w:rPr>
              <w:t>项目占地面积为6622.05m</w:t>
            </w:r>
            <w:r>
              <w:rPr>
                <w:rFonts w:hint="eastAsia"/>
                <w:vertAlign w:val="superscript"/>
                <w:lang w:val="en-US" w:eastAsia="zh-CN"/>
              </w:rPr>
              <w:t>2</w:t>
            </w:r>
            <w:r>
              <w:rPr>
                <w:rFonts w:hint="eastAsia"/>
                <w:vertAlign w:val="baseline"/>
                <w:lang w:val="en-US" w:eastAsia="zh-CN"/>
              </w:rPr>
              <w:t>，厂区内设生产区、办公区、生活区。</w:t>
            </w:r>
          </w:p>
          <w:p>
            <w:pPr>
              <w:keepNext w:val="0"/>
              <w:keepLines w:val="0"/>
              <w:suppressLineNumbers w:val="0"/>
              <w:bidi w:val="0"/>
              <w:spacing w:before="0" w:beforeAutospacing="0" w:after="0" w:afterAutospacing="0"/>
              <w:ind w:left="0" w:right="0"/>
              <w:rPr>
                <w:rFonts w:hint="eastAsia"/>
                <w:vertAlign w:val="baseline"/>
                <w:lang w:val="en-US" w:eastAsia="zh-CN"/>
              </w:rPr>
            </w:pPr>
            <w:r>
              <w:rPr>
                <w:rFonts w:hint="eastAsia"/>
                <w:vertAlign w:val="baseline"/>
                <w:lang w:val="en-US" w:eastAsia="zh-CN"/>
              </w:rPr>
              <w:t>生产区主要包括无害化处理车间，锅炉房、浓硫酸储存罐、氨基酸原液存储池、废水收集池、消防池、冷库等。本项目建设内容组成详见下表。</w:t>
            </w: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lang w:val="en-US" w:eastAsia="zh-CN"/>
              </w:rPr>
            </w:pPr>
          </w:p>
          <w:p>
            <w:pPr>
              <w:pStyle w:val="20"/>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建设内容组成</w:t>
            </w:r>
          </w:p>
          <w:tbl>
            <w:tblPr>
              <w:tblStyle w:val="16"/>
              <w:tblpPr w:leftFromText="180" w:rightFromText="180" w:vertAnchor="text" w:horzAnchor="page" w:tblpX="242" w:tblpY="10"/>
              <w:tblOverlap w:val="never"/>
              <w:tblW w:w="4832"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115"/>
              <w:gridCol w:w="1911"/>
              <w:gridCol w:w="3059"/>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工程分类</w:t>
                  </w: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项目</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eastAsia"/>
                      <w:lang w:val="en-US" w:eastAsia="zh-CN"/>
                    </w:rPr>
                    <w:t>建设内容与规模</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74" w:hRule="atLeast"/>
              </w:trPr>
              <w:tc>
                <w:tcPr>
                  <w:tcW w:w="72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主体工程</w:t>
                  </w: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无害化处理车间</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新建无害化处理生产线一条，包括全自动配酸系统、粉碎上料系统、酸解系统、过滤系统、包装系统、空压系统、控制系统，洗消设备等。S=1083.5m</w:t>
                  </w:r>
                  <w:r>
                    <w:rPr>
                      <w:rFonts w:hint="eastAsia"/>
                      <w:vertAlign w:val="superscript"/>
                      <w:lang w:val="en-US" w:eastAsia="zh-CN"/>
                    </w:rPr>
                    <w:t>2</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PrEx>
              <w:tc>
                <w:tcPr>
                  <w:tcW w:w="72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辅助工程</w:t>
                  </w: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生产区锅炉房</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2t的燃气锅炉</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69" w:hRule="atLeast"/>
              </w:trPr>
              <w:tc>
                <w:tcPr>
                  <w:tcW w:w="727" w:type="pct"/>
                  <w:vMerge w:val="restar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储运工程</w:t>
                  </w: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浓硫酸储存罐</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yellow"/>
                      <w:lang w:val="en-US" w:eastAsia="zh-CN"/>
                    </w:rPr>
                  </w:pPr>
                  <w:r>
                    <w:rPr>
                      <w:rFonts w:hint="eastAsia"/>
                      <w:color w:val="auto"/>
                      <w:lang w:val="en-US" w:eastAsia="zh-CN"/>
                    </w:rPr>
                    <w:t>1个，</w:t>
                  </w:r>
                  <w:r>
                    <w:rPr>
                      <w:rFonts w:hint="eastAsia"/>
                      <w:lang w:val="en-US" w:eastAsia="zh-CN"/>
                    </w:rPr>
                    <w:t>V=</w:t>
                  </w:r>
                  <w:r>
                    <w:rPr>
                      <w:rFonts w:hint="eastAsia"/>
                      <w:color w:val="auto"/>
                      <w:lang w:val="en-US" w:eastAsia="zh-CN"/>
                    </w:rPr>
                    <w:t>15m</w:t>
                  </w:r>
                  <w:r>
                    <w:rPr>
                      <w:rFonts w:hint="eastAsia"/>
                      <w:color w:val="auto"/>
                      <w:vertAlign w:val="superscript"/>
                      <w:lang w:val="en-US" w:eastAsia="zh-CN"/>
                    </w:rPr>
                    <w:t>3</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最大储存量27.6t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冷库</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用于暂存病死畜禽</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V=2000m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氨基酸原液存储罐</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用于储存氨基酸原液</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V=200m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库房</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原料仓库50m</w:t>
                  </w:r>
                  <w:r>
                    <w:rPr>
                      <w:rFonts w:hint="eastAsia"/>
                      <w:vertAlign w:val="superscript"/>
                      <w:lang w:val="en-US" w:eastAsia="zh-CN"/>
                    </w:rPr>
                    <w:t>2</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产品仓库150m</w:t>
                  </w:r>
                  <w:r>
                    <w:rPr>
                      <w:rFonts w:hint="eastAsia"/>
                      <w:vertAlign w:val="superscript"/>
                      <w:lang w:val="en-US" w:eastAsia="zh-CN"/>
                    </w:rPr>
                    <w:t>2</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7" w:type="pct"/>
                  <w:vMerge w:val="restar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highlight w:val="none"/>
                      <w:lang w:val="en-US" w:eastAsia="zh-CN"/>
                    </w:rPr>
                    <w:t>公用工程</w:t>
                  </w: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办公区及配套设施</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办公室、员工宿舍、门岗等</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园区供热工程</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电锅炉供热</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供水工程</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引自西侧大丰工业园区管网</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44" w:hRule="atLeast"/>
              </w:trPr>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消防储水池</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1座，V=300m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地下布置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7" w:type="pct"/>
                  <w:vMerge w:val="restar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环保工程</w:t>
                  </w: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highlight w:val="none"/>
                      <w:lang w:val="en-US" w:eastAsia="zh-CN"/>
                    </w:rPr>
                    <w:t>废水收集池</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V=30m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碱液喷淋塔</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1座</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化粪池</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1座，</w:t>
                  </w:r>
                  <w:r>
                    <w:rPr>
                      <w:rFonts w:hint="eastAsia"/>
                      <w:lang w:val="en-US" w:eastAsia="zh-CN"/>
                    </w:rPr>
                    <w:t>V=</w:t>
                  </w:r>
                  <w:r>
                    <w:rPr>
                      <w:rFonts w:hint="eastAsia"/>
                      <w:highlight w:val="none"/>
                      <w:lang w:val="en-US" w:eastAsia="zh-CN"/>
                    </w:rPr>
                    <w:t>40</w:t>
                  </w:r>
                  <w:r>
                    <w:rPr>
                      <w:rFonts w:hint="eastAsia" w:cstheme="minorBidi"/>
                      <w:kern w:val="2"/>
                      <w:sz w:val="21"/>
                      <w:szCs w:val="22"/>
                      <w:highlight w:val="none"/>
                      <w:lang w:val="en-US" w:eastAsia="zh-CN" w:bidi="ar-SA"/>
                    </w:rPr>
                    <w:t>m</w:t>
                  </w:r>
                  <w:r>
                    <w:rPr>
                      <w:rFonts w:hint="eastAsia" w:cstheme="minorBidi"/>
                      <w:kern w:val="2"/>
                      <w:sz w:val="21"/>
                      <w:szCs w:val="22"/>
                      <w:highlight w:val="none"/>
                      <w:vertAlign w:val="superscript"/>
                      <w:lang w:val="en-US" w:eastAsia="zh-CN" w:bidi="ar-SA"/>
                    </w:rPr>
                    <w:t>3</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事故池</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1座，</w:t>
                  </w:r>
                  <w:r>
                    <w:rPr>
                      <w:rFonts w:hint="eastAsia"/>
                      <w:lang w:val="en-US" w:eastAsia="zh-CN"/>
                    </w:rPr>
                    <w:t>V=</w:t>
                  </w:r>
                  <w:r>
                    <w:rPr>
                      <w:rFonts w:hint="eastAsia" w:cstheme="minorBidi"/>
                      <w:kern w:val="2"/>
                      <w:sz w:val="21"/>
                      <w:szCs w:val="22"/>
                      <w:lang w:val="en-US" w:eastAsia="zh-CN" w:bidi="ar-SA"/>
                    </w:rPr>
                    <w:t>100m</w:t>
                  </w:r>
                  <w:r>
                    <w:rPr>
                      <w:rFonts w:hint="eastAsia" w:cstheme="minorBidi"/>
                      <w:kern w:val="2"/>
                      <w:sz w:val="21"/>
                      <w:szCs w:val="22"/>
                      <w:vertAlign w:val="superscript"/>
                      <w:lang w:val="en-US" w:eastAsia="zh-CN" w:bidi="ar-SA"/>
                    </w:rPr>
                    <w:t>3</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地下布置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highlight w:val="none"/>
                      <w:lang w:val="en-US" w:eastAsia="zh-CN" w:bidi="ar-SA"/>
                    </w:rPr>
                  </w:pPr>
                  <w:r>
                    <w:rPr>
                      <w:rFonts w:hint="eastAsia" w:cstheme="minorBidi"/>
                      <w:kern w:val="2"/>
                      <w:sz w:val="21"/>
                      <w:szCs w:val="22"/>
                      <w:highlight w:val="none"/>
                      <w:lang w:val="en-US" w:eastAsia="zh-CN" w:bidi="ar-SA"/>
                    </w:rPr>
                    <w:t>危废暂存间</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highlight w:val="none"/>
                      <w:lang w:val="en-US" w:eastAsia="zh-CN" w:bidi="ar-SA"/>
                    </w:rPr>
                    <w:t>1座，S=15m</w:t>
                  </w:r>
                  <w:r>
                    <w:rPr>
                      <w:rFonts w:hint="eastAsia" w:cstheme="minorBidi"/>
                      <w:kern w:val="2"/>
                      <w:sz w:val="21"/>
                      <w:szCs w:val="22"/>
                      <w:highlight w:val="none"/>
                      <w:vertAlign w:val="superscript"/>
                      <w:lang w:val="en-US" w:eastAsia="zh-CN" w:bidi="ar-SA"/>
                    </w:rPr>
                    <w:t>2</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厂区绿化</w:t>
                  </w:r>
                </w:p>
              </w:tc>
              <w:tc>
                <w:tcPr>
                  <w:tcW w:w="19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2685m</w:t>
                  </w:r>
                  <w:r>
                    <w:rPr>
                      <w:rFonts w:hint="eastAsia"/>
                      <w:vertAlign w:val="superscript"/>
                      <w:lang w:val="en-US" w:eastAsia="zh-CN"/>
                    </w:rPr>
                    <w:t>2</w:t>
                  </w:r>
                </w:p>
              </w:tc>
              <w:tc>
                <w:tcPr>
                  <w:tcW w:w="103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r>
          </w:tbl>
          <w:p>
            <w:pPr>
              <w:pStyle w:val="19"/>
              <w:keepNext w:val="0"/>
              <w:keepLines w:val="0"/>
              <w:suppressLineNumbers w:val="0"/>
              <w:spacing w:before="0" w:beforeAutospacing="0" w:after="0" w:afterAutospacing="0"/>
              <w:ind w:left="0" w:right="0"/>
              <w:jc w:val="both"/>
              <w:rPr>
                <w:rFonts w:hint="default"/>
                <w:lang w:val="en-US" w:eastAsia="zh-CN"/>
              </w:rPr>
            </w:pPr>
          </w:p>
          <w:p>
            <w:pPr>
              <w:pStyle w:val="3"/>
              <w:suppressLineNumbers w:val="0"/>
              <w:bidi w:val="0"/>
              <w:spacing w:before="0" w:after="0"/>
              <w:ind w:right="0"/>
              <w:rPr>
                <w:rFonts w:hint="default"/>
                <w:lang w:val="en-US" w:eastAsia="zh-CN"/>
              </w:rPr>
            </w:pPr>
            <w:r>
              <w:rPr>
                <w:rFonts w:hint="eastAsia" w:ascii="Times New Roman" w:hAnsi="Times New Roman" w:eastAsia="宋体"/>
                <w:shd w:val="clear" w:color="auto" w:fill="auto"/>
                <w:lang w:val="en-US" w:eastAsia="zh-CN"/>
              </w:rPr>
              <w:t>主要</w:t>
            </w:r>
            <w:r>
              <w:rPr>
                <w:rFonts w:hint="eastAsia"/>
                <w:lang w:val="en-US" w:eastAsia="zh-CN"/>
              </w:rPr>
              <w:t>设备</w:t>
            </w:r>
          </w:p>
          <w:p>
            <w:pPr>
              <w:keepNext w:val="0"/>
              <w:keepLines w:val="0"/>
              <w:numPr>
                <w:ilvl w:val="0"/>
                <w:numId w:val="0"/>
              </w:numPr>
              <w:suppressLineNumbers w:val="0"/>
              <w:tabs>
                <w:tab w:val="left" w:pos="0"/>
              </w:tabs>
              <w:bidi w:val="0"/>
              <w:spacing w:before="0" w:beforeAutospacing="0" w:after="0" w:afterAutospacing="0"/>
              <w:ind w:left="480" w:leftChars="200" w:right="0" w:rightChars="0"/>
              <w:rPr>
                <w:rFonts w:hint="eastAsia"/>
                <w:lang w:val="en-US" w:eastAsia="zh-CN"/>
              </w:rPr>
            </w:pPr>
            <w:r>
              <w:rPr>
                <w:rFonts w:hint="eastAsia"/>
                <w:lang w:val="en-US" w:eastAsia="zh-CN"/>
              </w:rPr>
              <w:t>本项目主要生产设备详见下表。</w:t>
            </w:r>
          </w:p>
          <w:p>
            <w:pPr>
              <w:pStyle w:val="20"/>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主要生产设备一览表</w:t>
            </w:r>
          </w:p>
          <w:tbl>
            <w:tblPr>
              <w:tblStyle w:val="16"/>
              <w:tblpPr w:leftFromText="180" w:rightFromText="180" w:vertAnchor="text" w:horzAnchor="page" w:tblpXSpec="center" w:tblpY="164"/>
              <w:tblOverlap w:val="never"/>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684"/>
              <w:gridCol w:w="1256"/>
              <w:gridCol w:w="2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序号</w:t>
                  </w:r>
                </w:p>
              </w:tc>
              <w:tc>
                <w:tcPr>
                  <w:tcW w:w="2323"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设备名称</w:t>
                  </w:r>
                </w:p>
              </w:tc>
              <w:tc>
                <w:tcPr>
                  <w:tcW w:w="792"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数量</w:t>
                  </w:r>
                </w:p>
              </w:tc>
              <w:tc>
                <w:tcPr>
                  <w:tcW w:w="1467"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设备参数/规格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rPr>
                    <w:t>1</w:t>
                  </w:r>
                </w:p>
              </w:tc>
              <w:tc>
                <w:tcPr>
                  <w:tcW w:w="2323" w:type="pct"/>
                  <w:vAlign w:val="top"/>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default"/>
                      <w:color w:val="auto"/>
                      <w:lang w:eastAsia="zh-CN"/>
                    </w:rPr>
                    <w:t>粉碎机</w:t>
                  </w:r>
                </w:p>
              </w:tc>
              <w:tc>
                <w:tcPr>
                  <w:tcW w:w="792"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1</w:t>
                  </w:r>
                </w:p>
              </w:tc>
              <w:tc>
                <w:tcPr>
                  <w:tcW w:w="1467"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rPr>
                    <w:t>2</w:t>
                  </w:r>
                </w:p>
              </w:tc>
              <w:tc>
                <w:tcPr>
                  <w:tcW w:w="2323" w:type="pct"/>
                  <w:vAlign w:val="top"/>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eastAsia" w:ascii="Times New Roman" w:hAnsi="Times New Roman"/>
                      <w:color w:val="auto"/>
                      <w:lang w:eastAsia="zh-CN"/>
                    </w:rPr>
                    <w:t>搪玻璃</w:t>
                  </w:r>
                  <w:r>
                    <w:rPr>
                      <w:rFonts w:hint="eastAsia"/>
                      <w:color w:val="auto"/>
                      <w:lang w:eastAsia="zh-CN"/>
                    </w:rPr>
                    <w:t>反应釜</w:t>
                  </w:r>
                </w:p>
              </w:tc>
              <w:tc>
                <w:tcPr>
                  <w:tcW w:w="792"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lang w:val="en-US" w:eastAsia="zh-CN"/>
                    </w:rPr>
                    <w:t>3</w:t>
                  </w:r>
                </w:p>
              </w:tc>
              <w:tc>
                <w:tcPr>
                  <w:tcW w:w="1467"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10000L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323" w:type="pct"/>
                  <w:vAlign w:val="top"/>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eastAsia"/>
                      <w:color w:val="auto"/>
                      <w:highlight w:val="none"/>
                      <w:lang w:val="en-US" w:eastAsia="zh-CN"/>
                    </w:rPr>
                    <w:t>燃气</w:t>
                  </w:r>
                  <w:r>
                    <w:rPr>
                      <w:rFonts w:hint="default"/>
                      <w:color w:val="auto"/>
                      <w:highlight w:val="none"/>
                      <w:lang w:eastAsia="zh-CN"/>
                    </w:rPr>
                    <w:t>锅炉</w:t>
                  </w:r>
                </w:p>
              </w:tc>
              <w:tc>
                <w:tcPr>
                  <w:tcW w:w="792"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1</w:t>
                  </w:r>
                </w:p>
              </w:tc>
              <w:tc>
                <w:tcPr>
                  <w:tcW w:w="1467"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2t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4</w:t>
                  </w:r>
                </w:p>
              </w:tc>
              <w:tc>
                <w:tcPr>
                  <w:tcW w:w="2323"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color w:val="auto"/>
                      <w:kern w:val="2"/>
                      <w:sz w:val="21"/>
                      <w:szCs w:val="22"/>
                      <w:lang w:val="en-US" w:eastAsia="zh-CN" w:bidi="ar-SA"/>
                    </w:rPr>
                  </w:pPr>
                  <w:r>
                    <w:rPr>
                      <w:rFonts w:hint="default"/>
                      <w:color w:val="auto"/>
                      <w:lang w:eastAsia="zh-CN"/>
                    </w:rPr>
                    <w:t>硫酸罐</w:t>
                  </w:r>
                </w:p>
              </w:tc>
              <w:tc>
                <w:tcPr>
                  <w:tcW w:w="792"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val="en-US" w:eastAsia="zh-CN"/>
                    </w:rPr>
                    <w:t>1</w:t>
                  </w:r>
                </w:p>
              </w:tc>
              <w:tc>
                <w:tcPr>
                  <w:tcW w:w="1467"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15m</w:t>
                  </w:r>
                  <w:r>
                    <w:rPr>
                      <w:rFonts w:hint="eastAsia"/>
                      <w:vertAlign w:val="superscript"/>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5</w:t>
                  </w:r>
                </w:p>
              </w:tc>
              <w:tc>
                <w:tcPr>
                  <w:tcW w:w="2323"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color w:val="auto"/>
                      <w:kern w:val="2"/>
                      <w:sz w:val="21"/>
                      <w:szCs w:val="22"/>
                      <w:lang w:val="en-US" w:eastAsia="zh-CN" w:bidi="ar-SA"/>
                    </w:rPr>
                  </w:pPr>
                  <w:r>
                    <w:rPr>
                      <w:rFonts w:hint="eastAsia" w:ascii="Times New Roman" w:hAnsi="Times New Roman"/>
                      <w:color w:val="auto"/>
                      <w:lang w:eastAsia="zh-CN"/>
                    </w:rPr>
                    <w:t>配酸罐</w:t>
                  </w:r>
                </w:p>
              </w:tc>
              <w:tc>
                <w:tcPr>
                  <w:tcW w:w="792"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1</w:t>
                  </w:r>
                </w:p>
              </w:tc>
              <w:tc>
                <w:tcPr>
                  <w:tcW w:w="1467"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ascii="Times New Roman" w:hAnsi="Times New Roman"/>
                      <w:lang w:val="en-US" w:eastAsia="zh-CN"/>
                    </w:rPr>
                    <w:t>1m</w:t>
                  </w:r>
                  <w:r>
                    <w:rPr>
                      <w:rFonts w:hint="eastAsia" w:ascii="Times New Roman" w:hAnsi="Times New Roman"/>
                      <w:vertAlign w:val="superscript"/>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lang w:val="en-US" w:eastAsia="zh-CN"/>
                    </w:rPr>
                    <w:t>6</w:t>
                  </w:r>
                </w:p>
              </w:tc>
              <w:tc>
                <w:tcPr>
                  <w:tcW w:w="2323" w:type="pct"/>
                  <w:vAlign w:val="top"/>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eastAsia"/>
                      <w:color w:val="auto"/>
                      <w:lang w:val="en-US" w:eastAsia="zh-CN"/>
                    </w:rPr>
                    <w:t>板式过滤器</w:t>
                  </w:r>
                </w:p>
              </w:tc>
              <w:tc>
                <w:tcPr>
                  <w:tcW w:w="792"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1</w:t>
                  </w:r>
                </w:p>
              </w:tc>
              <w:tc>
                <w:tcPr>
                  <w:tcW w:w="1467"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20kg压力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val="en-US" w:eastAsia="zh-CN"/>
                    </w:rPr>
                    <w:t>7</w:t>
                  </w:r>
                </w:p>
              </w:tc>
              <w:tc>
                <w:tcPr>
                  <w:tcW w:w="2323" w:type="pct"/>
                  <w:vAlign w:val="center"/>
                </w:tcPr>
                <w:p>
                  <w:pPr>
                    <w:pStyle w:val="19"/>
                    <w:keepNext w:val="0"/>
                    <w:keepLines w:val="0"/>
                    <w:suppressLineNumbers w:val="0"/>
                    <w:bidi w:val="0"/>
                    <w:spacing w:before="0" w:beforeAutospacing="0" w:after="0" w:afterAutospacing="0"/>
                    <w:ind w:left="0" w:right="0"/>
                    <w:rPr>
                      <w:rFonts w:hint="eastAsia"/>
                      <w:color w:val="auto"/>
                      <w:lang w:val="en-US" w:eastAsia="zh-CN"/>
                    </w:rPr>
                  </w:pPr>
                  <w:r>
                    <w:rPr>
                      <w:rFonts w:hint="default"/>
                      <w:color w:val="auto"/>
                      <w:lang w:eastAsia="zh-CN"/>
                    </w:rPr>
                    <w:t>螺杆空压机</w:t>
                  </w:r>
                </w:p>
              </w:tc>
              <w:tc>
                <w:tcPr>
                  <w:tcW w:w="792"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1467"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val="en-US" w:eastAsia="zh-CN"/>
                    </w:rPr>
                    <w:t>8</w:t>
                  </w:r>
                </w:p>
              </w:tc>
              <w:tc>
                <w:tcPr>
                  <w:tcW w:w="2323"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lang w:eastAsia="zh-CN"/>
                    </w:rPr>
                    <w:t>包装机</w:t>
                  </w:r>
                </w:p>
              </w:tc>
              <w:tc>
                <w:tcPr>
                  <w:tcW w:w="792"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rPr>
                    <w:t>1</w:t>
                  </w:r>
                </w:p>
              </w:tc>
              <w:tc>
                <w:tcPr>
                  <w:tcW w:w="1467"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top"/>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9</w:t>
                  </w:r>
                </w:p>
              </w:tc>
              <w:tc>
                <w:tcPr>
                  <w:tcW w:w="2323"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lang w:eastAsia="zh-CN"/>
                    </w:rPr>
                    <w:t>冻库</w:t>
                  </w:r>
                </w:p>
              </w:tc>
              <w:tc>
                <w:tcPr>
                  <w:tcW w:w="792"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rPr>
                    <w:t>1</w:t>
                  </w:r>
                </w:p>
              </w:tc>
              <w:tc>
                <w:tcPr>
                  <w:tcW w:w="1467"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top"/>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10</w:t>
                  </w:r>
                </w:p>
              </w:tc>
              <w:tc>
                <w:tcPr>
                  <w:tcW w:w="2323"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rPr>
                    <w:t>碱液喷淋塔</w:t>
                  </w:r>
                </w:p>
              </w:tc>
              <w:tc>
                <w:tcPr>
                  <w:tcW w:w="792"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rPr>
                    <w:t>1</w:t>
                  </w:r>
                </w:p>
              </w:tc>
              <w:tc>
                <w:tcPr>
                  <w:tcW w:w="1467"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top"/>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11</w:t>
                  </w:r>
                </w:p>
              </w:tc>
              <w:tc>
                <w:tcPr>
                  <w:tcW w:w="2323"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清洗消毒系统</w:t>
                  </w:r>
                </w:p>
              </w:tc>
              <w:tc>
                <w:tcPr>
                  <w:tcW w:w="792"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w:t>
                  </w:r>
                </w:p>
              </w:tc>
              <w:tc>
                <w:tcPr>
                  <w:tcW w:w="1467"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AGL-C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12</w:t>
                  </w:r>
                </w:p>
              </w:tc>
              <w:tc>
                <w:tcPr>
                  <w:tcW w:w="2323"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智能监控设备</w:t>
                  </w:r>
                </w:p>
              </w:tc>
              <w:tc>
                <w:tcPr>
                  <w:tcW w:w="792"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w:t>
                  </w:r>
                </w:p>
              </w:tc>
              <w:tc>
                <w:tcPr>
                  <w:tcW w:w="1467"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r>
          </w:tbl>
          <w:p>
            <w:pPr>
              <w:pStyle w:val="3"/>
              <w:numPr>
                <w:ilvl w:val="1"/>
                <w:numId w:val="0"/>
              </w:numPr>
              <w:suppressLineNumbers w:val="0"/>
              <w:tabs>
                <w:tab w:val="left" w:pos="420"/>
              </w:tabs>
              <w:bidi w:val="0"/>
              <w:spacing w:before="0" w:after="0"/>
              <w:ind w:right="0" w:rightChars="0"/>
              <w:rPr>
                <w:rFonts w:hint="default"/>
                <w:lang w:val="en-US" w:eastAsia="zh-CN"/>
              </w:rPr>
            </w:pPr>
          </w:p>
          <w:p>
            <w:pPr>
              <w:pStyle w:val="3"/>
              <w:suppressLineNumbers w:val="0"/>
              <w:bidi w:val="0"/>
              <w:spacing w:before="0" w:after="0"/>
              <w:ind w:right="0"/>
              <w:rPr>
                <w:rFonts w:hint="default"/>
                <w:highlight w:val="none"/>
                <w:lang w:val="en-US" w:eastAsia="zh-CN"/>
              </w:rPr>
            </w:pPr>
            <w:r>
              <w:rPr>
                <w:rFonts w:hint="eastAsia"/>
                <w:color w:val="auto"/>
                <w:highlight w:val="none"/>
                <w:lang w:val="en-US" w:eastAsia="zh-CN"/>
              </w:rPr>
              <w:t>生产</w:t>
            </w:r>
            <w:r>
              <w:rPr>
                <w:rFonts w:hint="eastAsia"/>
                <w:highlight w:val="none"/>
                <w:lang w:val="en-US" w:eastAsia="zh-CN"/>
              </w:rPr>
              <w:t>工艺</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采用硫酸分解法以病死畜禽、酸解液为原辅材料，通过粉碎、酸解、固液分离等工序，达到对病死畜禽进行无害化处理的目的，同时产生氨基酸水溶液、滓渣及工业油脂作为产品外售。</w:t>
            </w:r>
          </w:p>
          <w:p>
            <w:pPr>
              <w:pStyle w:val="3"/>
              <w:suppressLineNumbers w:val="0"/>
              <w:bidi w:val="0"/>
              <w:spacing w:before="0" w:after="0"/>
              <w:ind w:right="0"/>
              <w:rPr>
                <w:rFonts w:hint="default"/>
                <w:lang w:val="en-US" w:eastAsia="zh-CN"/>
              </w:rPr>
            </w:pPr>
            <w:r>
              <w:rPr>
                <w:rFonts w:hint="eastAsia"/>
                <w:lang w:val="en-US" w:eastAsia="zh-CN"/>
              </w:rPr>
              <w:t>原辅</w:t>
            </w:r>
            <w:r>
              <w:rPr>
                <w:rFonts w:hint="default"/>
                <w:lang w:val="en-US" w:eastAsia="zh-CN"/>
              </w:rPr>
              <w:t>材料及</w:t>
            </w:r>
            <w:r>
              <w:rPr>
                <w:rFonts w:hint="eastAsia"/>
                <w:lang w:val="en-US" w:eastAsia="zh-CN"/>
              </w:rPr>
              <w:t>能源</w:t>
            </w:r>
            <w:r>
              <w:rPr>
                <w:rFonts w:hint="default"/>
                <w:lang w:val="en-US" w:eastAsia="zh-CN"/>
              </w:rPr>
              <w:t>能耗</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本项目主要物料为病死畜禽，病死畜禽经过检疫合格后拉运进厂。根据《病死及病害动物无害化处理技术规范》中规定，硫酸分解法适用范围为国家规定的染疫动物及其产品、病死或者死因不明的动物尸体，屠宰前确认的病害动物、屠宰过程中经检疫或肉品品质检验确认为不可食用的动物产品，以及其他应当进行无害化处理的动物及动物产品，不得用于患有炭疽等芽孢杆菌类疫病，以及牛海绵状脑病、痒病的染疫动物及产品、组织的处理。</w:t>
            </w:r>
          </w:p>
          <w:p>
            <w:pPr>
              <w:keepNext w:val="0"/>
              <w:keepLines w:val="0"/>
              <w:numPr>
                <w:ilvl w:val="0"/>
                <w:numId w:val="0"/>
              </w:numPr>
              <w:suppressLineNumbers w:val="0"/>
              <w:tabs>
                <w:tab w:val="left" w:pos="0"/>
              </w:tabs>
              <w:bidi w:val="0"/>
              <w:spacing w:before="0" w:beforeAutospacing="0" w:after="0" w:afterAutospacing="0"/>
              <w:ind w:left="480" w:leftChars="200" w:right="0" w:rightChars="0"/>
              <w:rPr>
                <w:rFonts w:hint="default"/>
                <w:lang w:val="en-US" w:eastAsia="zh-CN"/>
              </w:rPr>
            </w:pPr>
            <w:r>
              <w:rPr>
                <w:rFonts w:hint="default"/>
                <w:lang w:val="en-US" w:eastAsia="zh-CN"/>
              </w:rPr>
              <w:t>本项目</w:t>
            </w:r>
            <w:r>
              <w:rPr>
                <w:rFonts w:hint="eastAsia"/>
                <w:lang w:val="en-US" w:eastAsia="zh-CN"/>
              </w:rPr>
              <w:t>病死畜禽及辅料</w:t>
            </w:r>
            <w:r>
              <w:rPr>
                <w:rFonts w:hint="default"/>
                <w:lang w:val="en-US" w:eastAsia="zh-CN"/>
              </w:rPr>
              <w:t>用量情况见</w:t>
            </w:r>
            <w:r>
              <w:rPr>
                <w:rFonts w:hint="eastAsia"/>
                <w:lang w:val="en-US" w:eastAsia="zh-CN"/>
              </w:rPr>
              <w:t>下表</w:t>
            </w:r>
            <w:r>
              <w:rPr>
                <w:rFonts w:hint="default"/>
                <w:lang w:val="en-US" w:eastAsia="zh-CN"/>
              </w:rPr>
              <w:t>所示。</w:t>
            </w:r>
          </w:p>
          <w:p>
            <w:pPr>
              <w:pStyle w:val="20"/>
              <w:keepNext w:val="0"/>
              <w:keepLines w:val="0"/>
              <w:suppressLineNumbers w:val="0"/>
              <w:bidi w:val="0"/>
              <w:spacing w:before="0" w:beforeAutospacing="0" w:after="0" w:afterAutospacing="0"/>
              <w:ind w:left="0" w:right="0"/>
              <w:rPr>
                <w:rFonts w:hint="default"/>
              </w:rPr>
            </w:pPr>
            <w:r>
              <w:rPr>
                <w:rFonts w:hint="default"/>
                <w:lang w:val="en-US" w:eastAsia="zh-CN"/>
              </w:rPr>
              <w:t>病死畜禽及辅料用量情况</w:t>
            </w:r>
          </w:p>
          <w:tbl>
            <w:tblPr>
              <w:tblStyle w:val="16"/>
              <w:tblW w:w="4958" w:type="pct"/>
              <w:tblInd w:w="-7"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0"/>
              <w:gridCol w:w="599"/>
              <w:gridCol w:w="445"/>
              <w:gridCol w:w="1556"/>
              <w:gridCol w:w="689"/>
              <w:gridCol w:w="914"/>
              <w:gridCol w:w="3070"/>
            </w:tblGrid>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375" w:type="pct"/>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序号</w:t>
                  </w:r>
                </w:p>
              </w:tc>
              <w:tc>
                <w:tcPr>
                  <w:tcW w:w="381" w:type="pct"/>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类别</w:t>
                  </w:r>
                </w:p>
              </w:tc>
              <w:tc>
                <w:tcPr>
                  <w:tcW w:w="1272" w:type="pct"/>
                  <w:gridSpan w:val="2"/>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原辅材料名称</w:t>
                  </w:r>
                </w:p>
              </w:tc>
              <w:tc>
                <w:tcPr>
                  <w:tcW w:w="438" w:type="pct"/>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数量</w:t>
                  </w:r>
                </w:p>
              </w:tc>
              <w:tc>
                <w:tcPr>
                  <w:tcW w:w="581" w:type="pct"/>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单位</w:t>
                  </w:r>
                </w:p>
              </w:tc>
              <w:tc>
                <w:tcPr>
                  <w:tcW w:w="1951" w:type="pct"/>
                  <w:tcBorders>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1</w:t>
                  </w:r>
                </w:p>
              </w:tc>
              <w:tc>
                <w:tcPr>
                  <w:tcW w:w="381" w:type="pct"/>
                  <w:vMerge w:val="restar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主要</w:t>
                  </w:r>
                </w:p>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材料</w:t>
                  </w: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病死畜禽</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3</w:t>
                  </w:r>
                  <w:r>
                    <w:rPr>
                      <w:rFonts w:hint="eastAsia"/>
                      <w:lang w:val="en-US" w:eastAsia="zh-CN"/>
                    </w:rPr>
                    <w:t>6</w:t>
                  </w:r>
                  <w:r>
                    <w:rPr>
                      <w:rFonts w:hint="default"/>
                      <w:lang w:val="en-US" w:eastAsia="zh-CN"/>
                    </w:rPr>
                    <w:t>00</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eastAsia"/>
                      <w:lang w:val="en-US" w:eastAsia="zh-CN"/>
                    </w:rPr>
                    <w:t>检疫合格后的</w:t>
                  </w:r>
                  <w:r>
                    <w:rPr>
                      <w:rFonts w:hint="default"/>
                      <w:lang w:val="en-US" w:eastAsia="zh-CN"/>
                    </w:rPr>
                    <w:t>病害动物尸体、屠宰场下脚料、动物毛发、鸡鸭鹅鱼等</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2</w:t>
                  </w:r>
                </w:p>
              </w:tc>
              <w:tc>
                <w:tcPr>
                  <w:tcW w:w="381"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硫酸</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360</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highlight w:val="none"/>
                      <w:lang w:val="en-US" w:eastAsia="zh-CN"/>
                    </w:rPr>
                  </w:pPr>
                  <w:r>
                    <w:rPr>
                      <w:rFonts w:hint="default"/>
                      <w:lang w:val="en-US" w:eastAsia="zh-CN"/>
                    </w:rPr>
                    <w:t>98%硫酸，</w:t>
                  </w:r>
                  <w:r>
                    <w:rPr>
                      <w:rFonts w:hint="default"/>
                      <w:highlight w:val="none"/>
                      <w:lang w:val="en-US" w:eastAsia="zh-CN"/>
                    </w:rPr>
                    <w:t>厂区最大储存量</w:t>
                  </w:r>
                  <w:r>
                    <w:rPr>
                      <w:rFonts w:hint="eastAsia"/>
                      <w:highlight w:val="none"/>
                      <w:lang w:val="en-US" w:eastAsia="zh-CN"/>
                    </w:rPr>
                    <w:t>27.6t</w:t>
                  </w:r>
                </w:p>
                <w:p>
                  <w:pPr>
                    <w:pStyle w:val="19"/>
                    <w:keepNext w:val="0"/>
                    <w:keepLines w:val="0"/>
                    <w:suppressLineNumbers w:val="0"/>
                    <w:bidi w:val="0"/>
                    <w:spacing w:before="0" w:beforeAutospacing="0" w:after="0" w:afterAutospacing="0"/>
                    <w:ind w:left="0" w:right="0"/>
                    <w:jc w:val="center"/>
                    <w:rPr>
                      <w:rFonts w:hint="default"/>
                      <w:highlight w:val="none"/>
                      <w:lang w:val="en-US" w:eastAsia="zh-CN"/>
                    </w:rPr>
                  </w:pPr>
                  <w:r>
                    <w:rPr>
                      <w:rFonts w:hint="eastAsia"/>
                      <w:highlight w:val="none"/>
                      <w:lang w:val="en-US" w:eastAsia="zh-CN"/>
                    </w:rPr>
                    <w:t>由厂家拉运至项目区</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3</w:t>
                  </w:r>
                </w:p>
              </w:tc>
              <w:tc>
                <w:tcPr>
                  <w:tcW w:w="381"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氢氧化</w:t>
                  </w:r>
                  <w:r>
                    <w:rPr>
                      <w:rFonts w:hint="eastAsia"/>
                      <w:lang w:val="en-US" w:eastAsia="zh-CN"/>
                    </w:rPr>
                    <w:t>钾</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50</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rPr>
                  </w:pPr>
                  <w:r>
                    <w:rPr>
                      <w:rFonts w:hint="default"/>
                      <w:lang w:val="en-US" w:eastAsia="zh-CN"/>
                    </w:rPr>
                    <w:t>片状氢氧化</w:t>
                  </w:r>
                  <w:r>
                    <w:rPr>
                      <w:rFonts w:hint="eastAsia"/>
                      <w:lang w:val="en-US" w:eastAsia="zh-CN"/>
                    </w:rPr>
                    <w:t>钾</w:t>
                  </w:r>
                  <w:r>
                    <w:rPr>
                      <w:rFonts w:hint="default"/>
                      <w:lang w:val="en-US" w:eastAsia="zh-CN"/>
                    </w:rPr>
                    <w:t>，袋装</w:t>
                  </w:r>
                  <w:r>
                    <w:rPr>
                      <w:rFonts w:hint="eastAsia"/>
                      <w:lang w:val="en-US" w:eastAsia="zh-CN"/>
                    </w:rPr>
                    <w:t>；存于原料仓库，做防渗处理</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4</w:t>
                  </w:r>
                </w:p>
              </w:tc>
              <w:tc>
                <w:tcPr>
                  <w:tcW w:w="381"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熟石灰</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rPr>
                  </w:pPr>
                  <w:r>
                    <w:rPr>
                      <w:rFonts w:hint="default"/>
                      <w:lang w:val="en-US" w:eastAsia="zh-CN"/>
                    </w:rPr>
                    <w:t>3</w:t>
                  </w:r>
                  <w:r>
                    <w:rPr>
                      <w:rFonts w:hint="eastAsia"/>
                      <w:lang w:val="en-US" w:eastAsia="zh-CN"/>
                    </w:rPr>
                    <w:t>.6</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白色粉末状固体，袋装</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5</w:t>
                  </w:r>
                </w:p>
              </w:tc>
              <w:tc>
                <w:tcPr>
                  <w:tcW w:w="381"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R22</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w:t>
                  </w:r>
                </w:p>
              </w:tc>
              <w:tc>
                <w:tcPr>
                  <w:tcW w:w="1951"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根据机组制冷情况、物料储存情况，进行加注</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6</w:t>
                  </w:r>
                </w:p>
              </w:tc>
              <w:tc>
                <w:tcPr>
                  <w:tcW w:w="381"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283" w:type="pct"/>
                  <w:vMerge w:val="restar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消毒剂</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聚维酮碘溶液</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0.3</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L/a</w:t>
                  </w:r>
                </w:p>
              </w:tc>
              <w:tc>
                <w:tcPr>
                  <w:tcW w:w="1951" w:type="pct"/>
                  <w:vMerge w:val="restart"/>
                  <w:tcBorders>
                    <w:top w:val="single" w:color="auto" w:sz="4" w:space="0"/>
                    <w:lef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配比1:200，</w:t>
                  </w:r>
                  <w:r>
                    <w:rPr>
                      <w:rFonts w:hint="eastAsia"/>
                      <w:highlight w:val="none"/>
                      <w:lang w:val="en-US" w:eastAsia="zh-CN"/>
                    </w:rPr>
                    <w:t>用于粉碎后消毒</w:t>
                  </w:r>
                  <w:r>
                    <w:rPr>
                      <w:rFonts w:hint="eastAsia"/>
                      <w:lang w:val="en-US" w:eastAsia="zh-CN"/>
                    </w:rPr>
                    <w:t>，外购</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7</w:t>
                  </w:r>
                </w:p>
              </w:tc>
              <w:tc>
                <w:tcPr>
                  <w:tcW w:w="381"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283" w:type="pct"/>
                  <w:vMerge w:val="continue"/>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戊二醛盔甲溴铵溶液</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59.7</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L/a</w:t>
                  </w:r>
                </w:p>
              </w:tc>
              <w:tc>
                <w:tcPr>
                  <w:tcW w:w="1951" w:type="pct"/>
                  <w:vMerge w:val="continue"/>
                  <w:tcBorders>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8</w:t>
                  </w:r>
                </w:p>
              </w:tc>
              <w:tc>
                <w:tcPr>
                  <w:tcW w:w="381" w:type="pct"/>
                  <w:vMerge w:val="continue"/>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微量元素</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0.8</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含有铁、锰、铜、钾等</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eastAsia"/>
                      <w:lang w:val="en-US" w:eastAsia="zh-CN"/>
                    </w:rPr>
                    <w:t>1</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能源</w:t>
                  </w: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水</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eastAsia="宋体"/>
                      <w:lang w:val="en-US" w:eastAsia="zh-CN"/>
                    </w:rPr>
                  </w:pPr>
                  <w:r>
                    <w:rPr>
                      <w:rFonts w:hint="eastAsia"/>
                      <w:lang w:val="en-US" w:eastAsia="zh-CN"/>
                    </w:rPr>
                    <w:t>3135</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highlight w:val="yellow"/>
                      <w:lang w:val="en-US" w:eastAsia="zh-CN"/>
                    </w:rPr>
                  </w:pPr>
                  <w:r>
                    <w:rPr>
                      <w:rFonts w:hint="eastAsia"/>
                      <w:highlight w:val="none"/>
                      <w:lang w:val="en-US" w:eastAsia="zh-CN"/>
                    </w:rPr>
                    <w:t>依托园区供水</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5" w:type="pct"/>
                  <w:tcBorders>
                    <w:top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eastAsia"/>
                      <w:lang w:val="en-US" w:eastAsia="zh-CN"/>
                    </w:rPr>
                    <w:t>2</w:t>
                  </w:r>
                </w:p>
              </w:tc>
              <w:tc>
                <w:tcPr>
                  <w:tcW w:w="381" w:type="pct"/>
                  <w:vMerge w:val="continue"/>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rPr>
                  </w:pPr>
                  <w:r>
                    <w:rPr>
                      <w:rFonts w:hint="eastAsia"/>
                      <w:lang w:val="en-US" w:eastAsia="zh-CN"/>
                    </w:rPr>
                    <w:t>天然</w:t>
                  </w:r>
                  <w:r>
                    <w:rPr>
                      <w:rFonts w:hint="default"/>
                      <w:lang w:val="en-US" w:eastAsia="zh-CN"/>
                    </w:rPr>
                    <w:t>气</w:t>
                  </w:r>
                </w:p>
              </w:tc>
              <w:tc>
                <w:tcPr>
                  <w:tcW w:w="438" w:type="pc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eastAsia="宋体"/>
                      <w:highlight w:val="yellow"/>
                      <w:lang w:val="en-US" w:eastAsia="zh-CN"/>
                    </w:rPr>
                  </w:pPr>
                  <w:r>
                    <w:rPr>
                      <w:rFonts w:hint="eastAsia"/>
                      <w:highlight w:val="none"/>
                      <w:lang w:val="en-US" w:eastAsia="zh-CN"/>
                    </w:rPr>
                    <w:t>30</w:t>
                  </w:r>
                </w:p>
              </w:tc>
              <w:tc>
                <w:tcPr>
                  <w:tcW w:w="581" w:type="pc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highlight w:val="yellow"/>
                    </w:rPr>
                  </w:pPr>
                  <w:r>
                    <w:rPr>
                      <w:rFonts w:hint="eastAsia"/>
                      <w:highlight w:val="none"/>
                      <w:lang w:val="en-US" w:eastAsia="zh-CN"/>
                    </w:rPr>
                    <w:t>万m</w:t>
                  </w:r>
                  <w:r>
                    <w:rPr>
                      <w:rFonts w:hint="eastAsia"/>
                      <w:highlight w:val="none"/>
                      <w:vertAlign w:val="superscript"/>
                      <w:lang w:val="en-US" w:eastAsia="zh-CN"/>
                    </w:rPr>
                    <w:t>3</w:t>
                  </w:r>
                  <w:r>
                    <w:rPr>
                      <w:rFonts w:hint="default"/>
                      <w:highlight w:val="none"/>
                      <w:lang w:val="en-US" w:eastAsia="zh-CN"/>
                    </w:rPr>
                    <w:t>/a</w:t>
                  </w:r>
                </w:p>
              </w:tc>
              <w:tc>
                <w:tcPr>
                  <w:tcW w:w="1951" w:type="pct"/>
                  <w:tcBorders>
                    <w:top w:val="single" w:color="auto" w:sz="4" w:space="0"/>
                    <w:lef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lang w:val="en-US"/>
                    </w:rPr>
                  </w:pPr>
                  <w:r>
                    <w:rPr>
                      <w:rFonts w:hint="eastAsia"/>
                      <w:highlight w:val="none"/>
                      <w:lang w:val="en-US" w:eastAsia="zh-CN"/>
                    </w:rPr>
                    <w:t>依托园区管网供气</w:t>
                  </w:r>
                </w:p>
              </w:tc>
            </w:tr>
          </w:tbl>
          <w:p>
            <w:pPr>
              <w:keepNext w:val="0"/>
              <w:keepLines w:val="0"/>
              <w:suppressLineNumbers w:val="0"/>
              <w:bidi w:val="0"/>
              <w:spacing w:before="0" w:beforeAutospacing="0" w:after="0" w:afterAutospacing="0"/>
              <w:ind w:left="0" w:right="0"/>
              <w:rPr>
                <w:rFonts w:hint="default"/>
                <w:lang w:val="en-US" w:eastAsia="zh-CN"/>
              </w:rPr>
            </w:pPr>
          </w:p>
          <w:p>
            <w:pPr>
              <w:pStyle w:val="3"/>
              <w:suppressLineNumbers w:val="0"/>
              <w:bidi w:val="0"/>
              <w:spacing w:before="0" w:after="0"/>
              <w:ind w:right="0"/>
              <w:rPr>
                <w:rFonts w:hint="default"/>
                <w:lang w:val="en-US" w:eastAsia="zh-CN"/>
              </w:rPr>
            </w:pPr>
            <w:r>
              <w:rPr>
                <w:rFonts w:hint="eastAsia" w:ascii="Times New Roman" w:hAnsi="Times New Roman" w:eastAsia="宋体"/>
                <w:lang w:val="en-US" w:eastAsia="zh-CN"/>
              </w:rPr>
              <w:t>项目</w:t>
            </w:r>
            <w:r>
              <w:rPr>
                <w:rFonts w:hint="eastAsia"/>
                <w:lang w:val="en-US" w:eastAsia="zh-CN"/>
              </w:rPr>
              <w:t>产品方案</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企业通过对病死畜禽残体的无害化处理，得到氨基酸水溶</w:t>
            </w:r>
            <w:r>
              <w:rPr>
                <w:rFonts w:hint="eastAsia"/>
                <w:highlight w:val="none"/>
                <w:lang w:val="en-US" w:eastAsia="zh-CN"/>
              </w:rPr>
              <w:t>液、油脂及</w:t>
            </w:r>
            <w:r>
              <w:rPr>
                <w:rFonts w:hint="eastAsia"/>
                <w:color w:val="auto"/>
                <w:highlight w:val="none"/>
                <w:lang w:val="en-US" w:eastAsia="zh-CN"/>
              </w:rPr>
              <w:t>滓渣</w:t>
            </w:r>
            <w:r>
              <w:rPr>
                <w:rFonts w:hint="default"/>
                <w:color w:val="auto"/>
                <w:highlight w:val="none"/>
                <w:lang w:val="en-US" w:eastAsia="zh-CN"/>
              </w:rPr>
              <w:t>。</w:t>
            </w:r>
            <w:r>
              <w:rPr>
                <w:rFonts w:hint="eastAsia"/>
                <w:color w:val="auto"/>
                <w:highlight w:val="none"/>
                <w:lang w:val="en-US" w:eastAsia="zh-CN"/>
              </w:rPr>
              <w:t>设计</w:t>
            </w:r>
            <w:r>
              <w:rPr>
                <w:rFonts w:hint="default"/>
                <w:highlight w:val="none"/>
                <w:lang w:val="en-US" w:eastAsia="zh-CN"/>
              </w:rPr>
              <w:t>年处理病死畜禽约3600t，</w:t>
            </w:r>
            <w:r>
              <w:rPr>
                <w:rFonts w:hint="default"/>
                <w:color w:val="auto"/>
                <w:lang w:val="en-US" w:eastAsia="zh-CN"/>
              </w:rPr>
              <w:t>病死畜禽</w:t>
            </w:r>
            <w:r>
              <w:rPr>
                <w:rFonts w:hint="eastAsia"/>
                <w:color w:val="auto"/>
                <w:lang w:val="en-US" w:eastAsia="zh-CN"/>
              </w:rPr>
              <w:t>经酸化处理产出</w:t>
            </w:r>
            <w:r>
              <w:rPr>
                <w:rFonts w:hint="default"/>
                <w:color w:val="auto"/>
                <w:highlight w:val="none"/>
                <w:lang w:val="en-US" w:eastAsia="zh-CN"/>
              </w:rPr>
              <w:t>氨</w:t>
            </w:r>
            <w:r>
              <w:rPr>
                <w:rFonts w:hint="default"/>
                <w:highlight w:val="none"/>
                <w:lang w:val="en-US" w:eastAsia="zh-CN"/>
              </w:rPr>
              <w:t>基酸原液、油脂两类初级产品和部分杂质。根据业主</w:t>
            </w:r>
            <w:r>
              <w:rPr>
                <w:rFonts w:hint="eastAsia"/>
                <w:highlight w:val="none"/>
                <w:lang w:val="en-US" w:eastAsia="zh-CN"/>
              </w:rPr>
              <w:t>提供技术参数</w:t>
            </w:r>
            <w:r>
              <w:rPr>
                <w:rFonts w:hint="default"/>
                <w:highlight w:val="none"/>
                <w:lang w:val="en-US" w:eastAsia="zh-CN"/>
              </w:rPr>
              <w:t>，每吨病死畜禽产出1.2t氨基酸原液，</w:t>
            </w:r>
            <w:r>
              <w:rPr>
                <w:rFonts w:hint="eastAsia"/>
                <w:highlight w:val="none"/>
                <w:lang w:val="en-US" w:eastAsia="zh-CN"/>
              </w:rPr>
              <w:t>本项目产品为</w:t>
            </w:r>
            <w:r>
              <w:rPr>
                <w:rFonts w:hint="default"/>
                <w:highlight w:val="none"/>
                <w:lang w:val="en-US" w:eastAsia="zh-CN"/>
              </w:rPr>
              <w:t>氨基酸原液4320t</w:t>
            </w:r>
            <w:r>
              <w:rPr>
                <w:rFonts w:hint="eastAsia"/>
                <w:highlight w:val="none"/>
                <w:lang w:val="en-US" w:eastAsia="zh-CN"/>
              </w:rPr>
              <w:t>/a</w:t>
            </w:r>
            <w:r>
              <w:rPr>
                <w:rFonts w:hint="default"/>
                <w:highlight w:val="none"/>
                <w:lang w:val="en-US" w:eastAsia="zh-CN"/>
              </w:rPr>
              <w:t>，油脂360t</w:t>
            </w:r>
            <w:r>
              <w:rPr>
                <w:rFonts w:hint="eastAsia"/>
                <w:highlight w:val="none"/>
                <w:lang w:val="en-US" w:eastAsia="zh-CN"/>
              </w:rPr>
              <w:t>/a，滓渣180</w:t>
            </w:r>
            <w:r>
              <w:rPr>
                <w:rFonts w:hint="default"/>
                <w:highlight w:val="none"/>
                <w:lang w:val="en-US" w:eastAsia="zh-CN"/>
              </w:rPr>
              <w:t>t</w:t>
            </w:r>
            <w:r>
              <w:rPr>
                <w:rFonts w:hint="eastAsia"/>
                <w:highlight w:val="none"/>
                <w:lang w:val="en-US" w:eastAsia="zh-CN"/>
              </w:rPr>
              <w:t>/a</w:t>
            </w:r>
            <w:r>
              <w:rPr>
                <w:rFonts w:hint="default"/>
                <w:highlight w:val="none"/>
                <w:lang w:val="en-US" w:eastAsia="zh-CN"/>
              </w:rPr>
              <w:t>。</w:t>
            </w:r>
            <w:r>
              <w:rPr>
                <w:rFonts w:hint="eastAsia"/>
                <w:highlight w:val="none"/>
                <w:lang w:val="en-US" w:eastAsia="zh-CN"/>
              </w:rPr>
              <w:t>具体产品方案见下表。</w:t>
            </w:r>
          </w:p>
          <w:p>
            <w:pPr>
              <w:pStyle w:val="20"/>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产品方案一览表</w:t>
            </w:r>
          </w:p>
          <w:tbl>
            <w:tblPr>
              <w:tblStyle w:val="16"/>
              <w:tblpPr w:leftFromText="180" w:rightFromText="180" w:vertAnchor="text" w:horzAnchor="page" w:tblpXSpec="center" w:tblpY="73"/>
              <w:tblOverlap w:val="never"/>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787"/>
              <w:gridCol w:w="2538"/>
              <w:gridCol w:w="25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jc w:val="center"/>
              </w:trPr>
              <w:tc>
                <w:tcPr>
                  <w:tcW w:w="1758"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产品名称</w:t>
                  </w:r>
                </w:p>
              </w:tc>
              <w:tc>
                <w:tcPr>
                  <w:tcW w:w="1601"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年产量(t/a)</w:t>
                  </w:r>
                </w:p>
              </w:tc>
              <w:tc>
                <w:tcPr>
                  <w:tcW w:w="1639"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jc w:val="center"/>
              </w:trPr>
              <w:tc>
                <w:tcPr>
                  <w:tcW w:w="1758"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氨基酸原液</w:t>
                  </w:r>
                </w:p>
              </w:tc>
              <w:tc>
                <w:tcPr>
                  <w:tcW w:w="1601"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4320</w:t>
                  </w:r>
                </w:p>
              </w:tc>
              <w:tc>
                <w:tcPr>
                  <w:tcW w:w="1639" w:type="pct"/>
                  <w:vMerge w:val="restar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外售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1758"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工业油脂</w:t>
                  </w:r>
                </w:p>
              </w:tc>
              <w:tc>
                <w:tcPr>
                  <w:tcW w:w="1601"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360</w:t>
                  </w:r>
                </w:p>
              </w:tc>
              <w:tc>
                <w:tcPr>
                  <w:tcW w:w="1639" w:type="pct"/>
                  <w:vMerge w:val="continue"/>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58"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滓渣</w:t>
                  </w:r>
                </w:p>
              </w:tc>
              <w:tc>
                <w:tcPr>
                  <w:tcW w:w="1601"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180</w:t>
                  </w:r>
                </w:p>
              </w:tc>
              <w:tc>
                <w:tcPr>
                  <w:tcW w:w="1639" w:type="pct"/>
                  <w:vMerge w:val="continue"/>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p>
              </w:tc>
            </w:tr>
          </w:tbl>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本项目氨基酸原液成分引用长春市病死畜禽无害化集中处理中心项目(采用硫酸分解法，处理病死畜禽，处理量10t/d)氨基酸液体产品成分检测报告，检测数据见下表。</w:t>
            </w:r>
          </w:p>
          <w:p>
            <w:pPr>
              <w:pStyle w:val="20"/>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氨基酸液体检测数据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751"/>
              <w:gridCol w:w="1424"/>
              <w:gridCol w:w="158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样品名称</w:t>
                  </w: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检测项目(g/L)</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限值</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检测结果</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restar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氨基酸液体</w:t>
                  </w: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游离氨基酸含量</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ascii="Times New Roman" w:hAnsi="Times New Roman" w:cs="Times New Roman"/>
                      <w:lang w:val="en-US" w:eastAsia="zh-CN"/>
                    </w:rPr>
                    <w:t>≥</w:t>
                  </w:r>
                  <w:r>
                    <w:rPr>
                      <w:rFonts w:hint="eastAsia"/>
                      <w:lang w:val="en-US" w:eastAsia="zh-CN"/>
                    </w:rPr>
                    <w:t>100</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126</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天门冬氨酸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9.97</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苏氨酸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3.09</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丝氨酸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4.71</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谷氨酸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15.67</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脯氨酸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3.16</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甘氨酸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21.89</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丙氨酸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8.26</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胱氨酸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3.95</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缬氨酸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3.05</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蛋氨酸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3.89</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异亮氨酸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1.89</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亮氨酸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7.38</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酪氨酸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5.68</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苯丙氨酸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6.57</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赖氨酸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11.42</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组氨酸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2.26</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9"/>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精氨酸</w:t>
                  </w:r>
                </w:p>
              </w:tc>
              <w:tc>
                <w:tcPr>
                  <w:tcW w:w="1424"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13.39</w:t>
                  </w:r>
                </w:p>
              </w:tc>
              <w:tc>
                <w:tcPr>
                  <w:tcW w:w="1587" w:type="dxa"/>
                  <w:vAlign w:val="top"/>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bl>
          <w:p>
            <w:pPr>
              <w:keepNext w:val="0"/>
              <w:keepLines w:val="0"/>
              <w:suppressLineNumbers w:val="0"/>
              <w:spacing w:before="0" w:beforeAutospacing="0" w:after="0" w:afterAutospacing="0"/>
              <w:ind w:left="0" w:right="0"/>
              <w:rPr>
                <w:rFonts w:hint="default"/>
                <w:lang w:val="en-US" w:eastAsia="zh-CN"/>
              </w:rPr>
            </w:pPr>
          </w:p>
          <w:p>
            <w:pPr>
              <w:pStyle w:val="3"/>
              <w:suppressLineNumbers w:val="0"/>
              <w:bidi w:val="0"/>
              <w:spacing w:before="0" w:after="0"/>
              <w:ind w:right="0"/>
              <w:rPr>
                <w:rFonts w:hint="default"/>
                <w:lang w:val="en-US" w:eastAsia="zh-CN"/>
              </w:rPr>
            </w:pPr>
            <w:r>
              <w:rPr>
                <w:rFonts w:hint="eastAsia"/>
                <w:lang w:val="en-US" w:eastAsia="zh-CN"/>
              </w:rPr>
              <w:t>劳动定员及工作制度</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本项目劳动定员为</w:t>
            </w:r>
            <w:r>
              <w:rPr>
                <w:rFonts w:hint="eastAsia"/>
                <w:highlight w:val="none"/>
                <w:lang w:val="en-US" w:eastAsia="zh-CN"/>
              </w:rPr>
              <w:t>15</w:t>
            </w:r>
            <w:r>
              <w:rPr>
                <w:rFonts w:hint="default"/>
                <w:highlight w:val="none"/>
                <w:lang w:val="en-US" w:eastAsia="zh-CN"/>
              </w:rPr>
              <w:t>人，实行单班制，每天工作8小时，</w:t>
            </w:r>
            <w:r>
              <w:rPr>
                <w:rFonts w:hint="default"/>
                <w:lang w:val="en-US" w:eastAsia="zh-CN"/>
              </w:rPr>
              <w:t>年工作天数为</w:t>
            </w:r>
            <w:r>
              <w:rPr>
                <w:rFonts w:hint="eastAsia"/>
                <w:lang w:val="en-US" w:eastAsia="zh-CN"/>
              </w:rPr>
              <w:t>300</w:t>
            </w:r>
            <w:r>
              <w:rPr>
                <w:rFonts w:hint="default"/>
                <w:lang w:val="en-US" w:eastAsia="zh-CN"/>
              </w:rPr>
              <w:t>天。</w:t>
            </w:r>
          </w:p>
          <w:p>
            <w:pPr>
              <w:pStyle w:val="3"/>
              <w:suppressLineNumbers w:val="0"/>
              <w:bidi w:val="0"/>
              <w:spacing w:before="0" w:after="0"/>
              <w:ind w:right="0"/>
              <w:rPr>
                <w:rFonts w:hint="default"/>
                <w:lang w:val="en-US" w:eastAsia="zh-CN"/>
              </w:rPr>
            </w:pPr>
            <w:r>
              <w:rPr>
                <w:rFonts w:hint="default" w:ascii="Times New Roman" w:hAnsi="Times New Roman" w:eastAsia="宋体"/>
                <w:lang w:val="en-US" w:eastAsia="zh-CN"/>
              </w:rPr>
              <w:t>建设</w:t>
            </w:r>
            <w:r>
              <w:rPr>
                <w:rFonts w:hint="default"/>
                <w:lang w:val="en-US" w:eastAsia="zh-CN"/>
              </w:rPr>
              <w:t>进度</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lang w:val="en-US" w:eastAsia="zh-CN"/>
              </w:rPr>
              <w:t>本项目预计</w:t>
            </w:r>
            <w:r>
              <w:rPr>
                <w:rFonts w:hint="default"/>
                <w:highlight w:val="none"/>
                <w:lang w:val="en-US" w:eastAsia="zh-CN"/>
              </w:rPr>
              <w:t>20</w:t>
            </w:r>
            <w:r>
              <w:rPr>
                <w:rFonts w:hint="eastAsia"/>
                <w:highlight w:val="none"/>
                <w:lang w:val="en-US" w:eastAsia="zh-CN"/>
              </w:rPr>
              <w:t>21</w:t>
            </w:r>
            <w:r>
              <w:rPr>
                <w:rFonts w:hint="default"/>
                <w:highlight w:val="none"/>
                <w:lang w:val="en-US" w:eastAsia="zh-CN"/>
              </w:rPr>
              <w:t>年</w:t>
            </w:r>
            <w:r>
              <w:rPr>
                <w:rFonts w:hint="eastAsia"/>
                <w:highlight w:val="none"/>
                <w:lang w:val="en-US" w:eastAsia="zh-CN"/>
              </w:rPr>
              <w:t>6</w:t>
            </w:r>
            <w:r>
              <w:rPr>
                <w:rFonts w:hint="default"/>
                <w:highlight w:val="none"/>
                <w:lang w:val="en-US" w:eastAsia="zh-CN"/>
              </w:rPr>
              <w:t>月</w:t>
            </w:r>
            <w:r>
              <w:rPr>
                <w:rFonts w:hint="eastAsia"/>
                <w:highlight w:val="none"/>
                <w:lang w:val="en-US" w:eastAsia="zh-CN"/>
              </w:rPr>
              <w:t>开工</w:t>
            </w:r>
            <w:r>
              <w:rPr>
                <w:rFonts w:hint="default"/>
                <w:highlight w:val="none"/>
                <w:lang w:val="en-US" w:eastAsia="zh-CN"/>
              </w:rPr>
              <w:t>，20</w:t>
            </w:r>
            <w:r>
              <w:rPr>
                <w:rFonts w:hint="eastAsia"/>
                <w:highlight w:val="none"/>
                <w:lang w:val="en-US" w:eastAsia="zh-CN"/>
              </w:rPr>
              <w:t>22</w:t>
            </w:r>
            <w:r>
              <w:rPr>
                <w:rFonts w:hint="default"/>
                <w:highlight w:val="none"/>
                <w:lang w:val="en-US" w:eastAsia="zh-CN"/>
              </w:rPr>
              <w:t>年</w:t>
            </w:r>
            <w:r>
              <w:rPr>
                <w:rFonts w:hint="eastAsia"/>
                <w:highlight w:val="none"/>
                <w:lang w:val="en-US" w:eastAsia="zh-CN"/>
              </w:rPr>
              <w:t>1</w:t>
            </w:r>
            <w:r>
              <w:rPr>
                <w:rFonts w:hint="default"/>
                <w:highlight w:val="none"/>
                <w:lang w:val="en-US" w:eastAsia="zh-CN"/>
              </w:rPr>
              <w:t>月正式投产。</w:t>
            </w:r>
          </w:p>
          <w:p>
            <w:pPr>
              <w:pStyle w:val="3"/>
              <w:suppressLineNumbers w:val="0"/>
              <w:bidi w:val="0"/>
              <w:spacing w:before="0" w:after="0"/>
              <w:ind w:right="0"/>
              <w:rPr>
                <w:rFonts w:hint="default"/>
                <w:lang w:val="en-US" w:eastAsia="zh-CN"/>
              </w:rPr>
            </w:pPr>
            <w:r>
              <w:rPr>
                <w:rFonts w:hint="default"/>
                <w:lang w:val="en-US" w:eastAsia="zh-CN"/>
              </w:rPr>
              <w:t>平面布置</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厂区按功能将处理厂划分为生产区、办公区、辅助区。</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生产区位于厂区</w:t>
            </w:r>
            <w:r>
              <w:rPr>
                <w:rFonts w:hint="eastAsia"/>
                <w:lang w:val="en-US" w:eastAsia="zh-CN"/>
              </w:rPr>
              <w:t>北侧，货物出入口、值班室及地磅房位于生产区西侧</w:t>
            </w:r>
            <w:r>
              <w:rPr>
                <w:rFonts w:hint="default"/>
                <w:lang w:val="en-US" w:eastAsia="zh-CN"/>
              </w:rPr>
              <w:t>；办公</w:t>
            </w:r>
            <w:r>
              <w:rPr>
                <w:rFonts w:hint="eastAsia"/>
                <w:lang w:val="en-US" w:eastAsia="zh-CN"/>
              </w:rPr>
              <w:t>及配套设施</w:t>
            </w:r>
            <w:r>
              <w:rPr>
                <w:rFonts w:hint="default"/>
                <w:lang w:val="en-US" w:eastAsia="zh-CN"/>
              </w:rPr>
              <w:t>位于厂区</w:t>
            </w:r>
            <w:r>
              <w:rPr>
                <w:rFonts w:hint="eastAsia"/>
                <w:lang w:val="en-US" w:eastAsia="zh-CN"/>
              </w:rPr>
              <w:t>南侧，办公出入口及值班室位于办公区西侧</w:t>
            </w:r>
            <w:r>
              <w:rPr>
                <w:rFonts w:hint="default"/>
                <w:lang w:val="en-US" w:eastAsia="zh-CN"/>
              </w:rPr>
              <w:t>；锅炉房、地下消防水池位于厂区</w:t>
            </w:r>
            <w:r>
              <w:rPr>
                <w:rFonts w:hint="eastAsia"/>
                <w:lang w:val="en-US" w:eastAsia="zh-CN"/>
              </w:rPr>
              <w:t>东</w:t>
            </w:r>
            <w:r>
              <w:rPr>
                <w:rFonts w:hint="default"/>
                <w:lang w:val="en-US" w:eastAsia="zh-CN"/>
              </w:rPr>
              <w:t>侧。</w:t>
            </w:r>
            <w:r>
              <w:rPr>
                <w:rFonts w:hint="eastAsia"/>
                <w:lang w:val="en-US" w:eastAsia="zh-CN"/>
              </w:rPr>
              <w:t>生产区与办公区间设置隔离带并留有消毒通道，生产区的位置属于办公区的侧风向</w:t>
            </w:r>
            <w:r>
              <w:rPr>
                <w:rFonts w:hint="default"/>
                <w:lang w:val="en-US" w:eastAsia="zh-CN"/>
              </w:rPr>
              <w:t>。</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综上所述，项目平面布局合理，具体平面布置图见图2。</w:t>
            </w:r>
          </w:p>
          <w:p>
            <w:pPr>
              <w:pStyle w:val="3"/>
              <w:suppressLineNumbers w:val="0"/>
              <w:bidi w:val="0"/>
              <w:spacing w:before="0" w:after="0"/>
              <w:ind w:right="0"/>
              <w:rPr>
                <w:rFonts w:hint="eastAsia"/>
                <w:lang w:val="en-US" w:eastAsia="zh-CN"/>
              </w:rPr>
            </w:pPr>
            <w:r>
              <w:rPr>
                <w:rFonts w:hint="eastAsia"/>
                <w:lang w:val="en-US" w:eastAsia="zh-CN"/>
              </w:rPr>
              <w:t>公用工程</w:t>
            </w:r>
          </w:p>
          <w:p>
            <w:pPr>
              <w:pStyle w:val="5"/>
              <w:suppressLineNumbers w:val="0"/>
              <w:bidi w:val="0"/>
              <w:spacing w:before="0" w:beforeAutospacing="0" w:after="0" w:afterAutospacing="0"/>
              <w:ind w:right="0"/>
              <w:rPr>
                <w:rFonts w:hint="eastAsia"/>
                <w:lang w:val="en-US" w:eastAsia="zh-CN"/>
              </w:rPr>
            </w:pPr>
            <w:r>
              <w:rPr>
                <w:rFonts w:hint="eastAsia"/>
                <w:lang w:val="en-US" w:eastAsia="zh-CN"/>
              </w:rPr>
              <w:t>给排水</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本项目用水主要包括设备清洗用水、车间清洗用水、碱液喷淋塔用水、酸解液配置用水以及职工生活用水。项目给水主要来自西侧大丰工业园区管网。用水及排水情况：</w:t>
            </w:r>
          </w:p>
          <w:p>
            <w:pPr>
              <w:pStyle w:val="6"/>
              <w:suppressLineNumbers w:val="0"/>
              <w:bidi w:val="0"/>
              <w:spacing w:before="0" w:after="0"/>
              <w:ind w:right="0"/>
              <w:rPr>
                <w:rFonts w:hint="default"/>
                <w:lang w:val="en-US" w:eastAsia="zh-CN"/>
              </w:rPr>
            </w:pPr>
            <w:r>
              <w:rPr>
                <w:rFonts w:hint="eastAsia" w:ascii="宋体" w:hAnsi="宋体" w:eastAsia="宋体"/>
                <w:kern w:val="0"/>
                <w:sz w:val="24"/>
                <w:lang w:val="en-US" w:eastAsia="zh-CN"/>
              </w:rPr>
              <w:t>设备</w:t>
            </w:r>
            <w:r>
              <w:rPr>
                <w:rFonts w:hint="eastAsia"/>
                <w:lang w:val="en-US" w:eastAsia="zh-CN"/>
              </w:rPr>
              <w:t>清洗用水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w:t>
            </w:r>
            <w:r>
              <w:rPr>
                <w:rFonts w:hint="eastAsia"/>
                <w:lang w:val="en-US" w:eastAsia="zh-CN"/>
              </w:rPr>
              <w:t>粉碎</w:t>
            </w:r>
            <w:r>
              <w:rPr>
                <w:rFonts w:hint="default"/>
                <w:lang w:val="en-US" w:eastAsia="zh-CN"/>
              </w:rPr>
              <w:t>机使用后机器上会沾染</w:t>
            </w:r>
            <w:r>
              <w:rPr>
                <w:rFonts w:hint="eastAsia"/>
                <w:lang w:val="en-US" w:eastAsia="zh-CN"/>
              </w:rPr>
              <w:t>动物</w:t>
            </w:r>
            <w:r>
              <w:rPr>
                <w:rFonts w:hint="default"/>
                <w:lang w:val="en-US" w:eastAsia="zh-CN"/>
              </w:rPr>
              <w:t>血等杂物，需定期清洗。根据业主提供</w:t>
            </w:r>
            <w:r>
              <w:rPr>
                <w:rFonts w:hint="default"/>
                <w:color w:val="auto"/>
                <w:lang w:val="en-US" w:eastAsia="zh-CN"/>
              </w:rPr>
              <w:t>经验数据</w:t>
            </w:r>
            <w:r>
              <w:rPr>
                <w:rFonts w:hint="default"/>
                <w:lang w:val="en-US" w:eastAsia="zh-CN"/>
              </w:rPr>
              <w:t>，</w:t>
            </w:r>
            <w:r>
              <w:rPr>
                <w:rFonts w:hint="eastAsia"/>
                <w:lang w:val="en-US" w:eastAsia="zh-CN"/>
              </w:rPr>
              <w:t>粉碎</w:t>
            </w:r>
            <w:r>
              <w:rPr>
                <w:rFonts w:hint="default"/>
                <w:lang w:val="en-US" w:eastAsia="zh-CN"/>
              </w:rPr>
              <w:t>机清洗频率为每天1次，冲洗用水量为0.5m</w:t>
            </w:r>
            <w:r>
              <w:rPr>
                <w:rFonts w:hint="default"/>
                <w:vertAlign w:val="superscript"/>
                <w:lang w:val="en-US" w:eastAsia="zh-CN"/>
              </w:rPr>
              <w:t>3</w:t>
            </w:r>
            <w:r>
              <w:rPr>
                <w:rFonts w:hint="default"/>
                <w:lang w:val="en-US" w:eastAsia="zh-CN"/>
              </w:rPr>
              <w:t>/次，则设备清洗用水量为0.5m</w:t>
            </w:r>
            <w:r>
              <w:rPr>
                <w:rFonts w:hint="default"/>
                <w:vertAlign w:val="superscript"/>
                <w:lang w:val="en-US" w:eastAsia="zh-CN"/>
              </w:rPr>
              <w:t>3</w:t>
            </w:r>
            <w:r>
              <w:rPr>
                <w:rFonts w:hint="default"/>
                <w:lang w:val="en-US" w:eastAsia="zh-CN"/>
              </w:rPr>
              <w:t>/d</w:t>
            </w:r>
            <w:r>
              <w:rPr>
                <w:rFonts w:hint="eastAsia"/>
                <w:lang w:val="en-US" w:eastAsia="zh-CN"/>
              </w:rPr>
              <w:t>(</w:t>
            </w:r>
            <w:r>
              <w:rPr>
                <w:rFonts w:hint="default"/>
                <w:lang w:val="en-US" w:eastAsia="zh-CN"/>
              </w:rPr>
              <w:t>150m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。废水产生系数取0.9，则项目设备清洗废水产生量为0.45m</w:t>
            </w:r>
            <w:r>
              <w:rPr>
                <w:rFonts w:hint="default"/>
                <w:vertAlign w:val="superscript"/>
                <w:lang w:val="en-US" w:eastAsia="zh-CN"/>
              </w:rPr>
              <w:t>3</w:t>
            </w:r>
            <w:r>
              <w:rPr>
                <w:rFonts w:hint="default"/>
                <w:lang w:val="en-US" w:eastAsia="zh-CN"/>
              </w:rPr>
              <w:t>/d</w:t>
            </w:r>
            <w:r>
              <w:rPr>
                <w:rFonts w:hint="eastAsia"/>
                <w:lang w:val="en-US" w:eastAsia="zh-CN"/>
              </w:rPr>
              <w:t>(</w:t>
            </w:r>
            <w:r>
              <w:rPr>
                <w:rFonts w:hint="default"/>
                <w:lang w:val="en-US" w:eastAsia="zh-CN"/>
              </w:rPr>
              <w:t>135m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w:t>
            </w:r>
          </w:p>
          <w:p>
            <w:pPr>
              <w:pStyle w:val="6"/>
              <w:suppressLineNumbers w:val="0"/>
              <w:bidi w:val="0"/>
              <w:spacing w:before="0" w:after="0"/>
              <w:ind w:right="0"/>
              <w:rPr>
                <w:rFonts w:hint="default"/>
                <w:lang w:val="en-US" w:eastAsia="zh-CN"/>
              </w:rPr>
            </w:pPr>
            <w:r>
              <w:rPr>
                <w:rFonts w:hint="eastAsia"/>
                <w:lang w:val="en-US" w:eastAsia="zh-CN"/>
              </w:rPr>
              <w:t>车间</w:t>
            </w:r>
            <w:r>
              <w:rPr>
                <w:rFonts w:hint="default"/>
                <w:lang w:val="en-US" w:eastAsia="zh-CN"/>
              </w:rPr>
              <w:t>清洗用水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w:t>
            </w:r>
            <w:r>
              <w:rPr>
                <w:rFonts w:hint="eastAsia"/>
                <w:lang w:val="en-US" w:eastAsia="zh-CN"/>
              </w:rPr>
              <w:t>车间</w:t>
            </w:r>
            <w:r>
              <w:rPr>
                <w:rFonts w:hint="default"/>
                <w:lang w:val="en-US" w:eastAsia="zh-CN"/>
              </w:rPr>
              <w:t>需定期冲洗，根据业主提供经验数据，</w:t>
            </w:r>
            <w:r>
              <w:rPr>
                <w:rFonts w:hint="eastAsia"/>
                <w:lang w:val="en-US" w:eastAsia="zh-CN"/>
              </w:rPr>
              <w:t>车间</w:t>
            </w:r>
            <w:r>
              <w:rPr>
                <w:rFonts w:hint="default"/>
                <w:lang w:val="en-US" w:eastAsia="zh-CN"/>
              </w:rPr>
              <w:t>清洗用水量为1.5L/m</w:t>
            </w:r>
            <w:r>
              <w:rPr>
                <w:rFonts w:hint="default"/>
                <w:vertAlign w:val="superscript"/>
                <w:lang w:val="en-US" w:eastAsia="zh-CN"/>
              </w:rPr>
              <w:t>2</w:t>
            </w:r>
            <w:r>
              <w:rPr>
                <w:rFonts w:hint="default"/>
                <w:lang w:val="en-US" w:eastAsia="zh-CN"/>
              </w:rPr>
              <w:t>·d，项目病死畜禽处理厂房面积为</w:t>
            </w:r>
            <w:r>
              <w:rPr>
                <w:rFonts w:hint="eastAsia"/>
                <w:lang w:val="en-US" w:eastAsia="zh-CN"/>
              </w:rPr>
              <w:t>1083.5</w:t>
            </w:r>
            <w:r>
              <w:rPr>
                <w:rFonts w:hint="default"/>
                <w:lang w:val="en-US" w:eastAsia="zh-CN"/>
              </w:rPr>
              <w:t>m</w:t>
            </w:r>
            <w:r>
              <w:rPr>
                <w:rFonts w:hint="default"/>
                <w:vertAlign w:val="superscript"/>
                <w:lang w:val="en-US" w:eastAsia="zh-CN"/>
              </w:rPr>
              <w:t>2</w:t>
            </w:r>
            <w:r>
              <w:rPr>
                <w:rFonts w:hint="default"/>
                <w:lang w:val="en-US" w:eastAsia="zh-CN"/>
              </w:rPr>
              <w:t>，则</w:t>
            </w:r>
            <w:r>
              <w:rPr>
                <w:rFonts w:hint="eastAsia"/>
                <w:lang w:val="en-US" w:eastAsia="zh-CN"/>
              </w:rPr>
              <w:t>车间</w:t>
            </w:r>
            <w:r>
              <w:rPr>
                <w:rFonts w:hint="default"/>
                <w:lang w:val="en-US" w:eastAsia="zh-CN"/>
              </w:rPr>
              <w:t>清洗用水量为</w:t>
            </w:r>
            <w:r>
              <w:rPr>
                <w:rFonts w:hint="eastAsia"/>
                <w:lang w:val="en-US" w:eastAsia="zh-CN"/>
              </w:rPr>
              <w:t>1.625</w:t>
            </w:r>
            <w:r>
              <w:rPr>
                <w:rFonts w:hint="default"/>
                <w:lang w:val="en-US" w:eastAsia="zh-CN"/>
              </w:rPr>
              <w:t>m</w:t>
            </w:r>
            <w:r>
              <w:rPr>
                <w:rFonts w:hint="default"/>
                <w:vertAlign w:val="superscript"/>
                <w:lang w:val="en-US" w:eastAsia="zh-CN"/>
              </w:rPr>
              <w:t>3</w:t>
            </w:r>
            <w:r>
              <w:rPr>
                <w:rFonts w:hint="default"/>
                <w:lang w:val="en-US" w:eastAsia="zh-CN"/>
              </w:rPr>
              <w:t>/d</w:t>
            </w:r>
            <w:r>
              <w:rPr>
                <w:rFonts w:hint="eastAsia"/>
                <w:lang w:val="en-US" w:eastAsia="zh-CN"/>
              </w:rPr>
              <w:t>(487.5</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。废水产生系数取0.8，则</w:t>
            </w:r>
            <w:r>
              <w:rPr>
                <w:rFonts w:hint="eastAsia"/>
                <w:lang w:val="en-US" w:eastAsia="zh-CN"/>
              </w:rPr>
              <w:t>车间</w:t>
            </w:r>
            <w:r>
              <w:rPr>
                <w:rFonts w:hint="default"/>
                <w:lang w:val="en-US" w:eastAsia="zh-CN"/>
              </w:rPr>
              <w:t>清洗废水产生量为</w:t>
            </w:r>
            <w:r>
              <w:rPr>
                <w:rFonts w:hint="eastAsia"/>
                <w:lang w:val="en-US" w:eastAsia="zh-CN"/>
              </w:rPr>
              <w:t>1.3</w:t>
            </w:r>
            <w:r>
              <w:rPr>
                <w:rFonts w:hint="default"/>
                <w:lang w:val="en-US" w:eastAsia="zh-CN"/>
              </w:rPr>
              <w:t>m</w:t>
            </w:r>
            <w:r>
              <w:rPr>
                <w:rFonts w:hint="default"/>
                <w:vertAlign w:val="superscript"/>
                <w:lang w:val="en-US" w:eastAsia="zh-CN"/>
              </w:rPr>
              <w:t>3</w:t>
            </w:r>
            <w:r>
              <w:rPr>
                <w:rFonts w:hint="default"/>
                <w:lang w:val="en-US" w:eastAsia="zh-CN"/>
              </w:rPr>
              <w:t>/d</w:t>
            </w:r>
            <w:r>
              <w:rPr>
                <w:rFonts w:hint="eastAsia"/>
                <w:lang w:val="en-US" w:eastAsia="zh-CN"/>
              </w:rPr>
              <w:t>(390</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w:t>
            </w:r>
          </w:p>
          <w:p>
            <w:pPr>
              <w:pStyle w:val="6"/>
              <w:suppressLineNumbers w:val="0"/>
              <w:bidi w:val="0"/>
              <w:spacing w:before="0" w:after="0"/>
              <w:ind w:right="0"/>
              <w:rPr>
                <w:rFonts w:hint="eastAsia"/>
                <w:lang w:val="en-US" w:eastAsia="zh-CN"/>
              </w:rPr>
            </w:pPr>
            <w:r>
              <w:rPr>
                <w:rFonts w:hint="eastAsia"/>
                <w:lang w:val="en-US" w:eastAsia="zh-CN"/>
              </w:rPr>
              <w:t>碱液喷淋塔用水</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粉碎、反应釜酸解、过滤段产生的废气经管道抽引至碱液喷淋塔中处理。</w:t>
            </w:r>
            <w:r>
              <w:rPr>
                <w:rFonts w:hint="eastAsia"/>
                <w:highlight w:val="none"/>
                <w:lang w:val="en-US" w:eastAsia="zh-CN"/>
              </w:rPr>
              <w:t>风量为9000m</w:t>
            </w:r>
            <w:r>
              <w:rPr>
                <w:rFonts w:hint="eastAsia"/>
                <w:highlight w:val="none"/>
                <w:vertAlign w:val="superscript"/>
                <w:lang w:val="en-US" w:eastAsia="zh-CN"/>
              </w:rPr>
              <w:t>3</w:t>
            </w:r>
            <w:r>
              <w:rPr>
                <w:rFonts w:hint="eastAsia"/>
                <w:highlight w:val="none"/>
                <w:lang w:val="en-US" w:eastAsia="zh-CN"/>
              </w:rPr>
              <w:t>/h。</w:t>
            </w:r>
            <w:r>
              <w:rPr>
                <w:rFonts w:hint="eastAsia"/>
                <w:lang w:val="en-US" w:eastAsia="zh-CN"/>
              </w:rPr>
              <w:t>碱液喷淋塔主要用于处理生产过程中产生的硫酸雾、氨、硫化氢废气。碱液喷淋塔液气比取0.5L/m</w:t>
            </w:r>
            <w:r>
              <w:rPr>
                <w:rFonts w:hint="eastAsia"/>
                <w:vertAlign w:val="superscript"/>
                <w:lang w:val="en-US" w:eastAsia="zh-CN"/>
              </w:rPr>
              <w:t>3</w:t>
            </w:r>
            <w:r>
              <w:rPr>
                <w:rFonts w:hint="eastAsia"/>
                <w:lang w:val="en-US" w:eastAsia="zh-CN"/>
              </w:rPr>
              <w:t>，则吸附液体积为4.5m</w:t>
            </w:r>
            <w:r>
              <w:rPr>
                <w:rFonts w:hint="eastAsia"/>
                <w:vertAlign w:val="superscript"/>
                <w:lang w:val="en-US" w:eastAsia="zh-CN"/>
              </w:rPr>
              <w:t>3</w:t>
            </w:r>
            <w:r>
              <w:rPr>
                <w:rFonts w:hint="eastAsia"/>
                <w:lang w:val="en-US" w:eastAsia="zh-CN"/>
              </w:rPr>
              <w:t>，即循环量为4.5m</w:t>
            </w:r>
            <w:r>
              <w:rPr>
                <w:rFonts w:hint="eastAsia"/>
                <w:vertAlign w:val="superscript"/>
                <w:lang w:val="en-US" w:eastAsia="zh-CN"/>
              </w:rPr>
              <w:t>3</w:t>
            </w:r>
            <w:r>
              <w:rPr>
                <w:rFonts w:hint="eastAsia"/>
                <w:vertAlign w:val="baseline"/>
                <w:lang w:val="en-US" w:eastAsia="zh-CN"/>
              </w:rPr>
              <w:t>。新鲜水用水量为0.675m</w:t>
            </w:r>
            <w:r>
              <w:rPr>
                <w:rFonts w:hint="eastAsia"/>
                <w:vertAlign w:val="superscript"/>
                <w:lang w:val="en-US" w:eastAsia="zh-CN"/>
              </w:rPr>
              <w:t>3</w:t>
            </w:r>
            <w:r>
              <w:rPr>
                <w:rFonts w:hint="eastAsia"/>
                <w:vertAlign w:val="baseline"/>
                <w:lang w:val="en-US" w:eastAsia="zh-CN"/>
              </w:rPr>
              <w:t>，共用水5.175m</w:t>
            </w:r>
            <w:r>
              <w:rPr>
                <w:rFonts w:hint="eastAsia"/>
                <w:vertAlign w:val="superscript"/>
                <w:lang w:val="en-US" w:eastAsia="zh-CN"/>
              </w:rPr>
              <w:t>3</w:t>
            </w:r>
            <w:r>
              <w:rPr>
                <w:rFonts w:hint="eastAsia"/>
                <w:vertAlign w:val="baseline"/>
                <w:lang w:val="en-US" w:eastAsia="zh-CN"/>
              </w:rPr>
              <w:t>/d。</w:t>
            </w:r>
            <w:r>
              <w:rPr>
                <w:rFonts w:hint="eastAsia"/>
                <w:lang w:val="en-US" w:eastAsia="zh-CN"/>
              </w:rPr>
              <w:t>吸附液有少量蒸发损耗，蒸发损耗量按循环量的10%计，为0.45m</w:t>
            </w:r>
            <w:r>
              <w:rPr>
                <w:rFonts w:hint="eastAsia"/>
                <w:vertAlign w:val="superscript"/>
                <w:lang w:val="en-US" w:eastAsia="zh-CN"/>
              </w:rPr>
              <w:t>3</w:t>
            </w:r>
            <w:r>
              <w:rPr>
                <w:rFonts w:hint="eastAsia"/>
                <w:lang w:val="en-US" w:eastAsia="zh-CN"/>
              </w:rPr>
              <w:t>/d；同时吸附液每天有少量排放，排放量取循环量的5%，为0.225m</w:t>
            </w:r>
            <w:r>
              <w:rPr>
                <w:rFonts w:hint="eastAsia"/>
                <w:vertAlign w:val="superscript"/>
                <w:lang w:val="en-US" w:eastAsia="zh-CN"/>
              </w:rPr>
              <w:t>3</w:t>
            </w:r>
            <w:r>
              <w:rPr>
                <w:rFonts w:hint="eastAsia"/>
                <w:lang w:val="en-US" w:eastAsia="zh-CN"/>
              </w:rPr>
              <w:t>/d。</w:t>
            </w:r>
          </w:p>
          <w:p>
            <w:pPr>
              <w:pStyle w:val="6"/>
              <w:suppressLineNumbers w:val="0"/>
              <w:bidi w:val="0"/>
              <w:spacing w:before="0" w:after="0"/>
              <w:ind w:right="0"/>
              <w:rPr>
                <w:rFonts w:hint="default"/>
                <w:lang w:val="en-US" w:eastAsia="zh-CN"/>
              </w:rPr>
            </w:pPr>
            <w:r>
              <w:rPr>
                <w:rFonts w:hint="default"/>
                <w:lang w:val="en-US" w:eastAsia="zh-CN"/>
              </w:rPr>
              <w:t>酸解液配置用水</w:t>
            </w:r>
          </w:p>
          <w:p>
            <w:pPr>
              <w:keepNext w:val="0"/>
              <w:keepLines w:val="0"/>
              <w:suppressLineNumbers w:val="0"/>
              <w:bidi w:val="0"/>
              <w:spacing w:before="0" w:beforeAutospacing="0" w:after="0" w:afterAutospacing="0"/>
              <w:ind w:left="0" w:right="0"/>
              <w:rPr>
                <w:rFonts w:hint="default"/>
                <w:highlight w:val="yellow"/>
                <w:lang w:val="en-US" w:eastAsia="zh-CN"/>
              </w:rPr>
            </w:pPr>
            <w:r>
              <w:rPr>
                <w:rFonts w:hint="default"/>
                <w:lang w:val="en-US" w:eastAsia="zh-CN"/>
              </w:rPr>
              <w:t>项目酸解液为98%硫酸加水按1:2配合而成，项目硫酸使用量为3</w:t>
            </w:r>
            <w:r>
              <w:rPr>
                <w:rFonts w:hint="eastAsia"/>
                <w:lang w:val="en-US" w:eastAsia="zh-CN"/>
              </w:rPr>
              <w:t>60</w:t>
            </w:r>
            <w:r>
              <w:rPr>
                <w:rFonts w:hint="default"/>
                <w:lang w:val="en-US" w:eastAsia="zh-CN"/>
              </w:rPr>
              <w:t>t，配酸解液过程需加水量为</w:t>
            </w:r>
            <w:r>
              <w:rPr>
                <w:rFonts w:hint="eastAsia"/>
                <w:lang w:val="en-US" w:eastAsia="zh-CN"/>
              </w:rPr>
              <w:t>720</w:t>
            </w:r>
            <w:r>
              <w:rPr>
                <w:rFonts w:hint="default"/>
                <w:lang w:val="en-US" w:eastAsia="zh-CN"/>
              </w:rPr>
              <w:t>t/a，</w:t>
            </w:r>
            <w:r>
              <w:rPr>
                <w:rFonts w:hint="default"/>
                <w:highlight w:val="none"/>
                <w:lang w:val="en-US" w:eastAsia="zh-CN"/>
              </w:rPr>
              <w:t>配料用水部分来自于</w:t>
            </w:r>
            <w:r>
              <w:rPr>
                <w:rFonts w:hint="eastAsia"/>
                <w:highlight w:val="none"/>
                <w:lang w:val="en-US" w:eastAsia="zh-CN"/>
              </w:rPr>
              <w:t>车间</w:t>
            </w:r>
            <w:r>
              <w:rPr>
                <w:rFonts w:hint="default"/>
                <w:highlight w:val="none"/>
                <w:lang w:val="en-US" w:eastAsia="zh-CN"/>
              </w:rPr>
              <w:t>清洗废水、设备清洗废水及碱液喷淋塔排水</w:t>
            </w:r>
            <w:r>
              <w:rPr>
                <w:rFonts w:hint="eastAsia"/>
                <w:highlight w:val="none"/>
                <w:lang w:val="en-US" w:eastAsia="zh-CN"/>
              </w:rPr>
              <w:t>(1.975m</w:t>
            </w:r>
            <w:r>
              <w:rPr>
                <w:rFonts w:hint="eastAsia"/>
                <w:highlight w:val="none"/>
                <w:vertAlign w:val="superscript"/>
                <w:lang w:val="en-US" w:eastAsia="zh-CN"/>
              </w:rPr>
              <w:t>3</w:t>
            </w:r>
            <w:r>
              <w:rPr>
                <w:rFonts w:hint="eastAsia"/>
                <w:highlight w:val="none"/>
                <w:lang w:val="en-US" w:eastAsia="zh-CN"/>
              </w:rPr>
              <w:t>/d)</w:t>
            </w:r>
            <w:r>
              <w:rPr>
                <w:rFonts w:hint="default"/>
                <w:highlight w:val="none"/>
                <w:lang w:val="en-US" w:eastAsia="zh-CN"/>
              </w:rPr>
              <w:t>，部分为新鲜水</w:t>
            </w:r>
            <w:r>
              <w:rPr>
                <w:rFonts w:hint="eastAsia"/>
                <w:highlight w:val="none"/>
                <w:lang w:val="en-US" w:eastAsia="zh-CN"/>
              </w:rPr>
              <w:t>(0.425m</w:t>
            </w:r>
            <w:r>
              <w:rPr>
                <w:rFonts w:hint="eastAsia"/>
                <w:highlight w:val="none"/>
                <w:vertAlign w:val="superscript"/>
                <w:lang w:val="en-US" w:eastAsia="zh-CN"/>
              </w:rPr>
              <w:t>3</w:t>
            </w:r>
            <w:r>
              <w:rPr>
                <w:rFonts w:hint="eastAsia"/>
                <w:highlight w:val="none"/>
                <w:lang w:val="en-US" w:eastAsia="zh-CN"/>
              </w:rPr>
              <w:t>/d)</w:t>
            </w:r>
            <w:r>
              <w:rPr>
                <w:rFonts w:hint="default"/>
                <w:highlight w:val="none"/>
                <w:lang w:val="en-US" w:eastAsia="zh-CN"/>
              </w:rPr>
              <w:t>。全部进入氨基酸水溶液产品中，不外排。</w:t>
            </w:r>
          </w:p>
          <w:p>
            <w:pPr>
              <w:pStyle w:val="6"/>
              <w:suppressLineNumbers w:val="0"/>
              <w:bidi w:val="0"/>
              <w:spacing w:before="0" w:after="0"/>
              <w:ind w:right="0"/>
              <w:rPr>
                <w:rFonts w:hint="default"/>
                <w:lang w:val="en-US" w:eastAsia="zh-CN"/>
              </w:rPr>
            </w:pPr>
            <w:r>
              <w:rPr>
                <w:rFonts w:hint="default"/>
                <w:lang w:val="en-US" w:eastAsia="zh-CN"/>
              </w:rPr>
              <w:t>职工生活用水</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本项目职工</w:t>
            </w:r>
            <w:r>
              <w:rPr>
                <w:rFonts w:hint="eastAsia"/>
                <w:highlight w:val="none"/>
                <w:lang w:val="en-US" w:eastAsia="zh-CN"/>
              </w:rPr>
              <w:t>15</w:t>
            </w:r>
            <w:r>
              <w:rPr>
                <w:rFonts w:hint="default"/>
                <w:highlight w:val="none"/>
                <w:lang w:val="en-US" w:eastAsia="zh-CN"/>
              </w:rPr>
              <w:t>人，按每人每天</w:t>
            </w:r>
            <w:r>
              <w:rPr>
                <w:rFonts w:hint="eastAsia"/>
                <w:highlight w:val="none"/>
                <w:lang w:val="en-US" w:eastAsia="zh-CN"/>
              </w:rPr>
              <w:t>50</w:t>
            </w:r>
            <w:r>
              <w:rPr>
                <w:rFonts w:hint="default"/>
                <w:highlight w:val="none"/>
                <w:lang w:val="en-US" w:eastAsia="zh-CN"/>
              </w:rPr>
              <w:t>L计，用水量为0.</w:t>
            </w:r>
            <w:r>
              <w:rPr>
                <w:rFonts w:hint="eastAsia"/>
                <w:highlight w:val="none"/>
                <w:lang w:val="en-US" w:eastAsia="zh-CN"/>
              </w:rPr>
              <w:t>75</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(225</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w:t>
            </w:r>
            <w:r>
              <w:rPr>
                <w:rFonts w:hint="default"/>
                <w:highlight w:val="none"/>
                <w:lang w:val="en-US" w:eastAsia="zh-CN"/>
              </w:rPr>
              <w:t>。排污系数取0.8，生活污水产生量为0.</w:t>
            </w:r>
            <w:r>
              <w:rPr>
                <w:rFonts w:hint="eastAsia"/>
                <w:highlight w:val="none"/>
                <w:lang w:val="en-US" w:eastAsia="zh-CN"/>
              </w:rPr>
              <w:t>60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(180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w:t>
            </w:r>
            <w:r>
              <w:rPr>
                <w:rFonts w:hint="default"/>
                <w:highlight w:val="none"/>
                <w:lang w:val="en-US" w:eastAsia="zh-CN"/>
              </w:rPr>
              <w:t>，</w:t>
            </w:r>
            <w:r>
              <w:rPr>
                <w:rFonts w:hint="eastAsia"/>
                <w:highlight w:val="none"/>
                <w:lang w:val="en-US" w:eastAsia="zh-CN"/>
              </w:rPr>
              <w:t>进入化粪池处理后，通过园区管网进入</w:t>
            </w:r>
            <w:r>
              <w:rPr>
                <w:rFonts w:hint="eastAsia"/>
                <w:color w:val="auto"/>
                <w:highlight w:val="none"/>
                <w:lang w:val="en-US" w:eastAsia="zh-CN"/>
              </w:rPr>
              <w:t>大丰工业园园区</w:t>
            </w:r>
            <w:r>
              <w:rPr>
                <w:rFonts w:hint="eastAsia"/>
                <w:highlight w:val="none"/>
                <w:lang w:val="en-US" w:eastAsia="zh-CN"/>
              </w:rPr>
              <w:t>污水处理厂</w:t>
            </w:r>
            <w:r>
              <w:rPr>
                <w:rFonts w:hint="default"/>
                <w:highlight w:val="none"/>
                <w:lang w:val="en-US" w:eastAsia="zh-CN"/>
              </w:rPr>
              <w:t>。</w:t>
            </w:r>
          </w:p>
          <w:p>
            <w:pPr>
              <w:keepNext w:val="0"/>
              <w:keepLines w:val="0"/>
              <w:suppressLineNumbers w:val="0"/>
              <w:bidi w:val="0"/>
              <w:spacing w:before="0" w:beforeAutospacing="0" w:after="0" w:afterAutospacing="0"/>
              <w:ind w:left="0" w:right="0"/>
              <w:rPr>
                <w:rFonts w:hint="default"/>
              </w:rPr>
            </w:pPr>
            <w:r>
              <w:rPr>
                <w:rFonts w:hint="default"/>
              </w:rPr>
              <w:t>本项目平衡表见下表所示，水平衡图见图</w:t>
            </w:r>
            <w:r>
              <w:rPr>
                <w:rFonts w:hint="eastAsia"/>
                <w:lang w:val="en-US" w:eastAsia="zh-CN"/>
              </w:rPr>
              <w:t>3</w:t>
            </w:r>
            <w:r>
              <w:rPr>
                <w:rFonts w:hint="default"/>
              </w:rPr>
              <w:t>所示。</w:t>
            </w:r>
          </w:p>
          <w:p>
            <w:pPr>
              <w:pStyle w:val="20"/>
              <w:keepNext w:val="0"/>
              <w:keepLines w:val="0"/>
              <w:suppressLineNumbers w:val="0"/>
              <w:bidi w:val="0"/>
              <w:spacing w:before="0" w:beforeAutospacing="0" w:after="0" w:afterAutospacing="0"/>
              <w:ind w:left="0" w:right="0"/>
              <w:rPr>
                <w:rFonts w:hint="default"/>
                <w:highlight w:val="none"/>
              </w:rPr>
            </w:pPr>
            <w:r>
              <w:rPr>
                <w:rFonts w:hint="default"/>
                <w:highlight w:val="none"/>
              </w:rPr>
              <w:t>项目给排水平衡表</w:t>
            </w:r>
            <w:r>
              <w:rPr>
                <w:rFonts w:hint="eastAsia"/>
                <w:highlight w:val="none"/>
                <w:lang w:eastAsia="zh-CN"/>
              </w:rPr>
              <w:t>(</w:t>
            </w:r>
            <w:r>
              <w:rPr>
                <w:rFonts w:hint="default"/>
                <w:highlight w:val="none"/>
              </w:rPr>
              <w:t>m</w:t>
            </w:r>
            <w:r>
              <w:rPr>
                <w:rFonts w:hint="default"/>
                <w:highlight w:val="none"/>
                <w:vertAlign w:val="superscript"/>
              </w:rPr>
              <w:t>3</w:t>
            </w:r>
            <w:r>
              <w:rPr>
                <w:rFonts w:hint="default"/>
                <w:highlight w:val="none"/>
              </w:rPr>
              <w:t>/d</w:t>
            </w:r>
            <w:r>
              <w:rPr>
                <w:rFonts w:hint="eastAsia"/>
                <w:highlight w:val="none"/>
                <w:lang w:eastAsia="zh-CN"/>
              </w:rPr>
              <w:t>)</w:t>
            </w:r>
          </w:p>
          <w:tbl>
            <w:tblPr>
              <w:tblStyle w:val="16"/>
              <w:tblW w:w="4986" w:type="pct"/>
              <w:jc w:val="center"/>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70"/>
              <w:gridCol w:w="1092"/>
              <w:gridCol w:w="945"/>
              <w:gridCol w:w="905"/>
              <w:gridCol w:w="1449"/>
              <w:gridCol w:w="870"/>
              <w:gridCol w:w="877"/>
            </w:tblGrid>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PrEx>
              <w:trPr>
                <w:jc w:val="center"/>
              </w:trPr>
              <w:tc>
                <w:tcPr>
                  <w:tcW w:w="1119" w:type="pct"/>
                  <w:vMerge w:val="restart"/>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用水项目</w:t>
                  </w:r>
                </w:p>
              </w:tc>
              <w:tc>
                <w:tcPr>
                  <w:tcW w:w="690" w:type="pct"/>
                  <w:vMerge w:val="restart"/>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总用水量</w:t>
                  </w:r>
                </w:p>
              </w:tc>
              <w:tc>
                <w:tcPr>
                  <w:tcW w:w="1169" w:type="pct"/>
                  <w:gridSpan w:val="2"/>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给水</w:t>
                  </w:r>
                </w:p>
              </w:tc>
              <w:tc>
                <w:tcPr>
                  <w:tcW w:w="2020" w:type="pct"/>
                  <w:gridSpan w:val="3"/>
                  <w:tcBorders>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排</w:t>
                  </w:r>
                  <w:r>
                    <w:rPr>
                      <w:rFonts w:hint="default"/>
                    </w:rPr>
                    <w:t>水</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9" w:type="pct"/>
                  <w:vMerge w:val="continue"/>
                  <w:tcBorders>
                    <w:top w:val="single" w:color="auto" w:sz="12"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690"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新鲜水</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回用</w:t>
                  </w:r>
                  <w:r>
                    <w:rPr>
                      <w:rFonts w:hint="default"/>
                    </w:rPr>
                    <w:t>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损耗</w:t>
                  </w:r>
                </w:p>
              </w:tc>
              <w:tc>
                <w:tcPr>
                  <w:tcW w:w="550"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废水量</w:t>
                  </w:r>
                </w:p>
              </w:tc>
              <w:tc>
                <w:tcPr>
                  <w:tcW w:w="553"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eastAsia="宋体"/>
                      <w:lang w:val="en-US" w:eastAsia="zh-CN"/>
                    </w:rPr>
                  </w:pPr>
                  <w:r>
                    <w:rPr>
                      <w:rFonts w:hint="eastAsia"/>
                      <w:lang w:val="en-US" w:eastAsia="zh-CN"/>
                    </w:rPr>
                    <w:t>回用水</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设备清洗用水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0.5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0.5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0</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0.05</w:t>
                  </w:r>
                </w:p>
              </w:tc>
              <w:tc>
                <w:tcPr>
                  <w:tcW w:w="550"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eastAsia="宋体"/>
                      <w:lang w:val="en-US" w:eastAsia="zh-CN"/>
                    </w:rPr>
                  </w:pPr>
                  <w:r>
                    <w:rPr>
                      <w:rFonts w:hint="default"/>
                    </w:rPr>
                    <w:t>0.45</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车间</w:t>
                  </w:r>
                  <w:r>
                    <w:rPr>
                      <w:rFonts w:hint="default"/>
                    </w:rPr>
                    <w:t>清洗用水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1.625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1.625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0</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0.325</w:t>
                  </w:r>
                </w:p>
              </w:tc>
              <w:tc>
                <w:tcPr>
                  <w:tcW w:w="550"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eastAsia"/>
                      <w:lang w:val="en-US" w:eastAsia="zh-CN"/>
                    </w:rPr>
                    <w:t>1.3</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碱液喷淋塔用水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5.175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0.675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4.5</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0.45</w:t>
                  </w:r>
                </w:p>
              </w:tc>
              <w:tc>
                <w:tcPr>
                  <w:tcW w:w="550"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highlight w:val="none"/>
                      <w:lang w:val="en-US" w:eastAsia="zh-CN" w:bidi="ar-SA"/>
                    </w:rPr>
                  </w:pPr>
                  <w:r>
                    <w:rPr>
                      <w:rFonts w:hint="eastAsia"/>
                      <w:highlight w:val="none"/>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highlight w:val="none"/>
                      <w:lang w:val="en-US" w:eastAsia="zh-CN"/>
                    </w:rPr>
                  </w:pPr>
                  <w:r>
                    <w:rPr>
                      <w:rFonts w:hint="eastAsia"/>
                      <w:highlight w:val="none"/>
                      <w:lang w:val="en-US" w:eastAsia="zh-CN"/>
                    </w:rPr>
                    <w:t>4.725</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PrEx>
              <w:trPr>
                <w:trHeight w:val="1035" w:hRule="atLeast"/>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酸解液配置用水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default"/>
                    </w:rPr>
                    <w:t>2</w:t>
                  </w:r>
                  <w:r>
                    <w:rPr>
                      <w:rFonts w:hint="eastAsia"/>
                      <w:lang w:val="en-US" w:eastAsia="zh-CN"/>
                    </w:rPr>
                    <w:t>.4</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0.425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1.975</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eastAsia="宋体"/>
                      <w:highlight w:val="none"/>
                      <w:lang w:eastAsia="zh-CN"/>
                    </w:rPr>
                  </w:pPr>
                  <w:r>
                    <w:rPr>
                      <w:rFonts w:hint="default"/>
                      <w:color w:val="auto"/>
                      <w:highlight w:val="none"/>
                    </w:rPr>
                    <w:t>1.</w:t>
                  </w:r>
                  <w:r>
                    <w:rPr>
                      <w:rFonts w:hint="eastAsia"/>
                      <w:color w:val="auto"/>
                      <w:highlight w:val="none"/>
                      <w:lang w:val="en-US" w:eastAsia="zh-CN"/>
                    </w:rPr>
                    <w:t>39</w:t>
                  </w:r>
                  <w:r>
                    <w:rPr>
                      <w:rFonts w:hint="default"/>
                      <w:color w:val="auto"/>
                      <w:highlight w:val="none"/>
                    </w:rPr>
                    <w:t>进入氨基酸水溶液，</w:t>
                  </w:r>
                  <w:r>
                    <w:rPr>
                      <w:rFonts w:hint="eastAsia"/>
                      <w:color w:val="auto"/>
                      <w:highlight w:val="none"/>
                      <w:lang w:val="en-US" w:eastAsia="zh-CN"/>
                    </w:rPr>
                    <w:t>1.01</w:t>
                  </w:r>
                  <w:r>
                    <w:rPr>
                      <w:rFonts w:hint="default"/>
                      <w:color w:val="auto"/>
                      <w:highlight w:val="none"/>
                    </w:rPr>
                    <w:t>进入废渣</w:t>
                  </w:r>
                  <w:r>
                    <w:rPr>
                      <w:rFonts w:hint="eastAsia"/>
                      <w:color w:val="auto"/>
                      <w:highlight w:val="none"/>
                      <w:lang w:eastAsia="zh-CN"/>
                    </w:rPr>
                    <w:t>(</w:t>
                  </w:r>
                  <w:r>
                    <w:rPr>
                      <w:rFonts w:hint="default"/>
                      <w:color w:val="auto"/>
                      <w:highlight w:val="none"/>
                    </w:rPr>
                    <w:t>含水率50%</w:t>
                  </w:r>
                  <w:r>
                    <w:rPr>
                      <w:rFonts w:hint="eastAsia"/>
                      <w:color w:val="auto"/>
                      <w:highlight w:val="none"/>
                      <w:lang w:eastAsia="zh-CN"/>
                    </w:rPr>
                    <w:t>)</w:t>
                  </w:r>
                </w:p>
              </w:tc>
              <w:tc>
                <w:tcPr>
                  <w:tcW w:w="550"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eastAsia="宋体"/>
                      <w:lang w:val="en-US" w:eastAsia="zh-CN"/>
                    </w:rPr>
                  </w:pPr>
                  <w:r>
                    <w:rPr>
                      <w:rFonts w:hint="default"/>
                    </w:rPr>
                    <w:t>0</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职工生活用水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0.75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0.75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0</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0.15</w:t>
                  </w:r>
                </w:p>
              </w:tc>
              <w:tc>
                <w:tcPr>
                  <w:tcW w:w="550"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0.6</w:t>
                  </w:r>
                </w:p>
              </w:tc>
              <w:tc>
                <w:tcPr>
                  <w:tcW w:w="553"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highlight w:val="none"/>
                    </w:rPr>
                  </w:pPr>
                  <w:r>
                    <w:rPr>
                      <w:rFonts w:hint="default"/>
                      <w:highlight w:val="none"/>
                    </w:rPr>
                    <w:t>合计</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10.45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3.975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6.475</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3.375</w:t>
                  </w:r>
                </w:p>
              </w:tc>
              <w:tc>
                <w:tcPr>
                  <w:tcW w:w="550"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highlight w:val="none"/>
                      <w:lang w:val="en-US" w:eastAsia="zh-CN" w:bidi="ar-SA"/>
                    </w:rPr>
                  </w:pPr>
                  <w:r>
                    <w:rPr>
                      <w:rFonts w:hint="eastAsia"/>
                      <w:highlight w:val="none"/>
                      <w:lang w:val="en-US" w:eastAsia="zh-CN"/>
                    </w:rPr>
                    <w:t>0.6</w:t>
                  </w:r>
                </w:p>
              </w:tc>
              <w:tc>
                <w:tcPr>
                  <w:tcW w:w="553" w:type="pct"/>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highlight w:val="none"/>
                      <w:lang w:val="en-US" w:eastAsia="zh-CN"/>
                    </w:rPr>
                  </w:pPr>
                  <w:r>
                    <w:rPr>
                      <w:rFonts w:hint="eastAsia"/>
                      <w:highlight w:val="none"/>
                      <w:lang w:val="en-US" w:eastAsia="zh-CN"/>
                    </w:rPr>
                    <w:t>6.475</w:t>
                  </w:r>
                </w:p>
              </w:tc>
            </w:tr>
          </w:tbl>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r>
              <w:rPr>
                <w:rFonts w:hint="default"/>
                <w:sz w:val="24"/>
              </w:rPr>
              <mc:AlternateContent>
                <mc:Choice Requires="wpg">
                  <w:drawing>
                    <wp:anchor distT="0" distB="0" distL="114300" distR="114300" simplePos="0" relativeHeight="251660288" behindDoc="0" locked="0" layoutInCell="1" allowOverlap="1">
                      <wp:simplePos x="0" y="0"/>
                      <wp:positionH relativeFrom="column">
                        <wp:posOffset>-6350</wp:posOffset>
                      </wp:positionH>
                      <wp:positionV relativeFrom="paragraph">
                        <wp:posOffset>102870</wp:posOffset>
                      </wp:positionV>
                      <wp:extent cx="4919980" cy="3475990"/>
                      <wp:effectExtent l="6350" t="6350" r="7620" b="22860"/>
                      <wp:wrapNone/>
                      <wp:docPr id="10" name="组合 10"/>
                      <wp:cNvGraphicFramePr/>
                      <a:graphic xmlns:a="http://schemas.openxmlformats.org/drawingml/2006/main">
                        <a:graphicData uri="http://schemas.microsoft.com/office/word/2010/wordprocessingGroup">
                          <wpg:wgp>
                            <wpg:cNvGrpSpPr/>
                            <wpg:grpSpPr>
                              <a:xfrm>
                                <a:off x="0" y="0"/>
                                <a:ext cx="4919980" cy="3475990"/>
                                <a:chOff x="3476" y="196870"/>
                                <a:chExt cx="7748" cy="5474"/>
                              </a:xfrm>
                            </wpg:grpSpPr>
                            <wps:wsp>
                              <wps:cNvPr id="304" name="直接箭头连接符 304"/>
                              <wps:cNvCnPr/>
                              <wps:spPr>
                                <a:xfrm flipV="1">
                                  <a:off x="9254" y="197496"/>
                                  <a:ext cx="491" cy="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9" name="组合 9"/>
                              <wpg:cNvGrpSpPr/>
                              <wpg:grpSpPr>
                                <a:xfrm>
                                  <a:off x="3476" y="196870"/>
                                  <a:ext cx="7748" cy="5474"/>
                                  <a:chOff x="3476" y="196870"/>
                                  <a:chExt cx="7748" cy="5474"/>
                                </a:xfrm>
                              </wpg:grpSpPr>
                              <wps:wsp>
                                <wps:cNvPr id="63" name="直接箭头连接符 63"/>
                                <wps:cNvCnPr/>
                                <wps:spPr>
                                  <a:xfrm>
                                    <a:off x="5146" y="197455"/>
                                    <a:ext cx="814" cy="2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7" name="组合 7"/>
                                <wpg:cNvGrpSpPr/>
                                <wpg:grpSpPr>
                                  <a:xfrm>
                                    <a:off x="3476" y="196870"/>
                                    <a:ext cx="7749" cy="5475"/>
                                    <a:chOff x="-412" y="174009"/>
                                    <a:chExt cx="7749" cy="5475"/>
                                  </a:xfrm>
                                </wpg:grpSpPr>
                                <wps:wsp>
                                  <wps:cNvPr id="305" name="文本框 305"/>
                                  <wps:cNvSpPr txBox="1"/>
                                  <wps:spPr>
                                    <a:xfrm>
                                      <a:off x="5919" y="174442"/>
                                      <a:ext cx="12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园区管网</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08" name="组合 308"/>
                                  <wpg:cNvGrpSpPr/>
                                  <wpg:grpSpPr>
                                    <a:xfrm>
                                      <a:off x="-412" y="174009"/>
                                      <a:ext cx="7749" cy="5475"/>
                                      <a:chOff x="5826" y="190597"/>
                                      <a:chExt cx="7749" cy="5475"/>
                                    </a:xfrm>
                                  </wpg:grpSpPr>
                                  <wps:wsp>
                                    <wps:cNvPr id="307" name="矩形 307"/>
                                    <wps:cNvSpPr/>
                                    <wps:spPr>
                                      <a:xfrm>
                                        <a:off x="5826" y="190597"/>
                                        <a:ext cx="7749" cy="5475"/>
                                      </a:xfrm>
                                      <a:prstGeom prst="rect">
                                        <a:avLst/>
                                      </a:prstGeom>
                                      <a:solidFill>
                                        <a:srgbClr val="000000">
                                          <a:alpha val="0"/>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39" name="组合 239"/>
                                    <wpg:cNvGrpSpPr/>
                                    <wpg:grpSpPr>
                                      <a:xfrm>
                                        <a:off x="5858" y="190601"/>
                                        <a:ext cx="7618" cy="5460"/>
                                        <a:chOff x="2813" y="190601"/>
                                        <a:chExt cx="7618" cy="5460"/>
                                      </a:xfrm>
                                    </wpg:grpSpPr>
                                    <wpg:grpSp>
                                      <wpg:cNvPr id="237" name="组合 237"/>
                                      <wpg:cNvGrpSpPr/>
                                      <wpg:grpSpPr>
                                        <a:xfrm>
                                          <a:off x="2813" y="190601"/>
                                          <a:ext cx="7618" cy="5460"/>
                                          <a:chOff x="2813" y="190601"/>
                                          <a:chExt cx="7618" cy="5460"/>
                                        </a:xfrm>
                                      </wpg:grpSpPr>
                                      <wpg:grpSp>
                                        <wpg:cNvPr id="235" name="组合 235"/>
                                        <wpg:cNvGrpSpPr/>
                                        <wpg:grpSpPr>
                                          <a:xfrm>
                                            <a:off x="2813" y="190601"/>
                                            <a:ext cx="7618" cy="5460"/>
                                            <a:chOff x="2813" y="190601"/>
                                            <a:chExt cx="7618" cy="5460"/>
                                          </a:xfrm>
                                        </wpg:grpSpPr>
                                        <wps:wsp>
                                          <wps:cNvPr id="162" name="直接箭头连接符 162"/>
                                          <wps:cNvCnPr>
                                            <a:stCxn id="159" idx="2"/>
                                            <a:endCxn id="167" idx="0"/>
                                          </wps:cNvCnPr>
                                          <wps:spPr>
                                            <a:xfrm flipH="1">
                                              <a:off x="8435" y="195093"/>
                                              <a:ext cx="3" cy="31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70" name="组合 170"/>
                                          <wpg:cNvGrpSpPr/>
                                          <wpg:grpSpPr>
                                            <a:xfrm>
                                              <a:off x="2813" y="190601"/>
                                              <a:ext cx="7618" cy="5460"/>
                                              <a:chOff x="2813" y="190601"/>
                                              <a:chExt cx="7618" cy="5460"/>
                                            </a:xfrm>
                                          </wpg:grpSpPr>
                                          <wps:wsp>
                                            <wps:cNvPr id="163" name="直接箭头连接符 163"/>
                                            <wps:cNvCnPr>
                                              <a:stCxn id="159" idx="3"/>
                                              <a:endCxn id="168" idx="1"/>
                                            </wps:cNvCnPr>
                                            <wps:spPr>
                                              <a:xfrm>
                                                <a:off x="9027" y="194756"/>
                                                <a:ext cx="355"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69" name="组合 169"/>
                                            <wpg:cNvGrpSpPr/>
                                            <wpg:grpSpPr>
                                              <a:xfrm>
                                                <a:off x="2813" y="190601"/>
                                                <a:ext cx="7618" cy="5460"/>
                                                <a:chOff x="2813" y="190601"/>
                                                <a:chExt cx="7618" cy="5460"/>
                                              </a:xfrm>
                                            </wpg:grpSpPr>
                                            <wpg:grpSp>
                                              <wpg:cNvPr id="164" name="组合 164"/>
                                              <wpg:cNvGrpSpPr/>
                                              <wpg:grpSpPr>
                                                <a:xfrm>
                                                  <a:off x="2813" y="190601"/>
                                                  <a:ext cx="6214" cy="4492"/>
                                                  <a:chOff x="2813" y="190601"/>
                                                  <a:chExt cx="6214" cy="4492"/>
                                                </a:xfrm>
                                              </wpg:grpSpPr>
                                              <wps:wsp>
                                                <wps:cNvPr id="154" name="直接连接符 154"/>
                                                <wps:cNvCnPr/>
                                                <wps:spPr>
                                                  <a:xfrm>
                                                    <a:off x="7601" y="192172"/>
                                                    <a:ext cx="12" cy="1725"/>
                                                  </a:xfrm>
                                                  <a:prstGeom prst="line">
                                                    <a:avLst/>
                                                  </a:prstGeom>
                                                </wps:spPr>
                                                <wps:style>
                                                  <a:lnRef idx="1">
                                                    <a:schemeClr val="dk1"/>
                                                  </a:lnRef>
                                                  <a:fillRef idx="0">
                                                    <a:schemeClr val="dk1"/>
                                                  </a:fillRef>
                                                  <a:effectRef idx="0">
                                                    <a:schemeClr val="dk1"/>
                                                  </a:effectRef>
                                                  <a:fontRef idx="minor">
                                                    <a:schemeClr val="tx1"/>
                                                  </a:fontRef>
                                                </wps:style>
                                                <wps:bodyPr/>
                                              </wps:wsp>
                                              <wpg:grpSp>
                                                <wpg:cNvPr id="161" name="组合 161"/>
                                                <wpg:cNvGrpSpPr/>
                                                <wpg:grpSpPr>
                                                  <a:xfrm>
                                                    <a:off x="2813" y="190601"/>
                                                    <a:ext cx="6214" cy="4492"/>
                                                    <a:chOff x="2900" y="190476"/>
                                                    <a:chExt cx="6214" cy="4492"/>
                                                  </a:xfrm>
                                                </wpg:grpSpPr>
                                                <wps:wsp>
                                                  <wps:cNvPr id="61" name="直接连接符 61"/>
                                                  <wps:cNvCnPr/>
                                                  <wps:spPr>
                                                    <a:xfrm>
                                                      <a:off x="4476" y="191086"/>
                                                      <a:ext cx="12" cy="3486"/>
                                                    </a:xfrm>
                                                    <a:prstGeom prst="line">
                                                      <a:avLst/>
                                                    </a:prstGeom>
                                                  </wps:spPr>
                                                  <wps:style>
                                                    <a:lnRef idx="1">
                                                      <a:schemeClr val="dk1"/>
                                                    </a:lnRef>
                                                    <a:fillRef idx="0">
                                                      <a:schemeClr val="dk1"/>
                                                    </a:fillRef>
                                                    <a:effectRef idx="0">
                                                      <a:schemeClr val="dk1"/>
                                                    </a:effectRef>
                                                    <a:fontRef idx="minor">
                                                      <a:schemeClr val="tx1"/>
                                                    </a:fontRef>
                                                  </wps:style>
                                                  <wps:bodyPr/>
                                                </wps:wsp>
                                                <wpg:grpSp>
                                                  <wpg:cNvPr id="160" name="组合 160"/>
                                                  <wpg:cNvGrpSpPr/>
                                                  <wpg:grpSpPr>
                                                    <a:xfrm>
                                                      <a:off x="2900" y="190476"/>
                                                      <a:ext cx="6214" cy="4492"/>
                                                      <a:chOff x="2800" y="190826"/>
                                                      <a:chExt cx="6214" cy="4492"/>
                                                    </a:xfrm>
                                                  </wpg:grpSpPr>
                                                  <wpg:grpSp>
                                                    <wpg:cNvPr id="158" name="组合 158"/>
                                                    <wpg:cNvGrpSpPr/>
                                                    <wpg:grpSpPr>
                                                      <a:xfrm>
                                                        <a:off x="2800" y="190826"/>
                                                        <a:ext cx="5808" cy="4155"/>
                                                        <a:chOff x="2800" y="190826"/>
                                                        <a:chExt cx="5808" cy="4155"/>
                                                      </a:xfrm>
                                                    </wpg:grpSpPr>
                                                    <wps:wsp>
                                                      <wps:cNvPr id="155" name="直接连接符 155"/>
                                                      <wps:cNvCnPr/>
                                                      <wps:spPr>
                                                        <a:xfrm>
                                                          <a:off x="7599" y="193160"/>
                                                          <a:ext cx="772" cy="12"/>
                                                        </a:xfrm>
                                                        <a:prstGeom prst="line">
                                                          <a:avLst/>
                                                        </a:prstGeom>
                                                      </wps:spPr>
                                                      <wps:style>
                                                        <a:lnRef idx="1">
                                                          <a:schemeClr val="dk1"/>
                                                        </a:lnRef>
                                                        <a:fillRef idx="0">
                                                          <a:schemeClr val="dk1"/>
                                                        </a:fillRef>
                                                        <a:effectRef idx="0">
                                                          <a:schemeClr val="dk1"/>
                                                        </a:effectRef>
                                                        <a:fontRef idx="minor">
                                                          <a:schemeClr val="tx1"/>
                                                        </a:fontRef>
                                                      </wps:style>
                                                      <wps:bodyPr/>
                                                    </wps:wsp>
                                                    <wpg:grpSp>
                                                      <wpg:cNvPr id="157" name="组合 157"/>
                                                      <wpg:cNvGrpSpPr/>
                                                      <wpg:grpSpPr>
                                                        <a:xfrm>
                                                          <a:off x="2800" y="190826"/>
                                                          <a:ext cx="5808" cy="4155"/>
                                                          <a:chOff x="2800" y="190826"/>
                                                          <a:chExt cx="5808" cy="4155"/>
                                                        </a:xfrm>
                                                      </wpg:grpSpPr>
                                                      <wpg:grpSp>
                                                        <wpg:cNvPr id="153" name="组合 153"/>
                                                        <wpg:cNvGrpSpPr/>
                                                        <wpg:grpSpPr>
                                                          <a:xfrm>
                                                            <a:off x="2800" y="190826"/>
                                                            <a:ext cx="5808" cy="4155"/>
                                                            <a:chOff x="2800" y="190826"/>
                                                            <a:chExt cx="5808" cy="4155"/>
                                                          </a:xfrm>
                                                        </wpg:grpSpPr>
                                                        <wpg:grpSp>
                                                          <wpg:cNvPr id="101" name="组合 101"/>
                                                          <wpg:cNvGrpSpPr/>
                                                          <wpg:grpSpPr>
                                                            <a:xfrm>
                                                              <a:off x="2800" y="190826"/>
                                                              <a:ext cx="5808" cy="3465"/>
                                                              <a:chOff x="2825" y="182696"/>
                                                              <a:chExt cx="5808" cy="3465"/>
                                                            </a:xfrm>
                                                          </wpg:grpSpPr>
                                                          <wps:wsp>
                                                            <wps:cNvPr id="68" name="直接箭头连接符 68"/>
                                                            <wps:cNvCnPr>
                                                              <a:stCxn id="65" idx="3"/>
                                                            </wps:cNvCnPr>
                                                            <wps:spPr>
                                                              <a:xfrm>
                                                                <a:off x="6864" y="183363"/>
                                                                <a:ext cx="762"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00" name="组合 100"/>
                                                            <wpg:cNvGrpSpPr/>
                                                            <wpg:grpSpPr>
                                                              <a:xfrm>
                                                                <a:off x="2825" y="182696"/>
                                                                <a:ext cx="5808" cy="3465"/>
                                                                <a:chOff x="2825" y="182696"/>
                                                                <a:chExt cx="5808" cy="3465"/>
                                                              </a:xfrm>
                                                            </wpg:grpSpPr>
                                                            <wps:wsp>
                                                              <wps:cNvPr id="66" name="直接箭头连接符 66"/>
                                                              <wps:cNvCnPr>
                                                                <a:stCxn id="65" idx="0"/>
                                                                <a:endCxn id="67" idx="1"/>
                                                              </wps:cNvCnPr>
                                                              <wps:spPr>
                                                                <a:xfrm flipV="1">
                                                                  <a:off x="6052" y="182915"/>
                                                                  <a:ext cx="365" cy="22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99" name="组合 99"/>
                                                              <wpg:cNvGrpSpPr/>
                                                              <wpg:grpSpPr>
                                                                <a:xfrm>
                                                                  <a:off x="2825" y="182696"/>
                                                                  <a:ext cx="5808" cy="3465"/>
                                                                  <a:chOff x="2825" y="182696"/>
                                                                  <a:chExt cx="5808" cy="3465"/>
                                                                </a:xfrm>
                                                              </wpg:grpSpPr>
                                                              <wps:wsp>
                                                                <wps:cNvPr id="58" name="文本框 58"/>
                                                                <wps:cNvSpPr txBox="1"/>
                                                                <wps:spPr>
                                                                  <a:xfrm>
                                                                    <a:off x="2825" y="184629"/>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直接箭头连接符 59"/>
                                                                <wps:cNvCnPr>
                                                                  <a:stCxn id="58" idx="3"/>
                                                                </wps:cNvCnPr>
                                                                <wps:spPr>
                                                                  <a:xfrm flipV="1">
                                                                    <a:off x="3775" y="184841"/>
                                                                    <a:ext cx="563"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2" name="文本框 62"/>
                                                                <wps:cNvSpPr txBox="1"/>
                                                                <wps:spPr>
                                                                  <a:xfrm>
                                                                    <a:off x="3540" y="184344"/>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3.975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文本框 64"/>
                                                                <wps:cNvSpPr txBox="1"/>
                                                                <wps:spPr>
                                                                  <a:xfrm>
                                                                    <a:off x="4381" y="182917"/>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75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文本框 65"/>
                                                                <wps:cNvSpPr txBox="1"/>
                                                                <wps:spPr>
                                                                  <a:xfrm>
                                                                    <a:off x="5240" y="183144"/>
                                                                    <a:ext cx="16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职工生活用水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文本框 67"/>
                                                                <wps:cNvSpPr txBox="1"/>
                                                                <wps:spPr>
                                                                  <a:xfrm>
                                                                    <a:off x="6417" y="182696"/>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6782" y="183045"/>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70"/>
                                                                <wps:cNvSpPr txBox="1"/>
                                                                <wps:spPr>
                                                                  <a:xfrm>
                                                                    <a:off x="7670" y="183145"/>
                                                                    <a:ext cx="963"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0" name="组合 80"/>
                                                                <wpg:cNvGrpSpPr/>
                                                                <wpg:grpSpPr>
                                                                  <a:xfrm>
                                                                    <a:off x="4435" y="183561"/>
                                                                    <a:ext cx="3409" cy="909"/>
                                                                    <a:chOff x="4435" y="183561"/>
                                                                    <a:chExt cx="3409" cy="909"/>
                                                                  </a:xfrm>
                                                                </wpg:grpSpPr>
                                                                <wps:wsp>
                                                                  <wps:cNvPr id="75" name="直接箭头连接符 75"/>
                                                                  <wps:cNvCnPr>
                                                                    <a:stCxn id="76" idx="3"/>
                                                                  </wps:cNvCnPr>
                                                                  <wps:spPr>
                                                                    <a:xfrm flipV="1">
                                                                      <a:off x="6841" y="184243"/>
                                                                      <a:ext cx="762"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79" name="组合 79"/>
                                                                  <wpg:cNvGrpSpPr/>
                                                                  <wpg:grpSpPr>
                                                                    <a:xfrm>
                                                                      <a:off x="4435" y="183561"/>
                                                                      <a:ext cx="3409" cy="909"/>
                                                                      <a:chOff x="4435" y="183561"/>
                                                                      <a:chExt cx="3409" cy="909"/>
                                                                    </a:xfrm>
                                                                  </wpg:grpSpPr>
                                                                  <wps:wsp>
                                                                    <wps:cNvPr id="71" name="直接箭头连接符 71"/>
                                                                    <wps:cNvCnPr>
                                                                      <a:endCxn id="76" idx="1"/>
                                                                    </wps:cNvCnPr>
                                                                    <wps:spPr>
                                                                      <a:xfrm>
                                                                        <a:off x="4438" y="184249"/>
                                                                        <a:ext cx="77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6" name="文本框 76"/>
                                                                    <wps:cNvSpPr txBox="1"/>
                                                                    <wps:spPr>
                                                                      <a:xfrm>
                                                                        <a:off x="5217" y="184033"/>
                                                                        <a:ext cx="16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设备清洗用水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74"/>
                                                                    <wps:cNvCnPr>
                                                                      <a:stCxn id="76" idx="0"/>
                                                                      <a:endCxn id="72" idx="1"/>
                                                                    </wps:cNvCnPr>
                                                                    <wps:spPr>
                                                                      <a:xfrm flipV="1">
                                                                        <a:off x="6029" y="183780"/>
                                                                        <a:ext cx="391" cy="25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2" name="文本框 72"/>
                                                                    <wps:cNvSpPr txBox="1"/>
                                                                    <wps:spPr>
                                                                      <a:xfrm>
                                                                        <a:off x="6420" y="183561"/>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文本框 73"/>
                                                                    <wps:cNvSpPr txBox="1"/>
                                                                    <wps:spPr>
                                                                      <a:xfrm>
                                                                        <a:off x="6749" y="183872"/>
                                                                        <a:ext cx="937" cy="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文本框 78"/>
                                                                    <wps:cNvSpPr txBox="1"/>
                                                                    <wps:spPr>
                                                                      <a:xfrm>
                                                                        <a:off x="4435" y="183835"/>
                                                                        <a:ext cx="76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81" name="组合 81"/>
                                                                <wpg:cNvGrpSpPr/>
                                                                <wpg:grpSpPr>
                                                                  <a:xfrm>
                                                                    <a:off x="4363" y="184338"/>
                                                                    <a:ext cx="3483" cy="909"/>
                                                                    <a:chOff x="4361" y="183561"/>
                                                                    <a:chExt cx="3483" cy="909"/>
                                                                  </a:xfrm>
                                                                </wpg:grpSpPr>
                                                                <wps:wsp>
                                                                  <wps:cNvPr id="82" name="直接箭头连接符 75"/>
                                                                  <wps:cNvCnPr>
                                                                    <a:stCxn id="76" idx="3"/>
                                                                  </wps:cNvCnPr>
                                                                  <wps:spPr>
                                                                    <a:xfrm flipV="1">
                                                                      <a:off x="6841" y="184243"/>
                                                                      <a:ext cx="762"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83" name="组合 79"/>
                                                                  <wpg:cNvGrpSpPr/>
                                                                  <wpg:grpSpPr>
                                                                    <a:xfrm>
                                                                      <a:off x="4361" y="183561"/>
                                                                      <a:ext cx="3483" cy="909"/>
                                                                      <a:chOff x="4361" y="183561"/>
                                                                      <a:chExt cx="3483" cy="909"/>
                                                                    </a:xfrm>
                                                                  </wpg:grpSpPr>
                                                                  <wps:wsp>
                                                                    <wps:cNvPr id="84" name="直接箭头连接符 71"/>
                                                                    <wps:cNvCnPr>
                                                                      <a:endCxn id="76" idx="1"/>
                                                                    </wps:cNvCnPr>
                                                                    <wps:spPr>
                                                                      <a:xfrm>
                                                                        <a:off x="4438" y="184249"/>
                                                                        <a:ext cx="77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5" name="文本框 76"/>
                                                                    <wps:cNvSpPr txBox="1"/>
                                                                    <wps:spPr>
                                                                      <a:xfrm>
                                                                        <a:off x="5217" y="184033"/>
                                                                        <a:ext cx="16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车间清洗用水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直接箭头连接符 74"/>
                                                                    <wps:cNvCnPr>
                                                                      <a:stCxn id="76" idx="0"/>
                                                                      <a:endCxn id="72" idx="1"/>
                                                                    </wps:cNvCnPr>
                                                                    <wps:spPr>
                                                                      <a:xfrm flipV="1">
                                                                        <a:off x="6029" y="183780"/>
                                                                        <a:ext cx="391" cy="25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7" name="文本框 72"/>
                                                                    <wps:cNvSpPr txBox="1"/>
                                                                    <wps:spPr>
                                                                      <a:xfrm>
                                                                        <a:off x="6420" y="183561"/>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325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73"/>
                                                                    <wps:cNvSpPr txBox="1"/>
                                                                    <wps:spPr>
                                                                      <a:xfrm>
                                                                        <a:off x="6749" y="183872"/>
                                                                        <a:ext cx="937" cy="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文本框 78"/>
                                                                    <wps:cNvSpPr txBox="1"/>
                                                                    <wps:spPr>
                                                                      <a:xfrm>
                                                                        <a:off x="4361" y="183909"/>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625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90" name="组合 90"/>
                                                                <wpg:cNvGrpSpPr/>
                                                                <wpg:grpSpPr>
                                                                  <a:xfrm>
                                                                    <a:off x="4378" y="185252"/>
                                                                    <a:ext cx="3546" cy="909"/>
                                                                    <a:chOff x="4298" y="183561"/>
                                                                    <a:chExt cx="3546" cy="909"/>
                                                                  </a:xfrm>
                                                                </wpg:grpSpPr>
                                                                <wps:wsp>
                                                                  <wps:cNvPr id="91" name="直接箭头连接符 75"/>
                                                                  <wps:cNvCnPr>
                                                                    <a:stCxn id="94" idx="3"/>
                                                                  </wps:cNvCnPr>
                                                                  <wps:spPr>
                                                                    <a:xfrm flipV="1">
                                                                      <a:off x="7059" y="184243"/>
                                                                      <a:ext cx="489"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92" name="组合 79"/>
                                                                  <wpg:cNvGrpSpPr/>
                                                                  <wpg:grpSpPr>
                                                                    <a:xfrm>
                                                                      <a:off x="4298" y="183561"/>
                                                                      <a:ext cx="3546" cy="909"/>
                                                                      <a:chOff x="4298" y="183561"/>
                                                                      <a:chExt cx="3546" cy="909"/>
                                                                    </a:xfrm>
                                                                  </wpg:grpSpPr>
                                                                  <wps:wsp>
                                                                    <wps:cNvPr id="93" name="直接箭头连接符 71"/>
                                                                    <wps:cNvCnPr>
                                                                      <a:endCxn id="94" idx="1"/>
                                                                    </wps:cNvCnPr>
                                                                    <wps:spPr>
                                                                      <a:xfrm flipV="1">
                                                                        <a:off x="4400" y="184252"/>
                                                                        <a:ext cx="828"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94" name="文本框 76"/>
                                                                    <wps:cNvSpPr txBox="1"/>
                                                                    <wps:spPr>
                                                                      <a:xfrm>
                                                                        <a:off x="5217" y="184033"/>
                                                                        <a:ext cx="1836"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碱液喷淋塔用水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直接箭头连接符 74"/>
                                                                    <wps:cNvCnPr>
                                                                      <a:stCxn id="76" idx="0"/>
                                                                      <a:endCxn id="72" idx="1"/>
                                                                    </wps:cNvCnPr>
                                                                    <wps:spPr>
                                                                      <a:xfrm flipV="1">
                                                                        <a:off x="6029" y="183780"/>
                                                                        <a:ext cx="391" cy="25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96" name="文本框 72"/>
                                                                    <wps:cNvSpPr txBox="1"/>
                                                                    <wps:spPr>
                                                                      <a:xfrm>
                                                                        <a:off x="6420" y="183561"/>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文本框 73"/>
                                                                    <wps:cNvSpPr txBox="1"/>
                                                                    <wps:spPr>
                                                                      <a:xfrm>
                                                                        <a:off x="6799" y="183810"/>
                                                                        <a:ext cx="937" cy="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225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文本框 78"/>
                                                                    <wps:cNvSpPr txBox="1"/>
                                                                    <wps:spPr>
                                                                      <a:xfrm>
                                                                        <a:off x="4298" y="183797"/>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675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g:grpSp>
                                                        <wps:wsp>
                                                          <wps:cNvPr id="102" name="直接连接符 102"/>
                                                          <wps:cNvCnPr/>
                                                          <wps:spPr>
                                                            <a:xfrm>
                                                              <a:off x="7313" y="194097"/>
                                                              <a:ext cx="0" cy="425"/>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直接连接符 103"/>
                                                          <wps:cNvCnPr/>
                                                          <wps:spPr>
                                                            <a:xfrm flipH="1">
                                                              <a:off x="4963" y="194547"/>
                                                              <a:ext cx="2325" cy="13"/>
                                                            </a:xfrm>
                                                            <a:prstGeom prst="line">
                                                              <a:avLst/>
                                                            </a:prstGeom>
                                                          </wps:spPr>
                                                          <wps:style>
                                                            <a:lnRef idx="1">
                                                              <a:schemeClr val="dk1"/>
                                                            </a:lnRef>
                                                            <a:fillRef idx="0">
                                                              <a:schemeClr val="dk1"/>
                                                            </a:fillRef>
                                                            <a:effectRef idx="0">
                                                              <a:schemeClr val="dk1"/>
                                                            </a:effectRef>
                                                            <a:fontRef idx="minor">
                                                              <a:schemeClr val="tx1"/>
                                                            </a:fontRef>
                                                          </wps:style>
                                                          <wps:bodyPr/>
                                                        </wps:wsp>
                                                        <wps:wsp>
                                                          <wps:cNvPr id="104" name="直接箭头连接符 104"/>
                                                          <wps:cNvCnPr/>
                                                          <wps:spPr>
                                                            <a:xfrm flipV="1">
                                                              <a:off x="4976" y="194122"/>
                                                              <a:ext cx="12" cy="43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5" name="文本框 72"/>
                                                          <wps:cNvSpPr txBox="1"/>
                                                          <wps:spPr>
                                                            <a:xfrm>
                                                              <a:off x="5490" y="194185"/>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循环水</w:t>
                                                                </w:r>
                                                                <w:r>
                                                                  <w:rPr>
                                                                    <w:rFonts w:hint="eastAsia"/>
                                                                    <w:color w:val="auto"/>
                                                                    <w:sz w:val="21"/>
                                                                    <w:szCs w:val="21"/>
                                                                    <w:lang w:val="en-US" w:eastAsia="zh-CN"/>
                                                                  </w:rPr>
                                                                  <w:t>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直接箭头连接符 106"/>
                                                          <wps:cNvCnPr>
                                                            <a:endCxn id="159" idx="1"/>
                                                          </wps:cNvCnPr>
                                                          <wps:spPr>
                                                            <a:xfrm>
                                                              <a:off x="4401" y="194972"/>
                                                              <a:ext cx="3435"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156" name="直接箭头连接符 156"/>
                                                        <wps:cNvCnPr>
                                                          <a:endCxn id="159" idx="0"/>
                                                        </wps:cNvCnPr>
                                                        <wps:spPr>
                                                          <a:xfrm>
                                                            <a:off x="8420" y="193147"/>
                                                            <a:ext cx="5" cy="149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s:wsp>
                                                    <wps:cNvPr id="159" name="文本框 76"/>
                                                    <wps:cNvSpPr txBox="1"/>
                                                    <wps:spPr>
                                                      <a:xfrm>
                                                        <a:off x="7836" y="194644"/>
                                                        <a:ext cx="1178"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酸解液配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置塔用水</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165" name="文本框 78"/>
                                              <wps:cNvSpPr txBox="1"/>
                                              <wps:spPr>
                                                <a:xfrm>
                                                  <a:off x="8379" y="195021"/>
                                                  <a:ext cx="789"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1.01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 name="文本框 78"/>
                                              <wps:cNvSpPr txBox="1"/>
                                              <wps:spPr>
                                                <a:xfrm>
                                                  <a:off x="8697" y="194336"/>
                                                  <a:ext cx="950"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1.39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文本框 167"/>
                                              <wps:cNvSpPr txBox="1"/>
                                              <wps:spPr>
                                                <a:xfrm>
                                                  <a:off x="7666" y="195412"/>
                                                  <a:ext cx="1537" cy="6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渣滓(含水率50%)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8" name="文本框 168"/>
                                              <wps:cNvSpPr txBox="1"/>
                                              <wps:spPr>
                                                <a:xfrm>
                                                  <a:off x="9382" y="194440"/>
                                                  <a:ext cx="1049" cy="6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sz w:val="21"/>
                                                        <w:szCs w:val="21"/>
                                                        <w:lang w:val="en-US" w:eastAsia="zh-CN"/>
                                                      </w:rPr>
                                                    </w:pPr>
                                                    <w:r>
                                                      <w:rPr>
                                                        <w:rFonts w:hint="eastAsia" w:eastAsia="宋体"/>
                                                        <w:color w:val="auto"/>
                                                        <w:sz w:val="21"/>
                                                        <w:szCs w:val="21"/>
                                                        <w:lang w:val="en-US" w:eastAsia="zh-CN"/>
                                                      </w:rPr>
                                                      <w:t>氨基酸</w:t>
                                                    </w:r>
                                                    <w:r>
                                                      <w:rPr>
                                                        <w:rFonts w:hint="eastAsia"/>
                                                        <w:color w:val="auto"/>
                                                        <w:sz w:val="21"/>
                                                        <w:szCs w:val="21"/>
                                                        <w:lang w:val="en-US" w:eastAsia="zh-CN"/>
                                                      </w:rPr>
                                                      <w:t>水溶液</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236" name="文本框 78"/>
                                        <wps:cNvSpPr txBox="1"/>
                                        <wps:spPr>
                                          <a:xfrm>
                                            <a:off x="7550" y="192414"/>
                                            <a:ext cx="950"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975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38" name="文本框 78"/>
                                      <wps:cNvSpPr txBox="1"/>
                                      <wps:spPr>
                                        <a:xfrm>
                                          <a:off x="5590" y="194342"/>
                                          <a:ext cx="950"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0.425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g:wgp>
                        </a:graphicData>
                      </a:graphic>
                    </wp:anchor>
                  </w:drawing>
                </mc:Choice>
                <mc:Fallback>
                  <w:pict>
                    <v:group id="_x0000_s1026" o:spid="_x0000_s1026" o:spt="203" style="position:absolute;left:0pt;margin-left:-0.5pt;margin-top:8.1pt;height:273.7pt;width:387.4pt;z-index:251660288;mso-width-relative:page;mso-height-relative:page;" coordorigin="3476,196870" coordsize="7748,5474" o:gfxdata="UEsDBAoAAAAAAIdO4kAAAAAAAAAAAAAAAAAEAAAAZHJzL1BLAwQUAAAACACHTuJAtdHt89kAAAAJ&#10;AQAADwAAAGRycy9kb3ducmV2LnhtbE2PwWrDMAyG74O9g9Fgt9ZxQ9ORxSmjbDuVwdrB2E2N1SQ0&#10;tkPsJu3bTzutR+kXv76vWF9sJ0YaQuudBjVPQJCrvGldreFr/zZ7AhEiOoOdd6ThSgHW5f1dgbnx&#10;k/ukcRdrwSUu5KihibHPpQxVQxbD3PfkODv6wWLkcailGXDictvJRZJk0mLr+EODPW0aqk67s9Xw&#10;PuH0kqrXcXs6bq4/++XH91aR1o8PKnkGEekS/4/hD5/RoWSmgz87E0SnYaZYJfI+W4DgfLVKWeWg&#10;YZmlGciykLcG5S9QSwMEFAAAAAgAh07iQOJGsqtXDgAA2KEAAA4AAABkcnMvZTJvRG9jLnhtbO1d&#10;S4/cWBXeI/EfrNpPyo/rVymdUehMhpECEyk81u4q10Oqso3tTndYI2CFWLEBgUCAhDSwmh1C/Jok&#10;/AzOue+yXZ1ydbc7VbkaKVNtl12+1+fxne+ce+7jz683a+t1WlarPDsbOY/skZVm03y2yhZnox//&#10;6Pln0ciq6iSbJes8S89Gb9Jq9PmT737n8VUxSd18ma9naWnBTbJqclWcjZZ1XUzG42q6TDdJ9Sgv&#10;0gxOzvNyk9TwZ7kYz8rkCu6+WY9d2w7GV3k5K8p8mlYVHH3GTo74Hct9bpjP56tp+iyfXm7SrGZ3&#10;LdN1UsOQquWqqEZP6NPO5+m0/no+r9LaWp+NYKQ1/Rd+BD5f4L/jJ4+TyaJMiuVqyh8h2ecRGmPa&#10;JKsMflTe6llSJ9ZluWrdarOalnmVz+tH03wzZgOhMwKjcOzG3HxZ5pcFHcticrUo5KTDi2rM+sG3&#10;nf7w9cvSWs1AEmBKsmQDb/z9v3/x9re/tuAAzM5VsZjAl74si1fFy5IfWLC/cMDX83KD/4ehWNd0&#10;Xt/IeU2va2sKB0nsxHEE95/COY+EfhzzmZ8u4fXgdXA0GFlw2omDKJRnv+B3CEMCYomX+yQk+Fxj&#10;8dNjfEL5QFcFSGWlpqq63VS9WiZFSt9AhbPAp8qziZyr33/77jd/e/+vf77967f/++8f8fM3f7fw&#10;C3Sq6FXnGZ+4alLBHIpZs+brVfETGDEVHD5/sevDvek8hCQO8C7JRJtHNgkunSA5BcmkKKv6yzTf&#10;WPjhbFTVZbJaLOvzPMtABfKS/Uby+kVVs7kTF+Dts/z5ar2mv7TOrKuzUey7PvxQAto9B62Cj5sC&#10;JKTKFiMrWS/AbEzrkj51la9XM7wa71OVi4vzdWm9TkDZnsf4H/vSMpml7Gjs2zZ/uVVS/yCfscOO&#10;LY7DmPht6Cveuj8+87OkWrJr6Ck2P3WyWn+Rzaz6TQHim5RlfjXCcWzS2chap/C8+IkNfJ3BjVFK&#10;2KvATxf57A19Q/Q4SA+TeipT96tzsRQjpnIxk5peGtepOUJi2nqTTI5T5wJPzlWnysF5eMH4OkFP&#10;d2gcCinXM98hwt6ExPeZHIlZixzQQTQ2rsulRlg5oTZGz45Kz0IpO0zPwnvQM9Bl7p+4NEk9+4w4&#10;LrPpIbFtquOohZpva1wrDfuD+DYw/QwHvPvdr9794Zt3f/4l+DM6Jq5dCASs+vp7OfhtR2id7tl0&#10;PQPXL8ZOCFUn5c8c1+eggHj0lciBtzxaCW6MOpN9fVjgwb23vBvcvMP419cX19xwMD9glTlDiVUx&#10;fb4Cl/MiqeqXSQmwEB4WgHP9NfwzX+fgYHL+aWQt8/LnXcfx+wBB4Cx4JICZ4EV/dpmUKfilrzIA&#10;J7FDCNy2pn8QPwTPbpX6mQv9THa5Oc/BuToA0Ysp/Yjfr9fi47zMNz8FfP0UfxVOJdkUfvtsBD6c&#10;fTyvGfgFfD5Nnz6lXwIkWiT1i+xVMRVoJMufXtb5fEXRgvKR3HUO6SI9G4DfFi7FI/SN9XKTnUoo&#10;DD64yYYKam7Sj1zhKmw/pnL6MauvsnV/+sfb//wFdJdbO+oZUXe5uO/S2K7h7p6ow1WWArhO7AgY&#10;EWEiam+yLpYJA3wC8+7Ehwy8Om4I194SvfIngJmC8W096A4Q2m1cTtiiYARwrDbF9UDbt2wKHulv&#10;U/zIB+NEgzU7sKkrVM4tDBwZsgYyoOXhrhs5gGcbV2qQoHWtVLMmJOCx7/3GKS645+aEHYKhOoct&#10;bUtr0JoR7rzyY54wiaI4m+J6HEL18lqdwx54wgYgVJwAADJXyM7oDr/A3RYP79A5VPX5dcbIKx80&#10;ejUDQCogZjaT5wIQXnqOeRAtRmQBo+4IKSnzfQGDeLAYEXh5TFt9O6aBptJz0GNKawHOZe7CxIr4&#10;bo6Wk3GAfRSyyIlQxkf2ZEI/GdX9ADHjtJiZXaorFEtXXXChVHWpc6X8nNR/1GNddfG2gkW1XdB5&#10;6l6BbW6wqB7QPVRljcKOKLRFu3XMChs00ZwDR/qjuY9BYQdBc04A9OYW/MUjdzxhgStIVEJi7pQl&#10;I9Y51QrNta/dCX+HACeYkdHBicrzOHCKztuerHOIUQKzS64TCqjCc1xIEiKSgBMUKsoxt8iw9SrD&#10;pBRExwMmdHhITI33/SZ0boqlYbYHz9I4Aby0hr5w3vPuwHxb5vXoJ0ZKg4WLmCiFWdApqPa1Unaa&#10;4eIA+qLNFsXySl3gTB9tISon7NhRw4sLbfEIOyNHbLRF8bUPoy0t/Mzoj774uUvmRejblnhdWyKl&#10;LUhmHq4tw7hjJJG2zQscoYrS07x0DFtMmB8hj47uhTgi3am5444rlTtuXyuV7QHMCz6+mK6GfeEj&#10;0wJ8bm52hAlYiMLNqucIjk7MWAj+mflj6qflkI19eWD74je5SAeOHKe6DGRfVITOCQ2fF0scnX0Z&#10;ZsIQpG8bZEbu9/VgXX5ImBdlVD0SNCsG3AgLsBDvgf8SVWBdBllcK63TAxjkQLmvTu4WznMzLKkb&#10;nbqFwTOKh8okBffyezdQPEGEUSydIs9jFJPiZEPkkykriz8tJ6dluk2d3HHUyTmITxoaScn83hrZ&#10;oVcnqJFQr8Bnq1sjKSbWYBIN6mUyRWokz1qmipCVqZQ9+NjO+tbA9kE1mWWLHW73xBvw8JdRbV3X&#10;cLMnwc0ivt7SWzhwCFT7JNRWxYGq8k5EgrJ4Z9/COw1CkICpk/KPUIbNg0FTdwdFeEdWdzcAh4fp&#10;9Js8CJy/CdOhJNO03R6YrtNNeGEoADCJCHU2Snp9rAVHN0HDPoPu6NKG+0ngDSBqqvRDWb2tao9X&#10;PcqNPR+raSm8IB6hyRklN8bqHXO18RCiKBN9mijqGb4+oki8iOf6Ijd2qKkyongahe9DiCK4P+aA&#10;NVHkFYS9saDvSqvowXoDdN1KFKG0DsSeZgYMGDRgsGO5Kwb9LVnklHtvWQwI2MImtSkIAIcYWTzi&#10;BUFD2EUZmGh2UQ9G+rjoIIwEGQUrthtklEGLBi3yHhXdXQBUnbASRVEp3NsshgHejgYu4KKboigC&#10;XrNMEtdMHhldM0jOErtrbBGtcKA/0UrkQofI81m1lgKKHoG1yxQoxmoRM1/P1HmhSli2LpWkzQPk&#10;K5FZuonbgvM3cVvYp+RW3FaAhBbnKFwiit5FoxORuTQJkJNIgIQSr/B1YHDA6GVnV51QVV10Zi3h&#10;fFsvtdykVMw9cpMYAPO1ImC6gK1mlKELy8DhN5TNC/H9mUIC2tHnnteKDBA8oIQ0A1lWTc1z4X2C&#10;Bx8q+IXc2F7DjBtS5ag7Wwwhi5Jrft9t7XTeGfsZbddoSGPXrtHAutV918x1Jt8CG/LFPBYJGY5U&#10;FtGLwUzTGg1WRCiRnCmuuvsmZEPIIUhLyybSiucDbGJAsH8Ni2Jb8YMh94xNFF0/dzAqslBZY1So&#10;Zz1EFmlPHyaLUXOtXYwNLSiua3STbFkx03gKVfrjajw1hFmURc2aKOqFzH2gos6OALHSCDGwjtmk&#10;346yB5pir+iyVM70DdY+FAsMtkk/HiL3WtdBsHyeB8AexMJbATAsr+TFVh2kn4dLPRveXif9GpdK&#10;qKimDWEt2vZ7b9mLiR5D+mEZrWnrC52s77ddFsr9ll4eRvp1qZfIlJ+MXn4oDDakX6MB4Ul12R7C&#10;8st0j4bk9AUwfZCcIf1Ot53tELIoCWhD+iGfaXYe6Nh5YAg57KjoYxTJIUSLIf1OtsX3ELLYxbQY&#10;0s90mwdqgHYD4N3mhxBFWayhQcWDST8tfJPciQjfTHHp8RaXKvbqQUg/2Dprm1xge2n17IQAlaSi&#10;6gU2e2p0IoRVdABUkZOWgit7RRE3FheqEkGN9Gte+pCkH6aqb0H6xcBN3KrSL4T9IgSz2qr0IxEv&#10;LTKVfidR6QdNToWw8U2GDqr061Iv4TVORi8VP9pd+/IB0k8q5h6Vfp0VLrDnjqhTIC3rF7lg4ND4&#10;sbuLfQZbmWHTPOjWzYMGwHQoK8wHaJjufui/yONe0yzTOMJlGkPIoqSiDf1n6L8dG48OIYeShtZs&#10;oqn5Mzv8YTnGwJwLbKjX9s+H03+ioW8E3TdEaTRfWmVq/o6XcxmkRgiJjRZUPJj+0wK5UOwaKQI5&#10;Q/8dryjuov/2OT6IGDu2YiJoeK02YMBT22vo+F+Vti89IjO+Ni705DaFsPi30cMIImhatgpFZXAX&#10;yfO14mSzWwmWNw5U5+jYDW5Ff/m6W92xRTqlS5r735FYVIjGxCcNMXA9WlWIfAm9vxEEuS8Zqjvb&#10;AhYVhCv/YIIgiY/uYNOxmyvMOmxBN3sW4+ozfOEx7GzeyB2IfVlwVe2NZsHQZ8dAnzmw83sbFOle&#10;pFf5HMHsFZecqLEQwqwPM+vDbl4f5tiSuNhl03RmV6ya1XoEOHKf2D1SBxoQgoQBX+oQk7i5mMyj&#10;XVNoutSYvHvtEqBj7GGwNGweys3fDolju4viw8hdK2CxtOqYrySO0hEUBchv4mU7oHckq+piaAjV&#10;wFy4jAOtKMiikbjBJO4BpK+rIEk3cX2cb0jzU8z5Bq0uoA7Wg6BQBWZF7LH1GNMFc9fnYcwlbuBx&#10;ZxRa5GH3HSqwvu1Sh636UISifMYkW02yNenoWusE0nVrWa5D6dwowEQFM56w3xR6XSWLis5l25vs&#10;pkBMN4FPspuA09VCGQ9yygUAYS9PHqBsM8MIDMy2MDq+6G0RsG5mRhpR5sqv0EzytMMF/YP3Ef3k&#10;els4asc+ZRnx4GHSGHuii3JMIE5uSKMNQshwpZFGgys3Y8gsrabp+CovZ2PXdmz6qShvJn5crKy7&#10;M1wZ+rj9FTWfLnEa2yEYX34aqdlB4h0XW4femVz6vmLHPdJw60YuT0Mud8XnreNXC8gZA3ZblEmx&#10;XE2fJXWi/00TipPUzZf5epaWT/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yRAAAFtDb250ZW50X1R5cGVzXS54bWxQSwECFAAKAAAAAACHTuJA&#10;AAAAAAAAAAAAAAAABgAAAAAAAAAAABAAAACrDwAAX3JlbHMvUEsBAhQAFAAAAAgAh07iQIoUZjzR&#10;AAAAlAEAAAsAAAAAAAAAAQAgAAAAzw8AAF9yZWxzLy5yZWxzUEsBAhQACgAAAAAAh07iQAAAAAAA&#10;AAAAAAAAAAQAAAAAAAAAAAAQAAAAAAAAAGRycy9QSwECFAAUAAAACACHTuJAtdHt89kAAAAJAQAA&#10;DwAAAAAAAAABACAAAAAiAAAAZHJzL2Rvd25yZXYueG1sUEsBAhQAFAAAAAgAh07iQOJGsqtXDgAA&#10;2KEAAA4AAAAAAAAAAQAgAAAAKAEAAGRycy9lMm9Eb2MueG1sUEsFBgAAAAAGAAYAWQEAAPERAAAA&#10;AA==&#10;">
                      <o:lock v:ext="edit" aspectratio="f"/>
                      <v:shape id="_x0000_s1026" o:spid="_x0000_s1026" o:spt="32" type="#_x0000_t32" style="position:absolute;left:9254;top:197496;flip:y;height:20;width:491;" filled="f" stroked="t" coordsize="21600,21600" o:gfxdata="UEsDBAoAAAAAAIdO4kAAAAAAAAAAAAAAAAAEAAAAZHJzL1BLAwQUAAAACACHTuJAUMOZTr4AAADc&#10;AAAADwAAAGRycy9kb3ducmV2LnhtbEWPQWsCMRSE7wX/Q3hCbzWxtVK2Rg8WoVAvVUG8PTavm7Wb&#10;lzWJ7vrvG0HocZiZb5jZoneNuFCItWcN45ECQVx6U3OlYbddPb2BiAnZYOOZNFwpwmI+eJhhYXzH&#10;33TZpEpkCMcCNdiU2kLKWFpyGEe+Jc7ejw8OU5ahkiZgl+Gukc9KTaXDmvOCxZaWlsrfzdlp2K/V&#10;4bX3wR4Pp4n9qj+q/dF1Wj8Ox+odRKI+/Yfv7U+j4UVN4HYmHw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OZT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3476;top:196870;height:5474;width:7748;" coordorigin="3476,196870" coordsize="7748,547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146;top:197455;height:22;width:814;" filled="f" stroked="t" coordsize="21600,21600" o:gfxdata="UEsDBAoAAAAAAIdO4kAAAAAAAAAAAAAAAAAEAAAAZHJzL1BLAwQUAAAACACHTuJAZI9Fa7wAAADb&#10;AAAADwAAAGRycy9kb3ducmV2LnhtbEWP3WrCQBSE7wt9h+UUvKsbYxVJXb0oCAYs4s8DHLLHJDR7&#10;NmZPo769KwheDjPzDTNfXl2jeupC7dnAaJiAIi68rbk0cDysPmeggiBbbDyTgRsFWC7e3+aYWX/h&#10;HfV7KVWEcMjQQCXSZlqHoiKHYehb4uidfOdQouxKbTu8RLhrdJokU+2w5rhQYUs/FRV/+39nIM3P&#10;clttcum3Mvk9u3TzlbeFMYOPUfINSugqr/CzvbYGpmN4fIk/QC/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PRWu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id="_x0000_s1026" o:spid="_x0000_s1026" o:spt="203" style="position:absolute;left:3476;top:196870;height:5475;width:7749;" coordorigin="-412,174009" coordsize="7749,547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5919;top:174442;height:437;width:1250;" filled="f" stroked="f" coordsize="21600,21600" o:gfxdata="UEsDBAoAAAAAAIdO4kAAAAAAAAAAAAAAAAAEAAAAZHJzL1BLAwQUAAAACACHTuJAEnnA974AAADc&#10;AAAADwAAAGRycy9kb3ducmV2LnhtbEWPT4vCMBTE74LfITzBmya6uEg1ihRkF9GDrhdvz+bZFpuX&#10;2mT99+mNsLDHYWZ+w0znd1uJKzW+dKxh0FcgiDNnSs417H+WvTEIH5ANVo5Jw4M8zGft1hQT4268&#10;pesu5CJC2CeooQihTqT0WUEWfd/VxNE7ucZiiLLJpWnwFuG2kkOlPqXFkuNCgTWlBWXn3a/VsEqX&#10;G9weh3b8rNKv9WlRX/aHkdbdzkBNQAS6h//wX/vbaPhQI3ifiUdAz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nA9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园区管网</w:t>
                                  </w:r>
                                </w:p>
                              </w:txbxContent>
                            </v:textbox>
                          </v:shape>
                          <v:group id="_x0000_s1026" o:spid="_x0000_s1026" o:spt="203" style="position:absolute;left:-412;top:174009;height:5475;width:7749;" coordorigin="5826,190597" coordsize="7749,5475" o:gfxdata="UEsDBAoAAAAAAIdO4kAAAAAAAAAAAAAAAAAEAAAAZHJzL1BLAwQUAAAACACHTuJA3ij/NrwAAADc&#10;AAAADwAAAGRycy9kb3ducmV2LnhtbEVPz2vCMBS+D/wfwhO8rUmVjVGNIuJkhzKYHYi3R/Nsi81L&#10;abLW/vfLYbDjx/d7s3vYVgzU+8axhjRRIIhLZxquNHwX789vIHxANtg6Jg0TedhtZ08bzIwb+YuG&#10;c6hEDGGfoYY6hC6T0pc1WfSJ64gjd3O9xRBhX0nT4xjDbSuXSr1Kiw3Hhho7OtRU3s8/VsNpxHG/&#10;So9Dfr8dpmvx8nnJU9J6MU/V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eKP82vAAAANwAAAAPAAAAAAAAAAEAIAAAACIAAABkcnMvZG93bnJldi54bWxQ&#10;SwECFAAUAAAACACHTuJAMy8FnjsAAAA5AAAAFQAAAAAAAAABACAAAAALAQAAZHJzL2dyb3Vwc2hh&#10;cGV4bWwueG1sUEsFBgAAAAAGAAYAYAEAAMgDAAAAAA==&#10;">
                            <o:lock v:ext="edit" aspectratio="f"/>
                            <v:rect id="_x0000_s1026" o:spid="_x0000_s1026" o:spt="1" style="position:absolute;left:5826;top:190597;height:5475;width:7749;v-text-anchor:middle;" fillcolor="#000000" filled="t" stroked="t" coordsize="21600,21600" o:gfxdata="UEsDBAoAAAAAAIdO4kAAAAAAAAAAAAAAAAAEAAAAZHJzL1BLAwQUAAAACACHTuJAPpJ04b4AAADc&#10;AAAADwAAAGRycy9kb3ducmV2LnhtbEWPT2sCMRTE7wW/Q3hCL6KJtqisRmEFpdeuXrw9Ns/d1c3L&#10;msQ/7advCoUeh5n5DbNcP20r7uRD41jDeKRAEJfONFxpOOy3wzmIEJENto5JwxcFWK96L0vMjHvw&#10;J92LWIkE4ZChhjrGLpMylDVZDCPXESfv5LzFmKSvpPH4SHDbyolSU2mx4bRQY0ebmspLcbMa3ne+&#10;/R74QaGuu2N5mcb8nM9yrV/7Y7UAEekZ/8N/7Q+j4U3N4PdMOgJ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J04b4A&#10;AADcAAAADwAAAAAAAAABACAAAAAiAAAAZHJzL2Rvd25yZXYueG1sUEsBAhQAFAAAAAgAh07iQDMv&#10;BZ47AAAAOQAAABAAAAAAAAAAAQAgAAAADQEAAGRycy9zaGFwZXhtbC54bWxQSwUGAAAAAAYABgBb&#10;AQAAtwMAAAAA&#10;">
                              <v:fill on="t" opacity="0f" focussize="0,0"/>
                              <v:stroke weight="1pt" color="#000000 [3213]" joinstyle="round"/>
                              <v:imagedata o:title=""/>
                              <o:lock v:ext="edit" aspectratio="f"/>
                            </v:rect>
                            <v:group id="_x0000_s1026" o:spid="_x0000_s1026" o:spt="203" style="position:absolute;left:5858;top:190601;height:5460;width:7618;" coordorigin="2813,190601" coordsize="7618,5460" o:gfxdata="UEsDBAoAAAAAAIdO4kAAAAAAAAAAAAAAAAAEAAAAZHJzL1BLAwQUAAAACACHTuJACemfjb8AAADc&#10;AAAADwAAAGRycy9kb3ducmV2LnhtbEWPT2vCQBTE7wW/w/KE3ppNFItGVynSFg9S0Aji7ZF9JsHs&#10;25Dd5s+37xYKPQ4z8xtmsxtMLTpqXWVZQRLFIIhzqysuFFyyj5clCOeRNdaWScFIDnbbydMGU217&#10;PlF39oUIEHYpKii9b1IpXV6SQRfZhjh4d9sa9EG2hdQt9gFuajmL41dpsOKwUGJD+5Lyx/nbKPjs&#10;sX+bJ+/d8XHfj7ds8XU9JqTU8zSJ1yA8Df4//Nc+aAWz+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6Z+N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13;top:190601;height:5460;width:7618;" coordorigin="2813,190601" coordsize="7618,5460" o:gfxdata="UEsDBAoAAAAAAIdO4kAAAAAAAAAAAAAAAAAEAAAAZHJzL1BLAwQUAAAACACHTuJAFzquZL8AAADc&#10;AAAADwAAAGRycy9kb3ducmV2LnhtbEWPT2vCQBTE7wW/w/KE3ppNFKtEVynSFg9S0Aji7ZF9JsHs&#10;25Dd5s+37xYKPQ4z8xtmsxtMLTpqXWVZQRLFIIhzqysuFFyyj5cVCOeRNdaWScFIDnbbydMGU217&#10;PlF39oUIEHYpKii9b1IpXV6SQRfZhjh4d9sa9EG2hdQt9gFuajmL41dpsOKwUGJD+5Lyx/nbKPjs&#10;sX+bJ+/d8XHfj7ds8XU9JqTU8zSJ1yA8Df4//Nc+aAWz+R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Oq5k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13;top:190601;height:5460;width:7618;" coordorigin="2813,190601" coordsize="7618,5460"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8435;top:195093;flip:x;height:319;width:3;" filled="f" stroked="t" coordsize="21600,21600" o:gfxdata="UEsDBAoAAAAAAIdO4kAAAAAAAAAAAAAAAAAEAAAAZHJzL1BLAwQUAAAACACHTuJAwH0v4LsAAADc&#10;AAAADwAAAGRycy9kb3ducmV2LnhtbEVPTWsCMRC9C/6HMIXeNFGqyGr0UCkU2otWEG/DZrpZu5ls&#10;k9Rd/70RhN7m8T5nteldIy4UYu1Zw2SsQBCX3tRcaTh8vY0WIGJCNth4Jg1XirBZDwcrLIzveEeX&#10;fapEDuFYoAabUltIGUtLDuPYt8SZ+/bBYcowVNIE7HK4a+RUqbl0WHNusNjSq6XyZ//nNBw/1WnW&#10;+2DPp98X+1Fvq+PZdVo/P03UEkSiPv2LH+53k+fPp3B/Jl8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H0v4L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group id="_x0000_s1026" o:spid="_x0000_s1026" o:spt="203" style="position:absolute;left:2813;top:190601;height:5460;width:7618;" coordorigin="2813,190601" coordsize="7618,5460" o:gfxdata="UEsDBAoAAAAAAIdO4kAAAAAAAAAAAAAAAAAEAAAAZHJzL1BLAwQUAAAACACHTuJA1ZzurL8AAADc&#10;AAAADwAAAGRycy9kb3ducmV2LnhtbEWPQWvCQBCF7wX/wzJCb3UTS1uJriKipQcpVAXxNmTHJJid&#10;Ddk10X/fOQjeZnhv3vtmtri5WnXUhsqzgXSUgCLOva24MHDYb94moEJEtlh7JgN3CrCYD15mmFnf&#10;8x91u1goCeGQoYEyxibTOuQlOQwj3xCLdvatwyhrW2jbYi/hrtbjJPnUDiuWhhIbWpWUX3ZXZ+C7&#10;x375nq677eW8up/2H7/HbUrGvA7TZAoq0i0+zY/rHyv4X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VnO6s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9027;top:194756;height:9;width:355;" filled="f" stroked="t" coordsize="21600,21600" o:gfxdata="UEsDBAoAAAAAAIdO4kAAAAAAAAAAAAAAAAAEAAAAZHJzL1BLAwQUAAAACACHTuJAXrPzx7sAAADc&#10;AAAADwAAAGRycy9kb3ducmV2LnhtbEVP22rCQBB9L/Qflin4VjfGKpK6+lAQDFjEywcM2TEJzc7G&#10;7DTq37uC4NscznXmy6trVE9dqD0bGA0TUMSFtzWXBo6H1ecMVBBki41nMnCjAMvF+9scM+svvKN+&#10;L6WKIRwyNFCJtJnWoajIYRj6ljhyJ985lAi7UtsOLzHcNTpNkql2WHNsqLCln4qKv/2/M5DmZ7mt&#10;Nrn0W5n8nl26+crbwpjBxyj5BiV0lZf46V7bOH86hscz8QK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Pzx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group id="_x0000_s1026" o:spid="_x0000_s1026" o:spt="203" style="position:absolute;left:2813;top:190601;height:5460;width:7618;" coordorigin="2813,190601" coordsize="7618,5460" o:gfxdata="UEsDBAoAAAAAAIdO4kAAAAAAAAAAAAAAAAAEAAAAZHJzL1BLAwQUAAAACACHTuJAwX/R7L0AAADc&#10;AAAADwAAAGRycy9kb3ducmV2LnhtbEVPTWvCQBC9C/0PyxS8NZsolTZ1DSWoeJBCk0LpbciOSTA7&#10;G7Jrov++Wyh4m8f7nHV2NZ0YaXCtZQVJFIMgrqxuuVbwVe6eXkA4j6yxs0wKbuQg2zzM1phqO/En&#10;jYWvRQhhl6KCxvs+ldJVDRl0ke2JA3eyg0Ef4FBLPeAUwk0nF3G8kgZbDg0N9pQ3VJ2Li1Gwn3B6&#10;Xybb8Xg+5bef8vnj+5iQUvPHJH4D4enq7+J/90GH+at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X/R7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2813;top:190601;height:4492;width:6214;" coordorigin="2813,190601" coordsize="6214,4492" o:gfxdata="UEsDBAoAAAAAAIdO4kAAAAAAAAAAAAAAAAAEAAAAZHJzL1BLAwQUAAAACACHTuJAL35+cr0AAADc&#10;AAAADwAAAGRycy9kb3ducmV2LnhtbEVPS2vCQBC+C/0PyxR6001sG0rqKkW09BAKxkLpbciOSTA7&#10;G7JrHv++Kwje5uN7zmozmkb01LnasoJ4EYEgLqyuuVTwc9zP30A4j6yxsUwKJnKwWT/MVphqO/CB&#10;+tyXIoSwS1FB5X2bSumKigy6hW2JA3eynUEfYFdK3eEQwk0jl1GUSIM1h4YKW9pWVJzzi1HwOeDw&#10;8Rzv+ux82k5/x9fv3ywmpZ4e4+gdhKfR38U395cO85MX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35+c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601;top:192172;height:1725;width:12;"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2813;top:190601;height:4492;width:6214;" coordorigin="2900,190476" coordsize="6214,4492" o:gfxdata="UEsDBAoAAAAAAIdO4kAAAAAAAAAAAAAAAAAEAAAAZHJzL1BLAwQUAAAACACHTuJAPwnd6r0AAADc&#10;AAAADwAAAGRycy9kb3ducmV2LnhtbEVPTWvCQBC9F/wPyxR6q5ttqUjqGkqw0oMIVUF6G7JjEpKd&#10;Ddk1if++WxB6m8f7nFU22VYM1PvasQY1T0AQF87UXGo4HT+flyB8QDbYOiYNN/KQrWcPK0yNG/mb&#10;hkMoRQxhn6KGKoQuldIXFVn0c9cRR+7ieoshwr6UpscxhttWviTJQlqsOTZU2FFeUdEcrlbDdsTx&#10;41Vthl1zyW8/x7f9eadI66dHlbyDCDSFf/Hd/WXi/IWC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wnd6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4476;top:191086;height:3486;width:12;"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2900;top:190476;height:4492;width:6214;" coordorigin="2800,190826" coordsize="6214,4492" o:gfxdata="UEsDBAoAAAAAAIdO4kAAAAAAAAAAAAAAAAAEAAAAZHJzL1BLAwQUAAAACACHTuJAUEV4cb4AAADc&#10;AAAADwAAAGRycy9kb3ducmV2LnhtbEWPQWvCQBCF7wX/wzJCb3UTRSnRVUSs9CBCtSDehuyYBLOz&#10;IbtN9N87B6G3Gd6b975ZrO6uVh21ofJsIB0loIhzbysuDPyevj4+QYWIbLH2TAYeFGC1HLwtMLO+&#10;5x/qjrFQEsIhQwNljE2mdchLchhGviEW7epbh1HWttC2xV7CXa3HSTLTDiuWhhIb2pSU345/zsCu&#10;x349Sbfd/nbdPC6n6eG8T8mY92GazEFFusd/8+v62wr+TPD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BFeHG+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800;top:190826;height:4155;width:5808;" coordorigin="2800,190826" coordsize="5808,4155" o:gfxdata="UEsDBAoAAAAAAIdO4kAAAAAAAAAAAAAAAAAEAAAAZHJzL1BLAwQUAAAACACHTuJAYF++yr4AAADc&#10;AAAADwAAAGRycy9kb3ducmV2LnhtbEWPQWvCQBCF7wX/wzJCb3UTxVKiq4hY6UGEakG8DdkxCWZn&#10;Q3ab6L93DoK3Gd6b976ZL2+uVh21ofJsIB0loIhzbysuDPwdvz++QIWIbLH2TAbuFGC5GLzNMbO+&#10;51/qDrFQEsIhQwNljE2mdchLchhGviEW7eJbh1HWttC2xV7CXa3HSfKpHVYsDSU2tC4pvx7+nYFt&#10;j/1qkm663fWyvp+P0/1pl5Ix78M0mYGKdIsv8/P6xwr+VGj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fvsq+AAAA3AAAAA8AAAAAAAAAAQAgAAAAIgAAAGRycy9kb3ducmV2Lnht&#10;bFBLAQIUABQAAAAIAIdO4kAzLwWeOwAAADkAAAAVAAAAAAAAAAEAIAAAAA0BAABkcnMvZ3JvdXBz&#10;aGFwZXhtbC54bWxQSwUGAAAAAAYABgBgAQAAygMAAAAA&#10;">
                                              <o:lock v:ext="edit" aspectratio="f"/>
                                              <v:line id="_x0000_s1026" o:spid="_x0000_s1026" o:spt="20" style="position:absolute;left:7599;top:193160;height:12;width:772;" filled="f" stroked="t" coordsize="21600,21600" o:gfxdata="UEsDBAoAAAAAAIdO4kAAAAAAAAAAAAAAAAAEAAAAZHJzL1BLAwQUAAAACACHTuJA5zkVor0AAADc&#10;AAAADwAAAGRycy9kb3ducmV2LnhtbEVPTWvCQBC9C/6HZYRexOwaSS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RWi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2800;top:190826;height:4155;width:5808;" coordorigin="2800,190826" coordsize="5808,4155"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00;top:190826;height:4155;width:5808;" coordorigin="2800,190826" coordsize="5808,4155"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00;top:190826;height:3465;width:5808;" coordorigin="2825,182696" coordsize="5808,3465"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6864;top:183363;height:3;width:762;" filled="f" stroked="t" coordsize="21600,21600" o:gfxdata="UEsDBAoAAAAAAIdO4kAAAAAAAAAAAAAAAAAEAAAAZHJzL1BLAwQUAAAACACHTuJAaivXGrkAAADb&#10;AAAADwAAAGRycy9kb3ducmV2LnhtbEVPzYrCMBC+C/sOYYS92dSisnSNHgRhCy7izwMMzdgWm0lt&#10;xqpvvzksePz4/pfrp2vVQH1oPBuYJiko4tLbhisD59N28gUqCLLF1jMZeFGA9epjtMTc+gcfaDhK&#10;pWIIhxwN1CJdrnUoa3IYEt8RR+7ie4cSYV9p2+MjhrtWZ2m60A4bjg01drSpqbwe785AVtzktd0V&#10;Muxl/ntz2W5WdKUxn+Np+g1K6Clv8b/7xxpYxLHxS/wBe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or1xq5AAAA2w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group id="_x0000_s1026" o:spid="_x0000_s1026" o:spt="203" style="position:absolute;left:2825;top:182696;height:3465;width:5808;" coordorigin="2825,182696" coordsize="5808,346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6052;top:182915;flip:y;height:229;width:365;" filled="f" stroked="t" coordsize="21600,21600" o:gfxdata="UEsDBAoAAAAAAIdO4kAAAAAAAAAAAAAAAAAEAAAAZHJzL1BLAwQUAAAACACHTuJAxRPn7L0AAADb&#10;AAAADwAAAGRycy9kb3ducmV2LnhtbEWPQWsCMRSE7wX/Q3iCt5pY6lK2Rg+VQqFetAXx9ti8btZu&#10;XtYkddd/bwShx2FmvmEWq8G14kwhNp41zKYKBHHlTcO1hu+v98cXEDEhG2w9k4YLRVgtRw8LLI3v&#10;eUvnXapFhnAsUYNNqSuljJUlh3HqO+Ls/fjgMGUZamkC9hnuWvmkVCEdNpwXLHb0Zqn63f05DfuN&#10;OswHH+zxcHq2n8263h9dr/VkPFOvIBIN6T98b38YDUUBty/5B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E+fs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2825;top:182696;height:3465;width:5808;" coordorigin="2825,182696" coordsize="5808,3465"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825;top:184629;height:437;width:950;"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新鲜水</w:t>
                                                                </w:r>
                                                              </w:p>
                                                            </w:txbxContent>
                                                          </v:textbox>
                                                        </v:shape>
                                                        <v:shape id="_x0000_s1026" o:spid="_x0000_s1026" o:spt="32" type="#_x0000_t32" style="position:absolute;left:3775;top:184841;flip:y;height:7;width:563;" filled="f" stroked="t" coordsize="21600,21600" o:gfxdata="UEsDBAoAAAAAAIdO4kAAAAAAAAAAAAAAAAAEAAAAZHJzL1BLAwQUAAAACACHTuJAeuC5I74AAADb&#10;AAAADwAAAGRycy9kb3ducmV2LnhtbEWPT2sCMRTE74LfITyhN02UKnZr9FApFNqLf0C8PTavm7Wb&#10;l22SuttvbwoFj8PM/IZZbXrXiCuFWHvWMJ0oEMSlNzVXGo6H1/ESREzIBhvPpOGXImzWw8EKC+M7&#10;3tF1nyqRIRwL1GBTagspY2nJYZz4ljh7nz44TFmGSpqAXYa7Rs6UWkiHNecFiy29WCq/9j9Ow+lD&#10;nee9D/Zy/n607/W2Ol1cp/XDaKqeQSTq0z38334zGuZP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C5I7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3540;top:184344;height:437;width:950;" filled="f" stroked="f" coordsize="21600,21600" o:gfxdata="UEsDBAoAAAAAAIdO4kAAAAAAAAAAAAAAAAAEAAAAZHJzL1BLAwQUAAAACACHTuJADLwBEb0AAADb&#10;AAAADwAAAGRycy9kb3ducmV2LnhtbEWPS6vCMBSE94L/IRzBnaYWFKlGuRREEV342Lg7Nse23Oak&#10;NvFx7683guBymJlvmOn8aSpxp8aVlhUM+hEI4szqknMFx8OiNwbhPLLGyjIp+CMH81m7NcVE2wfv&#10;6L73uQgQdgkqKLyvEyldVpBB17c1cfAutjHog2xyqRt8BLipZBxFI2mw5LBQYE1pQdnv/mYUrNPF&#10;Fnfn2Iz/q3S5ufzU1+NpqFS3M4gmIDw9/Tf8aa+0glEM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AER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3.975</w:t>
                                                                </w:r>
                                                              </w:p>
                                                            </w:txbxContent>
                                                          </v:textbox>
                                                        </v:shape>
                                                        <v:shape id="_x0000_s1026" o:spid="_x0000_s1026" o:spt="202" type="#_x0000_t202" style="position:absolute;left:4381;top:182917;height:437;width:950;" filled="f" stroked="f" coordsize="21600,21600" o:gfxdata="UEsDBAoAAAAAAIdO4kAAAAAAAAAAAAAAAAAEAAAAZHJzL1BLAwQUAAAACACHTuJA7Bk8/r8AAADb&#10;AAAADwAAAGRycy9kb3ducmV2LnhtbEWPQWvCQBSE7wX/w/IEb3UTaUWia5CAtIgeTL14e2afSTD7&#10;Nma3Gvvr3UKhx2FmvmEWaW8acaPO1ZYVxOMIBHFhdc2lgsPX+nUGwnlkjY1lUvAgB+ly8LLARNs7&#10;7+mW+1IECLsEFVTet4mUrqjIoBvbljh4Z9sZ9EF2pdQd3gPcNHISRVNpsOawUGFLWUXFJf82CjbZ&#10;eof708TMfprsY3tetdfD8V2p0TCO5iA89f4//Nf+1Aqmb/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ZPP6/&#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75</w:t>
                                                                </w:r>
                                                              </w:p>
                                                            </w:txbxContent>
                                                          </v:textbox>
                                                        </v:shape>
                                                        <v:shape id="_x0000_s1026" o:spid="_x0000_s1026" o:spt="202" type="#_x0000_t202" style="position:absolute;left:5240;top:183144;height:437;width:1624;" filled="f" stroked="f" coordsize="21600,21600" o:gfxdata="UEsDBAoAAAAAAIdO4kAAAAAAAAAAAAAAAAAEAAAAZHJzL1BLAwQUAAAACACHTuJAg1WZZb4AAADb&#10;AAAADwAAAGRycy9kb3ducmV2LnhtbEWPQWvCQBSE70L/w/IKvZmNgiIxq5SAKFIPWi/entlnEsy+&#10;TbNrjP56t1DocZiZb5h02ZtadNS6yrKCURSDIM6trrhQcPxeDWcgnEfWWFsmBQ9ysFy8DVJMtL3z&#10;nrqDL0SAsEtQQel9k0jp8pIMusg2xMG72NagD7ItpG7xHuCmluM4nkqDFYeFEhvKSsqvh5tRsM1W&#10;O9yfx2b2rLP11+Wz+TmeJkp9vI/iOQhPvf8P/7U3WsF0A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WZZ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职工生活用水</w:t>
                                                                </w:r>
                                                              </w:p>
                                                            </w:txbxContent>
                                                          </v:textbox>
                                                        </v:shape>
                                                        <v:shape id="_x0000_s1026" o:spid="_x0000_s1026" o:spt="202" type="#_x0000_t202" style="position:absolute;left:6417;top:182696;height:437;width:1424;" filled="f" stroked="f" coordsize="21600,21600" o:gfxdata="UEsDBAoAAAAAAIdO4kAAAAAAAAAAAAAAAAAEAAAAZHJzL1BLAwQUAAAACACHTuJAHMuiib8AAADb&#10;AAAADwAAAGRycy9kb3ducmV2LnhtbEWPQWvCQBSE7wX/w/IEb3UToalE1yABaRF70Hrx9sw+k2D2&#10;bcxuNfrr3UKhx2FmvmHmWW8acaXO1ZYVxOMIBHFhdc2lgv336nUKwnlkjY1lUnAnB9li8DLHVNsb&#10;b+m686UIEHYpKqi8b1MpXVGRQTe2LXHwTrYz6IPsSqk7vAW4aeQkihJpsOawUGFLeUXFefdjFKzz&#10;1RdujxMzfTT5x+a0bC/7w5tSo2EczUB46v1/+K/9qRUk7/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Loom/&#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15</w:t>
                                                                </w:r>
                                                              </w:p>
                                                            </w:txbxContent>
                                                          </v:textbox>
                                                        </v:shape>
                                                        <v:shape id="_x0000_s1026" o:spid="_x0000_s1026" o:spt="202" type="#_x0000_t202" style="position:absolute;left:6782;top:183045;height:437;width:950;" filled="f" stroked="f" coordsize="21600,21600" o:gfxdata="UEsDBAoAAAAAAIdO4kAAAAAAAAAAAAAAAAAEAAAAZHJzL1BLAwQUAAAACACHTuJAAhiTYMAAAADb&#10;AAAADwAAAGRycy9kb3ducmV2LnhtbEWPT2vCQBTE7wW/w/KE3upGoZKmbkQCYin2EPXS22v25Q9m&#10;38bs1qR++m6h4HGYmd8wq/VoWnGl3jWWFcxnEQjiwuqGKwWn4/YpBuE8ssbWMin4IQfrdPKwwkTb&#10;gXO6HnwlAoRdggpq77tESlfUZNDNbEccvNL2Bn2QfSV1j0OAm1YuomgpDTYcFmrsKKupOB++jYL3&#10;bPuB+dfCxLc22+3LTXc5fT4r9TidR68gPI3+Hv5vv2kFyxf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JNg&#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w:t>
                                                                </w:r>
                                                              </w:p>
                                                            </w:txbxContent>
                                                          </v:textbox>
                                                        </v:shape>
                                                        <v:shape id="_x0000_s1026" o:spid="_x0000_s1026" o:spt="202" type="#_x0000_t202" style="position:absolute;left:7670;top:183145;height:437;width:963;" filled="f" stroked="f" coordsize="21600,21600" o:gfxdata="UEsDBAoAAAAAAIdO4kAAAAAAAAAAAAAAAAAEAAAAZHJzL1BLAwQUAAAACACHTuJAFvusILsAAADb&#10;AAAADwAAAGRycy9kb3ducmV2LnhtbEVPy4rCMBTdC/MP4Qqz09TCaKlGkUJxGHThYzO7O821LTY3&#10;nSY+v94sBJeH854tbqYRF+pcbVnBaBiBIC6srrlUcNjngwSE88gaG8uk4E4OFvOP3gxTba+8pcvO&#10;lyKEsEtRQeV9m0rpiooMuqFtiQN3tJ1BH2BXSt3hNYSbRsZRNJYGaw4NFbaUVVScdmej4CfLN7j9&#10;i03yaLLV+rhs/w+/X0p99kfRFISnm3+LX+5vrWAS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usI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化粪池</w:t>
                                                                </w:r>
                                                              </w:p>
                                                            </w:txbxContent>
                                                          </v:textbox>
                                                        </v:shape>
                                                        <v:group id="_x0000_s1026" o:spid="_x0000_s1026" o:spt="203" style="position:absolute;left:4435;top:183561;height:909;width:3409;" coordorigin="4435,183561" coordsize="3409,909"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6841;top:184243;flip:y;height:9;width:762;" filled="f" stroked="t" coordsize="21600,21600" o:gfxdata="UEsDBAoAAAAAAIdO4kAAAAAAAAAAAAAAAAAEAAAAZHJzL1BLAwQUAAAACACHTuJAsBjvRr4AAADb&#10;AAAADwAAAGRycy9kb3ducmV2LnhtbEWPT2sCMRTE74LfITyhN02UqmVr9FApFNqLf0C8PTavm7Wb&#10;l22SuttvbwoFj8PM/IZZbXrXiCuFWHvWMJ0oEMSlNzVXGo6H1/ETiJiQDTaeScMvRdish4MVFsZ3&#10;vKPrPlUiQzgWqMGm1BZSxtKSwzjxLXH2Pn1wmLIMlTQBuwx3jZwptZAOa84LFlt6sVR+7X+chtOH&#10;Os97H+zl/P1o3+ttdbq4TuuH0VQ9g0jUp3v4v/1mNCzn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jvRr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435;top:183561;height:909;width:3409;" coordorigin="4435,183561" coordsize="3409,909"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4438;top:184249;height:3;width:779;" filled="f" stroked="t" coordsize="21600,21600" o:gfxdata="UEsDBAoAAAAAAIdO4kAAAAAAAAAAAAAAAAAEAAAAZHJzL1BLAwQUAAAACACHTuJAfsjoWr0AAADb&#10;AAAADwAAAGRycy9kb3ducmV2LnhtbEWP3WrCQBSE74W+w3IKvdNNgtWSunohCAYs4s8DHLKnSWj2&#10;bMweo759t1DwcpiZb5jF6u5aNVAfGs8G0kkCirj0tuHKwPm0GX+ACoJssfVMBh4UYLV8GS0wt/7G&#10;BxqOUqkI4ZCjgVqky7UOZU0Ow8R3xNH79r1DibKvtO3xFuGu1VmSzLTDhuNCjR2tayp/jldnICsu&#10;8tjsChn28v51cdluWnSlMW+vafIJSuguz/B/e2sNzFP4+x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Oha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202" type="#_x0000_t202" style="position:absolute;left:5217;top:184033;height:437;width:1624;" filled="f" stroked="f" coordsize="21600,21600" o:gfxdata="UEsDBAoAAAAAAIdO4kAAAAAAAAAAAAAAAAAEAAAAZHJzL1BLAwQUAAAACACHTuJA9l6Rz78AAADb&#10;AAAADwAAAGRycy9kb3ducmV2LnhtbEWPQWvCQBSE7wX/w/IEb3UToalE1yABaRF70Hrx9sw+k2D2&#10;bcxuNfrr3UKhx2FmvmHmWW8acaXO1ZYVxOMIBHFhdc2lgv336nUKwnlkjY1lUnAnB9li8DLHVNsb&#10;b+m686UIEHYpKqi8b1MpXVGRQTe2LXHwTrYz6IPsSqk7vAW4aeQkihJpsOawUGFLeUXFefdjFKzz&#10;1RdujxMzfTT5x+a0bC/7w5tSo2EczUB46v1/+K/9qRW8J/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ek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设备清洗用水</w:t>
                                                                    </w:r>
                                                                  </w:p>
                                                                </w:txbxContent>
                                                              </v:textbox>
                                                            </v:shape>
                                                            <v:shape id="_x0000_s1026" o:spid="_x0000_s1026" o:spt="32" type="#_x0000_t32" style="position:absolute;left:6029;top:183780;flip:y;height:253;width:391;" filled="f" stroked="t" coordsize="21600,21600" o:gfxdata="UEsDBAoAAAAAAIdO4kAAAAAAAAAAAAAAAAAEAAAAZHJzL1BLAwQUAAAACACHTuJA31RK3b0AAADb&#10;AAAADwAAAGRycy9kb3ducmV2LnhtbEWPQWsCMRSE7wX/Q3hCbzVRbJXV6KFSKNhLVRBvj81zs7p5&#10;2Sapu/77plDocZiZb5jluneNuFGItWcN45ECQVx6U3Ol4bB/e5qDiAnZYOOZNNwpwno1eFhiYXzH&#10;n3TbpUpkCMcCNdiU2kLKWFpyGEe+Jc7e2QeHKctQSROwy3DXyIlSL9JhzXnBYkuvlsrr7ttpOH6o&#10;03Pvg72cvqZ2W2+q48V1Wj8Ox2oBIlGf/sN/7XejYTaF3y/5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VErd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202" type="#_x0000_t202" style="position:absolute;left:6420;top:183561;height:437;width:1424;" filled="f" stroked="f" coordsize="21600,21600" o:gfxdata="UEsDBAoAAAAAAIdO4kAAAAAAAAAAAAAAAAAEAAAAZHJzL1BLAwQUAAAACACHTuJAiWWXzL4AAADb&#10;AAAADwAAAGRycy9kb3ducmV2LnhtbEWPS4vCQBCE74L/YWjBm04MuCvRUSQgiqwHHxdvbaZNgpme&#10;mBlf++t3hAWPRVV9RU1mT1OJOzWutKxg0I9AEGdWl5wrOOwXvREI55E1VpZJwYsczKbt1gQTbR+8&#10;pfvO5yJA2CWooPC+TqR0WUEGXd/WxME728agD7LJpW7wEeCmknEUfUmDJYeFAmtKC8ouu5tRsE4X&#10;G9yeYjP6rdLlz3leXw/HoVLdziAag/D09J/wf3ulFXz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WXz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损耗0.05</w:t>
                                                                    </w:r>
                                                                  </w:p>
                                                                </w:txbxContent>
                                                              </v:textbox>
                                                            </v:shape>
                                                            <v:shape id="_x0000_s1026" o:spid="_x0000_s1026" o:spt="202" type="#_x0000_t202" style="position:absolute;left:6749;top:183872;height:374;width:937;" filled="f" stroked="f" coordsize="21600,21600" o:gfxdata="UEsDBAoAAAAAAIdO4kAAAAAAAAAAAAAAAAAEAAAAZHJzL1BLAwQUAAAACACHTuJA5ikyV74AAADb&#10;AAAADwAAAGRycy9kb3ducmV2LnhtbEWPT4vCMBTE78J+h/AWvGmqoluqUaQgiqwHXS97e9s822Lz&#10;Upv4bz+9EQSPw8z8hpnMbqYSF2pcaVlBrxuBIM6sLjlXsP9ZdGIQziNrrCyTgjs5mE0/WhNMtL3y&#10;li47n4sAYZeggsL7OpHSZQUZdF1bEwfvYBuDPsgml7rBa4CbSvajaCQNlhwWCqwpLSg77s5GwTpd&#10;bHD71zfxf5Uuvw/z+rT/HSrV/uxFYxCebv4dfrVXWsHXAJ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kyV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0.45</w:t>
                                                                    </w:r>
                                                                  </w:p>
                                                                </w:txbxContent>
                                                              </v:textbox>
                                                            </v:shape>
                                                            <v:shape id="_x0000_s1026" o:spid="_x0000_s1026" o:spt="202" type="#_x0000_t202" style="position:absolute;left:4435;top:183835;height:437;width:764;" filled="f" stroked="f" coordsize="21600,21600" o:gfxdata="UEsDBAoAAAAAAIdO4kAAAAAAAAAAAAAAAAAEAAAAZHJzL1BLAwQUAAAACACHTuJA6I2gJrsAAADb&#10;AAAADwAAAGRycy9kb3ducmV2LnhtbEVPy4rCMBTdC/MP4Qqz09TCaKlGkUJxGHThYzO7O821LTY3&#10;nSY+v94sBJeH854tbqYRF+pcbVnBaBiBIC6srrlUcNjngwSE88gaG8uk4E4OFvOP3gxTba+8pcvO&#10;lyKEsEtRQeV9m0rpiooMuqFtiQN3tJ1BH2BXSt3hNYSbRsZRNJYGaw4NFbaUVVScdmej4CfLN7j9&#10;i03yaLLV+rhs/w+/X0p99kfRFISnm3+LX+5vrWAS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2gJ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0.5</w:t>
                                                                    </w:r>
                                                                  </w:p>
                                                                </w:txbxContent>
                                                              </v:textbox>
                                                            </v:shape>
                                                          </v:group>
                                                        </v:group>
                                                        <v:group id="_x0000_s1026" o:spid="_x0000_s1026" o:spt="203" style="position:absolute;left:4363;top:184338;height:909;width:3483;" coordorigin="4361,183561" coordsize="3483,909"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直接箭头连接符 75" o:spid="_x0000_s1026" o:spt="32" type="#_x0000_t32" style="position:absolute;left:6841;top:184243;flip:y;height:9;width:762;" filled="f" stroked="t" coordsize="21600,21600" o:gfxdata="UEsDBAoAAAAAAIdO4kAAAAAAAAAAAAAAAAAEAAAAZHJzL1BLAwQUAAAACACHTuJACiQHFb0AAADb&#10;AAAADwAAAGRycy9kb3ducmV2LnhtbEWPQWsCMRSE7wX/Q3hCbzVRapHV6KGlUNBLrSDeHpvnZu3m&#10;ZZtEd/33jSB4HGbmG2ax6l0jLhRi7VnDeKRAEJfe1Fxp2P18vsxAxIRssPFMGq4UYbUcPC2wML7j&#10;b7psUyUyhGOBGmxKbSFlLC05jCPfEmfv6IPDlGWopAnYZbhr5ESpN+mw5rxgsaV3S+Xv9uw07Dfq&#10;MO19sKfD36td1x/V/uQ6rZ+HYzUHkahPj/C9/WU0zCZw+5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JAcV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组合 79" o:spid="_x0000_s1026" o:spt="203" style="position:absolute;left:4361;top:183561;height:909;width:3483;" coordorigin="4361,183561" coordsize="3483,909"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直接箭头连接符 71" o:spid="_x0000_s1026" o:spt="32" type="#_x0000_t32" style="position:absolute;left:4438;top:184249;height:3;width:779;" filled="f" stroked="t" coordsize="21600,21600" o:gfxdata="UEsDBAoAAAAAAIdO4kAAAAAAAAAAAAAAAAAEAAAAZHJzL1BLAwQUAAAACACHTuJAW2o75bsAAADb&#10;AAAADwAAAGRycy9kb3ducmV2LnhtbEWPwYrCQBBE74L/MLSwN50Y3EWyjh4EwYCyrPoBTaY3CWZ6&#10;YqaN+vc7guCxqKpX1GJ1d43qqQu1ZwPTSQKKuPC25tLA6bgZz0EFQbbYeCYDDwqwWg4HC8ysv/Ev&#10;9QcpVYRwyNBAJdJmWoeiIodh4lvi6P35zqFE2ZXadniLcNfoNEm+tMOa40KFLa0rKs6HqzOQ5hd5&#10;bHa59D/yub+4dDfL28KYj9E0+QYldJd3+NXeWgPzGTy/xB+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o75b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76" o:spid="_x0000_s1026" o:spt="202" type="#_x0000_t202" style="position:absolute;left:5217;top:184033;height:437;width:1624;" filled="f" stroked="f" coordsize="21600,21600" o:gfxdata="UEsDBAoAAAAAAIdO4kAAAAAAAAAAAAAAAAAEAAAAZHJzL1BLAwQUAAAACACHTuJAM1l/n78AAADb&#10;AAAADwAAAGRycy9kb3ducmV2LnhtbEWPQWvCQBSE74X+h+UVeqsbBUuIboIExFLaQ9SLt2f2mQSz&#10;b2N2m6T99d1CweMwM98w62wyrRiod41lBfNZBIK4tLrhSsHxsH2JQTiPrLG1TAq+yUGWPj6sMdF2&#10;5IKGva9EgLBLUEHtfZdI6cqaDLqZ7YiDd7G9QR9kX0nd4xjgppWLKHqVBhsOCzV2lNdUXvdfRsF7&#10;vv3E4rww8U+b7z4um+52PC2Ven6aRysQniZ/D/+337SCeAl/X8IPk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Zf5+/&#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车间清洗用水</w:t>
                                                                    </w:r>
                                                                  </w:p>
                                                                </w:txbxContent>
                                                              </v:textbox>
                                                            </v:shape>
                                                            <v:shape id="直接箭头连接符 74" o:spid="_x0000_s1026" o:spt="32" type="#_x0000_t32" style="position:absolute;left:6029;top:183780;flip:y;height:253;width:391;" filled="f" stroked="t" coordsize="21600,21600" o:gfxdata="UEsDBAoAAAAAAIdO4kAAAAAAAAAAAAAAAAAEAAAAZHJzL1BLAwQUAAAACACHTuJAdR8BFr0AAADb&#10;AAAADwAAAGRycy9kb3ducmV2LnhtbEWPQWsCMRSE7wX/Q3hCbzVRrMhq9NAiCPZSK4i3x+a5Wbt5&#10;2SbR3f77RhB6HGbmG2a57l0jbhRi7VnDeKRAEJfe1FxpOHxtXuYgYkI22HgmDb8UYb0aPC2xML7j&#10;T7rtUyUyhGOBGmxKbSFlLC05jCPfEmfv7IPDlGWopAnYZbhr5ESpmXRYc16w2NKbpfJ7f3Uajh/q&#10;9Nr7YC+nn6nd1e/V8eI6rZ+HY7UAkahP/+FHe2s0zGdw/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HwEW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文本框 72" o:spid="_x0000_s1026" o:spt="202" type="#_x0000_t202" style="position:absolute;left:6420;top:183561;height:437;width:1424;" filled="f" stroked="f" coordsize="21600,21600" o:gfxdata="UEsDBAoAAAAAAIdO4kAAAAAAAAAAAAAAAAAEAAAAZHJzL1BLAwQUAAAACACHTuJArMdEc78AAADb&#10;AAAADwAAAGRycy9kb3ducmV2LnhtbEWPQWvCQBSE7wX/w/KE3uomgbYhugYJSEtpD2ou3p7ZZxLM&#10;vk2zW2P99W6h4HGYmW+YRX4xnTjT4FrLCuJZBIK4srrlWkG5Wz+lIJxH1thZJgW/5CBfTh4WmGk7&#10;8obOW1+LAGGXoYLG+z6T0lUNGXQz2xMH72gHgz7IoZZ6wDHATSeTKHqRBlsOCw32VDRUnbY/RsFH&#10;sf7CzSEx6bUr3j6Pq/673D8r9TiNozkITxd/D/+337WC9BX+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HRH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325</w:t>
                                                                    </w:r>
                                                                  </w:p>
                                                                </w:txbxContent>
                                                              </v:textbox>
                                                            </v:shape>
                                                            <v:shape id="文本框 73" o:spid="_x0000_s1026" o:spt="202" type="#_x0000_t202" style="position:absolute;left:6749;top:183872;height:374;width:937;" filled="f" stroked="f" coordsize="21600,21600" o:gfxdata="UEsDBAoAAAAAAIdO4kAAAAAAAAAAAAAAAAAEAAAAZHJzL1BLAwQUAAAACACHTuJA3VjQAbkAAADb&#10;AAAADwAAAGRycy9kb3ducmV2LnhtbEVPy6rCMBDdC/5DGMGdpgpeSjWKFEQRXfjYuBubsS02k9rE&#10;59ffLASXh/OezF6mEg9qXGlZwaAfgSDOrC45V3A8LHoxCOeRNVaWScGbHMym7dYEE22fvKPH3uci&#10;hLBLUEHhfZ1I6bKCDLq+rYkDd7GNQR9gk0vd4DOEm0oOo+hPGiw5NBRYU1pQdt3fjYJ1utji7jw0&#10;8adKl5vLvL4dTyOlup1BNAbh6eV/4q97pRXEYWz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1Y0AG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1.3</w:t>
                                                                    </w:r>
                                                                  </w:p>
                                                                </w:txbxContent>
                                                              </v:textbox>
                                                            </v:shape>
                                                            <v:shape id="文本框 78" o:spid="_x0000_s1026" o:spt="202" type="#_x0000_t202" style="position:absolute;left:4361;top:183909;height:437;width:950;" filled="f" stroked="f" coordsize="21600,21600" o:gfxdata="UEsDBAoAAAAAAIdO4kAAAAAAAAAAAAAAAAAEAAAAZHJzL1BLAwQUAAAACACHTuJAshR1mr8AAADb&#10;AAAADwAAAGRycy9kb3ducmV2LnhtbEWPQWvCQBSE7wX/w/IK3pqNQksas0oJSIvowdSLt2f2mQSz&#10;b2N2q7G/3i0UPA4z8w2TLQbTigv1rrGsYBLFIIhLqxuuFOy+ly8JCOeRNbaWScGNHCzmo6cMU22v&#10;vKVL4SsRIOxSVFB736VSurImgy6yHXHwjrY36IPsK6l7vAa4aeU0jt+kwYbDQo0d5TWVp+LHKFjl&#10;yw1uD1OT/Lb55/r40Z13+1elxs+TeAbC0+Af4f/2l1aQvMPfl/A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UdZq/&#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625</w:t>
                                                                    </w:r>
                                                                  </w:p>
                                                                </w:txbxContent>
                                                              </v:textbox>
                                                            </v:shape>
                                                          </v:group>
                                                        </v:group>
                                                        <v:group id="_x0000_s1026" o:spid="_x0000_s1026" o:spt="203" style="position:absolute;left:4378;top:185252;height:909;width:3546;" coordorigin="4298,183561" coordsize="3546,909"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直接箭头连接符 75" o:spid="_x0000_s1026" o:spt="32" type="#_x0000_t32" style="position:absolute;left:7059;top:184243;flip:y;height:9;width:489;" filled="f" stroked="t" coordsize="21600,21600" o:gfxdata="UEsDBAoAAAAAAIdO4kAAAAAAAAAAAAAAAAAEAAAAZHJzL1BLAwQUAAAACACHTuJAfy8Pv74AAADb&#10;AAAADwAAAGRycy9kb3ducmV2LnhtbEWPQUsDMRSE74L/IbyCN5usqOh20x4UoaCXVqH09ti8bna7&#10;eVmTtLv++0YQPA4z8w1TrSbXizOF2HrWUMwVCOLam5YbDV+fb7dPIGJCNth7Jg0/FGG1vL6qsDR+&#10;5A2dt6kRGcKxRA02paGUMtaWHMa5H4izd/DBYcoyNNIEHDPc9fJOqUfpsOW8YHGgF0v1cXtyGnYf&#10;av8w+WC7/fe9fW9fm13nRq1vZoVagEg0pf/wX3ttNDwX8Psl/wC5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8Pv7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组合 79" o:spid="_x0000_s1026" o:spt="203" style="position:absolute;left:4298;top:183561;height:909;width:3546;" coordorigin="4298,183561" coordsize="3546,909"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直接箭头连接符 71" o:spid="_x0000_s1026" o:spt="32" type="#_x0000_t32" style="position:absolute;left:4400;top:184252;flip:y;height:1;width:828;" filled="f" stroked="t" coordsize="21600,21600" o:gfxdata="UEsDBAoAAAAAAIdO4kAAAAAAAAAAAAAAAAAEAAAAZHJzL1BLAwQUAAAACACHTuJA4LE0U74AAADb&#10;AAAADwAAAGRycy9kb3ducmV2LnhtbEWPQWsCMRSE7wX/Q3hCbzVRW2lXowdFKLSXakG8PTavm9XN&#10;y5qk7vbfN4WCx2FmvmEWq9414koh1p41jEcKBHHpTc2Vhs/99uEZREzIBhvPpOGHIqyWg7sFFsZ3&#10;/EHXXapEhnAsUINNqS2kjKUlh3HkW+LsffngMGUZKmkCdhnuGjlRaiYd1pwXLLa0tlSed99Ow+Fd&#10;HZ96H+zpeHm0b/WmOpxcp/X9cKzmIBL16Rb+b78aDS9T+Pu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E0U7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76" o:spid="_x0000_s1026" o:spt="202" type="#_x0000_t202" style="position:absolute;left:5217;top:184033;height:437;width:1836;" filled="f" stroked="f" coordsize="21600,21600" o:gfxdata="UEsDBAoAAAAAAIdO4kAAAAAAAAAAAAAAAAAEAAAAZHJzL1BLAwQUAAAACACHTuJA2cxM2b4AAADb&#10;AAAADwAAAGRycy9kb3ducmV2LnhtbEWPS4vCQBCE7wv+h6EFb+tEcUWjo0hAFNGDj4u3NtMmwUxP&#10;zIyP9dfvLAgei6r6ihpPn6YUd6pdYVlBpx2BIE6tLjhTcNjPvwcgnEfWWFomBb/kYDppfI0x1vbB&#10;W7rvfCYChF2MCnLvq1hKl+Zk0LVtRRy8s60N+iDrTOoaHwFuStmNor40WHBYyLGiJKf0srsZBatk&#10;vsHtqWsGrzJZrM+z6no4/ijVanaiEQhPT/8Jv9tLrWDYg/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cxM2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碱液喷淋塔用水</w:t>
                                                                    </w:r>
                                                                  </w:p>
                                                                </w:txbxContent>
                                                              </v:textbox>
                                                            </v:shape>
                                                            <v:shape id="直接箭头连接符 74" o:spid="_x0000_s1026" o:spt="32" type="#_x0000_t32" style="position:absolute;left:6029;top:183780;flip:y;height:253;width:391;" filled="f" stroked="t" coordsize="21600,21600" o:gfxdata="UEsDBAoAAAAAAIdO4kAAAAAAAAAAAAAAAAAEAAAAZHJzL1BLAwQUAAAACACHTuJAABQJvL4AAADb&#10;AAAADwAAAGRycy9kb3ducmV2LnhtbEWPT2sCMRTE74LfITyhN02UKnZr9FApFNqLf0C8PTavm7Wb&#10;l22SuttvbwoFj8PM/IZZbXrXiCuFWHvWMJ0oEMSlNzVXGo6H1/ESREzIBhvPpOGXImzWw8EKC+M7&#10;3tF1nyqRIRwL1GBTagspY2nJYZz4ljh7nz44TFmGSpqAXYa7Rs6UWkiHNecFiy29WCq/9j9Ow+lD&#10;nee9D/Zy/n607/W2Ol1cp/XDaKqeQSTq0z38334zGp7m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QJvL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72" o:spid="_x0000_s1026" o:spt="202" type="#_x0000_t202" style="position:absolute;left:6420;top:183561;height:437;width:1424;" filled="f" stroked="f" coordsize="21600,21600" o:gfxdata="UEsDBAoAAAAAAIdO4kAAAAAAAAAAAAAAAAAEAAAAZHJzL1BLAwQUAAAACACHTuJARlJ3NcAAAADb&#10;AAAADwAAAGRycy9kb3ducmV2LnhtbEWPT2vCQBTE7wW/w/KE3upGoZKmbkQCYin2EPXS22v25Q9m&#10;38bs1qR++m6h4HGYmd8wq/VoWnGl3jWWFcxnEQjiwuqGKwWn4/YpBuE8ssbWMin4IQfrdPKwwkTb&#10;gXO6HnwlAoRdggpq77tESlfUZNDNbEccvNL2Bn2QfSV1j0OAm1YuomgpDTYcFmrsKKupOB++jYL3&#10;bPuB+dfCxLc22+3LTXc5fT4r9TidR68gPI3+Hv5vv2kFL0v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Unc1&#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45</w:t>
                                                                    </w:r>
                                                                  </w:p>
                                                                </w:txbxContent>
                                                              </v:textbox>
                                                            </v:shape>
                                                            <v:shape id="文本框 73" o:spid="_x0000_s1026" o:spt="202" type="#_x0000_t202" style="position:absolute;left:6799;top:183810;height:374;width:937;" filled="f" stroked="f" coordsize="21600,21600" o:gfxdata="UEsDBAoAAAAAAIdO4kAAAAAAAAAAAAAAAAAEAAAAZHJzL1BLAwQUAAAACACHTuJAKR7Srr4AAADb&#10;AAAADwAAAGRycy9kb3ducmV2LnhtbEWPS4vCQBCE7wv+h6EFb+tEwVWjo0hAFNGDj4u3NtMmwUxP&#10;zIyP9dfvLAgei6r6ihpPn6YUd6pdYVlBpx2BIE6tLjhTcNjPvwcgnEfWWFomBb/kYDppfI0x1vbB&#10;W7rvfCYChF2MCnLvq1hKl+Zk0LVtRRy8s60N+iDrTOoaHwFuStmNoh9psOCwkGNFSU7pZXczClbJ&#10;fIPbU9cMXmWyWJ9n1fVw7CnVanaiEQhPT/8Jv9tLrWDYh/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7Sr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225</w:t>
                                                                    </w:r>
                                                                  </w:p>
                                                                </w:txbxContent>
                                                              </v:textbox>
                                                            </v:shape>
                                                            <v:shape id="文本框 78" o:spid="_x0000_s1026" o:spt="202" type="#_x0000_t202" style="position:absolute;left:4298;top:183797;height:437;width:950;" filled="f" stroked="f" coordsize="21600,21600" o:gfxdata="UEsDBAoAAAAAAIdO4kAAAAAAAAAAAAAAAAAEAAAAZHJzL1BLAwQUAAAACACHTuJAWIFG3L0AAADb&#10;AAAADwAAAGRycy9kb3ducmV2LnhtbEVPy2rCQBTdF/oPwy10VycJVGx0EiQgLcUu1Gy6u2ZuHpi5&#10;k2amxvr1zqLg8nDeq/xienGm0XWWFcSzCARxZXXHjYLysHlZgHAeWWNvmRT8kYM8e3xYYartxDs6&#10;730jQgi7FBW03g+plK5qyaCb2YE4cLUdDfoAx0bqEacQbnqZRNFcGuw4NLQ4UNFSddr/GgWfxeYL&#10;d8fELK598b6t18NP+f2q1PNTHC1BeLr4u/jf/aEVvIWx4Uv4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gUbc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675</w:t>
                                                                    </w:r>
                                                                  </w:p>
                                                                </w:txbxContent>
                                                              </v:textbox>
                                                            </v:shape>
                                                          </v:group>
                                                        </v:group>
                                                      </v:group>
                                                    </v:group>
                                                  </v:group>
                                                  <v:line id="_x0000_s1026" o:spid="_x0000_s1026" o:spt="20" style="position:absolute;left:7313;top:194097;height:425;width:0;"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line id="_x0000_s1026" o:spid="_x0000_s1026" o:spt="20" style="position:absolute;left:4963;top:194547;flip:x;height:13;width:2325;" filled="f" stroked="t" coordsize="21600,21600" o:gfxdata="UEsDBAoAAAAAAIdO4kAAAAAAAAAAAAAAAAAEAAAAZHJzL1BLAwQUAAAACACHTuJAIBHzAboAAADc&#10;AAAADwAAAGRycy9kb3ducmV2LnhtbEVPTYvCMBC9L/gfwgje1kSFRatRRFQWFhbU6nlsxrbYTEoT&#10;q/vvN4LgbR7vc2aLh61ES40vHWsY9BUI4syZknMN6WHzOQbhA7LByjFp+CMPi3nnY4aJcXfeUbsP&#10;uYgh7BPUUIRQJ1L6rCCLvu9q4shdXGMxRNjk0jR4j+G2kkOlvqTFkmNDgTWtCsqu+5vVsDz9rEe/&#10;7dm6ykzy9GhsqrZDrXvdgZqCCPQIb/HL/W3ifDWC5zPxAj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EfMB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shape id="_x0000_s1026" o:spid="_x0000_s1026" o:spt="32" type="#_x0000_t32" style="position:absolute;left:4976;top:194122;flip:y;height:438;width:12;" filled="f" stroked="t" coordsize="21600,21600" o:gfxdata="UEsDBAoAAAAAAIdO4kAAAAAAAAAAAAAAAAAEAAAAZHJzL1BLAwQUAAAACACHTuJA/Qf3r7sAAADc&#10;AAAADwAAAGRycy9kb3ducmV2LnhtbEVPTWsCMRC9C/6HMII3TSxWytbowVIQ9FItiLdhM92sbibb&#10;JLrrv28Khd7m8T5nue5dI+4UYu1Zw2yqQBCX3tRcafg8vk9eQMSEbLDxTBoeFGG9Gg6WWBjf8Qfd&#10;D6kSOYRjgRpsSm0hZSwtOYxT3xJn7ssHhynDUEkTsMvhrpFPSi2kw5pzg8WWNpbK6+HmNJz26vzc&#10;+2Av5++53dVv1eniOq3Ho5l6BZGoT//iP/fW5PlqDr/P5Av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3r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72" o:spid="_x0000_s1026" o:spt="202" type="#_x0000_t202" style="position:absolute;left:5490;top:194185;height:437;width:1424;" filled="f" stroked="f" coordsize="21600,21600" o:gfxdata="UEsDBAoAAAAAAIdO4kAAAAAAAAAAAAAAAAAEAAAAZHJzL1BLAwQUAAAACACHTuJAv72uFrwAAADc&#10;AAAADwAAAGRycy9kb3ducmV2LnhtbEVPS4vCMBC+C/sfwix400RBka5RpCArogfdXvY224xtsZl0&#10;m/j89UYQvM3H95zp/GprcabWV441DPoKBHHuTMWFhuxn2ZuA8AHZYO2YNNzIw3z20ZliYtyFd3Te&#10;h0LEEPYJaihDaBIpfV6SRd93DXHkDq61GCJsC2lavMRwW8uhUmNpseLYUGJDaUn5cX+yGtbpcou7&#10;v6Gd3Ov0e3NYNP/Z70jr7udAfYEIdA1v8cu9MnG+GsHzmXiB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rha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循环水</w:t>
                                                          </w:r>
                                                          <w:r>
                                                            <w:rPr>
                                                              <w:rFonts w:hint="eastAsia"/>
                                                              <w:color w:val="auto"/>
                                                              <w:sz w:val="21"/>
                                                              <w:szCs w:val="21"/>
                                                              <w:lang w:val="en-US" w:eastAsia="zh-CN"/>
                                                            </w:rPr>
                                                            <w:t>4.5</w:t>
                                                          </w:r>
                                                        </w:p>
                                                      </w:txbxContent>
                                                    </v:textbox>
                                                  </v:shape>
                                                  <v:shape id="_x0000_s1026" o:spid="_x0000_s1026" o:spt="32" type="#_x0000_t32" style="position:absolute;left:4401;top:194972;height:9;width:3435;" filled="f" stroked="t" coordsize="21600,21600" o:gfxdata="UEsDBAoAAAAAAIdO4kAAAAAAAAAAAAAAAAAEAAAAZHJzL1BLAwQUAAAACACHTuJAkxu1/7sAAADc&#10;AAAADwAAAGRycy9kb3ducmV2LnhtbEVP22rCQBB9L/Qflin0re4aqkjq6oMgNGARLx8wZKdJMDsb&#10;s9Oof98VBN/mcK4zX159qwbqYxPYwnhkQBGXwTVcWTge1h8zUFGQHbaBycKNIiwXry9zzF248I6G&#10;vVQqhXDM0UIt0uVax7Imj3EUOuLE/YbeoyTYV9r1eEnhvtWZMVPtseHUUGNHq5rK0/7PW8iKs9zW&#10;m0KGrUx+zj7bfBZdae3729h8gRK6ylP8cH+7NN9M4f5MukA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u1/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group>
                                                <v:shape id="_x0000_s1026" o:spid="_x0000_s1026" o:spt="32" type="#_x0000_t32" style="position:absolute;left:8420;top:193147;height:1497;width:5;" filled="f" stroked="t" coordsize="21600,21600" o:gfxdata="UEsDBAoAAAAAAIdO4kAAAAAAAAAAAAAAAAAEAAAAZHJzL1BLAwQUAAAACACHTuJAgKia4roAAADc&#10;AAAADwAAAGRycy9kb3ducmV2LnhtbEVP24rCMBB9F/yHMAv7pqlFZekafVgQLLiIlw8YmrEtNpPa&#10;jFX/frMg+DaHc53F6uEa1VMXas8GJuMEFHHhbc2lgdNxPfoCFQTZYuOZDDwpwGo5HCwws/7Oe+oP&#10;UqoYwiFDA5VIm2kdioochrFviSN39p1DibArte3wHsNdo9MkmWuHNceGClv6qai4HG7OQJpf5bne&#10;5tLvZPZ7del2mreFMZ8fk+QblNBD3uKXe2Pj/Nkc/p+JF+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qJri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group>
                                            <v:shape id="文本框 76" o:spid="_x0000_s1026" o:spt="202" type="#_x0000_t202" style="position:absolute;left:7836;top:194644;height:674;width:1178;" filled="f" stroked="f" coordsize="21600,21600" o:gfxdata="UEsDBAoAAAAAAIdO4kAAAAAAAAAAAAAAAAAEAAAAZHJzL1BLAwQUAAAACACHTuJALUOLDr4AAADc&#10;AAAADwAAAGRycy9kb3ducmV2LnhtbEVPS2vCQBC+C/6HZYTedKOQkqZupASkpdhD1Etv0+zkQbOz&#10;aXZrtL++Kwje5uN7znpzNp040eBaywqWiwgEcWl1y7WC42E7T0A4j6yxs0wKLuRgk00na0y1Hbmg&#10;097XIoSwS1FB432fSunKhgy6he2JA1fZwaAPcKilHnAM4aaTqyh6lAZbDg0N9pQ3VH7vf42C93z7&#10;gcXXyiR/Xf66q176n+NnrNTDbBk9g/B09nfxzf2mw/z4Ca7PhAt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OLD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酸解液配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置塔用水</w:t>
                                                    </w:r>
                                                  </w:p>
                                                </w:txbxContent>
                                              </v:textbox>
                                            </v:shape>
                                          </v:group>
                                        </v:group>
                                      </v:group>
                                      <v:shape id="文本框 78" o:spid="_x0000_s1026" o:spt="202" type="#_x0000_t202" style="position:absolute;left:8379;top:195021;height:437;width:789;" filled="f" stroked="f" coordsize="21600,21600" o:gfxdata="UEsDBAoAAAAAAIdO4kAAAAAAAAAAAAAAAAAEAAAAZHJzL1BLAwQUAAAACACHTuJAYmJLtr4AAADc&#10;AAAADwAAAGRycy9kb3ducmV2LnhtbEVPS2vCQBC+C/0PyxR6MxsFRWI2UgLSUtqDmou3MTt5YHY2&#10;zW5j2l/fLRS8zcf3nHQ3mU6MNLjWsoJFFIMgLq1uuVZQnPbzDQjnkTV2lknBNznYZQ+zFBNtb3yg&#10;8ehrEULYJaig8b5PpHRlQwZdZHviwFV2MOgDHGqpB7yFcNPJZRyvpcGWQ0ODPeUNldfjl1Hwlu8/&#10;8HBZms1Pl7+8V8/9Z3FeKfX0uIi3IDxN/i7+d7/qMH+9gr9nwgU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Lt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1.01</w:t>
                                              </w:r>
                                            </w:p>
                                          </w:txbxContent>
                                        </v:textbox>
                                      </v:shape>
                                      <v:shape id="文本框 78" o:spid="_x0000_s1026" o:spt="202" type="#_x0000_t202" style="position:absolute;left:8697;top:194336;height:499;width:950;" filled="f" stroked="f" coordsize="21600,21600" o:gfxdata="UEsDBAoAAAAAAIdO4kAAAAAAAAAAAAAAAAAEAAAAZHJzL1BLAwQUAAAACACHTuJAkrDVwb4AAADc&#10;AAAADwAAAGRycy9kb3ducmV2LnhtbEVPS2uDQBC+B/oflin0lqwRKsFmlSKElNIe8rjkNnUnKnVn&#10;jbtV21/fDQRym4/vOet8Mq0YqHeNZQXLRQSCuLS64UrB8bCZr0A4j6yxtUwKfslBnj3M1phqO/KO&#10;hr2vRAhhl6KC2vsuldKVNRl0C9sRB+5se4M+wL6SuscxhJtWxlGUSIMNh4YaOypqKr/3P0bBe7H5&#10;xN1XbFZ/bbH9OL92l+PpWamnx2X0AsLT5O/im/tNh/lJAtdnwgU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DVw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1.39</w:t>
                                              </w:r>
                                            </w:p>
                                          </w:txbxContent>
                                        </v:textbox>
                                      </v:shape>
                                      <v:shape id="_x0000_s1026" o:spid="_x0000_s1026" o:spt="202" type="#_x0000_t202" style="position:absolute;left:7666;top:195412;height:649;width:1537;" filled="f" stroked="f" coordsize="21600,21600" o:gfxdata="UEsDBAoAAAAAAIdO4kAAAAAAAAAAAAAAAAAEAAAAZHJzL1BLAwQUAAAACACHTuJA/fxwWrwAAADc&#10;AAAADwAAAGRycy9kb3ducmV2LnhtbEVPyYoCMRC9C/5DqIG5aVrBhR7TMjSIMujB5eKt7FQvTKfS&#10;duI2Xz8RBG/1eGvN5ndTiyu1rrKsYNCPQBBnVldcKDjsF70pCOeRNdaWScGDHMyTbmeGsbY33tJ1&#10;5wsRQtjFqKD0vomldFlJBl3fNsSBy21r0AfYFlK3eAvhppbDKBpLgxWHhhIbSkvKfncXo+AnXWxw&#10;exqa6V+dLtf5d3M+HEdKfX4Moi8Qnu7+LX65VzrMH0/g+Uy4QC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8cFq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渣滓(含水率50%)</w:t>
                                              </w:r>
                                            </w:p>
                                          </w:txbxContent>
                                        </v:textbox>
                                      </v:shape>
                                      <v:shape id="_x0000_s1026" o:spid="_x0000_s1026" o:spt="202" type="#_x0000_t202" style="position:absolute;left:9382;top:194440;height:649;width:1049;" filled="f" stroked="f" coordsize="21600,21600" o:gfxdata="UEsDBAoAAAAAAIdO4kAAAAAAAAAAAAAAAAAEAAAAZHJzL1BLAwQUAAAACACHTuJAjGPkKL8AAADc&#10;AAAADwAAAGRycy9kb3ducmV2LnhtbEWPS4vCQBCE78L+h6EXvOlEQZGso0hAVkQPPi7eejNtEsz0&#10;ZDPj89fbh4W9dVPVVV9P5w9Xqxu1ofJsYNBPQBHn3lZcGDgelr0JqBCRLdaeycCTAsxnH50pptbf&#10;eUe3fSyUhHBI0UAZY5NqHfKSHIa+b4hFO/vWYZS1LbRt8S7hrtbDJBlrhxVLQ4kNZSXll/3VGVhn&#10;yy3ufoZu8qqz78150fweTyNjup+D5AtUpEf8N/9dr6zgj4VWnpEJ9Ow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j5Ci/&#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sz w:val="21"/>
                                                  <w:szCs w:val="21"/>
                                                  <w:lang w:val="en-US" w:eastAsia="zh-CN"/>
                                                </w:rPr>
                                              </w:pPr>
                                              <w:r>
                                                <w:rPr>
                                                  <w:rFonts w:hint="eastAsia" w:eastAsia="宋体"/>
                                                  <w:color w:val="auto"/>
                                                  <w:sz w:val="21"/>
                                                  <w:szCs w:val="21"/>
                                                  <w:lang w:val="en-US" w:eastAsia="zh-CN"/>
                                                </w:rPr>
                                                <w:t>氨基酸</w:t>
                                              </w:r>
                                              <w:r>
                                                <w:rPr>
                                                  <w:rFonts w:hint="eastAsia"/>
                                                  <w:color w:val="auto"/>
                                                  <w:sz w:val="21"/>
                                                  <w:szCs w:val="21"/>
                                                  <w:lang w:val="en-US" w:eastAsia="zh-CN"/>
                                                </w:rPr>
                                                <w:t>水溶液</w:t>
                                              </w:r>
                                            </w:p>
                                            <w:p>
                                              <w:pPr>
                                                <w:rPr>
                                                  <w:rFonts w:hint="default"/>
                                                  <w:lang w:val="en-US" w:eastAsia="zh-CN"/>
                                                </w:rPr>
                                              </w:pPr>
                                            </w:p>
                                          </w:txbxContent>
                                        </v:textbox>
                                      </v:shape>
                                    </v:group>
                                  </v:group>
                                </v:group>
                                <v:shape id="文本框 78" o:spid="_x0000_s1026" o:spt="202" type="#_x0000_t202" style="position:absolute;left:7550;top:192414;height:499;width:950;" filled="f" stroked="f" coordsize="21600,21600" o:gfxdata="UEsDBAoAAAAAAIdO4kAAAAAAAAAAAAAAAAAEAAAAZHJzL1BLAwQUAAAACACHTuJAWiaboMAAAADc&#10;AAAADwAAAGRycy9kb3ducmV2LnhtbEWPQWvCQBSE7wX/w/IEb3WTSEVSV5GAVKQeTL14e2afSWj2&#10;bcxuY9pf7xYKPQ4z8w2zXA+mET11rrasIJ5GIIgLq2suFZw+ts8LEM4ja2wsk4JvcrBejZ6WmGp7&#10;5yP1uS9FgLBLUUHlfZtK6YqKDLqpbYmDd7WdQR9kV0rd4T3ATSOTKJpLgzWHhQpbyioqPvMvo2Cf&#10;bQ94vCRm8dNkb+/XTXs7nV+Umozj6BWEp8H/h//aO60gmc3h90w4An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Jpug&#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975</w:t>
                                        </w:r>
                                      </w:p>
                                    </w:txbxContent>
                                  </v:textbox>
                                </v:shape>
                              </v:group>
                              <v:shape id="文本框 78" o:spid="_x0000_s1026" o:spt="202" type="#_x0000_t202" style="position:absolute;left:5590;top:194342;height:499;width:950;"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0.425</w:t>
                                      </w:r>
                                    </w:p>
                                  </w:txbxContent>
                                </v:textbox>
                              </v:shape>
                            </v:group>
                          </v:group>
                        </v:group>
                      </v:group>
                    </v:group>
                  </w:pict>
                </mc:Fallback>
              </mc:AlternateContent>
            </w: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widowControl w:val="0"/>
              <w:suppressLineNumbers w:val="0"/>
              <w:spacing w:before="0" w:beforeAutospacing="0" w:after="0" w:afterAutospacing="0"/>
              <w:ind w:left="0" w:right="0"/>
              <w:jc w:val="both"/>
              <w:rPr>
                <w:rFonts w:hint="default"/>
              </w:rPr>
            </w:pPr>
          </w:p>
          <w:p>
            <w:pPr>
              <w:keepNext w:val="0"/>
              <w:keepLines w:val="0"/>
              <w:suppressLineNumbers w:val="0"/>
              <w:bidi w:val="0"/>
              <w:spacing w:before="0" w:beforeAutospacing="0" w:after="0" w:afterAutospacing="0"/>
              <w:ind w:left="0" w:right="0"/>
              <w:rPr>
                <w:rFonts w:hint="default"/>
                <w:highlight w:val="yellow"/>
                <w:lang w:val="en-US" w:eastAsia="zh-CN"/>
              </w:rPr>
            </w:pPr>
          </w:p>
          <w:p>
            <w:pPr>
              <w:pStyle w:val="21"/>
              <w:keepNext w:val="0"/>
              <w:keepLines w:val="0"/>
              <w:numPr>
                <w:ilvl w:val="0"/>
                <w:numId w:val="0"/>
              </w:numPr>
              <w:suppressLineNumbers w:val="0"/>
              <w:bidi w:val="0"/>
              <w:spacing w:before="0" w:beforeAutospacing="0" w:after="0" w:afterAutospacing="0"/>
              <w:ind w:left="0" w:right="0" w:rightChars="0"/>
              <w:jc w:val="both"/>
              <w:rPr>
                <w:rFonts w:hint="eastAsia"/>
                <w:highlight w:val="none"/>
                <w:lang w:val="en-US" w:eastAsia="zh-CN"/>
              </w:rPr>
            </w:pPr>
          </w:p>
          <w:p>
            <w:pPr>
              <w:pStyle w:val="21"/>
              <w:keepNext w:val="0"/>
              <w:keepLines w:val="0"/>
              <w:numPr>
                <w:ilvl w:val="0"/>
                <w:numId w:val="0"/>
              </w:numPr>
              <w:suppressLineNumbers w:val="0"/>
              <w:bidi w:val="0"/>
              <w:spacing w:before="0" w:beforeAutospacing="0" w:after="0" w:afterAutospacing="0"/>
              <w:ind w:left="-454" w:leftChars="0" w:right="0" w:rightChars="0"/>
              <w:rPr>
                <w:rFonts w:hint="default"/>
                <w:highlight w:val="none"/>
                <w:lang w:val="en-US" w:eastAsia="zh-CN"/>
              </w:rPr>
            </w:pPr>
            <w:r>
              <w:rPr>
                <w:rFonts w:hint="eastAsia"/>
                <w:highlight w:val="none"/>
                <w:lang w:val="en-US" w:eastAsia="zh-CN"/>
              </w:rPr>
              <w:t>图3 项目水平衡图(m</w:t>
            </w:r>
            <w:r>
              <w:rPr>
                <w:rFonts w:hint="eastAsia"/>
                <w:highlight w:val="none"/>
                <w:vertAlign w:val="superscript"/>
                <w:lang w:val="en-US" w:eastAsia="zh-CN"/>
              </w:rPr>
              <w:t>3</w:t>
            </w:r>
            <w:r>
              <w:rPr>
                <w:rFonts w:hint="eastAsia"/>
                <w:highlight w:val="none"/>
                <w:lang w:val="en-US" w:eastAsia="zh-CN"/>
              </w:rPr>
              <w:t>/d)</w:t>
            </w:r>
          </w:p>
          <w:p>
            <w:pPr>
              <w:pStyle w:val="5"/>
              <w:suppressLineNumbers w:val="0"/>
              <w:bidi w:val="0"/>
              <w:spacing w:before="0" w:beforeAutospacing="0" w:after="0" w:afterAutospacing="0"/>
              <w:ind w:right="0"/>
              <w:rPr>
                <w:rFonts w:hint="default"/>
                <w:lang w:val="en-US" w:eastAsia="zh-CN"/>
              </w:rPr>
            </w:pPr>
            <w:r>
              <w:rPr>
                <w:rFonts w:hint="default"/>
                <w:lang w:val="en-US" w:eastAsia="zh-CN"/>
              </w:rPr>
              <w:t>供热</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厂区</w:t>
            </w:r>
            <w:r>
              <w:rPr>
                <w:rFonts w:hint="eastAsia"/>
                <w:highlight w:val="none"/>
                <w:lang w:val="en-US" w:eastAsia="zh-CN"/>
              </w:rPr>
              <w:t>生产供热用2t燃气锅炉，燃气接东侧园区的天然气管网，生活供热用电锅炉供热。</w:t>
            </w:r>
          </w:p>
          <w:p>
            <w:pPr>
              <w:pStyle w:val="5"/>
              <w:suppressLineNumbers w:val="0"/>
              <w:bidi w:val="0"/>
              <w:spacing w:before="0" w:beforeAutospacing="0" w:after="0" w:afterAutospacing="0"/>
              <w:ind w:right="0"/>
              <w:rPr>
                <w:rFonts w:hint="default"/>
                <w:lang w:val="en-US" w:eastAsia="zh-CN"/>
              </w:rPr>
            </w:pPr>
            <w:r>
              <w:rPr>
                <w:rFonts w:hint="default"/>
                <w:lang w:val="en-US" w:eastAsia="zh-CN"/>
              </w:rPr>
              <w:t>供电</w:t>
            </w:r>
          </w:p>
          <w:p>
            <w:pPr>
              <w:keepNext w:val="0"/>
              <w:keepLines w:val="0"/>
              <w:suppressLineNumbers w:val="0"/>
              <w:bidi w:val="0"/>
              <w:spacing w:before="0" w:beforeAutospacing="0" w:after="0" w:afterAutospacing="0"/>
              <w:ind w:left="0" w:right="0"/>
              <w:rPr>
                <w:rFonts w:hint="default"/>
                <w:highlight w:val="yellow"/>
                <w:lang w:val="en-US" w:eastAsia="zh-CN"/>
              </w:rPr>
            </w:pPr>
            <w:r>
              <w:rPr>
                <w:rFonts w:hint="default"/>
                <w:highlight w:val="none"/>
                <w:lang w:val="en-US" w:eastAsia="zh-CN"/>
              </w:rPr>
              <w:t>由</w:t>
            </w:r>
            <w:r>
              <w:rPr>
                <w:rFonts w:hint="eastAsia"/>
                <w:highlight w:val="none"/>
                <w:lang w:val="en-US" w:eastAsia="zh-CN"/>
              </w:rPr>
              <w:t>园区</w:t>
            </w:r>
            <w:r>
              <w:rPr>
                <w:rFonts w:hint="default"/>
                <w:highlight w:val="none"/>
                <w:lang w:val="en-US" w:eastAsia="zh-CN"/>
              </w:rPr>
              <w:t>电网统一供给，能够满足用电需求。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6" w:hRule="atLeast"/>
          <w:jc w:val="center"/>
        </w:trPr>
        <w:tc>
          <w:tcPr>
            <w:tcW w:w="823"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工艺流程和产排污环节</w:t>
            </w:r>
          </w:p>
        </w:tc>
        <w:tc>
          <w:tcPr>
            <w:tcW w:w="8161" w:type="dxa"/>
          </w:tcPr>
          <w:p>
            <w:pPr>
              <w:pStyle w:val="2"/>
              <w:numPr>
                <w:ilvl w:val="0"/>
                <w:numId w:val="5"/>
              </w:numPr>
              <w:suppressLineNumbers w:val="0"/>
              <w:bidi w:val="0"/>
              <w:spacing w:before="0" w:after="0"/>
              <w:ind w:right="0"/>
              <w:rPr>
                <w:rFonts w:hint="eastAsia"/>
                <w:lang w:val="en-US" w:eastAsia="zh-CN"/>
              </w:rPr>
            </w:pPr>
            <w:r>
              <w:rPr>
                <w:rFonts w:hint="eastAsia"/>
                <w:lang w:val="en-US" w:eastAsia="zh-CN"/>
              </w:rPr>
              <w:t>工艺流程简述(图示)</w:t>
            </w:r>
          </w:p>
          <w:p>
            <w:pPr>
              <w:keepNext w:val="0"/>
              <w:keepLines w:val="0"/>
              <w:widowControl/>
              <w:suppressLineNumbers w:val="0"/>
              <w:spacing w:before="0" w:beforeAutospacing="0" w:after="0" w:afterAutospacing="0"/>
              <w:ind w:left="0" w:right="0"/>
              <w:jc w:val="left"/>
              <w:rPr>
                <w:rFonts w:hint="eastAsia"/>
                <w:color w:val="1D41D5"/>
                <w:lang w:val="en-US" w:eastAsia="zh-CN"/>
              </w:rPr>
            </w:pPr>
            <w:r>
              <w:rPr>
                <w:rFonts w:hint="eastAsia"/>
                <w:lang w:val="en-US" w:eastAsia="zh-CN"/>
              </w:rPr>
              <w:t>目前，病死动物无害化处理方法主要有焚烧法、高温高压法、化制法和硫酸分解法。</w:t>
            </w:r>
            <w:r>
              <w:rPr>
                <w:rFonts w:hint="default"/>
                <w:color w:val="auto"/>
                <w:lang w:val="en-US" w:eastAsia="zh-CN"/>
              </w:rPr>
              <w:t>本项目</w:t>
            </w:r>
            <w:r>
              <w:rPr>
                <w:rFonts w:hint="eastAsia"/>
                <w:color w:val="auto"/>
                <w:lang w:val="en-US" w:eastAsia="zh-CN"/>
              </w:rPr>
              <w:t>采用</w:t>
            </w:r>
            <w:r>
              <w:rPr>
                <w:rFonts w:hint="default"/>
                <w:color w:val="auto"/>
                <w:lang w:val="en-US" w:eastAsia="zh-CN"/>
              </w:rPr>
              <w:t>硫酸分解法</w:t>
            </w:r>
            <w:r>
              <w:rPr>
                <w:rFonts w:hint="eastAsia"/>
                <w:color w:val="auto"/>
                <w:lang w:val="en-US" w:eastAsia="zh-CN"/>
              </w:rPr>
              <w:t>对</w:t>
            </w:r>
            <w:r>
              <w:rPr>
                <w:rFonts w:hint="default"/>
                <w:color w:val="auto"/>
                <w:lang w:val="en-US" w:eastAsia="zh-CN"/>
              </w:rPr>
              <w:t>病死畜禽进行处置，硫酸分解法</w:t>
            </w:r>
            <w:r>
              <w:rPr>
                <w:rFonts w:hint="eastAsia"/>
                <w:color w:val="auto"/>
                <w:lang w:val="en-US" w:eastAsia="zh-CN"/>
              </w:rPr>
              <w:t>是</w:t>
            </w:r>
            <w:r>
              <w:rPr>
                <w:rFonts w:hint="eastAsia" w:ascii="宋体" w:hAnsi="宋体" w:eastAsia="宋体" w:cs="宋体"/>
                <w:color w:val="auto"/>
                <w:kern w:val="0"/>
                <w:sz w:val="24"/>
                <w:szCs w:val="24"/>
                <w:lang w:val="en-US" w:eastAsia="zh-CN" w:bidi="ar"/>
              </w:rPr>
              <w:t>指在密闭的容器内，将病死及病害动物和相关动物产品用硫酸在一定条件下进行分解的方法。硫酸分解法</w:t>
            </w:r>
            <w:r>
              <w:rPr>
                <w:rFonts w:hint="eastAsia"/>
                <w:color w:val="auto"/>
                <w:lang w:val="en-US" w:eastAsia="zh-CN"/>
              </w:rPr>
              <w:t>为《病死及病害动物无害化处置技术规范》中列出的化学处理法中的方法，是技术规范中可行技术。目前，鹏鹞公司在长春市的病死畜禽无害化集中处理中心(使用</w:t>
            </w:r>
            <w:r>
              <w:rPr>
                <w:rFonts w:hint="default"/>
                <w:color w:val="auto"/>
                <w:lang w:val="en-US" w:eastAsia="zh-CN"/>
              </w:rPr>
              <w:t>硫酸分解法</w:t>
            </w:r>
            <w:r>
              <w:rPr>
                <w:rFonts w:hint="eastAsia"/>
                <w:color w:val="auto"/>
                <w:lang w:val="en-US" w:eastAsia="zh-CN"/>
              </w:rPr>
              <w:t>)已建成运行并通过环保验收，</w:t>
            </w:r>
            <w:r>
              <w:rPr>
                <w:rFonts w:hint="default"/>
                <w:color w:val="auto"/>
                <w:lang w:val="en-US" w:eastAsia="zh-CN"/>
              </w:rPr>
              <w:t>硫酸分解法</w:t>
            </w:r>
            <w:r>
              <w:rPr>
                <w:rFonts w:hint="eastAsia"/>
                <w:color w:val="auto"/>
                <w:lang w:val="en-US" w:eastAsia="zh-CN"/>
              </w:rPr>
              <w:t>正在逐步推广应用。硫酸分解法的优点是可以与灭菌和消化技术组合起来同时进行，能够降低废弃物重量和体积，且能够灭活病原。该方法不仅能够有效处理病死动物残体，同时能够得到大量的可利用资源，为有效和可行的处理方法。</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本项目工艺流程及产排污节点如下图所示。</w:t>
            </w:r>
          </w:p>
          <w:p>
            <w:pPr>
              <w:keepNext w:val="0"/>
              <w:keepLines w:val="0"/>
              <w:suppressLineNumbers w:val="0"/>
              <w:spacing w:before="0" w:beforeAutospacing="0" w:after="0" w:afterAutospacing="0"/>
              <w:ind w:left="0" w:right="0"/>
              <w:rPr>
                <w:rFonts w:hint="default"/>
                <w:sz w:val="24"/>
              </w:rPr>
            </w:pPr>
            <w:r>
              <w:rPr>
                <w:rFonts w:hint="default"/>
                <w:sz w:val="24"/>
              </w:rPr>
              <mc:AlternateContent>
                <mc:Choice Requires="wpg">
                  <w:drawing>
                    <wp:anchor distT="0" distB="0" distL="114300" distR="114300" simplePos="0" relativeHeight="251661312" behindDoc="0" locked="0" layoutInCell="1" allowOverlap="1">
                      <wp:simplePos x="0" y="0"/>
                      <wp:positionH relativeFrom="column">
                        <wp:posOffset>73025</wp:posOffset>
                      </wp:positionH>
                      <wp:positionV relativeFrom="paragraph">
                        <wp:posOffset>99060</wp:posOffset>
                      </wp:positionV>
                      <wp:extent cx="4916805" cy="3983355"/>
                      <wp:effectExtent l="0" t="6350" r="17145" b="10795"/>
                      <wp:wrapNone/>
                      <wp:docPr id="22" name="组合 22"/>
                      <wp:cNvGraphicFramePr/>
                      <a:graphic xmlns:a="http://schemas.openxmlformats.org/drawingml/2006/main">
                        <a:graphicData uri="http://schemas.microsoft.com/office/word/2010/wordprocessingGroup">
                          <wpg:wgp>
                            <wpg:cNvGrpSpPr/>
                            <wpg:grpSpPr>
                              <a:xfrm>
                                <a:off x="0" y="0"/>
                                <a:ext cx="4916805" cy="3983500"/>
                                <a:chOff x="2738" y="209012"/>
                                <a:chExt cx="7743" cy="6273"/>
                              </a:xfrm>
                            </wpg:grpSpPr>
                            <wps:wsp>
                              <wps:cNvPr id="19" name="直接箭头连接符 19"/>
                              <wps:cNvCnPr/>
                              <wps:spPr>
                                <a:xfrm flipH="1">
                                  <a:off x="3827" y="213862"/>
                                  <a:ext cx="10" cy="524"/>
                                </a:xfrm>
                                <a:prstGeom prst="straightConnector1">
                                  <a:avLst/>
                                </a:prstGeom>
                                <a:ln w="12700">
                                  <a:prstDash val="sysDot"/>
                                  <a:tailEnd type="arrow" w="med" len="med"/>
                                </a:ln>
                              </wps:spPr>
                              <wps:style>
                                <a:lnRef idx="1">
                                  <a:schemeClr val="dk1"/>
                                </a:lnRef>
                                <a:fillRef idx="0">
                                  <a:schemeClr val="dk1"/>
                                </a:fillRef>
                                <a:effectRef idx="0">
                                  <a:schemeClr val="dk1"/>
                                </a:effectRef>
                                <a:fontRef idx="minor">
                                  <a:schemeClr val="tx1"/>
                                </a:fontRef>
                              </wps:style>
                              <wps:bodyPr/>
                            </wps:wsp>
                            <wpg:grpSp>
                              <wpg:cNvPr id="21" name="组合 21"/>
                              <wpg:cNvGrpSpPr/>
                              <wpg:grpSpPr>
                                <a:xfrm>
                                  <a:off x="2738" y="209012"/>
                                  <a:ext cx="7743" cy="6273"/>
                                  <a:chOff x="2738" y="209012"/>
                                  <a:chExt cx="7743" cy="6273"/>
                                </a:xfrm>
                              </wpg:grpSpPr>
                              <wpg:grpSp>
                                <wpg:cNvPr id="18" name="组合 18"/>
                                <wpg:cNvGrpSpPr/>
                                <wpg:grpSpPr>
                                  <a:xfrm>
                                    <a:off x="2738" y="209012"/>
                                    <a:ext cx="7743" cy="6273"/>
                                    <a:chOff x="2325" y="208888"/>
                                    <a:chExt cx="7743" cy="6245"/>
                                  </a:xfrm>
                                </wpg:grpSpPr>
                                <wps:wsp>
                                  <wps:cNvPr id="15" name="直接箭头连接符 15"/>
                                  <wps:cNvCnPr/>
                                  <wps:spPr>
                                    <a:xfrm>
                                      <a:off x="3788" y="213395"/>
                                      <a:ext cx="109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7" name="组合 17"/>
                                  <wpg:cNvGrpSpPr/>
                                  <wpg:grpSpPr>
                                    <a:xfrm>
                                      <a:off x="2325" y="208888"/>
                                      <a:ext cx="7743" cy="6245"/>
                                      <a:chOff x="2325" y="208888"/>
                                      <a:chExt cx="7743" cy="6245"/>
                                    </a:xfrm>
                                  </wpg:grpSpPr>
                                  <wpg:grpSp>
                                    <wpg:cNvPr id="310" name="组合 310"/>
                                    <wpg:cNvGrpSpPr/>
                                    <wpg:grpSpPr>
                                      <a:xfrm>
                                        <a:off x="2325" y="208888"/>
                                        <a:ext cx="7743" cy="6245"/>
                                        <a:chOff x="4047" y="207490"/>
                                        <a:chExt cx="7743" cy="6245"/>
                                      </a:xfrm>
                                    </wpg:grpSpPr>
                                    <wpg:grpSp>
                                      <wpg:cNvPr id="303" name="组合 303"/>
                                      <wpg:cNvGrpSpPr/>
                                      <wpg:grpSpPr>
                                        <a:xfrm>
                                          <a:off x="4047" y="207648"/>
                                          <a:ext cx="7603" cy="5573"/>
                                          <a:chOff x="2259" y="207761"/>
                                          <a:chExt cx="7603" cy="5573"/>
                                        </a:xfrm>
                                      </wpg:grpSpPr>
                                      <wpg:grpSp>
                                        <wpg:cNvPr id="300" name="组合 300"/>
                                        <wpg:cNvGrpSpPr/>
                                        <wpg:grpSpPr>
                                          <a:xfrm>
                                            <a:off x="2259" y="207761"/>
                                            <a:ext cx="6986" cy="5573"/>
                                            <a:chOff x="2877" y="207699"/>
                                            <a:chExt cx="6986" cy="5573"/>
                                          </a:xfrm>
                                        </wpg:grpSpPr>
                                        <wps:wsp>
                                          <wps:cNvPr id="297" name="圆角矩形 297"/>
                                          <wps:cNvSpPr/>
                                          <wps:spPr>
                                            <a:xfrm>
                                              <a:off x="5628" y="209783"/>
                                              <a:ext cx="1260" cy="3250"/>
                                            </a:xfrm>
                                            <a:prstGeom prst="roundRect">
                                              <a:avLst/>
                                            </a:prstGeom>
                                            <a:solidFill>
                                              <a:srgbClr val="000000">
                                                <a:alpha val="0"/>
                                              </a:srgbClr>
                                            </a:solidFill>
                                            <a:ln w="28575" cmpd="dbl">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96" name="组合 296"/>
                                          <wpg:cNvGrpSpPr/>
                                          <wpg:grpSpPr>
                                            <a:xfrm>
                                              <a:off x="2877" y="207699"/>
                                              <a:ext cx="6450" cy="5573"/>
                                              <a:chOff x="2877" y="207699"/>
                                              <a:chExt cx="6450" cy="5573"/>
                                            </a:xfrm>
                                          </wpg:grpSpPr>
                                          <wps:wsp>
                                            <wps:cNvPr id="289" name="直接连接符 289"/>
                                            <wps:cNvCnPr/>
                                            <wps:spPr>
                                              <a:xfrm>
                                                <a:off x="6771" y="212647"/>
                                                <a:ext cx="860" cy="13"/>
                                              </a:xfrm>
                                              <a:prstGeom prst="line">
                                                <a:avLst/>
                                              </a:prstGeom>
                                            </wps:spPr>
                                            <wps:style>
                                              <a:lnRef idx="1">
                                                <a:schemeClr val="dk1"/>
                                              </a:lnRef>
                                              <a:fillRef idx="0">
                                                <a:schemeClr val="dk1"/>
                                              </a:fillRef>
                                              <a:effectRef idx="0">
                                                <a:schemeClr val="dk1"/>
                                              </a:effectRef>
                                              <a:fontRef idx="minor">
                                                <a:schemeClr val="tx1"/>
                                              </a:fontRef>
                                            </wps:style>
                                            <wps:bodyPr/>
                                          </wps:wsp>
                                          <wpg:grpSp>
                                            <wpg:cNvPr id="295" name="组合 295"/>
                                            <wpg:cNvGrpSpPr/>
                                            <wpg:grpSpPr>
                                              <a:xfrm>
                                                <a:off x="2877" y="207699"/>
                                                <a:ext cx="6450" cy="5573"/>
                                                <a:chOff x="2877" y="207699"/>
                                                <a:chExt cx="6450" cy="5573"/>
                                              </a:xfrm>
                                            </wpg:grpSpPr>
                                            <wpg:grpSp>
                                              <wpg:cNvPr id="288" name="组合 288"/>
                                              <wpg:cNvGrpSpPr/>
                                              <wpg:grpSpPr>
                                                <a:xfrm>
                                                  <a:off x="2877" y="207699"/>
                                                  <a:ext cx="5962" cy="5427"/>
                                                  <a:chOff x="2877" y="207699"/>
                                                  <a:chExt cx="5962" cy="5427"/>
                                                </a:xfrm>
                                              </wpg:grpSpPr>
                                              <wps:wsp>
                                                <wps:cNvPr id="281" name="文本框 281"/>
                                                <wps:cNvSpPr txBox="1"/>
                                                <wps:spPr>
                                                  <a:xfrm>
                                                    <a:off x="4262" y="212484"/>
                                                    <a:ext cx="764"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滓渣</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87" name="组合 287"/>
                                                <wpg:cNvGrpSpPr/>
                                                <wpg:grpSpPr>
                                                  <a:xfrm>
                                                    <a:off x="2877" y="207699"/>
                                                    <a:ext cx="5962" cy="5427"/>
                                                    <a:chOff x="2877" y="207699"/>
                                                    <a:chExt cx="5962" cy="5427"/>
                                                  </a:xfrm>
                                                </wpg:grpSpPr>
                                                <wpg:grpSp>
                                                  <wpg:cNvPr id="279" name="组合 279"/>
                                                  <wpg:cNvGrpSpPr/>
                                                  <wpg:grpSpPr>
                                                    <a:xfrm>
                                                      <a:off x="2877" y="207699"/>
                                                      <a:ext cx="5962" cy="5427"/>
                                                      <a:chOff x="2877" y="207699"/>
                                                      <a:chExt cx="5962" cy="5427"/>
                                                    </a:xfrm>
                                                  </wpg:grpSpPr>
                                                  <wps:wsp>
                                                    <wps:cNvPr id="274" name="直接连接符 274"/>
                                                    <wps:cNvCnPr>
                                                      <a:stCxn id="245" idx="3"/>
                                                    </wps:cNvCnPr>
                                                    <wps:spPr>
                                                      <a:xfrm>
                                                        <a:off x="6630" y="209421"/>
                                                        <a:ext cx="1352" cy="6"/>
                                                      </a:xfrm>
                                                      <a:prstGeom prst="line">
                                                        <a:avLst/>
                                                      </a:prstGeom>
                                                    </wps:spPr>
                                                    <wps:style>
                                                      <a:lnRef idx="1">
                                                        <a:schemeClr val="dk1"/>
                                                      </a:lnRef>
                                                      <a:fillRef idx="0">
                                                        <a:schemeClr val="dk1"/>
                                                      </a:fillRef>
                                                      <a:effectRef idx="0">
                                                        <a:schemeClr val="dk1"/>
                                                      </a:effectRef>
                                                      <a:fontRef idx="minor">
                                                        <a:schemeClr val="tx1"/>
                                                      </a:fontRef>
                                                    </wps:style>
                                                    <wps:bodyPr/>
                                                  </wps:wsp>
                                                  <wpg:grpSp>
                                                    <wpg:cNvPr id="278" name="组合 278"/>
                                                    <wpg:cNvGrpSpPr/>
                                                    <wpg:grpSpPr>
                                                      <a:xfrm>
                                                        <a:off x="2877" y="207699"/>
                                                        <a:ext cx="5962" cy="5427"/>
                                                        <a:chOff x="2877" y="207699"/>
                                                        <a:chExt cx="5962" cy="5427"/>
                                                      </a:xfrm>
                                                    </wpg:grpSpPr>
                                                    <wpg:grpSp>
                                                      <wpg:cNvPr id="271" name="组合 271"/>
                                                      <wpg:cNvGrpSpPr/>
                                                      <wpg:grpSpPr>
                                                        <a:xfrm>
                                                          <a:off x="2877" y="207699"/>
                                                          <a:ext cx="4441" cy="5427"/>
                                                          <a:chOff x="2877" y="207699"/>
                                                          <a:chExt cx="4441" cy="5427"/>
                                                        </a:xfrm>
                                                      </wpg:grpSpPr>
                                                      <wpg:grpSp>
                                                        <wpg:cNvPr id="269" name="组合 269"/>
                                                        <wpg:cNvGrpSpPr/>
                                                        <wpg:grpSpPr>
                                                          <a:xfrm>
                                                            <a:off x="2877" y="207699"/>
                                                            <a:ext cx="4441" cy="5427"/>
                                                            <a:chOff x="2877" y="207699"/>
                                                            <a:chExt cx="4441" cy="5427"/>
                                                          </a:xfrm>
                                                        </wpg:grpSpPr>
                                                        <wpg:grpSp>
                                                          <wpg:cNvPr id="266" name="组合 266"/>
                                                          <wpg:cNvGrpSpPr/>
                                                          <wpg:grpSpPr>
                                                            <a:xfrm>
                                                              <a:off x="3335" y="207699"/>
                                                              <a:ext cx="3983" cy="5427"/>
                                                              <a:chOff x="6380" y="207699"/>
                                                              <a:chExt cx="3983" cy="5427"/>
                                                            </a:xfrm>
                                                          </wpg:grpSpPr>
                                                          <wpg:grpSp>
                                                            <wpg:cNvPr id="262" name="组合 262"/>
                                                            <wpg:cNvGrpSpPr/>
                                                            <wpg:grpSpPr>
                                                              <a:xfrm>
                                                                <a:off x="7815" y="207699"/>
                                                                <a:ext cx="2548" cy="5427"/>
                                                                <a:chOff x="4770" y="207699"/>
                                                                <a:chExt cx="2548" cy="5427"/>
                                                              </a:xfrm>
                                                            </wpg:grpSpPr>
                                                            <wpg:grpSp>
                                                              <wpg:cNvPr id="258" name="组合 258"/>
                                                              <wpg:cNvGrpSpPr/>
                                                              <wpg:grpSpPr>
                                                                <a:xfrm>
                                                                  <a:off x="5507" y="207699"/>
                                                                  <a:ext cx="1811" cy="4300"/>
                                                                  <a:chOff x="5507" y="207699"/>
                                                                  <a:chExt cx="1811" cy="4300"/>
                                                                </a:xfrm>
                                                              </wpg:grpSpPr>
                                                              <wpg:grpSp>
                                                                <wpg:cNvPr id="255" name="组合 255"/>
                                                                <wpg:cNvGrpSpPr/>
                                                                <wpg:grpSpPr>
                                                                  <a:xfrm>
                                                                    <a:off x="5567" y="207699"/>
                                                                    <a:ext cx="1751" cy="3538"/>
                                                                    <a:chOff x="5553" y="207687"/>
                                                                    <a:chExt cx="1751" cy="3538"/>
                                                                  </a:xfrm>
                                                                </wpg:grpSpPr>
                                                                <wpg:grpSp>
                                                                  <wpg:cNvPr id="252" name="组合 252"/>
                                                                  <wpg:cNvGrpSpPr/>
                                                                  <wpg:grpSpPr>
                                                                    <a:xfrm>
                                                                      <a:off x="5553" y="207687"/>
                                                                      <a:ext cx="1751" cy="2748"/>
                                                                      <a:chOff x="5553" y="207687"/>
                                                                      <a:chExt cx="1751" cy="2748"/>
                                                                    </a:xfrm>
                                                                  </wpg:grpSpPr>
                                                                  <wpg:grpSp>
                                                                    <wpg:cNvPr id="250" name="组合 250"/>
                                                                    <wpg:cNvGrpSpPr/>
                                                                    <wpg:grpSpPr>
                                                                      <a:xfrm>
                                                                        <a:off x="5553" y="207687"/>
                                                                        <a:ext cx="1751" cy="2342"/>
                                                                        <a:chOff x="5553" y="200885"/>
                                                                        <a:chExt cx="1751" cy="2342"/>
                                                                      </a:xfrm>
                                                                    </wpg:grpSpPr>
                                                                    <wpg:grpSp>
                                                                      <wpg:cNvPr id="248" name="组合 248"/>
                                                                      <wpg:cNvGrpSpPr/>
                                                                      <wpg:grpSpPr>
                                                                        <a:xfrm>
                                                                          <a:off x="5553" y="200885"/>
                                                                          <a:ext cx="1751" cy="1935"/>
                                                                          <a:chOff x="5553" y="200885"/>
                                                                          <a:chExt cx="1751" cy="1935"/>
                                                                        </a:xfrm>
                                                                      </wpg:grpSpPr>
                                                                      <wps:wsp>
                                                                        <wps:cNvPr id="241" name="直接箭头连接符 241"/>
                                                                        <wps:cNvCnPr>
                                                                          <a:stCxn id="240" idx="2"/>
                                                                          <a:endCxn id="243" idx="0"/>
                                                                        </wps:cNvCnPr>
                                                                        <wps:spPr>
                                                                          <a:xfrm>
                                                                            <a:off x="6206" y="201291"/>
                                                                            <a:ext cx="3" cy="39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247" name="组合 247"/>
                                                                        <wpg:cNvGrpSpPr/>
                                                                        <wpg:grpSpPr>
                                                                          <a:xfrm>
                                                                            <a:off x="5553" y="200885"/>
                                                                            <a:ext cx="1751" cy="1935"/>
                                                                            <a:chOff x="5553" y="200885"/>
                                                                            <a:chExt cx="1751" cy="1935"/>
                                                                          </a:xfrm>
                                                                        </wpg:grpSpPr>
                                                                        <wps:wsp>
                                                                          <wps:cNvPr id="242" name="文本框 242"/>
                                                                          <wps:cNvSpPr txBox="1"/>
                                                                          <wps:spPr>
                                                                            <a:xfrm>
                                                                              <a:off x="6103" y="201202"/>
                                                                              <a:ext cx="1201"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运输进厂</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46" name="组合 246"/>
                                                                          <wpg:cNvGrpSpPr/>
                                                                          <wpg:grpSpPr>
                                                                            <a:xfrm>
                                                                              <a:off x="5553" y="200885"/>
                                                                              <a:ext cx="1311" cy="1935"/>
                                                                              <a:chOff x="5553" y="200885"/>
                                                                              <a:chExt cx="1311" cy="1935"/>
                                                                            </a:xfrm>
                                                                          </wpg:grpSpPr>
                                                                          <wps:wsp>
                                                                            <wps:cNvPr id="240" name="文本框 240"/>
                                                                            <wps:cNvSpPr txBox="1"/>
                                                                            <wps:spPr>
                                                                              <a:xfrm>
                                                                                <a:off x="5588" y="200885"/>
                                                                                <a:ext cx="1236"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病死禽畜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3" name="文本框 243"/>
                                                                            <wps:cNvSpPr txBox="1"/>
                                                                            <wps:spPr>
                                                                              <a:xfrm>
                                                                                <a:off x="5553" y="201689"/>
                                                                                <a:ext cx="1311"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冷库暂存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4" name="直接箭头连接符 244"/>
                                                                            <wps:cNvCnPr>
                                                                              <a:stCxn id="243" idx="2"/>
                                                                              <a:endCxn id="245" idx="0"/>
                                                                            </wps:cNvCnPr>
                                                                            <wps:spPr>
                                                                              <a:xfrm>
                                                                                <a:off x="6209" y="202102"/>
                                                                                <a:ext cx="20" cy="31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45" name="文本框 245"/>
                                                                            <wps:cNvSpPr txBox="1"/>
                                                                            <wps:spPr>
                                                                              <a:xfrm>
                                                                                <a:off x="5841" y="202414"/>
                                                                                <a:ext cx="775"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检测</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249" name="直接箭头连接符 249"/>
                                                                      <wps:cNvCnPr>
                                                                        <a:stCxn id="245" idx="2"/>
                                                                        <a:endCxn id="251" idx="0"/>
                                                                      </wps:cNvCnPr>
                                                                      <wps:spPr>
                                                                        <a:xfrm flipH="1">
                                                                          <a:off x="6220" y="202809"/>
                                                                          <a:ext cx="9" cy="41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251" name="文本框 251"/>
                                                                    <wps:cNvSpPr txBox="1"/>
                                                                    <wps:spPr>
                                                                      <a:xfrm>
                                                                        <a:off x="5610" y="210029"/>
                                                                        <a:ext cx="1220"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粉碎</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53" name="直接箭头连接符 253"/>
                                                                  <wps:cNvCnPr>
                                                                    <a:stCxn id="251" idx="2"/>
                                                                    <a:endCxn id="254" idx="0"/>
                                                                  </wps:cNvCnPr>
                                                                  <wps:spPr>
                                                                    <a:xfrm flipH="1">
                                                                      <a:off x="6219" y="210435"/>
                                                                      <a:ext cx="1" cy="38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54" name="文本框 254"/>
                                                                  <wps:cNvSpPr txBox="1"/>
                                                                  <wps:spPr>
                                                                    <a:xfrm>
                                                                      <a:off x="5820" y="210819"/>
                                                                      <a:ext cx="798"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上料</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56" name="直接箭头连接符 256"/>
                                                                <wps:cNvCnPr>
                                                                  <a:stCxn id="254" idx="2"/>
                                                                  <a:endCxn id="257" idx="0"/>
                                                                </wps:cNvCnPr>
                                                                <wps:spPr>
                                                                  <a:xfrm>
                                                                    <a:off x="6233" y="211237"/>
                                                                    <a:ext cx="6" cy="356"/>
                                                                  </a:xfrm>
                                                                  <a:prstGeom prst="straightConnector1">
                                                                    <a:avLst/>
                                                                  </a:prstGeom>
                                                                  <a:ln w="12700"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257" name="文本框 257"/>
                                                                <wps:cNvSpPr txBox="1"/>
                                                                <wps:spPr>
                                                                  <a:xfrm>
                                                                    <a:off x="5507" y="211593"/>
                                                                    <a:ext cx="1463"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反应釜酸解</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59" name="直接箭头连接符 259"/>
                                                              <wps:cNvCnPr>
                                                                <a:stCxn id="257" idx="2"/>
                                                                <a:endCxn id="285" idx="0"/>
                                                              </wps:cNvCnPr>
                                                              <wps:spPr>
                                                                <a:xfrm>
                                                                  <a:off x="6239" y="211999"/>
                                                                  <a:ext cx="9" cy="45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61" name="文本框 261"/>
                                                              <wps:cNvSpPr txBox="1"/>
                                                              <wps:spPr>
                                                                <a:xfrm>
                                                                  <a:off x="4770" y="212720"/>
                                                                  <a:ext cx="1005"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过滤</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63" name="文本框 263"/>
                                                            <wps:cNvSpPr txBox="1"/>
                                                            <wps:spPr>
                                                              <a:xfrm>
                                                                <a:off x="6380" y="210383"/>
                                                                <a:ext cx="1250" cy="669"/>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自动配酸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控制系统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4" name="直接连接符 264"/>
                                                            <wps:cNvCnPr>
                                                              <a:stCxn id="263" idx="2"/>
                                                              <a:endCxn id="14" idx="0"/>
                                                            </wps:cNvCnPr>
                                                            <wps:spPr>
                                                              <a:xfrm>
                                                                <a:off x="7005" y="211052"/>
                                                                <a:ext cx="5" cy="623"/>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直接箭头连接符 265"/>
                                                            <wps:cNvCnPr/>
                                                            <wps:spPr>
                                                              <a:xfrm flipV="1">
                                                                <a:off x="7034" y="211703"/>
                                                                <a:ext cx="1437" cy="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267" name="直接箭头连接符 267"/>
                                                          <wps:cNvCnPr>
                                                            <a:stCxn id="268" idx="2"/>
                                                            <a:endCxn id="263" idx="0"/>
                                                          </wps:cNvCnPr>
                                                          <wps:spPr>
                                                            <a:xfrm>
                                                              <a:off x="3946" y="209418"/>
                                                              <a:ext cx="14" cy="9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68" name="文本框 268"/>
                                                          <wps:cNvSpPr txBox="1"/>
                                                          <wps:spPr>
                                                            <a:xfrm>
                                                              <a:off x="2877" y="209023"/>
                                                              <a:ext cx="2137" cy="395"/>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数据运算</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70" name="直接箭头连接符 270"/>
                                                        <wps:cNvCnPr>
                                                          <a:stCxn id="245" idx="1"/>
                                                          <a:endCxn id="268" idx="2"/>
                                                        </wps:cNvCnPr>
                                                        <wps:spPr>
                                                          <a:xfrm flipH="1" flipV="1">
                                                            <a:off x="3947" y="209418"/>
                                                            <a:ext cx="190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275" name="直接箭头连接符 275"/>
                                                      <wps:cNvCnPr>
                                                        <a:endCxn id="276" idx="0"/>
                                                      </wps:cNvCnPr>
                                                      <wps:spPr>
                                                        <a:xfrm>
                                                          <a:off x="7989" y="209452"/>
                                                          <a:ext cx="18" cy="9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76" name="文本框 276"/>
                                                      <wps:cNvSpPr txBox="1"/>
                                                      <wps:spPr>
                                                        <a:xfrm>
                                                          <a:off x="7174" y="210407"/>
                                                          <a:ext cx="1665"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sz w:val="21"/>
                                                                <w:szCs w:val="21"/>
                                                                <w:highlight w:val="none"/>
                                                                <w:lang w:val="en-US" w:eastAsia="zh-CN"/>
                                                              </w:rPr>
                                                            </w:pPr>
                                                            <w:r>
                                                              <w:rPr>
                                                                <w:rFonts w:hint="eastAsia" w:eastAsia="宋体"/>
                                                                <w:sz w:val="21"/>
                                                                <w:szCs w:val="21"/>
                                                                <w:highlight w:val="none"/>
                                                                <w:lang w:val="en-US" w:eastAsia="zh-CN"/>
                                                              </w:rPr>
                                                              <w:t>自动消毒系统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7" name="直接箭头连接符 277"/>
                                                      <wps:cNvCnPr>
                                                        <a:stCxn id="276" idx="1"/>
                                                      </wps:cNvCnPr>
                                                      <wps:spPr>
                                                        <a:xfrm flipH="1">
                                                          <a:off x="6264" y="210610"/>
                                                          <a:ext cx="910" cy="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s:wsp>
                                                  <wps:cNvPr id="284" name="直接箭头连接符 284"/>
                                                  <wps:cNvCnPr>
                                                    <a:stCxn id="285" idx="1"/>
                                                    <a:endCxn id="281" idx="3"/>
                                                  </wps:cNvCnPr>
                                                  <wps:spPr>
                                                    <a:xfrm flipH="1">
                                                      <a:off x="5026" y="212673"/>
                                                      <a:ext cx="486" cy="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5" name="文本框 285"/>
                                                  <wps:cNvSpPr txBox="1"/>
                                                  <wps:spPr>
                                                    <a:xfrm>
                                                      <a:off x="5512" y="212451"/>
                                                      <a:ext cx="1472" cy="443"/>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原液储存罐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6" name="文本框 286"/>
                                                  <wps:cNvSpPr txBox="1"/>
                                                  <wps:spPr>
                                                    <a:xfrm>
                                                      <a:off x="6739" y="211963"/>
                                                      <a:ext cx="1086" cy="644"/>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氨基酸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滤液</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90" name="直接连接符 290"/>
                                              <wps:cNvCnPr/>
                                              <wps:spPr>
                                                <a:xfrm>
                                                  <a:off x="7652" y="212322"/>
                                                  <a:ext cx="0" cy="774"/>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直接箭头连接符 291"/>
                                              <wps:cNvCnPr>
                                                <a:endCxn id="293" idx="1"/>
                                              </wps:cNvCnPr>
                                              <wps:spPr>
                                                <a:xfrm flipV="1">
                                                  <a:off x="7644" y="212317"/>
                                                  <a:ext cx="321" cy="1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92" name="直接箭头连接符 292"/>
                                              <wps:cNvCnPr>
                                                <a:endCxn id="294" idx="1"/>
                                              </wps:cNvCnPr>
                                              <wps:spPr>
                                                <a:xfrm>
                                                  <a:off x="7655" y="213074"/>
                                                  <a:ext cx="288" cy="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93" name="文本框 293"/>
                                              <wps:cNvSpPr txBox="1"/>
                                              <wps:spPr>
                                                <a:xfrm>
                                                  <a:off x="7965" y="212126"/>
                                                  <a:ext cx="1147" cy="381"/>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动物油脂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4" name="文本框 294"/>
                                              <wps:cNvSpPr txBox="1"/>
                                              <wps:spPr>
                                                <a:xfrm>
                                                  <a:off x="7943" y="212891"/>
                                                  <a:ext cx="1384" cy="381"/>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氨基酸原液</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98" name="直接箭头连接符 298"/>
                                          <wps:cNvCnPr>
                                            <a:stCxn id="297" idx="3"/>
                                            <a:endCxn id="299" idx="1"/>
                                          </wps:cNvCnPr>
                                          <wps:spPr>
                                            <a:xfrm flipV="1">
                                              <a:off x="6888" y="211382"/>
                                              <a:ext cx="1475" cy="26"/>
                                            </a:xfrm>
                                            <a:prstGeom prst="straightConnector1">
                                              <a:avLst/>
                                            </a:prstGeom>
                                            <a:ln w="12700">
                                              <a:prstDash val="sysDot"/>
                                              <a:tailEnd type="arrow" w="med" len="med"/>
                                            </a:ln>
                                          </wps:spPr>
                                          <wps:style>
                                            <a:lnRef idx="1">
                                              <a:schemeClr val="dk1"/>
                                            </a:lnRef>
                                            <a:fillRef idx="0">
                                              <a:schemeClr val="dk1"/>
                                            </a:fillRef>
                                            <a:effectRef idx="0">
                                              <a:schemeClr val="dk1"/>
                                            </a:effectRef>
                                            <a:fontRef idx="minor">
                                              <a:schemeClr val="tx1"/>
                                            </a:fontRef>
                                          </wps:style>
                                          <wps:bodyPr/>
                                        </wps:wsp>
                                        <wps:wsp>
                                          <wps:cNvPr id="299" name="文本框 299"/>
                                          <wps:cNvSpPr txBox="1"/>
                                          <wps:spPr>
                                            <a:xfrm>
                                              <a:off x="8363" y="210873"/>
                                              <a:ext cx="1500" cy="1019"/>
                                            </a:xfrm>
                                            <a:prstGeom prst="rect">
                                              <a:avLst/>
                                            </a:prstGeom>
                                            <a:solidFill>
                                              <a:srgbClr val="000000">
                                                <a:alpha val="0"/>
                                              </a:srgbClr>
                                            </a:solidFill>
                                            <a:ln w="12700" cmpd="sng">
                                              <a:solidFill>
                                                <a:schemeClr val="tx1"/>
                                              </a:solidFill>
                                              <a:prstDash val="sysDot"/>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恶臭、废气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清洗废水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设备噪声</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01" name="直接箭头连接符 301"/>
                                        <wps:cNvCnPr>
                                          <a:stCxn id="294" idx="3"/>
                                          <a:endCxn id="302" idx="1"/>
                                        </wps:cNvCnPr>
                                        <wps:spPr>
                                          <a:xfrm flipV="1">
                                            <a:off x="8709" y="213134"/>
                                            <a:ext cx="281"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02" name="文本框 302"/>
                                        <wps:cNvSpPr txBox="1"/>
                                        <wps:spPr>
                                          <a:xfrm>
                                            <a:off x="8990" y="212944"/>
                                            <a:ext cx="872" cy="381"/>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09" name="矩形 309"/>
                                      <wps:cNvSpPr/>
                                      <wps:spPr>
                                        <a:xfrm>
                                          <a:off x="4088" y="207490"/>
                                          <a:ext cx="7702" cy="624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4" name="文本框 14"/>
                                    <wps:cNvSpPr txBox="1"/>
                                    <wps:spPr>
                                      <a:xfrm>
                                        <a:off x="3038" y="213022"/>
                                        <a:ext cx="750" cy="644"/>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燃气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锅炉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3689" y="213385"/>
                                        <a:ext cx="1251" cy="420"/>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蒸汽供热</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0" name="文本框 20"/>
                                <wps:cNvSpPr txBox="1"/>
                                <wps:spPr>
                                  <a:xfrm>
                                    <a:off x="3215" y="214399"/>
                                    <a:ext cx="1200" cy="436"/>
                                  </a:xfrm>
                                  <a:prstGeom prst="rect">
                                    <a:avLst/>
                                  </a:prstGeom>
                                  <a:solidFill>
                                    <a:srgbClr val="000000">
                                      <a:alpha val="0"/>
                                    </a:srgbClr>
                                  </a:solidFill>
                                  <a:ln w="12700" cmpd="sng">
                                    <a:solidFill>
                                      <a:schemeClr val="tx1"/>
                                    </a:solidFill>
                                    <a:prstDash val="sysDot"/>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锅炉烟气</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5.75pt;margin-top:7.8pt;height:313.65pt;width:387.15pt;z-index:251661312;mso-width-relative:page;mso-height-relative:page;" coordorigin="2738,209012" coordsize="7743,6273" o:gfxdata="UEsDBAoAAAAAAIdO4kAAAAAAAAAAAAAAAAAEAAAAZHJzL1BLAwQUAAAACACHTuJArbfg1dkAAAAJ&#10;AQAADwAAAGRycy9kb3ducmV2LnhtbE2PQUvDQBCF74L/YRnBm91sNbHGbIoU9VQKtoJ4m2anSWh2&#10;N2S3SfvvHU96Gh7v8eZ7xfJsOzHSEFrvNKhZAoJc5U3rag2fu7e7BYgQ0RnsvCMNFwqwLK+vCsyN&#10;n9wHjdtYCy5xIUcNTYx9LmWoGrIYZr4nx97BDxYjy6GWZsCJy20n50mSSYut4w8N9rRqqDpuT1bD&#10;+4TTy716HdfHw+ryvUs3X2tFWt/eqOQZRKRz/AvDLz6jQ8lMe39yJoiOtUo5yTfNQLD/uEh5yl5D&#10;9jB/AlkW8v+C8gdQSwMEFAAAAAgAh07iQN9leuLHDwAA45UAAA4AAABkcnMvZTJvRG9jLnhtbO1d&#10;W4/kRhV+R+I/WP1OxvfLKLPRspsNSIFEhMuzp+9St93Y3p1ZnlHgCSEeeCECgbgIKfCUN4T4Nbub&#10;n8F36ubybabdPe3J7DqRZt3lLrd9/NVX3zl1qur9D663G+PFPMvXaXIxsd4zJ8Y8maazdbK8mPzk&#10;x8++E06MvIiTWbxJk/nF5OU8n3zw6Nvfev9qdz6301W6mc0zAxdJ8vOr3cVkVRS787OzfLqab+P8&#10;vXQ3T3BykWbbuMDHbHk2y+IrXH27ObNN0z+7SrPZLkun8zxH6VN+ciKumO1zwXSxWE/nT9Pp8+08&#10;KfhVs/kmLvBI+Wq9yyeP2N0uFvNp8clikc8LY3MxwZMW7C9+BMeX9Pfs0fvx+TKLd6v1VNxCvM8t&#10;1J5pG68T/Ki61NO4iI3n2bpxqe16mqV5uijem6bbM/4gzCJ4Csus2eajLH2+Y8+yPL9a7pTR8aJq&#10;Vj/4stMfvvg0M9azi4ltT4wk3uKNv/nPL1/99tcGCmCdq93yHF/6KNt9tvs0EwVL/oke+HqRbelf&#10;PIpxzez6Utl1fl0YUxS6keWHpjcxpjjnRKHjmcLy0xVeD9WzAwe4w2nbjEyL/XJ8Pl19KK4QBK7D&#10;q/v4Jt3XmfzpM7pDdUNXO6AyL02VH2eqz1bxbs7eQE5WEKayImWqP3z1+jd/e/Pvf73661df/++P&#10;dPzl3w2cZ4ZidZ4kwmz5eQ4LSpsZi8169z00QAYbYT0ntANuBcsJfWEFaUULmCUDerZbMUB8vsvy&#10;4qN5ujXo4GKSF1m8Xq6KJ2mSoAGkGf+N+MXHecEtJyvQzSTps/Vmg/L4fJMYV7gjO8DrMaYxGvcC&#10;jQqH2x0AkifLiRFvlmCNaZGx287TzXpG1al2ni0vn2wy40WMtvYsov/5l1bxbM5LI7x48ebzuPhB&#10;OuPFlinL8VbFZdgbrlyfbvppnK94nfxl/jQtyBDxeRGvNx8mM6N4uQN84yxLryb0JNv5bGJs5rhh&#10;OuKPvklwZUIJfxl0dJnOXrJ3xMqBHo56hqkTtzlLAUm0OYsjp1eba207EjXNlkPt6s5bnWiCpzWX&#10;BYqoUBQK8FZ7UtQR5nJskBgjqRD/cfC1k5TrCbxxfrwPksKtCmO1kxS7Q8I/iK2DpKhxSWoK8MDs&#10;2S3HiVjd+FyCzDIjUCJj98pj3zU1RR69gG86MxEpcmw8WGKy0A1VW1pAT9S3pbW1F4kZnZh4a9GJ&#10;qa3mQS1tEGJyqG+u2ItKhjSYa7pCOZiBGyl19WGLfrqFmoYxmAk5VzUYSvobTH9s3xWMrBDm068w&#10;yeRx0agjzPZAWYzLg8Bn3W5FcDbqdgrOgQzWQBhXUn2bZNtjS4P5Ueh3GywMFMJ80D1elm6wZt1O&#10;gw2g0O1IEdirLz7/+h+/e/Onf776718MKmcoY72e8mikGpQ+her1PN9WbkkQMoRqvZ7tC0kOtmJN&#10;Tj1yo+ODJ5fMfgQ1ziRxhxSvyN2KnIZsJuVMJo83u1XMNbD8zU7JzAW9HXpBW7c5u9zsL+jFHcB4&#10;pNF13d+ly/G9TrFtZCl3xfPd9Nkawv7jOC8+jTP43jApohPFJ/iz2KRQ8ak4mhirNPtFWzl9H34e&#10;zkL2w5eHr/Lz53E2h/j/fgIPMLJcF5ct2AfXC2x8yPQzl/qZ5Pn2SQoXBtocd8cO6fvFRh4usnT7&#10;MwQxHtOv4lScTPHb3CsSH54UPMaAMMh0/vgx+xoc/l1cfJx8tptKty9JHz8v0sWauWWlKyI8lEE9&#10;kQgtv0LINkr6E7LdxhKKX1w0k05CbqtZdvl+o65qbPcgru2wFgIonX86VVLM7cLaDwIgjToiy/bR&#10;iaNuSTGhZBirGvRo8MtmnVCcAvSwp5d/F1JacAL9bH4aJ19K6Zu4hCiJ2s6wzaX0roTnzn2ivt1x&#10;G+gHbi6D6BebvMcqv3AH+i4N5kWImXF+cRFIYy2pjHW0mbrkl2bd++UXFRl6/ftfvf7iy9d//tyw&#10;QxEdUuLFKK6/myJ6qsr1CCM1S+G8uzYZhnOMG7LwYckxge9yo7kmY3z13A2Sye5Hv/iIFzNuU6HK&#10;djoori+vBfPykN5bqTIQj+WC4+FpjFCJcjnEgBL2xvrFO9tasiTNZjvWnb62mgdxwDCkGZQqQ/Qy&#10;KHmYBhvC6QtAZKKPYSFPTZThlKAGEe1koqV4cp3wwS8ERXAAKuU6SwuLUtSr0z/0fQeKlkURItcW&#10;UQQJRcvxRHd0C6+O4m1Y8RY0tAhKHmazGoiHlBqRxA2f5Y4N5roufoVF63qLt2ZdJWLqzuEwBvMb&#10;xI2S0WDI99BzGsoRddtvhB9Q0t9gjuOAyHlUVwUpJR9T5kEnwnwnlEweqJqlNGjWvW+ENdI1eL5A&#10;T38qCK1ug9keQupdTdINgpsM1qx7zwbzGqSPkv4I8zyzGQaXCLNCS3CY68hEB+WAttYsEdase98G&#10;a4Q4PDFk3Eute55/g8ECTxjM8ZAAhNehqXXP89BeRWPmnoI+4mA16t63wRpNEvrvEIS1PLZCmHpo&#10;O5DjXRrCWmpqCGvUvW+DgUCqMSE+jNKTw1px0mIwx1V5ZSL/RatphqFIamg1mKh7zwYjOq4ajGPg&#10;cIOVj900mBWhM+1skmXNNoPJup0GG8IfJEGp+4P1PD0bX2DtU+XA1L1CAJR5hTIVL5mVHiO4iZ3j&#10;o3B7e4w2omyc1Cw7qnmMQp5AbNB9Kds1AnFHZvjdRez/9Al+Mvb/kPP7KCmj1mAPiXi18tTb2GBV&#10;D6pFvTlri/ZFQ/b7Rr19i/I/mH6wbFM2YZERgxIp1cawN+XLfsMH1x9w2Ntt+LYoOUoXln2vIgFH&#10;eh6y520X0mVNrddu1FU9Tz16MkivrVShTgKslz2ABDxP5q2a5bMrq9kO3g3FnMaxL+TavJskMAim&#10;0RFxHaBjWmQ89h7O1eQAJtaIVDyFadWaR0yPmGaT9E4yCcp2a6NtTe/qtjE36UFJaaZ7V3I8rrd3&#10;JbN6basu+Sjtj81R4PPLVCc3uld3P31qEFJVAUqdVEWMsj+phhQuYN4C4gL1HBmWQDvqBJ6T+y7q&#10;hFIJs3RDMYxYPSZ5evLJp7Zbji22TuyiL9wc1ZLc2sK7FI7fN6rVOoXVt4lmeTMKzZo2wZ0zsc3n&#10;7Y0EPKMXdYr4lo7WYVBJwGkoXBSWSOwTuvEQu+EoskzTrqHIYhAbvbaHMi/iBKGbe8C38uDetLMu&#10;ht5KrFPaf20sQTFrG+tCSh/JurQmAbGuZbpy1EZ5hEL28sTfkXVPxroDMa3yuzTZ6+m+Vi+mDWV/&#10;bZkhX7hCSw3HQNQYHnswE9DeDqIto+UdRCuC512DtmgKnYO2Hsbj9iVa4m8xf8K3HTGSZFm2U5uj&#10;JSLIjndLlu+Rg7Z3sizL3rM4bx58RUeHbqRzdiedFlzIs6dP7xTRi23KTzHW2j8WoJK8LMuLWMde&#10;kqLl+gDDKD9H+YklsQbD921OP1YzuFl+SuZrkZ/IfDqQFaXotCK5IoAUndLV5ylwo+h84KITK2Q0&#10;+ZUvm0FMj0zuPqKzzB1Grwb9CeRq/GrKpeLGAax3dABrePeeuvSGfkBhyal98F1OJkAKUnPZELkK&#10;gs8nhXST4zjh9huwrMcJvKphAgU0r5tjmoestOmQOFUiuyVYRc2B+UlNtYChsUPEAtaUhMpgESos&#10;9ygvK5LxcIb0NNwsuq3u9jBOlJQTJYcYaPLxWnT8NAb48YUqisSnvL7O6U/lgjfCnw5MByjiYMAx&#10;XUXr/1142Ny/uhkNRzrUYxb0PXSzyk3viKJjrlAVUrUouo+AZAcx2Yq0+uWMOBElaBIYzcjlI5M6&#10;GDkUI471bmoawXj0kruDcJqaQaMFzwGqEnR9dJ622lVk8s6rhI5tSR4T66V2g2fUeW+nzhueYGlO&#10;7o19Nr5QYr1F+amFMOTUJC0pr0q+LMSrVtMgSdvo99n65ixNpK4AQLroCrpIN0LiCFMAt+jBkXSP&#10;JN17AOhtohKZdk2AzjUUBuitDxjDCSJas08gru6A0Mri5IFEfIpzN1OPiDsSccO4voSRRjgHhSWy&#10;+nTzgUUrCxF0kF2B6f+4StnNWz75SeNw0Ds8HDQQpm/znbA+c4nvlq5dESfr2vftvgnrahicQkq8&#10;HVCCXqUdRJSxx5oBlY8MerIBH73P1o+HQSGSyG4WmDzLjG5GaUMsD1uutKYGG1sEJha45F07132V&#10;i9CHdoGpIdQzbeHLYzFduea7HJJ05ermWPJmhOjNGR7Hbp8zhC9PSGp08nwVD4GcPp2852FaECc3&#10;2+WJy1on7wY4ydgNG1HdCJ7Rl387fXmC1OnzmIiimpg+VLiCAssMDT6aqWHalHzoYyrfiOl3cAUE&#10;XT7ox8NgHdvUVKSENj7Jd7ARLE5SFvCkT7oA0Lr9wIdDL7jb4fsWljgXshT7Dd0M8nFwccjBRSx9&#10;VHn5jcFFvjaSBgHmdGtxIORlcrG4rztTj0Fi4XPpztgOdrwCxkrUOFjNl3X4/MToz5zMnxmIbNTS&#10;Qh0jjxHLSbgJbwALizvugbcqN0GnMqfZwd5cVZSxbRFIVo4Lfk3YpkLcPKfYN28I9UaU1FBvPH9c&#10;AKuPRxLQoLPo1eDOVpFjWTSAQtBx+LYQ3Qw1eiSjR7LHbtPtex3bkQr4aCPmKBSKrGfmbxDRRs6M&#10;DbFRkgwByTXZHIoujZh+h0PpuheiHw8kElR2SJdI0DNFWkLstO0g0wgyp03Xq3DF99UPrWPmPu05&#10;zNsOtgevpVCiOxDDULyn6O4OjhzCvJN5aKdfPfTE24MPoiYAmKaa0Of59FEToUP5cYx5zbAeGrew&#10;Abtwd0w+CbgbP/ckJyTu1F70pLGZZmzdgH7vmY4KKHjilhmN46ZSxmEbVw7O3g4t6MrbSzt70xdK&#10;1dLG3tLDa7K3g8XEjmPvMKCkJtb+HAvpz5VoA23txoQPa93dbe9I7h5TngfREQwsdeamwhJ9vZg7&#10;okgp18wRD9WXcapQDkyNbuA4WY7FyE8+SOUQkQmi5dtqU0kV2+JTR7zexVK8HNHabvVymB77yoix&#10;Vh8DsXTdbj68TYuoHSOpb6cxbakiaJPoxSYuwLpKUBjxZpnwbZzvSFvIMfZ2afEWb1I5LbK736Zy&#10;cEVBU93qNM5XhjwgmudgJqjs/836GFWgpoSOQ7HjOtRwLncnWbPXaskuQFmVuvfdXsGhpaeFoHV4&#10;2k0pSyyb1jtjCTN8fv/hHH6rj0dkHW92q9h4EW8uJnz2F3zDbHn5ZINl2PDTlWvwnmDcVRiWElsJ&#10;X0zQEd71rsI6XevHg0hwgK5B3RyIh1C3LTfJs1ynvtAJNhIRoRMXmwkcpVYqKBXwFZhm4Qy2CXZ/&#10;pEvNo4TOHambMXKSDdNwrpZYZwgstszi3Wo9fRoXsf4Zx1e787mdrtLNbJ49+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5EgAAW0NvbnRlbnRf&#10;VHlwZXNdLnhtbFBLAQIUAAoAAAAAAIdO4kAAAAAAAAAAAAAAAAAGAAAAAAAAAAAAEAAAABsRAABf&#10;cmVscy9QSwECFAAUAAAACACHTuJAihRmPNEAAACUAQAACwAAAAAAAAABACAAAAA/EQAAX3JlbHMv&#10;LnJlbHNQSwECFAAKAAAAAACHTuJAAAAAAAAAAAAAAAAABAAAAAAAAAAAABAAAAAAAAAAZHJzL1BL&#10;AQIUABQAAAAIAIdO4kCtt+DV2QAAAAkBAAAPAAAAAAAAAAEAIAAAACIAAABkcnMvZG93bnJldi54&#10;bWxQSwECFAAUAAAACACHTuJA32V64scPAADjlQAADgAAAAAAAAABACAAAAAoAQAAZHJzL2Uyb0Rv&#10;Yy54bWxQSwUGAAAAAAYABgBZAQAAYRMAAAAA&#10;">
                      <o:lock v:ext="edit" aspectratio="f"/>
                      <v:shape id="_x0000_s1026" o:spid="_x0000_s1026" o:spt="32" type="#_x0000_t32" style="position:absolute;left:3827;top:213862;flip:x;height:524;width:10;" filled="f" stroked="t" coordsize="21600,21600" o:gfxdata="UEsDBAoAAAAAAIdO4kAAAAAAAAAAAAAAAAAEAAAAZHJzL1BLAwQUAAAACACHTuJAVScAJboAAADb&#10;AAAADwAAAGRycy9kb3ducmV2LnhtbEVP24rCMBB9F/Yfwiz4ImtaBdFqFFxQFgTBKuzr0IxNsZmU&#10;JOvl7zeC4NscznUWq7ttxZV8aBwryIcZCOLK6YZrBafj5msKIkRkja1jUvCgAKvlR2+BhXY3PtC1&#10;jLVIIRwKVGBi7AopQ2XIYhi6jjhxZ+ctxgR9LbXHWwq3rRxl2URabDg1GOzo21B1Kf+sgt+tqcKg&#10;XF/CehNn03y82ze5V6r/mWdzEJHu8S1+uX90mj+D5y/pALn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JwAlugAAANsA&#10;AAAPAAAAAAAAAAEAIAAAACIAAABkcnMvZG93bnJldi54bWxQSwECFAAUAAAACACHTuJAMy8FnjsA&#10;AAA5AAAAEAAAAAAAAAABACAAAAAJAQAAZHJzL3NoYXBleG1sLnhtbFBLBQYAAAAABgAGAFsBAACz&#10;AwAAAAA=&#10;">
                        <v:fill on="f" focussize="0,0"/>
                        <v:stroke weight="1pt" color="#000000 [3200]" joinstyle="round" dashstyle="1 1" endarrow="open"/>
                        <v:imagedata o:title=""/>
                        <o:lock v:ext="edit" aspectratio="f"/>
                      </v:shape>
                      <v:group id="_x0000_s1026" o:spid="_x0000_s1026" o:spt="203" style="position:absolute;left:2738;top:209012;height:6273;width:7743;" coordorigin="2738,209012" coordsize="7743,627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738;top:209012;height:6273;width:7743;" coordorigin="2325,208888" coordsize="7743,6245"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3788;top:213395;height:3;width:1099;" filled="f" stroked="t" coordsize="21600,21600" o:gfxdata="UEsDBAoAAAAAAIdO4kAAAAAAAAAAAAAAAAAEAAAAZHJzL1BLAwQUAAAACACHTuJA3CwL+bkAAADb&#10;AAAADwAAAGRycy9kb3ducmV2LnhtbEVPzYrCMBC+L/gOYQRva2rRRarRgyBYcFlWfYChGdtiM6nN&#10;WPXtNwuCt/n4fme5frhG9dSF2rOByTgBRVx4W3Np4HTcfs5BBUG22HgmA08KsF4NPpaYWX/nX+oP&#10;UqoYwiFDA5VIm2kdioochrFviSN39p1DibArte3wHsNdo9Mk+dIOa44NFba0qai4HG7OQJpf5bnd&#10;59L/yOz76tL9NG8LY0bDSbIAJfSQt/jl3tk4fwb/v8QD9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sC/m5AAAA2w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group id="_x0000_s1026" o:spid="_x0000_s1026" o:spt="203" style="position:absolute;left:2325;top:208888;height:6245;width:7743;" coordorigin="2325,208888" coordsize="7743,624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325;top:208888;height:6245;width:7743;" coordorigin="4047,207490" coordsize="7743,624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4047;top:207648;height:5573;width:7603;" coordorigin="2259,207761" coordsize="7603,5573"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259;top:207761;height:5573;width:6986;" coordorigin="2877,207699" coordsize="6986,5573"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roundrect id="_x0000_s1026" o:spid="_x0000_s1026" o:spt="2" style="position:absolute;left:5628;top:209783;height:3250;width:1260;v-text-anchor:middle;" fillcolor="#000000" filled="t" stroked="t" coordsize="21600,21600" arcsize="0.166666666666667" o:gfxdata="UEsDBAoAAAAAAIdO4kAAAAAAAAAAAAAAAAAEAAAAZHJzL1BLAwQUAAAACACHTuJAkmGmxr0AAADc&#10;AAAADwAAAGRycy9kb3ducmV2LnhtbEWPT4vCMBTE7wt+h/AEb5oq4mo1iiwrKMii1Yu3R/P6R5uX&#10;0kTrfvuNIOxxmJnfMIvV01TiQY0rLSsYDiIQxKnVJecKzqdNfwrCeWSNlWVS8EsOVsvOxwJjbVs+&#10;0iPxuQgQdjEqKLyvYyldWpBBN7A1cfAy2xj0QTa51A22AW4qOYqiiTRYclgosKavgtJbcjcKLiVN&#10;9j/ra1vt8jEdMMmy+lsq1esOozkIT0//H363t1rBaPYJrzPh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YabGvQAA&#10;ANwAAAAPAAAAAAAAAAEAIAAAACIAAABkcnMvZG93bnJldi54bWxQSwECFAAUAAAACACHTuJAMy8F&#10;njsAAAA5AAAAEAAAAAAAAAABACAAAAAMAQAAZHJzL3NoYXBleG1sLnhtbFBLBQYAAAAABgAGAFsB&#10;AAC2AwAAAAA=&#10;">
                                    <v:fill on="t" opacity="0f" focussize="0,0"/>
                                    <v:stroke weight="2.25pt" color="#000000 [3213]" linestyle="thinThin" joinstyle="round" dashstyle="1 1"/>
                                    <v:imagedata o:title=""/>
                                    <o:lock v:ext="edit" aspectratio="f"/>
                                  </v:roundrect>
                                  <v:group id="_x0000_s1026" o:spid="_x0000_s1026" o:spt="203" style="position:absolute;left:2877;top:207699;height:5573;width:6450;" coordorigin="2877,207699" coordsize="6450,5573"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771;top:212647;height:13;width:860;" filled="f" stroked="t" coordsize="21600,21600" o:gfxdata="UEsDBAoAAAAAAIdO4kAAAAAAAAAAAAAAAAAEAAAAZHJzL1BLAwQUAAAACACHTuJAwzFSnL4AAADc&#10;AAAADwAAAGRycy9kb3ducmV2LnhtbEWPzYvCMBTE74L/Q3iCF9HELohWowd3C3vYi194fTTPtti8&#10;1CZ+7P71G0HwOMzMb5jF6mFrcaPWV441jEcKBHHuTMWFhv0uG05B+IBssHZMGn7Jw2rZ7SwwNe7O&#10;G7ptQyEihH2KGsoQmlRKn5dk0Y9cQxy9k2sthijbQpoW7xFua5koNZEWK44LJTa0Lik/b69Wg88O&#10;dMn+BvlAHT8KR8nl8+cLte73xmoOItAjvMOv9rfRkEx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FSnL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2877;top:207699;height:5573;width:6450;" coordorigin="2877,207699" coordsize="6450,5573"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877;top:207699;height:5427;width:5962;" coordorigin="2877,207699" coordsize="5962,5427" o:gfxdata="UEsDBAoAAAAAAIdO4kAAAAAAAAAAAAAAAAAEAAAAZHJzL1BLAwQUAAAACACHTuJAxRrz8bkAAADc&#10;AAAADwAAAGRycy9kb3ducmV2LnhtbEVPy6rCMBDdC/5DGMGdplW8SDWKiIoLEa4K4m5oxrbYTEoT&#10;W/17sxBcHs57vnyZUjRUu8KygngYgSBOrS44U3A5bwdTEM4jaywtk4I3OVguup05Jtq2/E/NyWci&#10;hLBLUEHufZVI6dKcDLqhrYgDd7e1QR9gnUldYxvCTSlHUfQnDRYcGnKsaJ1T+jg9jYJdi+1qHG+a&#10;w+O+ft/Ok+P1EJNS/V4czUB4evmf+OveawWja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FGvPxuQAAANwAAAAPAAAAAAAAAAEAIAAAACIAAABkcnMvZG93bnJldi54bWxQSwEC&#10;FAAUAAAACACHTuJAMy8FnjsAAAA5AAAAFQAAAAAAAAABACAAAAAIAQAAZHJzL2dyb3Vwc2hhcGV4&#10;bWwueG1sUEsFBgAAAAAGAAYAYAEAAMUDAAAAAA==&#10;">
                                        <o:lock v:ext="edit" aspectratio="f"/>
                                        <v:shape id="_x0000_s1026" o:spid="_x0000_s1026" o:spt="202" type="#_x0000_t202" style="position:absolute;left:4262;top:212484;height:406;width:764;" fillcolor="#000000" filled="t" stroked="f" coordsize="21600,21600" o:gfxdata="UEsDBAoAAAAAAIdO4kAAAAAAAAAAAAAAAAAEAAAAZHJzL1BLAwQUAAAACACHTuJAyxbXFb4AAADc&#10;AAAADwAAAGRycy9kb3ducmV2LnhtbEWPzW7CMBCE75V4B2uReit2UFVFKU4OIFQOHCj0AZZ4iSPi&#10;dYhdfvL0daVKPY5m5hvNorq7TlxpCK1nDdlMgSCuvWm50fB1WL/kIEJENth5Jg0PClCVk6cFFsbf&#10;+JOu+9iIBOFQoAYbY19IGWpLDsPM98TJO/nBYUxyaKQZ8JbgrpNzpd6kw5bTgsWelpbq8/7baXiV&#10;o9rFD0vHvB6bdtyujhc6aP08zdQ7iEj3+B/+a2+Mhnmewe+ZdARk+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bXF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滓渣</w:t>
                                                </w:r>
                                              </w:p>
                                            </w:txbxContent>
                                          </v:textbox>
                                        </v:shape>
                                        <v:group id="_x0000_s1026" o:spid="_x0000_s1026" o:spt="203" style="position:absolute;left:2877;top:207699;height:5427;width:5962;" coordorigin="2877,207699" coordsize="5962,5427" o:gfxdata="UEsDBAoAAAAAAIdO4kAAAAAAAAAAAAAAAAAEAAAAZHJzL1BLAwQUAAAACACHTuJAtIVng78AAADc&#10;AAAADwAAAGRycy9kb3ducmV2LnhtbEWPQWvCQBSE74X+h+UJ3uomijVE11CkigcpaITS2yP7TEKy&#10;b0N2m+i/7xYKPQ4z8w2zye6mFQP1rrasIJ5FIIgLq2suFVzz/UsCwnlkja1lUvAgB9n2+WmDqbYj&#10;n2m4+FIECLsUFVTed6mUrqjIoJvZjjh4N9sb9EH2pdQ9jgFuWjmPoldpsOawUGFHu4qK5vJtFBxG&#10;HN8W8ftwam67x1e+/Pg8xaTUdBJHaxCe7v4//Nc+agXzZAW/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hWeD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77;top:207699;height:5427;width:5962;" coordorigin="2877,207699" coordsize="5962,5427" o:gfxdata="UEsDBAoAAAAAAIdO4kAAAAAAAAAAAAAAAAAEAAAAZHJzL1BLAwQUAAAACACHTuJAn4MmTb8AAADc&#10;AAAADwAAAGRycy9kb3ducmV2LnhtbEWPS4vCQBCE7wv+h6EFb+skyvqIjiLiLh5E8AHircm0STDT&#10;EzKzif57R1jYY1FVX1Hz5cOUoqHaFZYVxP0IBHFqdcGZgvPp+3MCwnlkjaVlUvAkB8tF52OOibYt&#10;H6g5+kwECLsEFeTeV4mULs3JoOvbijh4N1sb9EHWmdQ1tgFuSjmIopE0WHBYyLGidU7p/fhrFPy0&#10;2K6G8abZ3W/r5/X0tb/sYlKq142jGQhPD/8f/mtvtYLBeAr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gyZ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630;top:209421;height:6;width:1352;" filled="f" stroked="t" coordsize="21600,21600" o:gfxdata="UEsDBAoAAAAAAIdO4kAAAAAAAAAAAAAAAAAEAAAAZHJzL1BLAwQUAAAACACHTuJAGOWNJb8AAADc&#10;AAAADwAAAGRycy9kb3ducmV2LnhtbEWPzWrDMBCE74W8g9hALyGW4pakuFF8aGvooZf8ketibW1T&#10;a+VYqpPm6aNCIMdhZr5hlvnZtmKg3jeONcwSBYK4dKbhSsNuW0xfQPiAbLB1TBr+yEO+Gj0sMTPu&#10;xGsaNqESEcI+Qw11CF0mpS9rsugT1xFH79v1FkOUfSVNj6cIt61MlZpLiw3HhRo7equp/Nn8Wg2+&#10;2NOxuEzKiTo8VY7S4/vXB2r9OJ6pVxCBzuEevrU/jYZ08Qz/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ljSW/&#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id="_x0000_s1026" o:spid="_x0000_s1026" o:spt="203" style="position:absolute;left:2877;top:207699;height:5427;width:5962;" coordorigin="2877,207699" coordsize="5962,5427" o:gfxdata="UEsDBAoAAAAAAIdO4kAAAAAAAAAAAAAAAAAEAAAAZHJzL1BLAwQUAAAACACHTuJA8M+D1rwAAADc&#10;AAAADwAAAGRycy9kb3ducmV2LnhtbEVPy2rCQBTdC/2H4Ra600ksthIdg4iWLqSgFsTdJXNNQjJ3&#10;QmbM4++dRaHLw3mv08HUoqPWlZYVxLMIBHFmdcm5gt/LYboE4TyyxtoyKRjJQbp5mawx0bbnE3Vn&#10;n4sQwi5BBYX3TSKlywoy6Ga2IQ7c3bYGfYBtLnWLfQg3tZxH0Yc0WHJoKLChXUFZdX4YBV899tv3&#10;eN8dq/tuvF0WP9djTEq9vcbRCoSnwf+L/9zfWsH8M6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z4P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77;top:207699;height:5427;width:4441;" coordorigin="2877,207699" coordsize="4441,5427"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77;top:207699;height:5427;width:4441;" coordorigin="2877,207699" coordsize="4441,5427" o:gfxdata="UEsDBAoAAAAAAIdO4kAAAAAAAAAAAAAAAAAEAAAAZHJzL1BLAwQUAAAACACHTuJAGlqwkL8AAADc&#10;AAAADwAAAGRycy9kb3ducmV2LnhtbEWPQWvCQBSE74L/YXlCb80mlopGVynSlh5CQSOIt0f2mQSz&#10;b0N2m5h/3y0UPA4z8w2z2d1NI3rqXG1ZQRLFIIgLq2suFZzyj+clCOeRNTaWScFIDnbb6WSDqbYD&#10;H6g/+lIECLsUFVTet6mUrqjIoItsSxy8q+0M+iC7UuoOhwA3jZzH8UIarDksVNjSvqLidvwxCj4H&#10;HN5ekvc+u1334yV//T5nCSn1NEviNQhPd/8I/7e/tIL5Yg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WrCQ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3335;top:207699;height:5427;width:3983;" coordorigin="6380,207699" coordsize="3983,5427" o:gfxdata="UEsDBAoAAAAAAIdO4kAAAAAAAAAAAAAAAAAEAAAAZHJzL1BLAwQUAAAACACHTuJAa8Uk4r8AAADc&#10;AAAADwAAAGRycy9kb3ducmV2LnhtbEWPQWvCQBSE7wX/w/KE3uomloYSXYMElR5CoVoQb4/sMwlm&#10;34bsmph/3y0Uehxm5htmnT1MKwbqXWNZQbyIQBCXVjdcKfg+7V/eQTiPrLG1TAomcpBtZk9rTLUd&#10;+YuGo69EgLBLUUHtfZdK6cqaDLqF7YiDd7W9QR9kX0nd4xjgppXLKEqkwYbDQo0d5TWVt+PdKDiM&#10;OG5f491Q3K75dDm9fZ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xSTi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7815;top:207699;height:5427;width:2548;" coordorigin="4770,207699" coordsize="2548,5427" o:gfxdata="UEsDBAoAAAAAAIdO4kAAAAAAAAAAAAAAAAAEAAAAZHJzL1BLAwQUAAAACACHTuJAFP4i4b8AAADc&#10;AAAADwAAAGRycy9kb3ducmV2LnhtbEWPQWvCQBSE7wX/w/KE3ppNUiolugYJWnoQoaYg3h7ZZxLM&#10;vg3ZbaL/vlsQehxm5htmld9MJ0YaXGtZQRLFIIgrq1uuFXyXu5d3EM4ja+wsk4I7OcjXs6cVZtpO&#10;/EXj0dciQNhlqKDxvs+kdFVDBl1ke+LgXexg0Ac51FIPOAW46WQaxwtpsOWw0GBPRUPV9fhjFHxM&#10;OG1ek+24v16K+7l8O5z2CSn1PE/iJQhPN/8ffrQ/tYJ0kcL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iL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5507;top:207699;height:4300;width:1811;" coordorigin="5507,207699" coordsize="1811,4300" o:gfxdata="UEsDBAoAAAAAAIdO4kAAAAAAAAAAAAAAAAAEAAAAZHJzL1BLAwQUAAAACACHTuJAu3rftrwAAADc&#10;AAAADwAAAGRycy9kb3ducmV2LnhtbEVPTWvCQBC9C/6HZYTedBOLRaJrkKClh1CoCuJtyI5JMDsb&#10;smti/n33UOjx8b636cs0oqfO1ZYVxIsIBHFhdc2lgsv5OF+DcB5ZY2OZFIzkIN1NJ1tMtB34h/qT&#10;L0UIYZeggsr7NpHSFRUZdAvbEgfubjuDPsCulLrDIYSbRi6j6EMarDk0VNhSVlHxOD2Ngs8Bh/17&#10;fOjzxz0bb+fV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7et+2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5567;top:207699;height:3538;width:1751;" coordorigin="5553,207687" coordsize="1751,3538" o:gfxdata="UEsDBAoAAAAAAIdO4kAAAAAAAAAAAAAAAAAEAAAAZHJzL1BLAwQUAAAACACHTuJAVXtwKL8AAADc&#10;AAAADwAAAGRycy9kb3ducmV2LnhtbEWPQWvCQBSE7wX/w/KE3uomlpQSXYMElR5CoVoQb4/sMwlm&#10;34bsmph/3y0Uehxm5htmnT1MKwbqXWNZQbyIQBCXVjdcKfg+7V/eQTiPrLG1TAomcpBtZk9rTLUd&#10;+YuGo69EgLBLUUHtfZdK6cqaDLqF7YiDd7W9QR9kX0nd4xjgppXLKHqTBhsOCzV2lNdU3o53o+Aw&#10;4rh9jXdDcbvm0+WUfJ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Ve3Ao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5553;top:207687;height:2748;width:1751;" coordorigin="5553,207687" coordsize="1751,2748" o:gfxdata="UEsDBAoAAAAAAIdO4kAAAAAAAAAAAAAAAAAEAAAAZHJzL1BLAwQUAAAACACHTuJA2pLoXL4AAADc&#10;AAAADwAAAGRycy9kb3ducmV2LnhtbEWPQYvCMBSE78L+h/AWvGnaiiLVKCK74kEEq7Ds7dE822Lz&#10;UprY6r83wsIeh5n5hlmuH6YWHbWusqwgHkcgiHOrKy4UXM7fozkI55E11pZJwZMcrFcfgyWm2vZ8&#10;oi7zhQgQdikqKL1vUildXpJBN7YNcfCutjXog2wLqVvsA9zUMomimTRYcVgosaFtSfktuxsFux77&#10;zST+6g636/b5e54efw4xKTX8jKMFCE8P/x/+a++1gmSa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qS6Fy+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5553;top:207687;height:2342;width:1751;" coordorigin="5553,200885" coordsize="1751,2342" o:gfxdata="UEsDBAoAAAAAAIdO4kAAAAAAAAAAAAAAAAAEAAAAZHJzL1BLAwQUAAAACACHTuJARQzTsLwAAADc&#10;AAAADwAAAGRycy9kb3ducmV2LnhtbEVPTWvCQBC9C/6HZYTedBOLRaJrkKClh1CoCuJtyI5JMDsb&#10;smti/n33UOjx8b636cs0oqfO1ZYVxIsIBHFhdc2lgsv5OF+DcB5ZY2OZFIzkIN1NJ1tMtB34h/qT&#10;L0UIYZeggsr7NpHSFRUZdAvbEgfubjuDPsCulLrDIYSbRi6j6EMarDk0VNhSVlHxOD2Ngs8Bh/17&#10;fOjzxz0bb+fV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FDNO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5553;top:200885;height:1935;width:1751;" coordorigin="5553,200885" coordsize="1751,1935" o:gfxdata="UEsDBAoAAAAAAIdO4kAAAAAAAAAAAAAAAAAEAAAAZHJzL1BLAwQUAAAACACHTuJAPqNJa7wAAADc&#10;AAAADwAAAGRycy9kb3ducmV2LnhtbEVPy2rCQBTdC/2H4Ra600msLRIdg4iWLqSgFsTdJXNNQjJ3&#10;QmbM4++dRaHLw3mv08HUoqPWlZYVxLMIBHFmdcm5gt/LYboE4TyyxtoyKRjJQbp5mawx0bbnE3Vn&#10;n4sQwi5BBYX3TSKlywoy6Ga2IQ7c3bYGfYBtLnWLfQg3tZxH0ac0WHJoKLChXUFZdX4YBV899tv3&#10;eN8dq/tuvF0+fq7HmJR6e42jFQhPg/8X/7m/tYL5I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0lr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6206;top:201291;height:398;width:3;" filled="f" stroked="t" coordsize="21600,21600" o:gfxdata="UEsDBAoAAAAAAIdO4kAAAAAAAAAAAAAAAAAEAAAAZHJzL1BLAwQUAAAACACHTuJAUb31N70AAADc&#10;AAAADwAAAGRycy9kb3ducmV2LnhtbEWPUWvCQBCE34X+h2MLvuklwRZJPfNQEBpQStUfsOS2SWhu&#10;L8lto/57Tyj0cZj5ZphNcXWdmmgMrWcD6TIBRVx523Jt4HzaLdaggiBb7DyTgRsFKLZPsw3m1l/4&#10;i6aj1CqWcMjRQCPS51qHqiGHYel74uh9+9GhRDnW2o54ieWu01mSvGqHLceFBnt6b6j6Of46A1k5&#10;yG23L2X6lJfD4LL9quwrY+bPafIGSugq/+E/+sNGbpXC40w8Anp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vfU3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5553;top:200885;height:1935;width:1751;" coordorigin="5553,200885" coordsize="1751,1935" o:gfxdata="UEsDBAoAAAAAAIdO4kAAAAAAAAAAAAAAAAAEAAAAZHJzL1BLAwQUAAAACACHTuJATzzdGb8AAADc&#10;AAAADwAAAGRycy9kb3ducmV2LnhtbEWPS4vCQBCE7wv+h6EFb+skuj6IjiLiLh5E8AHircm0STDT&#10;EzKzif57R1jYY1FVX1Hz5cOUoqHaFZYVxP0IBHFqdcGZgvPp+3MKwnlkjaVlUvAkB8tF52OOibYt&#10;H6g5+kwECLsEFeTeV4mULs3JoOvbijh4N1sb9EHWmdQ1tgFuSjmIorE0WHBYyLGidU7p/fhrFPy0&#10;2K6G8abZ3W/r5/U02l92MSnV68bRDISnh/8P/7W3WsHgawL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PPN0Z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6103;top:201202;height:406;width:1201;" fillcolor="#000000" filled="t" stroked="f" coordsize="21600,21600" o:gfxdata="UEsDBAoAAAAAAIdO4kAAAAAAAAAAAAAAAAAEAAAAZHJzL1BLAwQUAAAACACHTuJAwH3z+L0AAADc&#10;AAAADwAAAGRycy9kb3ducmV2LnhtbEWPzYoCMRCE7wu+Q2jB25o4yCKj0YOy7B48+PcA7aSdDE46&#10;4yTrzzy9WRA8FlX1FTVb3F0trtSGyrOG0VCBIC68qbjUcNh/f05AhIhssPZMGh4UYDHvfcwwN/7G&#10;W7ruYikShEOOGmyMTS5lKCw5DEPfECfv5FuHMcm2lKbFW4K7WmZKfUmHFacFiw0tLRXn3Z/TMJad&#10;2sQfS8dJ0ZVVt14dL7TXetAfqSmISPf4Dr/av0ZDNs7g/0w6An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fP4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运输进厂</w:t>
                                                                          </w:r>
                                                                        </w:p>
                                                                      </w:txbxContent>
                                                                    </v:textbox>
                                                                  </v:shape>
                                                                  <v:group id="_x0000_s1026" o:spid="_x0000_s1026" o:spt="203" style="position:absolute;left:5553;top:200885;height:1935;width:1311;" coordorigin="5553,200885" coordsize="1311,1935"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o:lock v:ext="edit" aspectratio="f"/>
                                                                    <v:shape id="_x0000_s1026" o:spid="_x0000_s1026" o:spt="202" type="#_x0000_t202" style="position:absolute;left:5588;top:200885;height:406;width:1236;" fillcolor="#000000" filled="t" stroked="f" coordsize="21600,21600" o:gfxdata="UEsDBAoAAAAAAIdO4kAAAAAAAAAAAAAAAAAEAAAAZHJzL1BLAwQUAAAACACHTuJAX+PIFLoAAADc&#10;AAAADwAAAGRycy9kb3ducmV2LnhtbEVPvW7CMBDekfoO1lViAxuEKpRiGFpVMDDQpA9wxNc4anxO&#10;Y0NCnh4PSIyfvv/NbnCNuFIXas8aFnMFgrj0puZKw0/xNVuDCBHZYOOZNNwowG77MtlgZnzP33TN&#10;YyVSCIcMNdgY20zKUFpyGOa+JU7cr+8cxgS7SpoO+xTuGrlU6k06rDk1WGzpw1L5l1+chpUc1Snu&#10;LZ3X5VjV4/Hz/E+F1tPXhXoHEWmIT/HDfTAalqs0P51JR0B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48gUugAAANwA&#10;AAAPAAAAAAAAAAEAIAAAACIAAABkcnMvZG93bnJldi54bWxQSwECFAAUAAAACACHTuJAMy8FnjsA&#10;AAA5AAAAEAAAAAAAAAABACAAAAAJAQAAZHJzL3NoYXBleG1sLnhtbFBLBQYAAAAABgAGAFsBAACz&#10;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病死禽畜</w:t>
                                                                            </w:r>
                                                                          </w:p>
                                                                        </w:txbxContent>
                                                                      </v:textbox>
                                                                    </v:shape>
                                                                    <v:shape id="_x0000_s1026" o:spid="_x0000_s1026" o:spt="202" type="#_x0000_t202" style="position:absolute;left:5553;top:201689;height:406;width:1311;" fillcolor="#000000" filled="t" stroked="f" coordsize="21600,21600" o:gfxdata="UEsDBAoAAAAAAIdO4kAAAAAAAAAAAAAAAAAEAAAAZHJzL1BLAwQUAAAACACHTuJArzFWY70AAADc&#10;AAAADwAAAGRycy9kb3ducmV2LnhtbEWPzYoCMRCE78K+Q2jBmya6IjIaPSjiHjy46gO0k97JsJPO&#10;7CT+zdMbYcFjUVVfUfPl3VXiSk0oPWsYDhQI4tybkgsNp+OmPwURIrLByjNpeFCA5eKjM8fM+Bt/&#10;0/UQC5EgHDLUYGOsMylDbslhGPiaOHk/vnEYk2wKaRq8Jbir5EipiXRYclqwWNPKUv57uDgNY9mq&#10;fdxaOk/ztijb3fr8R0ete92hmoGIdI/v8H/7y2gYjT/hdSYd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MVZj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冷库暂存</w:t>
                                                                            </w:r>
                                                                          </w:p>
                                                                        </w:txbxContent>
                                                                      </v:textbox>
                                                                    </v:shape>
                                                                    <v:shape id="_x0000_s1026" o:spid="_x0000_s1026" o:spt="32" type="#_x0000_t32" style="position:absolute;left:6209;top:202102;height:312;width:20;" filled="f" stroked="t" coordsize="21600,21600" o:gfxdata="UEsDBAoAAAAAAIdO4kAAAAAAAAAAAAAAAAAEAAAAZHJzL1BLAwQUAAAACACHTuJAQcpWr7wAAADc&#10;AAAADwAAAGRycy9kb3ducmV2LnhtbEWPUWvCQBCE3wv9D8cW+tZcDGmR6OmDIBiwlKo/YMmtSTC3&#10;F3Nr1H/fKwg+DjPfDDNf3lynRhpC69nAJElBEVfetlwbOOzXH1NQQZAtdp7JwJ0CLBevL3MsrL/y&#10;L407qVUs4VCggUakL7QOVUMOQ+J74ugd/eBQohxqbQe8xnLX6SxNv7TDluNCgz2tGqpOu4szkJVn&#10;ua+3pYw/8vl9dtk2L/vKmPe3SToDJXSTZ/hBb2zk8hz+z8Qj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KVq+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5841;top:202414;height:406;width:775;" fillcolor="#000000" filled="t" stroked="f" coordsize="21600,21600" o:gfxdata="UEsDBAoAAAAAAIdO4kAAAAAAAAAAAAAAAAAEAAAAZHJzL1BLAwQUAAAACACHTuJAT5RrjL4AAADc&#10;AAAADwAAAGRycy9kb3ducmV2LnhtbEWPwW7CMBBE70j9B2uRegMblCIUMByoqvbQAw18wBJv46jx&#10;Oo1dkubrcaVKHEcz80az3Q+uEVfqQu1Zw2KuQBCX3tRcaTifXmZrECEiG2w8k4ZfCrDfPUy2mBvf&#10;8wddi1iJBOGQowYbY5tLGUpLDsPct8TJ+/Sdw5hkV0nTYZ/grpFLpVbSYc1pwWJLB0vlV/HjNGRy&#10;VMf4aumyLseqHt+fL9900vpxulAbEJGGeA//t9+MhmX2BH9n0hGQu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5RrjL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检测</w:t>
                                                                            </w:r>
                                                                          </w:p>
                                                                        </w:txbxContent>
                                                                      </v:textbox>
                                                                    </v:shape>
                                                                  </v:group>
                                                                </v:group>
                                                              </v:group>
                                                              <v:shape id="_x0000_s1026" o:spid="_x0000_s1026" o:spt="32" type="#_x0000_t32" style="position:absolute;left:6220;top:202809;flip:x;height:418;width:9;" filled="f" stroked="t" coordsize="21600,21600" o:gfxdata="UEsDBAoAAAAAAIdO4kAAAAAAAAAAAAAAAAAEAAAAZHJzL1BLAwQUAAAACACHTuJAXkmAjb4AAADc&#10;AAAADwAAAGRycy9kb3ducmV2LnhtbEWPQWsCMRSE74X+h/AK3jRRVNqt0UNFEOqlKoi3x+Z1s3bz&#10;sibR3f77plDocZiZb5jFqneNuFOItWcN45ECQVx6U3Ol4XjYDJ9BxIRssPFMGr4pwmr5+LDAwviO&#10;P+i+T5XIEI4FarAptYWUsbTkMI58S5y9Tx8cpixDJU3ALsNdIydKzaXDmvOCxZbeLJVf+5vTcNqp&#10;86z3wV7O16l9r9fV6eI6rQdPY/UKIlGf/sN/7a3RMJm+wO+Zf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mAj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202" type="#_x0000_t202" style="position:absolute;left:5610;top:210029;height:406;width:1220;" fillcolor="#000000" filled="t" stroked="f" coordsize="21600,21600" o:gfxdata="UEsDBAoAAAAAAIdO4kAAAAAAAAAAAAAAAAAEAAAAZHJzL1BLAwQUAAAACACHTuJAtXb7Ur0AAADc&#10;AAAADwAAAGRycy9kb3ducmV2LnhtbEWPzW7CMBCE75V4B2uReit2UKlQwHAAIThwaIEHWOIljojX&#10;ITZ/efoaqVKPo5n5RjOdP1wtbtSGyrOGbKBAEBfeVFxqOOxXH2MQISIbrD2ThicFmM96b1PMjb/z&#10;D912sRQJwiFHDTbGJpcyFJYchoFviJN38q3DmGRbStPiPcFdLYdKfUmHFacFiw0tLBXn3dVp+JSd&#10;+o5rS8dx0ZVVt10eL7TX+r2fqQmISI/4H/5rb4yG4SiD15l0BO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dvtS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粉碎</w:t>
                                                                    </w:r>
                                                                  </w:p>
                                                                </w:txbxContent>
                                                              </v:textbox>
                                                            </v:shape>
                                                          </v:group>
                                                          <v:shape id="_x0000_s1026" o:spid="_x0000_s1026" o:spt="32" type="#_x0000_t32" style="position:absolute;left:6219;top:210435;flip:x;height:384;width:1;" filled="f" stroked="t" coordsize="21600,21600" o:gfxdata="UEsDBAoAAAAAAIdO4kAAAAAAAAAAAAAAAAAEAAAAZHJzL1BLAwQUAAAACACHTuJAunghur4AAADc&#10;AAAADwAAAGRycy9kb3ducmV2LnhtbEWPQWsCMRSE7wX/Q3gFbzVRq8jW6MEiCHqpLYi3x+Z1s3bz&#10;sk2iu/77plDocZiZb5jluneNuFGItWcN45ECQVx6U3Ol4eN9+7QAEROywcYzabhThPVq8LDEwviO&#10;3+h2TJXIEI4FarAptYWUsbTkMI58S5y9Tx8cpixDJU3ALsNdIydKzaXDmvOCxZY2lsqv49VpOB3U&#10;edb7YC/n72e7r1+r08V1Wg8fx+oFRKI+/Yf/2jujYTKb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ghu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5820;top:210819;height:406;width:798;" fillcolor="#000000" filled="t" stroked="f" coordsize="21600,21600" o:gfxdata="UEsDBAoAAAAAAIdO4kAAAAAAAAAAAAAAAAAEAAAAZHJzL1BLAwQUAAAACACHTuJApQFYyr4AAADc&#10;AAAADwAAAGRycy9kb3ducmV2LnhtbEWPwW7CMBBE70j9B2uRegMblCIUMByoqvbQAw18wBJv46jx&#10;Oo1dkubrcaVKHEcz80az3Q+uEVfqQu1Zw2KuQBCX3tRcaTifXmZrECEiG2w8k4ZfCrDfPUy2mBvf&#10;8wddi1iJBOGQowYbY5tLGUpLDsPct8TJ+/Sdw5hkV0nTYZ/grpFLpVbSYc1pwWJLB0vlV/HjNGRy&#10;VMf4aumyLseqHt+fL9900vpxulAbEJGGeA//t9+MhuVTBn9n0hGQu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FYyr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上料</w:t>
                                                                  </w:r>
                                                                </w:p>
                                                              </w:txbxContent>
                                                            </v:textbox>
                                                          </v:shape>
                                                        </v:group>
                                                        <v:shape id="_x0000_s1026" o:spid="_x0000_s1026" o:spt="32" type="#_x0000_t32" style="position:absolute;left:6233;top:211237;height:356;width:6;" filled="f" stroked="t" coordsize="21600,21600" o:gfxdata="UEsDBAoAAAAAAIdO4kAAAAAAAAAAAAAAAAAEAAAAZHJzL1BLAwQUAAAACACHTuJA0w+fa74AAADc&#10;AAAADwAAAGRycy9kb3ducmV2LnhtbEWPT4vCMBTE78J+h/AWvGmqYleqUdgFQb0s6op4ezTPpti8&#10;1Cb++/YbQfA4zMxvmMnsbitxpcaXjhX0ugkI4tzpkgsFf9t5ZwTCB2SNlWNS8CAPs+lHa4KZdjde&#10;03UTChEh7DNUYEKoMyl9bsii77qaOHpH11gMUTaF1A3eItxWsp8kqbRYclwwWNOPofy0uVgF++Xh&#10;e21W869BvpXpL57OK71LlWp/9pIxiED38A6/2gutoD9M4XkmHgE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w+fa74A&#10;AADcAAAADwAAAAAAAAABACAAAAAiAAAAZHJzL2Rvd25yZXYueG1sUEsBAhQAFAAAAAgAh07iQDMv&#10;BZ47AAAAOQAAABAAAAAAAAAAAQAgAAAADQEAAGRycy9zaGFwZXhtbC54bWxQSwUGAAAAAAYABgBb&#10;AQAAtwMAAAAA&#10;">
                                                          <v:fill on="f" focussize="0,0"/>
                                                          <v:stroke weight="1pt" color="#000000 [3213]" joinstyle="round" endarrow="open"/>
                                                          <v:imagedata o:title=""/>
                                                          <o:lock v:ext="edit" aspectratio="f"/>
                                                        </v:shape>
                                                        <v:shape id="_x0000_s1026" o:spid="_x0000_s1026" o:spt="202" type="#_x0000_t202" style="position:absolute;left:5507;top:211593;height:406;width:1463;" fillcolor="#000000" filled="t" stroked="f" coordsize="21600,21600" o:gfxdata="UEsDBAoAAAAAAIdO4kAAAAAAAAAAAAAAAAAEAAAAZHJzL1BLAwQUAAAACACHTuJAVdPGvb4AAADc&#10;AAAADwAAAGRycy9kb3ducmV2LnhtbEWPzW7CMBCE70h9B2srcQMbRClKYzgUoXLogZ8+wCZe4oh4&#10;ncYuP3l6XKlSj6OZ+UaTr26uERfqQu1Zw2SsQBCX3tRcafg6bkYLECEiG2w8k4Y7BVgtnwY5ZsZf&#10;eU+XQ6xEgnDIUIONsc2kDKUlh2HsW+LknXznMCbZVdJ0eE1w18ipUnPpsOa0YLGld0vl+fDjNMxk&#10;r3bxw1KxKPuq7j/XxTcdtR4+T9QbiEi3+B/+a2+NhunLK/yeS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PGv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反应釜酸解</w:t>
                                                                </w:r>
                                                              </w:p>
                                                            </w:txbxContent>
                                                          </v:textbox>
                                                        </v:shape>
                                                      </v:group>
                                                      <v:shape id="_x0000_s1026" o:spid="_x0000_s1026" o:spt="32" type="#_x0000_t32" style="position:absolute;left:6239;top:211999;height:452;width:9;" filled="f" stroked="t" coordsize="21600,21600" o:gfxdata="UEsDBAoAAAAAAIdO4kAAAAAAAAAAAAAAAAAEAAAAZHJzL1BLAwQUAAAACACHTuJAKhJv7LwAAADc&#10;AAAADwAAAGRycy9kb3ducmV2LnhtbEWPUWvCQBCE3wv+h2MF3+rFoKVGTx8EwYBFav0BS25Ngrm9&#10;mFuj/vteoeDjMPPNMMv1wzWqpy7Ung1Mxgko4sLbmksDp5/t+yeoIMgWG89k4EkB1qvB2xIz6+/8&#10;Tf1RShVLOGRooBJpM61DUZHDMPYtcfTOvnMoUXalth3eY7lrdJokH9phzXGhwpY2FRWX480ZSPOr&#10;PLf7XPqDzL6uLt1P87YwZjScJAtQQg95hf/pnY3cbA5/Z+IR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Sb+y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4770;top:212720;height:406;width:1005;" fillcolor="#000000" filled="t" stroked="f" coordsize="21600,21600" o:gfxdata="UEsDBAoAAAAAAIdO4kAAAAAAAAAAAAAAAAAEAAAAZHJzL1BLAwQUAAAACACHTuJAexox770AAADc&#10;AAAADwAAAGRycy9kb3ducmV2LnhtbEWPzYoCMRCE74LvEHphb5qMLCKj0YOLuIc9+PcA7aSdDE46&#10;4ySr7jy9EQSPRVV9Rc0Wd1eLK7Wh8qwhGyoQxIU3FZcaDvvVYAIiRGSDtWfS8E8BFvN+b4a58Tfe&#10;0nUXS5EgHHLUYGNscilDYclhGPqGOHkn3zqMSbalNC3eEtzVcqTUWDqsOC1YbGhpqTjv/pyGL9mp&#10;TVxbOk6Krqy63+/jhfZaf35kagoi0j2+w6/2j9EwGmfwPJOO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GjHv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过滤</w:t>
                                                              </w:r>
                                                            </w:p>
                                                          </w:txbxContent>
                                                        </v:textbox>
                                                      </v:shape>
                                                    </v:group>
                                                    <v:shape id="_x0000_s1026" o:spid="_x0000_s1026" o:spt="202" type="#_x0000_t202" style="position:absolute;left:6380;top:210383;height:669;width:1250;" fillcolor="#000000" filled="t" stroked="f" coordsize="21600,21600" o:gfxdata="UEsDBAoAAAAAAIdO4kAAAAAAAAAAAAAAAAAEAAAAZHJzL1BLAwQUAAAACACHTuJA5IQKA70AAADc&#10;AAAADwAAAGRycy9kb3ducmV2LnhtbEWPzYoCMRCE78K+Q2jBmya6IjIaPSjiHjy46gO0k97JsJPO&#10;7CT+zdObBcFjUVVfUfPl3VXiSk0oPWsYDhQI4tybkgsNp+OmPwURIrLByjNpeFCA5eKjM8fM+Bt/&#10;0/UQC5EgHDLUYGOsMylDbslhGPiaOHk/vnEYk2wKaRq8Jbir5EipiXRYclqwWNPKUv57uDgNY9mq&#10;fdxaOk/ztijb3fr8R0ete92hmoGIdI/v8Kv9ZTSMJp/wfyYd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hAoD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自动配酸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控制系统</w:t>
                                                            </w:r>
                                                          </w:p>
                                                        </w:txbxContent>
                                                      </v:textbox>
                                                    </v:shape>
                                                    <v:line id="_x0000_s1026" o:spid="_x0000_s1026" o:spt="20" style="position:absolute;left:7005;top:211052;height:623;width:5;" filled="f" stroked="t" coordsize="21600,21600" o:gfxdata="UEsDBAoAAAAAAIdO4kAAAAAAAAAAAAAAAAAEAAAAZHJzL1BLAwQUAAAACACHTuJAnTwb+L4AAADc&#10;AAAADwAAAGRycy9kb3ducmV2LnhtbEWPzYvCMBTE74L/Q3iCF9HEroh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wb+L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shape id="_x0000_s1026" o:spid="_x0000_s1026" o:spt="32" type="#_x0000_t32" style="position:absolute;left:7034;top:211703;flip:y;height:4;width:1437;" filled="f" stroked="t" coordsize="21600,21600" o:gfxdata="UEsDBAoAAAAAAIdO4kAAAAAAAAAAAAAAAAAEAAAAZHJzL1BLAwQUAAAACACHTuJAlLHW6L4AAADc&#10;AAAADwAAAGRycy9kb3ducmV2LnhtbEWPQWsCMRSE7wX/Q3hCb91EqSJbo4dKoVAvWkG8PTavm7Wb&#10;lzVJ3fXfm0Khx2FmvmGW68G14kohNp41TAoFgrjypuFaw+Hz7WkBIiZkg61n0nCjCOvV6GGJpfE9&#10;7+i6T7XIEI4larApdaWUsbLkMBa+I87elw8OU5ahliZgn+GulVOl5tJhw3nBYkevlqrv/Y/TcNyq&#10;02zwwZ5Pl2f70Wzq49n1Wj+OJ+oFRKIh/Yf/2u9Gw3Q+g98z+Qj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HW6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3946;top:209418;height:965;width:14;" filled="f" stroked="t" coordsize="21600,21600" o:gfxdata="UEsDBAoAAAAAAIdO4kAAAAAAAAAAAAAAAAAEAAAAZHJzL1BLAwQUAAAACACHTuJA+q2UuLwAAADc&#10;AAAADwAAAGRycy9kb3ducmV2LnhtbEWPUWvCQBCE3wv+h2MF3+rFYFWipw+C0IBFqv6AJbcmwdxe&#10;zG2j/vteQejjMPPNMKvNwzWqpy7Ung1Mxgko4sLbmksD59PufQEqCLLFxjMZeFKAzXrwtsLM+jt/&#10;U3+UUsUSDhkaqETaTOtQVOQwjH1LHL2L7xxKlF2pbYf3WO4anSbJTDusOS5U2NK2ouJ6/HEG0vwm&#10;z90+l/4gH183l+6neVsYMxpOkiUooYf8h1/0p43cbA5/Z+IR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tlLi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2877;top:209023;height:395;width:2137;" fillcolor="#000000" filled="t" stroked="f" coordsize="21600,21600" o:gfxdata="UEsDBAoAAAAAAIdO4kAAAAAAAAAAAAAAAAAEAAAAZHJzL1BLAwQUAAAACACHTuJA6iCYcroAAADc&#10;AAAADwAAAGRycy9kb3ducmV2LnhtbEVPS27CMBDdI3EHa5C6AzuoQihgsgChsmBBgQMM8RBHxOMQ&#10;u3xy+npRqcun918WL9eIB3Wh9qwhmygQxKU3NVcazqfteA4iRGSDjWfS8KYAxWo4WGJu/JO/6XGM&#10;lUghHHLUYGNscylDaclhmPiWOHFX3zmMCXaVNB0+U7hr5FSpmXRYc2qw2NLaUnk7/jgNn7JXh/hl&#10;6TIv+6ru95vLnU5af4wytQAR6RX/xX/undEwnaW16Uw6An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IJhyugAAANwA&#10;AAAPAAAAAAAAAAEAIAAAACIAAABkcnMvZG93bnJldi54bWxQSwECFAAUAAAACACHTuJAMy8FnjsA&#10;AAA5AAAAEAAAAAAAAAABACAAAAAJAQAAZHJzL3NoYXBleG1sLnhtbFBLBQYAAAAABgAGAFsBAACz&#10;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数据运算</w:t>
                                                          </w:r>
                                                        </w:p>
                                                      </w:txbxContent>
                                                    </v:textbox>
                                                  </v:shape>
                                                </v:group>
                                                <v:shape id="_x0000_s1026" o:spid="_x0000_s1026" o:spt="32" type="#_x0000_t32" style="position:absolute;left:3947;top:209418;flip:x y;height:3;width:1909;" filled="f" stroked="t" coordsize="21600,21600" o:gfxdata="UEsDBAoAAAAAAIdO4kAAAAAAAAAAAAAAAAAEAAAAZHJzL1BLAwQUAAAACACHTuJAoCq5nLwAAADc&#10;AAAADwAAAGRycy9kb3ducmV2LnhtbEWPTWsCQQyG74X+hyGF3uqsLlVZHT0IgqeWqqjHsBN3F3cy&#10;y078+vfNodBjePM+eTJfPkJrbtSnJrKD4SADQ1xG33DlYL9bf0zBJEH22EYmB09KsFy8vsyx8PHO&#10;P3TbSmUUwqlAB7VIV1ibypoCpkHsiDU7xz6g6NhX1vd4V3ho7SjLxjZgw3qhxo5WNZWX7TWoxun7&#10;8yKUDmzz/Oso+Yo26enc+9swm4EResj/8l974x2MJqqvzygB7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quZy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v:shape id="_x0000_s1026" o:spid="_x0000_s1026" o:spt="32" type="#_x0000_t32" style="position:absolute;left:7989;top:209452;height:955;width:18;" filled="f" stroked="t" coordsize="21600,21600" o:gfxdata="UEsDBAoAAAAAAIdO4kAAAAAAAAAAAAAAAAAEAAAAZHJzL1BLAwQUAAAACACHTuJA4Oo5ibwAAADc&#10;AAAADwAAAGRycy9kb3ducmV2LnhtbEWPUWvCQBCE3wv+h2MF3+rFoK1ETx8EwYBFav0BS25Ngrm9&#10;mFuj/vteoeDjMPPNMMv1wzWqpy7Ung1Mxgko4sLbmksDp5/t+xxUEGSLjWcy8KQA69XgbYmZ9Xf+&#10;pv4opYolHDI0UIm0mdahqMhhGPuWOHpn3zmUKLtS2w7vsdw1Ok2SD+2w5rhQYUubiorL8eYMpPlV&#10;ntt9Lv1BZl9Xl+6neVsYMxpOkgUooYe8wv/0zkbucwZ/Z+IR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qOYm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7174;top:210407;height:406;width:1665;" fillcolor="#000000" filled="t" stroked="f" coordsize="21600,21600" o:gfxdata="UEsDBAoAAAAAAIdO4kAAAAAAAAAAAAAAAAAEAAAAZHJzL1BLAwQUAAAACACHTuJAcSo/Rr0AAADc&#10;AAAADwAAAGRycy9kb3ducmV2LnhtbEWPzYoCMRCE78K+Q2jBmybKojIaPSjiHjy46gO0k97JsJPO&#10;7CT+zdMbYcFjUVVfUfPl3VXiSk0oPWsYDhQI4tybkgsNp+OmPwURIrLByjNpeFCA5eKjM8fM+Bt/&#10;0/UQC5EgHDLUYGOsMylDbslhGPiaOHk/vnEYk2wKaRq8Jbir5EipsXRYclqwWNPKUv57uDgNn7JV&#10;+7i1dJ7mbVG2u/X5j45a97pDNQMR6R7f4f/2l9EwmozhdSYd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j9G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sz w:val="21"/>
                                                          <w:szCs w:val="21"/>
                                                          <w:highlight w:val="none"/>
                                                          <w:lang w:val="en-US" w:eastAsia="zh-CN"/>
                                                        </w:rPr>
                                                      </w:pPr>
                                                      <w:r>
                                                        <w:rPr>
                                                          <w:rFonts w:hint="eastAsia" w:eastAsia="宋体"/>
                                                          <w:sz w:val="21"/>
                                                          <w:szCs w:val="21"/>
                                                          <w:highlight w:val="none"/>
                                                          <w:lang w:val="en-US" w:eastAsia="zh-CN"/>
                                                        </w:rPr>
                                                        <w:t>自动消毒系统</w:t>
                                                      </w:r>
                                                    </w:p>
                                                  </w:txbxContent>
                                                </v:textbox>
                                              </v:shape>
                                              <v:shape id="_x0000_s1026" o:spid="_x0000_s1026" o:spt="32" type="#_x0000_t32" style="position:absolute;left:6264;top:210610;flip:x;height:4;width:910;" filled="f" stroked="t" coordsize="21600,21600" o:gfxdata="UEsDBAoAAAAAAIdO4kAAAAAAAAAAAAAAAAAEAAAAZHJzL1BLAwQUAAAACACHTuJAjvZ72b4AAADc&#10;AAAADwAAAGRycy9kb3ducmV2LnhtbEWPQWsCMRSE74L/ITzBW00UW8vW6MFSENqLtiDeHpvXzdrN&#10;y5pEd/vvTaHgcZiZb5jluneNuFKItWcN04kCQVx6U3Ol4evz7eEZREzIBhvPpOGXIqxXw8ESC+M7&#10;3tF1nyqRIRwL1GBTagspY2nJYZz4ljh73z44TFmGSpqAXYa7Rs6UepIOa84LFlvaWCp/9hen4fCh&#10;jo+9D/Z0PM/te/1aHU6u03o8mqoXEIn6dA//t7dGw2yxgL8z+Qj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Z72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v:shape id="_x0000_s1026" o:spid="_x0000_s1026" o:spt="32" type="#_x0000_t32" style="position:absolute;left:5026;top:212673;flip:x;height:15;width:486;" filled="f" stroked="t" coordsize="21600,21600" o:gfxdata="UEsDBAoAAAAAAIdO4kAAAAAAAAAAAAAAAAAEAAAAZHJzL1BLAwQUAAAACACHTuJAS/GVib4AAADc&#10;AAAADwAAAGRycy9kb3ducmV2LnhtbEWPQWsCMRSE7wX/Q3hCbzVRtMhq9KAUhPZSK4i3x+a5Wd28&#10;bJPobv99IxR6HGbmG2a57l0j7hRi7VnDeKRAEJfe1FxpOHy9vcxBxIRssPFMGn4owno1eFpiYXzH&#10;n3Tfp0pkCMcCNdiU2kLKWFpyGEe+Jc7e2QeHKctQSROwy3DXyIlSr9JhzXnBYksbS+V1f3Majh/q&#10;NOt9sJfT99S+19vqeHGd1s/DsVqASNSn//Bfe2c0TOZTeJzJR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Vi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5512;top:212451;height:443;width:1472;" fillcolor="#000000" filled="t" stroked="f" coordsize="21600,21600" o:gfxdata="UEsDBAoAAAAAAIdO4kAAAAAAAAAAAAAAAAAEAAAAZHJzL1BLAwQUAAAACACHTuJAtC3RFr4AAADc&#10;AAAADwAAAGRycy9kb3ducmV2LnhtbEWPzW7CMBCE70i8g7VIvYEdVFCUYnKgQu2hhxZ4gCXexhHx&#10;Oo3NT/P0NVIljqOZ+UazKm+uFRfqQ+NZQzZTIIgrbxquNRz222kOIkRkg61n0vBLAcr1eLTCwvgr&#10;f9FlF2uRIBwK1GBj7AopQ2XJYZj5jjh53753GJPsa2l6vCa4a+VcqaV02HBasNjRxlJ12p2dhmc5&#10;qM/4ZumYV0PdDB+vxx/aa/00ydQLiEi3+Aj/t9+Nhnm+gPuZd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3RFr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原液储存罐</w:t>
                                                  </w:r>
                                                </w:p>
                                              </w:txbxContent>
                                            </v:textbox>
                                          </v:shape>
                                          <v:shape id="_x0000_s1026" o:spid="_x0000_s1026" o:spt="202" type="#_x0000_t202" style="position:absolute;left:6739;top:211963;height:644;width:1086;" fillcolor="#000000" filled="t" stroked="f" coordsize="21600,21600" o:gfxdata="UEsDBAoAAAAAAIdO4kAAAAAAAAAAAAAAAAAEAAAAZHJzL1BLAwQUAAAACACHTuJARP9PYb4AAADc&#10;AAAADwAAAGRycy9kb3ducmV2LnhtbEWPwW7CMBBE70j9B2sr9QY2qIqiFMOhFYJDDzTwAUu8jaPG&#10;6zQ2JM3X40qVehzNzBvNeju6VtyoD41nDcuFAkFcedNwreF82s1zECEiG2w9k4YfCrDdPMzWWBg/&#10;8AfdyliLBOFQoAYbY1dIGSpLDsPCd8TJ+/S9w5hkX0vT45DgrpUrpTLpsOG0YLGjV0vVV3l1Gp7l&#10;pI5xb+mSV1PdTO9vl286af30uFQvICKN8T/81z4YDas8g98z6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9PY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氨基酸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滤液</w:t>
                                                  </w:r>
                                                </w:p>
                                              </w:txbxContent>
                                            </v:textbox>
                                          </v:shape>
                                        </v:group>
                                      </v:group>
                                      <v:line id="_x0000_s1026" o:spid="_x0000_s1026" o:spt="20" style="position:absolute;left:7652;top:212322;height:774;width:0;" filled="f" stroked="t" coordsize="21600,21600" o:gfxdata="UEsDBAoAAAAAAIdO4kAAAAAAAAAAAAAAAAAEAAAAZHJzL1BLAwQUAAAACACHTuJA19Jt3LoAAADc&#10;AAAADwAAAGRycy9kb3ducmV2LnhtbEVPy4rCMBTdC/MP4Q64EZtYQWaq0YVacOHGxzDbS3OnLdPc&#10;1CY+v94sBJeH854tbrYRF+p87VjDKFEgiAtnai41HA/58AuED8gGG8ek4U4eFvOP3gwz4668o8s+&#10;lCKGsM9QQxVCm0npi4os+sS1xJH7c53FEGFXStPhNYbbRqZKTaTFmmNDhS0tKyr+92erwec/dMof&#10;g2Kgfselo/S02q5R6/7nSE1BBLqFt/jl3hgN6Xe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0m3c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shape id="_x0000_s1026" o:spid="_x0000_s1026" o:spt="32" type="#_x0000_t32" style="position:absolute;left:7644;top:212317;flip:y;height:17;width:321;" filled="f" stroked="t" coordsize="21600,21600" o:gfxdata="UEsDBAoAAAAAAIdO4kAAAAAAAAAAAAAAAAAEAAAAZHJzL1BLAwQUAAAACACHTuJA3l+gzL8AAADc&#10;AAAADwAAAGRycy9kb3ducmV2LnhtbEWPT0sDMRTE74LfITzBm022qNS1aQ8VoaCX/oHS22Pzutl2&#10;87JN0u767RtB8DjMzG+Y6XxwrbhSiI1nDcVIgSCuvGm41rDdfD5NQMSEbLD1TBp+KMJ8dn83xdL4&#10;nld0XadaZAjHEjXYlLpSylhZchhHviPO3sEHhynLUEsTsM9w18qxUq/SYcN5wWJHC0vVaX1xGnbf&#10;av8y+GCP+/Oz/Wo+6t3R9Vo/PhTqHUSiIf2H/9pLo2H8VsDvmXw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foMy/&#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shape id="_x0000_s1026" o:spid="_x0000_s1026" o:spt="32" type="#_x0000_t32" style="position:absolute;left:7655;top:213074;height:8;width:288;" filled="f" stroked="t" coordsize="21600,21600" o:gfxdata="UEsDBAoAAAAAAIdO4kAAAAAAAAAAAAAAAAAEAAAAZHJzL1BLAwQUAAAACACHTuJA3w9HB7wAAADc&#10;AAAADwAAAGRycy9kb3ducmV2LnhtbEWPUWvCQBCE3wv+h2OFvtWLoUqNnj4IQgOKqP0BS25Ngrm9&#10;mFuj/vteoeDjMPPNMIvVwzWqpy7Ung2MRwko4sLbmksDP6fNxxeoIMgWG89k4EkBVsvB2wIz6+98&#10;oP4opYolHDI0UIm0mdahqMhhGPmWOHpn3zmUKLtS2w7vsdw1Ok2SqXZYc1yosKV1RcXleHMG0vwq&#10;z802l34vk93VpdvPvC2MeR+OkzkooYe8wv/0t43cLIW/M/EI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PRwe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7965;top:212126;height:381;width:1147;" fillcolor="#000000" filled="t" stroked="f" coordsize="21600,21600" o:gfxdata="UEsDBAoAAAAAAIdO4kAAAAAAAAAAAAAAAAAEAAAAZHJzL1BLAwQUAAAACACHTuJA0VF6JL4AAADc&#10;AAAADwAAAGRycy9kb3ducmV2LnhtbEWPzW7CMBCE75X6DtZW4lZsflSlKYZDESoHDhR4gCVe4oh4&#10;ncYuP3l6jITEcTQz32gms4urxYnaUHnWMOgrEMSFNxWXGnbbxXsGIkRkg7Vn0nClALPp68sEc+PP&#10;/EunTSxFgnDIUYONscmlDIUlh6HvG+LkHXzrMCbZltK0eE5wV8uhUh/SYcVpwWJD35aK4+bfaRjL&#10;Tq3jj6V9VnRl1a3m+z/aat17G6gvEJEu8Rl+tJdGw/BzBPcz6QjI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VF6JL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动物油脂</w:t>
                                              </w:r>
                                            </w:p>
                                          </w:txbxContent>
                                        </v:textbox>
                                      </v:shape>
                                      <v:shape id="_x0000_s1026" o:spid="_x0000_s1026" o:spt="202" type="#_x0000_t202" style="position:absolute;left:7943;top:212891;height:381;width:1384;" fillcolor="#000000" filled="t" stroked="f" coordsize="21600,21600" o:gfxdata="UEsDBAoAAAAAAIdO4kAAAAAAAAAAAAAAAAAEAAAAZHJzL1BLAwQUAAAACACHTuJAXrjiUL0AAADc&#10;AAAADwAAAGRycy9kb3ducmV2LnhtbEWPzYoCMRCE78K+Q+gFb5ooIjpr9OCy6MGDfw/QTnong5PO&#10;7CTrzzy9EQSPRVV9Rc0WN1eJCzWh9Kxh0FcgiHNvSi40HA8/vQmIEJENVp5Jw50CLOYfnRlmxl95&#10;R5d9LESCcMhQg42xzqQMuSWHoe9r4uT9+sZhTLIppGnwmuCukkOlxtJhyWnBYk1LS/l5/+80jGSr&#10;tnFl6TTJ26JsN9+nPzpo3f0cqC8QkW7xHX6110bDcDqC55l0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uOJQ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氨基酸原液</w:t>
                                              </w:r>
                                            </w:p>
                                          </w:txbxContent>
                                        </v:textbox>
                                      </v:shape>
                                    </v:group>
                                  </v:group>
                                  <v:shape id="_x0000_s1026" o:spid="_x0000_s1026" o:spt="32" type="#_x0000_t32" style="position:absolute;left:6888;top:211382;flip:y;height:26;width:1475;" filled="f" stroked="t" coordsize="21600,21600" o:gfxdata="UEsDBAoAAAAAAIdO4kAAAAAAAAAAAAAAAAAEAAAAZHJzL1BLAwQUAAAACACHTuJAym5y47oAAADc&#10;AAAADwAAAGRycy9kb3ducmV2LnhtbEVPTYvCMBC9C/sfwix4kTWtgtRqFFxQFgTBKux1aMam2ExK&#10;klX335uD4PHxvpfrh+3EjXxoHSvIxxkI4trplhsF59P2qwARIrLGzjEp+KcA69XHYImldnc+0q2K&#10;jUghHEpUYGLsSylDbchiGLueOHEX5y3GBH0jtcd7CrednGTZTFpsOTUY7OnbUH2t/qyC352pw6ja&#10;XMNmG+dFPt0f2twrNfzMswWISI/4Fr/cP1rBZJ7WpjPpCM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bnLjugAAANwA&#10;AAAPAAAAAAAAAAEAIAAAACIAAABkcnMvZG93bnJldi54bWxQSwECFAAUAAAACACHTuJAMy8FnjsA&#10;AAA5AAAAEAAAAAAAAAABACAAAAAJAQAAZHJzL3NoYXBleG1sLnhtbFBLBQYAAAAABgAGAFsBAACz&#10;AwAAAAA=&#10;">
                                    <v:fill on="f" focussize="0,0"/>
                                    <v:stroke weight="1pt" color="#000000 [3200]" joinstyle="round" dashstyle="1 1" endarrow="open"/>
                                    <v:imagedata o:title=""/>
                                    <o:lock v:ext="edit" aspectratio="f"/>
                                  </v:shape>
                                  <v:shape id="_x0000_s1026" o:spid="_x0000_s1026" o:spt="202" type="#_x0000_t202" style="position:absolute;left:8363;top:210873;height:1019;width:1500;" fillcolor="#000000" filled="t" stroked="t" coordsize="21600,21600" o:gfxdata="UEsDBAoAAAAAAIdO4kAAAAAAAAAAAAAAAAAEAAAAZHJzL1BLAwQUAAAACACHTuJAPup1GL0AAADc&#10;AAAADwAAAGRycy9kb3ducmV2LnhtbEWPQWsCMRSE74X+h/AK3mpWkVK3Rg+C4MGLVgrenpvnJnTz&#10;sibZXf33piD0OMzMN8xidXON6ClE61nBZFyAIK68tlwrOH5v3j9BxISssfFMCu4UYbV8fVlgqf3A&#10;e+oPqRYZwrFEBSaltpQyVoYcxrFvibN38cFhyjLUUgccMtw1cloUH9Kh5bxgsKW1oer30DkFdLVh&#10;/eNtmg2n2dl3puq7y06p0duk+AKR6Jb+w8/2ViuYzufwdyYf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nUYvQAA&#10;ANwAAAAPAAAAAAAAAAEAIAAAACIAAABkcnMvZG93bnJldi54bWxQSwECFAAUAAAACACHTuJAMy8F&#10;njsAAAA5AAAAEAAAAAAAAAABACAAAAAMAQAAZHJzL3NoYXBleG1sLnhtbFBLBQYAAAAABgAGAFsB&#10;AAC2AwAAAAA=&#10;">
                                    <v:fill on="t" opacity="0f" focussize="0,0"/>
                                    <v:stroke weight="1pt" color="#000000 [3213]" joinstyle="round" dashstyle="1 1"/>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恶臭、废气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清洗废水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设备噪声</w:t>
                                          </w:r>
                                        </w:p>
                                      </w:txbxContent>
                                    </v:textbox>
                                  </v:shape>
                                </v:group>
                                <v:shape id="_x0000_s1026" o:spid="_x0000_s1026" o:spt="32" type="#_x0000_t32" style="position:absolute;left:8709;top:213134;flip:y;height:9;width:281;" filled="f" stroked="t" coordsize="21600,21600" o:gfxdata="UEsDBAoAAAAAAIdO4kAAAAAAAAAAAAAAAAAEAAAAZHJzL1BLAwQUAAAACACHTuJAQLQ61r4AAADc&#10;AAAADwAAAGRycy9kb3ducmV2LnhtbEWPQWsCMRSE74L/IbyCt5psbUW2Rg+WgtBetAXx9ti8btZu&#10;XrZJdLf/3hQKHoeZ+YZZrgfXiguF2HjWUEwVCOLKm4ZrDZ8fr/cLEDEhG2w9k4ZfirBejUdLLI3v&#10;eUeXfapFhnAsUYNNqSuljJUlh3HqO+LsffngMGUZamkC9hnuWvmg1Fw6bDgvWOxoY6n63p+dhsO7&#10;Oj4NPtjT8efRvjUv9eHkeq0nd4V6BpFoSLfwf3trNMxUAX9n8hG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Q61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8990;top:212944;height:381;width:872;" fillcolor="#000000" filled="t" stroked="f" coordsize="21600,21600" o:gfxdata="UEsDBAoAAAAAAIdO4kAAAAAAAAAAAAAAAAAEAAAAZHJzL1BLAwQUAAAACACHTuJAIPZFpb4AAADc&#10;AAAADwAAAGRycy9kb3ducmV2LnhtbEWPwW7CMBBE75X4B2uReis2tKqigOEAquDQQ0v4gCVe4oh4&#10;HWKXpPn6ulKlHkcz80az2gyuEXfqQu1Zw3ymQBCX3tRcaTgVb08ZiBCRDTaeScM3BdisJw8rzI3v&#10;+ZPux1iJBOGQowYbY5tLGUpLDsPMt8TJu/jOYUyyq6TpsE9w18iFUq/SYc1pwWJLW0vl9fjlNLzI&#10;UX3EvaVzVo5VPb7vzjcqtH6cztUSRKQh/of/2gej4Vkt4P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ZFp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v:textbox>
                                </v:shape>
                              </v:group>
                              <v:rect id="_x0000_s1026" o:spid="_x0000_s1026" o:spt="1" style="position:absolute;left:4088;top:207490;height:6245;width:7702;v-text-anchor:middle;" filled="f" stroked="t" coordsize="21600,21600" o:gfxdata="UEsDBAoAAAAAAIdO4kAAAAAAAAAAAAAAAAAEAAAAZHJzL1BLAwQUAAAACACHTuJAnVBUy74AAADc&#10;AAAADwAAAGRycy9kb3ducmV2LnhtbEWPQWsCMRSE70L/Q3iF3mpiW4uuRg8rQosFqXrx9tg8d9du&#10;XpYk7tp/bwoFj8PMfMPMl1fbiI58qB1rGA0VCOLCmZpLDYf9+nkCIkRkg41j0vBLAZaLh8EcM+N6&#10;/qZuF0uRIBwy1FDF2GZShqIii2HoWuLknZy3GJP0pTQe+wS3jXxR6l1arDktVNhSXlHxs7tYDcfx&#10;WW7rvMfL1+dqM+68U/mb0/rpcaRmICJd4z383/4wGl7VFP7Op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BUy74A&#10;AADc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rect>
                            </v:group>
                            <v:shape id="_x0000_s1026" o:spid="_x0000_s1026" o:spt="202" type="#_x0000_t202" style="position:absolute;left:3038;top:213022;height:644;width:750;" fillcolor="#000000" filled="t" stroked="f" coordsize="21600,21600" o:gfxdata="UEsDBAoAAAAAAIdO4kAAAAAAAAAAAAAAAAAEAAAAZHJzL1BLAwQUAAAACACHTuJAhA4ZR7sAAADb&#10;AAAADwAAAGRycy9kb3ducmV2LnhtbEVPS27CMBDdV+IO1iCxa2wQQlEaw6IVogsWLekBJvE0jhqP&#10;Q+wCzelrpErdzdP7Trm7uV5caAydZw3LTIEgbrzpuNXwUe0fcxAhIhvsPZOGHwqw284eSiyMv/I7&#10;XU6xFSmEQ4EabIxDIWVoLDkMmR+IE/fpR4cxwbGVZsRrCne9XCm1kQ47Tg0WB3q21Hydvp2GtZzU&#10;WzxYqvNmarvp+FKfqdJ6MV+qJxCRbvFf/Od+NWn+Gu6/pAP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4ZR7sAAADb&#10;AAAADwAAAAAAAAABACAAAAAiAAAAZHJzL2Rvd25yZXYueG1sUEsBAhQAFAAAAAgAh07iQDMvBZ47&#10;AAAAOQAAABAAAAAAAAAAAQAgAAAACgEAAGRycy9zaGFwZXhtbC54bWxQSwUGAAAAAAYABgBbAQAA&#10;tA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燃气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锅炉</w:t>
                                    </w:r>
                                  </w:p>
                                </w:txbxContent>
                              </v:textbox>
                            </v:shape>
                            <v:shape id="_x0000_s1026" o:spid="_x0000_s1026" o:spt="202" type="#_x0000_t202" style="position:absolute;left:3689;top:213385;height:420;width:1251;" fillcolor="#000000" filled="t" stroked="f" coordsize="21600,21600" o:gfxdata="UEsDBAoAAAAAAIdO4kAAAAAAAAAAAAAAAAAEAAAAZHJzL1BLAwQUAAAACACHTuJAG5Aiq7kAAADb&#10;AAAADwAAAGRycy9kb3ducmV2LnhtbEVPzYrCMBC+C75DGMGbJi4i0jV6UGQ9eFh1H2DajE2xmdQm&#10;/vXpN8LC3ubj+53F6ulqcac2VJ41TMYKBHHhTcWlhp/TdjQHESKywdozaXhRgNWy31tgZvyDD3Q/&#10;xlKkEA4ZarAxNpmUobDkMIx9Q5y4s28dxgTbUpoWHync1fJDqZl0WHFqsNjQ2lJxOd6chqns1Hf8&#10;spTPi66suv0mv9JJ6+Fgoj5BRHrGf/Gfe2fS/Bm8f0kHyO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QIqu5AAAA2wAA&#10;AA8AAAAAAAAAAQAgAAAAIgAAAGRycy9kb3ducmV2LnhtbFBLAQIUABQAAAAIAIdO4kAzLwWeOwAA&#10;ADkAAAAQAAAAAAAAAAEAIAAAAAgBAABkcnMvc2hhcGV4bWwueG1sUEsFBgAAAAAGAAYAWwEAALID&#10;A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蒸汽供热</w:t>
                                    </w:r>
                                  </w:p>
                                </w:txbxContent>
                              </v:textbox>
                            </v:shape>
                          </v:group>
                        </v:group>
                        <v:shape id="_x0000_s1026" o:spid="_x0000_s1026" o:spt="202" type="#_x0000_t202" style="position:absolute;left:3215;top:214399;height:436;width:1200;" fillcolor="#000000" filled="t" stroked="t" coordsize="21600,21600" o:gfxdata="UEsDBAoAAAAAAIdO4kAAAAAAAAAAAAAAAAAEAAAAZHJzL1BLAwQUAAAACACHTuJAlT8lF7gAAADb&#10;AAAADwAAAGRycy9kb3ducmV2LnhtbEVPTYvCMBC9L/gfwgje1lQRkWr0IAgevKy7CN7GZmyCzaQm&#10;aev+e3NY2OPjfW92L9eInkK0nhXMpgUI4spry7WCn+/D5wpETMgaG8+k4Jci7Lajjw2W2g/8Rf05&#10;1SKHcCxRgUmpLaWMlSGHcepb4szdfXCYMgy11AGHHO4aOS+KpXRoOTcYbGlvqHqcO6eAnjbsL96m&#10;xXBd3Hxnqr67n5SajGfFGkSiV/oX/7mPWsE8r89f8g+Q2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T8lF7gAAADbAAAA&#10;DwAAAAAAAAABACAAAAAiAAAAZHJzL2Rvd25yZXYueG1sUEsBAhQAFAAAAAgAh07iQDMvBZ47AAAA&#10;OQAAABAAAAAAAAAAAQAgAAAABwEAAGRycy9zaGFwZXhtbC54bWxQSwUGAAAAAAYABgBbAQAAsQMA&#10;AAAA&#10;">
                          <v:fill on="t" opacity="0f" focussize="0,0"/>
                          <v:stroke weight="1pt" color="#000000 [3213]" joinstyle="round" dashstyle="1 1"/>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锅炉烟气</w:t>
                                </w:r>
                              </w:p>
                            </w:txbxContent>
                          </v:textbox>
                        </v:shape>
                      </v:group>
                    </v:group>
                  </w:pict>
                </mc:Fallback>
              </mc:AlternateContent>
            </w:r>
          </w:p>
          <w:p>
            <w:pPr>
              <w:keepNext w:val="0"/>
              <w:keepLines w:val="0"/>
              <w:suppressLineNumbers w:val="0"/>
              <w:spacing w:before="0" w:beforeAutospacing="0" w:after="0" w:afterAutospacing="0"/>
              <w:ind w:left="0" w:right="0"/>
              <w:rPr>
                <w:rFonts w:hint="eastAsia"/>
                <w:sz w:val="24"/>
                <w:lang w:val="en-US" w:eastAsia="zh-CN"/>
              </w:rPr>
            </w:pP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jc w:val="both"/>
              <w:rPr>
                <w:rFonts w:hint="eastAsia"/>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pStyle w:val="21"/>
              <w:keepNext w:val="0"/>
              <w:keepLines w:val="0"/>
              <w:numPr>
                <w:ilvl w:val="0"/>
                <w:numId w:val="0"/>
              </w:numPr>
              <w:suppressLineNumbers w:val="0"/>
              <w:bidi w:val="0"/>
              <w:spacing w:before="0" w:beforeAutospacing="0" w:after="0" w:afterAutospacing="0"/>
              <w:ind w:left="0" w:right="0" w:rightChars="0"/>
              <w:jc w:val="both"/>
              <w:rPr>
                <w:rFonts w:hint="eastAsia"/>
                <w:lang w:val="en-US" w:eastAsia="zh-CN"/>
              </w:rPr>
            </w:pPr>
            <w:r>
              <w:rPr>
                <w:rFonts w:hint="default"/>
              </w:rPr>
              <mc:AlternateContent>
                <mc:Choice Requires="wps">
                  <w:drawing>
                    <wp:anchor distT="0" distB="0" distL="114300" distR="114300" simplePos="0" relativeHeight="251662336" behindDoc="0" locked="0" layoutInCell="1" allowOverlap="1">
                      <wp:simplePos x="0" y="0"/>
                      <wp:positionH relativeFrom="column">
                        <wp:posOffset>4269740</wp:posOffset>
                      </wp:positionH>
                      <wp:positionV relativeFrom="paragraph">
                        <wp:posOffset>123190</wp:posOffset>
                      </wp:positionV>
                      <wp:extent cx="553720" cy="2432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53720" cy="243019"/>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2pt;margin-top:9.7pt;height:19.15pt;width:43.6pt;z-index:251662336;mso-width-relative:page;mso-height-relative:page;" fillcolor="#000000" filled="t" stroked="f" coordsize="21600,21600" o:gfxdata="UEsDBAoAAAAAAIdO4kAAAAAAAAAAAAAAAAAEAAAAZHJzL1BLAwQUAAAACACHTuJAtVH/I9cAAAAJ&#10;AQAADwAAAGRycy9kb3ducmV2LnhtbE2Py07DMBBF90j8gzVI7Kjdqk3aEKcLEOqGBbR8gBMPcUQ8&#10;DrH7ytczrGA1Gt2jO2fK7cX34oRj7AJpmM8UCKQm2I5aDR+Hl4c1iJgMWdMHQg1XjLCtbm9KU9hw&#10;pnc87VMruIRiYTS4lIZCytg49CbOwoDE2WcYvUm8jq20ozlzue/lQqlMetMRX3BmwCeHzdf+6DUs&#10;5aTe0s5hvW6mtpten+tvPGh9fzdXjyASXtIfDL/6rA4VO9XhSDaKXkOWL5aMcrDhyUC+2mQgag2r&#10;PAdZlfL/B9UPUEsDBBQAAAAIAIdO4kDPZsqWWQIAAK0EAAAOAAAAZHJzL2Uyb0RvYy54bWytVMFu&#10;EzEQvSPxD5bvdJM0aWnUTRVaFSFVtFJBnB2vN2vJ9pixk93yAfAHnLhw57vyHYy9m7YUDj2QgzOe&#10;Gb/xe57Z07POGrZVGDS4ko8PRpwpJ6HSbl3yjx8uX73mLEThKmHAqZLfqcDPFi9fnLZ+ribQgKkU&#10;MgJxYd76kjcx+nlRBNkoK8IBeOUoWANaEWmL66JC0RK6NcVkNDoqWsDKI0gVAnkv+iAfEPE5gFDX&#10;WqoLkBurXOxRURkRiVJotA98kW9b10rG67oOKjJTcmIa80pFyF6ltVicivkahW+0HK4gnnOFJ5ys&#10;0I6K3kNdiCjYBvVfUFZLhAB1PJBgi55IVoRYjEdPtLlthFeZC0kd/L3o4f/ByvfbG2S6KvnkmDMn&#10;LL347vu33Y9fu59fGflIoNaHOeXdesqM3RvoqG32/kDOxLur0aZ/YsQoTvLe3curusgkOWezw+MJ&#10;RSSFJtPD0fgkoRQPhz2G+FaBZckoOdLrZVHF9irEPnWfkmoFMLq61MbkDa5X5wbZVqSXzr/+rPGN&#10;GLxDudCn5tJ/YBjH2pIfHc5G+aiDBN7XNY7SkxA94WTFbtUN6qyguiNxEPr+Cl5eaqJwJUK8EUgN&#10;Raxp5OI1LbUBKgKDxVkD+OVf/pRP70xRzlpq0JKHzxuBijPzzlEHnIynU4KNeTOdZWXxcWT1OOI2&#10;9hxImTENt5fZpMMYzd6sEewnmsxlqkoh4STVLnncm+exHxuabKmWy5xEPexFvHK3Xibo9A4OlpsI&#10;tc7vlWTqtRnUoy7Osg8Tl8bk8T5nPXxl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VH/I9cA&#10;AAAJAQAADwAAAAAAAAABACAAAAAiAAAAZHJzL2Rvd25yZXYueG1sUEsBAhQAFAAAAAgAh07iQM9m&#10;ypZZAgAArQQAAA4AAAAAAAAAAQAgAAAAJgEAAGRycy9lMm9Eb2MueG1sUEsFBgAAAAAGAAYAWQEA&#10;APEFA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v:textbox>
                    </v:shape>
                  </w:pict>
                </mc:Fallback>
              </mc:AlternateContent>
            </w:r>
          </w:p>
          <w:p>
            <w:pPr>
              <w:keepNext w:val="0"/>
              <w:keepLines w:val="0"/>
              <w:suppressLineNumbers w:val="0"/>
              <w:spacing w:before="0" w:beforeAutospacing="0" w:after="0" w:afterAutospacing="0"/>
              <w:ind w:left="0" w:right="0"/>
              <w:rPr>
                <w:rFonts w:hint="eastAsia"/>
                <w:lang w:val="en-US" w:eastAsia="zh-CN"/>
              </w:rPr>
            </w:pPr>
            <w:r>
              <w:rPr>
                <w:rFonts w:hint="default"/>
              </w:rPr>
              <mc:AlternateContent>
                <mc:Choice Requires="wps">
                  <w:drawing>
                    <wp:anchor distT="0" distB="0" distL="114300" distR="114300" simplePos="0" relativeHeight="251662336" behindDoc="0" locked="0" layoutInCell="1" allowOverlap="1">
                      <wp:simplePos x="0" y="0"/>
                      <wp:positionH relativeFrom="column">
                        <wp:posOffset>4032250</wp:posOffset>
                      </wp:positionH>
                      <wp:positionV relativeFrom="paragraph">
                        <wp:posOffset>15240</wp:posOffset>
                      </wp:positionV>
                      <wp:extent cx="237490" cy="8890"/>
                      <wp:effectExtent l="0" t="45720" r="10160" b="59690"/>
                      <wp:wrapNone/>
                      <wp:docPr id="26" name="直接箭头连接符 26"/>
                      <wp:cNvGraphicFramePr/>
                      <a:graphic xmlns:a="http://schemas.openxmlformats.org/drawingml/2006/main">
                        <a:graphicData uri="http://schemas.microsoft.com/office/word/2010/wordprocessingShape">
                          <wps:wsp>
                            <wps:cNvCnPr>
                              <a:stCxn id="293" idx="3"/>
                              <a:endCxn id="27" idx="1"/>
                            </wps:cNvCnPr>
                            <wps:spPr>
                              <a:xfrm flipV="1">
                                <a:off x="0" y="0"/>
                                <a:ext cx="237490" cy="88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17.5pt;margin-top:1.2pt;height:0.7pt;width:18.7pt;z-index:251662336;mso-width-relative:page;mso-height-relative:page;" filled="f" stroked="t" coordsize="21600,21600" o:gfxdata="UEsDBAoAAAAAAIdO4kAAAAAAAAAAAAAAAAAEAAAAZHJzL1BLAwQUAAAACACHTuJALdN+99YAAAAH&#10;AQAADwAAAGRycy9kb3ducmV2LnhtbE2PzU7DMBCE70i8g7VI3KjTv1CFbHoAcYJLC1LVmxsvcUq8&#10;DrbbhLfHPZXbjmY08225Hm0nzuRD6xhhOslAENdOt9wgfH68PqxAhKhYq84xIfxSgHV1e1OqQruB&#10;N3TexkakEg6FQjAx9oWUoTZkVZi4njh5X85bFZP0jdReDancdnKWZbm0quW0YFRPz4bq7+3JIuze&#10;s/1ydN4c9z8L89a+NLujHRDv76bZE4hIY7yG4YKf0KFKTAd3Yh1Eh5DPl+mXiDBbgEh+/ng5Dgjz&#10;FciqlP/5qz9QSwMEFAAAAAgAh07iQM51VYRBAgAAYwQAAA4AAABkcnMvZTJvRG9jLnhtbK1US44T&#10;MRDdI3EHy3vS+ZCZpJXOLBKGDZ+R+Owrtrvbkn+yPenkElwAiRWwAlaz5zQwHINyOxOYYTMLsmiV&#10;63U913tVncXZTiuyFT5Iayo6GgwpEYZZLk1T0Tevzx/NKAkRDAdljajoXgR6tnz4YNG5UoxtaxUX&#10;niCJCWXnKtrG6MqiCKwVGsLAOmEQrK3XEPHom4J76JBdq2I8HJ4UnfXcectECJhdZ5AeGP19CG1d&#10;SybWll1qYWJm9UJBREmhlS7QZd9tXQsWX9Z1EJGoiqLS2D/xEow36VksF1A2Hlwr2aEFuE8LdzRp&#10;kAYvPVKtIQK59PIfKi2Zt8HWccCsLrKQ3hFUMRre8eZVC070WtDq4I6mh/9Hy15sLzyRvKLjE0oM&#10;aJz49furn+8+XX/7+uPj1a/vH1L85TNBHM3qXCixZmUufJIb4mpncvl8QjHYVXSSTRWGH7HTAzRK&#10;UHGLIx2Cy2y72mtSK+ne4mL2dqJBBClxWvvjtMQuEobJ8eT08RwRhtBshlHihjKRpNacD/GpsJqk&#10;oKIhepBNG1fWGNwK6/MFsH0WYi68KUjFxp5LpTAPpTKkq+h8Op7iVYALX+OiYagdmhZMQwmoBr8k&#10;Fn3fcrBK8lTd++ObzUp5soW0f/0vv9QCFzk7n2I6WxYgPrc8p0fDmzxqCpmm13eLP/W8htDmmh7K&#10;VBGkemI4iXuHEwXvbUeTDi04JUpgvynKwpU5DCXPIU1kY/n+wic4nXD3+qsP30la7r/P/Vt//hu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t03731gAAAAcBAAAPAAAAAAAAAAEAIAAAACIAAABk&#10;cnMvZG93bnJldi54bWxQSwECFAAUAAAACACHTuJAznVVhEECAABjBAAADgAAAAAAAAABACAAAAAl&#10;AQAAZHJzL2Uyb0RvYy54bWxQSwUGAAAAAAYABgBZAQAA2AUAAAAA&#10;">
                      <v:fill on="f" focussize="0,0"/>
                      <v:stroke color="#000000 [3200]" joinstyle="round" endarrow="open"/>
                      <v:imagedata o:title=""/>
                      <o:lock v:ext="edit" aspectratio="f"/>
                    </v:shape>
                  </w:pict>
                </mc:Fallback>
              </mc:AlternateConten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pStyle w:val="21"/>
              <w:keepNext w:val="0"/>
              <w:keepLines w:val="0"/>
              <w:numPr>
                <w:ilvl w:val="0"/>
                <w:numId w:val="0"/>
              </w:numPr>
              <w:suppressLineNumbers w:val="0"/>
              <w:bidi w:val="0"/>
              <w:spacing w:before="0" w:beforeAutospacing="0" w:after="0" w:afterAutospacing="0"/>
              <w:ind w:left="-454" w:leftChars="0" w:right="0" w:rightChars="0"/>
              <w:rPr>
                <w:rFonts w:hint="eastAsia"/>
                <w:lang w:val="en-US" w:eastAsia="zh-CN"/>
              </w:rPr>
            </w:pPr>
            <w:r>
              <w:rPr>
                <w:rFonts w:hint="eastAsia"/>
                <w:lang w:val="en-US" w:eastAsia="zh-CN"/>
              </w:rPr>
              <w:t>图4 工艺流程图</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3"/>
              <w:suppressLineNumbers w:val="0"/>
              <w:bidi w:val="0"/>
              <w:spacing w:before="0" w:after="0"/>
              <w:ind w:right="0"/>
              <w:rPr>
                <w:rFonts w:hint="eastAsia"/>
                <w:lang w:val="en-US" w:eastAsia="zh-CN"/>
              </w:rPr>
            </w:pPr>
            <w:r>
              <w:rPr>
                <w:rFonts w:hint="eastAsia"/>
                <w:lang w:val="en-US" w:eastAsia="zh-CN"/>
              </w:rPr>
              <w:t>工艺流程简述</w:t>
            </w:r>
          </w:p>
          <w:p>
            <w:pPr>
              <w:pStyle w:val="5"/>
              <w:suppressLineNumbers w:val="0"/>
              <w:bidi w:val="0"/>
              <w:spacing w:before="0" w:beforeAutospacing="0" w:after="0" w:afterAutospacing="0"/>
              <w:ind w:right="0"/>
              <w:rPr>
                <w:rFonts w:hint="default"/>
                <w:lang w:val="en-US" w:eastAsia="zh-CN"/>
              </w:rPr>
            </w:pPr>
            <w:r>
              <w:rPr>
                <w:rFonts w:hint="default"/>
                <w:lang w:val="en-US" w:eastAsia="zh-CN"/>
              </w:rPr>
              <w:t>冷库暂存</w:t>
            </w:r>
          </w:p>
          <w:p>
            <w:pPr>
              <w:keepNext w:val="0"/>
              <w:keepLines w:val="0"/>
              <w:suppressLineNumbers w:val="0"/>
              <w:spacing w:before="0" w:beforeAutospacing="0" w:after="0" w:afterAutospacing="0"/>
              <w:ind w:left="0" w:right="0"/>
              <w:rPr>
                <w:rFonts w:hint="default"/>
                <w:highlight w:val="none"/>
                <w:lang w:val="en-US" w:eastAsia="zh-CN"/>
              </w:rPr>
            </w:pPr>
            <w:r>
              <w:rPr>
                <w:rFonts w:hint="default"/>
                <w:lang w:val="en-US" w:eastAsia="zh-CN"/>
              </w:rPr>
              <w:t>厂区设一冷库，进厂病死畜禽在冷库暂存。</w:t>
            </w:r>
            <w:r>
              <w:rPr>
                <w:rFonts w:hint="default"/>
                <w:highlight w:val="none"/>
                <w:lang w:val="en-US" w:eastAsia="zh-CN"/>
              </w:rPr>
              <w:t>厂区出入口对</w:t>
            </w:r>
            <w:r>
              <w:rPr>
                <w:rFonts w:hint="eastAsia"/>
                <w:highlight w:val="none"/>
                <w:lang w:val="en-US" w:eastAsia="zh-CN"/>
              </w:rPr>
              <w:t>进出</w:t>
            </w:r>
            <w:r>
              <w:rPr>
                <w:rFonts w:hint="default"/>
                <w:highlight w:val="none"/>
                <w:lang w:val="en-US" w:eastAsia="zh-CN"/>
              </w:rPr>
              <w:t>车辆进行消毒。</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粉碎</w:t>
            </w:r>
          </w:p>
          <w:p>
            <w:pPr>
              <w:keepNext w:val="0"/>
              <w:keepLines w:val="0"/>
              <w:suppressLineNumbers w:val="0"/>
              <w:spacing w:before="0" w:beforeAutospacing="0" w:after="0" w:afterAutospacing="0"/>
              <w:ind w:left="0" w:right="0"/>
              <w:rPr>
                <w:rFonts w:hint="eastAsia"/>
                <w:lang w:val="en-US" w:eastAsia="zh-CN"/>
              </w:rPr>
            </w:pPr>
            <w:r>
              <w:rPr>
                <w:rFonts w:hint="default"/>
                <w:lang w:val="en-US" w:eastAsia="zh-CN"/>
              </w:rPr>
              <w:t>病死</w:t>
            </w:r>
            <w:r>
              <w:rPr>
                <w:rFonts w:hint="eastAsia"/>
                <w:lang w:val="en-US" w:eastAsia="zh-CN"/>
              </w:rPr>
              <w:t>畜禽</w:t>
            </w:r>
            <w:r>
              <w:rPr>
                <w:rFonts w:hint="default"/>
                <w:lang w:val="en-US" w:eastAsia="zh-CN"/>
              </w:rPr>
              <w:t>通过进料输送机卸入</w:t>
            </w:r>
            <w:r>
              <w:rPr>
                <w:rFonts w:hint="eastAsia"/>
                <w:lang w:val="en-US" w:eastAsia="zh-CN"/>
              </w:rPr>
              <w:t>粉碎</w:t>
            </w:r>
            <w:r>
              <w:rPr>
                <w:rFonts w:hint="default"/>
                <w:lang w:val="en-US" w:eastAsia="zh-CN"/>
              </w:rPr>
              <w:t>机进行</w:t>
            </w:r>
            <w:r>
              <w:rPr>
                <w:rFonts w:hint="eastAsia"/>
                <w:lang w:val="en-US" w:eastAsia="zh-CN"/>
              </w:rPr>
              <w:t>粉碎</w:t>
            </w:r>
            <w:r>
              <w:rPr>
                <w:rFonts w:hint="default"/>
                <w:lang w:val="en-US" w:eastAsia="zh-CN"/>
              </w:rPr>
              <w:t>，</w:t>
            </w:r>
            <w:r>
              <w:rPr>
                <w:rFonts w:hint="eastAsia"/>
                <w:lang w:val="en-US" w:eastAsia="zh-CN"/>
              </w:rPr>
              <w:t>病死畜禽骨架、肉块等在粉碎机内粉碎，增加后续酸解过程中肉块与酸解液的接触面积，利于酸解彻底。粉碎设备需定期进行清洗，产生清洗废水。此过程还将产生恶臭废气，粉碎时集气罩收集废气至碱液喷淋塔进行处理。</w:t>
            </w:r>
          </w:p>
          <w:p>
            <w:pPr>
              <w:pStyle w:val="5"/>
              <w:suppressLineNumbers w:val="0"/>
              <w:bidi w:val="0"/>
              <w:spacing w:before="0" w:beforeAutospacing="0" w:after="0" w:afterAutospacing="0"/>
              <w:ind w:right="0"/>
              <w:rPr>
                <w:rFonts w:hint="default"/>
                <w:lang w:val="en-US" w:eastAsia="zh-CN"/>
              </w:rPr>
            </w:pPr>
            <w:r>
              <w:rPr>
                <w:rFonts w:hint="eastAsia"/>
                <w:lang w:val="en-US" w:eastAsia="zh-CN"/>
              </w:rPr>
              <w:t>消毒</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病死畜禽粉碎后使用消毒剂通过喷雾方式进行消毒，消毒剂为聚维酮碘溶液和戊二醛盔甲溴铵溶液(1:2)调配而成。消毒后通过上料输送机进入反应釜酸解。</w:t>
            </w:r>
          </w:p>
          <w:p>
            <w:pPr>
              <w:pStyle w:val="5"/>
              <w:suppressLineNumbers w:val="0"/>
              <w:bidi w:val="0"/>
              <w:spacing w:before="0" w:beforeAutospacing="0" w:after="0" w:afterAutospacing="0"/>
              <w:ind w:right="0"/>
              <w:rPr>
                <w:rFonts w:hint="default"/>
                <w:lang w:val="en-US" w:eastAsia="zh-CN"/>
              </w:rPr>
            </w:pPr>
            <w:r>
              <w:rPr>
                <w:rFonts w:hint="default"/>
                <w:lang w:val="en-US" w:eastAsia="zh-CN"/>
              </w:rPr>
              <w:t>原液配置、反应釜酸解</w:t>
            </w:r>
          </w:p>
          <w:p>
            <w:pPr>
              <w:pStyle w:val="6"/>
              <w:suppressLineNumbers w:val="0"/>
              <w:bidi w:val="0"/>
              <w:spacing w:before="0" w:after="0"/>
              <w:ind w:right="0"/>
              <w:rPr>
                <w:rFonts w:hint="default"/>
                <w:lang w:val="en-US" w:eastAsia="zh-CN"/>
              </w:rPr>
            </w:pPr>
            <w:r>
              <w:rPr>
                <w:rFonts w:hint="default"/>
                <w:lang w:val="en-US" w:eastAsia="zh-CN"/>
              </w:rPr>
              <w:t>酸解原液自动配置</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98%浓硫酸与水通过管道与自控装置按1：2的比例</w:t>
            </w:r>
            <w:r>
              <w:rPr>
                <w:rFonts w:hint="eastAsia"/>
                <w:lang w:val="en-US" w:eastAsia="zh-CN"/>
              </w:rPr>
              <w:t>在反应釜中</w:t>
            </w:r>
            <w:r>
              <w:rPr>
                <w:rFonts w:hint="default"/>
                <w:lang w:val="en-US" w:eastAsia="zh-CN"/>
              </w:rPr>
              <w:t>自动输送混合，形成酸解</w:t>
            </w:r>
            <w:r>
              <w:rPr>
                <w:rFonts w:hint="eastAsia"/>
                <w:lang w:val="en-US" w:eastAsia="zh-CN"/>
              </w:rPr>
              <w:t>原</w:t>
            </w:r>
            <w:r>
              <w:rPr>
                <w:rFonts w:hint="default"/>
                <w:lang w:val="en-US" w:eastAsia="zh-CN"/>
              </w:rPr>
              <w:t>液。</w:t>
            </w:r>
          </w:p>
          <w:p>
            <w:pPr>
              <w:pStyle w:val="6"/>
              <w:suppressLineNumbers w:val="0"/>
              <w:bidi w:val="0"/>
              <w:spacing w:before="0" w:after="0"/>
              <w:ind w:right="0"/>
              <w:rPr>
                <w:rFonts w:hint="default"/>
                <w:lang w:val="en-US" w:eastAsia="zh-CN"/>
              </w:rPr>
            </w:pPr>
            <w:r>
              <w:rPr>
                <w:rFonts w:hint="default"/>
                <w:lang w:val="en-US" w:eastAsia="zh-CN"/>
              </w:rPr>
              <w:t>物料抽吸、混合</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粉碎</w:t>
            </w:r>
            <w:r>
              <w:rPr>
                <w:rFonts w:hint="default"/>
                <w:lang w:val="en-US" w:eastAsia="zh-CN"/>
              </w:rPr>
              <w:t>后的畜禽尸体物料经物料泵抽吸，并通过管道向上输送进入反应釜中，使</w:t>
            </w:r>
            <w:r>
              <w:rPr>
                <w:rFonts w:hint="eastAsia"/>
                <w:lang w:val="en-US" w:eastAsia="zh-CN"/>
              </w:rPr>
              <w:t>酸解原液</w:t>
            </w:r>
            <w:r>
              <w:rPr>
                <w:rFonts w:hint="default"/>
                <w:lang w:val="en-US" w:eastAsia="zh-CN"/>
              </w:rPr>
              <w:t>与物料充分混合。</w:t>
            </w:r>
          </w:p>
          <w:p>
            <w:pPr>
              <w:pStyle w:val="6"/>
              <w:suppressLineNumbers w:val="0"/>
              <w:bidi w:val="0"/>
              <w:spacing w:before="0" w:after="0"/>
              <w:ind w:right="0"/>
              <w:rPr>
                <w:rFonts w:hint="default"/>
                <w:lang w:val="en-US" w:eastAsia="zh-CN"/>
              </w:rPr>
            </w:pPr>
            <w:r>
              <w:rPr>
                <w:rFonts w:hint="default"/>
                <w:lang w:val="en-US" w:eastAsia="zh-CN"/>
              </w:rPr>
              <w:t>反应釜酸解</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反应釜内通过燃气锅炉提供蒸汽换热，保持温度100~108℃，压力</w:t>
            </w:r>
            <w:r>
              <w:rPr>
                <w:rFonts w:hint="default" w:ascii="Times New Roman" w:hAnsi="Times New Roman" w:cs="Times New Roman"/>
                <w:lang w:val="en-US" w:eastAsia="zh-CN"/>
              </w:rPr>
              <w:t>≤</w:t>
            </w:r>
            <w:r>
              <w:rPr>
                <w:rFonts w:hint="eastAsia"/>
                <w:lang w:val="en-US" w:eastAsia="zh-CN"/>
              </w:rPr>
              <w:t>1.5MPa，使用配置酸解原液将粉碎后的物料进行酸解，</w:t>
            </w:r>
            <w:r>
              <w:rPr>
                <w:rFonts w:hint="default"/>
                <w:lang w:val="en-US" w:eastAsia="zh-CN"/>
              </w:rPr>
              <w:t>期间通过自控装置控制釜内压力</w:t>
            </w:r>
            <w:r>
              <w:rPr>
                <w:rFonts w:hint="eastAsia"/>
                <w:lang w:val="en-US" w:eastAsia="zh-CN"/>
              </w:rPr>
              <w:t>。产生的</w:t>
            </w:r>
            <w:r>
              <w:rPr>
                <w:rFonts w:hint="default"/>
                <w:lang w:val="en-US" w:eastAsia="zh-CN"/>
              </w:rPr>
              <w:t>恶臭及酸雾气体</w:t>
            </w:r>
            <w:r>
              <w:rPr>
                <w:rFonts w:hint="eastAsia"/>
                <w:lang w:val="en-US" w:eastAsia="zh-CN"/>
              </w:rPr>
              <w:t>经管道负压收集后送至碱液喷淋塔处理</w:t>
            </w:r>
            <w:r>
              <w:rPr>
                <w:rFonts w:hint="default"/>
                <w:lang w:val="en-US" w:eastAsia="zh-CN"/>
              </w:rPr>
              <w:t>。</w:t>
            </w:r>
          </w:p>
          <w:p>
            <w:pPr>
              <w:pStyle w:val="5"/>
              <w:suppressLineNumbers w:val="0"/>
              <w:bidi w:val="0"/>
              <w:spacing w:before="0" w:beforeAutospacing="0" w:after="0" w:afterAutospacing="0"/>
              <w:ind w:right="0"/>
              <w:rPr>
                <w:rFonts w:hint="default"/>
                <w:lang w:val="en-US" w:eastAsia="zh-CN"/>
              </w:rPr>
            </w:pPr>
            <w:r>
              <w:rPr>
                <w:rFonts w:hint="default"/>
                <w:lang w:val="en-US" w:eastAsia="zh-CN"/>
              </w:rPr>
              <w:t>冷却、卸料</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反应釜中物料反应完全后</w:t>
            </w:r>
            <w:r>
              <w:rPr>
                <w:rFonts w:hint="default"/>
                <w:b w:val="0"/>
                <w:bCs w:val="0"/>
                <w:lang w:val="en-US" w:eastAsia="zh-CN"/>
              </w:rPr>
              <w:t>，</w:t>
            </w:r>
            <w:r>
              <w:rPr>
                <w:rFonts w:hint="default"/>
                <w:lang w:val="en-US" w:eastAsia="zh-CN"/>
              </w:rPr>
              <w:t>关闭加温系统，物料在反应釜中自然冷却，之后自控装置控制打开反应釜下部阀门，</w:t>
            </w:r>
            <w:r>
              <w:rPr>
                <w:rFonts w:hint="eastAsia"/>
                <w:lang w:val="en-US" w:eastAsia="zh-CN"/>
              </w:rPr>
              <w:t>物料进入原液储存罐。</w:t>
            </w:r>
          </w:p>
          <w:p>
            <w:pPr>
              <w:pStyle w:val="5"/>
              <w:suppressLineNumbers w:val="0"/>
              <w:bidi w:val="0"/>
              <w:spacing w:before="0" w:beforeAutospacing="0" w:after="0" w:afterAutospacing="0"/>
              <w:ind w:right="0"/>
              <w:rPr>
                <w:rFonts w:hint="default"/>
                <w:lang w:val="en-US" w:eastAsia="zh-CN"/>
              </w:rPr>
            </w:pPr>
            <w:r>
              <w:rPr>
                <w:rFonts w:hint="eastAsia"/>
                <w:lang w:val="en-US" w:eastAsia="zh-CN"/>
              </w:rPr>
              <w:t>原液储存罐</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氨基酸滤液进入原液储存罐</w:t>
            </w:r>
            <w:r>
              <w:rPr>
                <w:rFonts w:hint="eastAsia"/>
                <w:color w:val="auto"/>
                <w:lang w:val="en-US" w:eastAsia="zh-CN"/>
              </w:rPr>
              <w:t>液储存罐静置分层，产生油脂和氨基酸原液。底渣通过板滤机</w:t>
            </w:r>
            <w:r>
              <w:rPr>
                <w:rFonts w:hint="default"/>
                <w:color w:val="auto"/>
                <w:lang w:val="en-US" w:eastAsia="zh-CN"/>
              </w:rPr>
              <w:t>对物料进行</w:t>
            </w:r>
            <w:r>
              <w:rPr>
                <w:rFonts w:hint="eastAsia"/>
                <w:color w:val="auto"/>
                <w:lang w:val="en-US" w:eastAsia="zh-CN"/>
              </w:rPr>
              <w:t>过滤产出滓渣。</w:t>
            </w:r>
            <w:r>
              <w:rPr>
                <w:rFonts w:hint="eastAsia"/>
                <w:highlight w:val="none"/>
                <w:lang w:val="en-US" w:eastAsia="zh-CN"/>
              </w:rPr>
              <w:t>滓渣进入产品仓库堆放暂存</w:t>
            </w:r>
            <w:r>
              <w:rPr>
                <w:rFonts w:hint="eastAsia"/>
                <w:lang w:val="en-US" w:eastAsia="zh-CN"/>
              </w:rPr>
              <w:t>，氨基酸原液及油脂分别进入罐装工序。过滤时产生的</w:t>
            </w:r>
            <w:r>
              <w:rPr>
                <w:rFonts w:hint="default"/>
                <w:lang w:val="en-US" w:eastAsia="zh-CN"/>
              </w:rPr>
              <w:t>恶臭气体</w:t>
            </w:r>
            <w:r>
              <w:rPr>
                <w:rFonts w:hint="eastAsia"/>
                <w:lang w:val="en-US" w:eastAsia="zh-CN"/>
              </w:rPr>
              <w:t>经管道负压收集后送至碱液喷淋塔处理</w:t>
            </w:r>
            <w:r>
              <w:rPr>
                <w:rFonts w:hint="default"/>
                <w:lang w:val="en-US" w:eastAsia="zh-CN"/>
              </w:rPr>
              <w:t>。</w:t>
            </w:r>
          </w:p>
          <w:p>
            <w:pPr>
              <w:pStyle w:val="5"/>
              <w:suppressLineNumbers w:val="0"/>
              <w:bidi w:val="0"/>
              <w:spacing w:before="0" w:beforeAutospacing="0" w:after="0" w:afterAutospacing="0"/>
              <w:ind w:right="0"/>
              <w:rPr>
                <w:rFonts w:hint="default"/>
                <w:lang w:val="en-US" w:eastAsia="zh-CN"/>
              </w:rPr>
            </w:pPr>
            <w:r>
              <w:rPr>
                <w:rFonts w:hint="default"/>
                <w:lang w:val="en-US" w:eastAsia="zh-CN"/>
              </w:rPr>
              <w:t>罐装</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氨基酸原</w:t>
            </w:r>
            <w:r>
              <w:rPr>
                <w:rFonts w:hint="default"/>
                <w:lang w:val="en-US" w:eastAsia="zh-CN"/>
              </w:rPr>
              <w:t>液中加入</w:t>
            </w:r>
            <w:r>
              <w:rPr>
                <w:rFonts w:hint="default"/>
                <w:highlight w:val="none"/>
                <w:lang w:val="en-US" w:eastAsia="zh-CN"/>
              </w:rPr>
              <w:t>微量元素</w:t>
            </w:r>
            <w:r>
              <w:rPr>
                <w:rFonts w:hint="eastAsia"/>
                <w:highlight w:val="none"/>
                <w:lang w:val="en-US" w:eastAsia="zh-CN"/>
              </w:rPr>
              <w:t>(铁、锰、铜、钾等)</w:t>
            </w:r>
            <w:r>
              <w:rPr>
                <w:rFonts w:hint="default"/>
                <w:highlight w:val="none"/>
                <w:lang w:val="en-US" w:eastAsia="zh-CN"/>
              </w:rPr>
              <w:t>，</w:t>
            </w:r>
            <w:r>
              <w:rPr>
                <w:rFonts w:hint="default"/>
                <w:lang w:val="en-US" w:eastAsia="zh-CN"/>
              </w:rPr>
              <w:t>即形成氨基酸水</w:t>
            </w:r>
            <w:r>
              <w:rPr>
                <w:rFonts w:hint="eastAsia"/>
                <w:lang w:val="en-US" w:eastAsia="zh-CN"/>
              </w:rPr>
              <w:t>溶液</w:t>
            </w:r>
            <w:r>
              <w:rPr>
                <w:rFonts w:hint="default"/>
                <w:lang w:val="en-US" w:eastAsia="zh-CN"/>
              </w:rPr>
              <w:t>产品，产品氨基酸水溶液</w:t>
            </w:r>
            <w:r>
              <w:rPr>
                <w:rFonts w:hint="eastAsia"/>
                <w:lang w:val="en-US" w:eastAsia="zh-CN"/>
              </w:rPr>
              <w:t>及油脂分别</w:t>
            </w:r>
            <w:r>
              <w:rPr>
                <w:rFonts w:hint="default"/>
                <w:lang w:val="en-US" w:eastAsia="zh-CN"/>
              </w:rPr>
              <w:t>采用吨桶包装，每桶净重1</w:t>
            </w:r>
            <w:r>
              <w:rPr>
                <w:rFonts w:hint="eastAsia"/>
                <w:lang w:val="en-US" w:eastAsia="zh-CN"/>
              </w:rPr>
              <w:t>t</w:t>
            </w:r>
            <w:r>
              <w:rPr>
                <w:rFonts w:hint="default"/>
                <w:lang w:val="en-US" w:eastAsia="zh-CN"/>
              </w:rPr>
              <w:t>。</w:t>
            </w:r>
            <w:r>
              <w:rPr>
                <w:rFonts w:hint="eastAsia"/>
                <w:lang w:val="en-US" w:eastAsia="zh-CN"/>
              </w:rPr>
              <w:t>所有产品检疫合格后出厂外售。</w:t>
            </w:r>
          </w:p>
          <w:p>
            <w:pPr>
              <w:pStyle w:val="5"/>
              <w:suppressLineNumbers w:val="0"/>
              <w:bidi w:val="0"/>
              <w:spacing w:before="0" w:beforeAutospacing="0" w:after="0" w:afterAutospacing="0"/>
              <w:ind w:right="0"/>
              <w:rPr>
                <w:rFonts w:hint="default"/>
                <w:lang w:val="en-US" w:eastAsia="zh-CN"/>
              </w:rPr>
            </w:pPr>
            <w:r>
              <w:rPr>
                <w:rFonts w:hint="default"/>
                <w:lang w:val="en-US" w:eastAsia="zh-CN"/>
              </w:rPr>
              <w:t>厂区地面消毒</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厂区地面采用定期撒熟石灰的方式消毒，石灰用量为</w:t>
            </w:r>
            <w:r>
              <w:rPr>
                <w:rFonts w:hint="eastAsia"/>
                <w:lang w:val="en-US" w:eastAsia="zh-CN"/>
              </w:rPr>
              <w:t>12</w:t>
            </w:r>
            <w:r>
              <w:rPr>
                <w:rFonts w:hint="default"/>
                <w:lang w:val="en-US" w:eastAsia="zh-CN"/>
              </w:rPr>
              <w:t>kg/d，定期清扫，地面清洗水收集沉淀后用于反应釜。</w:t>
            </w:r>
          </w:p>
          <w:p>
            <w:pPr>
              <w:pStyle w:val="3"/>
              <w:suppressLineNumbers w:val="0"/>
              <w:bidi w:val="0"/>
              <w:spacing w:before="0" w:after="0"/>
              <w:ind w:right="0"/>
              <w:rPr>
                <w:rFonts w:hint="default"/>
                <w:lang w:val="en-US" w:eastAsia="zh-CN"/>
              </w:rPr>
            </w:pPr>
            <w:r>
              <w:rPr>
                <w:rFonts w:hint="default"/>
                <w:lang w:val="en-US" w:eastAsia="zh-CN"/>
              </w:rPr>
              <w:t>冷库工艺流程简介</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本项目产生的病死</w:t>
            </w:r>
            <w:r>
              <w:rPr>
                <w:rFonts w:hint="eastAsia"/>
                <w:lang w:val="en-US" w:eastAsia="zh-CN"/>
              </w:rPr>
              <w:t>畜禽</w:t>
            </w:r>
            <w:r>
              <w:rPr>
                <w:rFonts w:hint="default"/>
                <w:lang w:val="en-US" w:eastAsia="zh-CN"/>
              </w:rPr>
              <w:t>按照《病死动物无害化处理技术规范》</w:t>
            </w:r>
            <w:r>
              <w:rPr>
                <w:rFonts w:hint="eastAsia"/>
                <w:lang w:val="en-US" w:eastAsia="zh-CN"/>
              </w:rPr>
              <w:t>(</w:t>
            </w:r>
            <w:r>
              <w:rPr>
                <w:rFonts w:hint="default"/>
                <w:lang w:val="en-US" w:eastAsia="zh-CN"/>
              </w:rPr>
              <w:t>农医发[2017]25号</w:t>
            </w:r>
            <w:r>
              <w:rPr>
                <w:rFonts w:hint="eastAsia"/>
                <w:lang w:val="en-US" w:eastAsia="zh-CN"/>
              </w:rPr>
              <w:t>)</w:t>
            </w:r>
            <w:r>
              <w:rPr>
                <w:rFonts w:hint="default"/>
                <w:lang w:val="en-US" w:eastAsia="zh-CN"/>
              </w:rPr>
              <w:t>中</w:t>
            </w:r>
            <w:r>
              <w:rPr>
                <w:rFonts w:hint="eastAsia"/>
                <w:lang w:val="en-US" w:eastAsia="zh-CN"/>
              </w:rPr>
              <w:t>“</w:t>
            </w:r>
            <w:r>
              <w:rPr>
                <w:rFonts w:hint="default"/>
                <w:lang w:val="en-US" w:eastAsia="zh-CN"/>
              </w:rPr>
              <w:t>收集转运要求</w:t>
            </w:r>
            <w:r>
              <w:rPr>
                <w:rFonts w:hint="eastAsia"/>
                <w:lang w:val="en-US" w:eastAsia="zh-CN"/>
              </w:rPr>
              <w:t>”</w:t>
            </w:r>
            <w:r>
              <w:rPr>
                <w:rFonts w:hint="default"/>
                <w:lang w:val="en-US" w:eastAsia="zh-CN"/>
              </w:rPr>
              <w:t>采用密封、不渗水专用容器将病死</w:t>
            </w:r>
            <w:r>
              <w:rPr>
                <w:rFonts w:hint="eastAsia"/>
                <w:lang w:val="en-US" w:eastAsia="zh-CN"/>
              </w:rPr>
              <w:t>畜禽</w:t>
            </w:r>
            <w:r>
              <w:rPr>
                <w:rFonts w:hint="default"/>
                <w:lang w:val="en-US" w:eastAsia="zh-CN"/>
              </w:rPr>
              <w:t>盛装后暂存。</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冷库采用R22作为制冷剂，在制冷循环中，主要包括蒸发器、压缩机、冷凝器、节流阀四大部件。从蒸发器出来的制冷剂的低温低压蒸汽被吸入压缩机内，压缩成高压高温的过热蒸汽，然后进入冷凝器。由于高压高温过热R22的温度高于环境介质的温度，且其压力使R22能在高温下冷凝成液体状态，因而排至冷凝器时，经冷却、冷凝成高压常温的R22通过膨胀阀时，因节流而降压，在压力降低的同时，R22因沸腾蒸发吸热使其本身的温度也相应下降，</w:t>
            </w:r>
            <w:r>
              <w:rPr>
                <w:rFonts w:hint="eastAsia"/>
                <w:lang w:val="en-US" w:eastAsia="zh-CN"/>
              </w:rPr>
              <w:t>造成</w:t>
            </w:r>
            <w:r>
              <w:rPr>
                <w:rFonts w:hint="default"/>
                <w:lang w:val="en-US" w:eastAsia="zh-CN"/>
              </w:rPr>
              <w:t>低压低温。把这种低压低温的R22引入蒸发器吸热蒸发，即可使其周围空气及物料的温度下降而达到制冷的目的。从蒸发器出来的低压低温R22重新进入压缩机，从而完成一个制冷循环。然后重复上述过程。</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项目制冷系统工艺流程见</w:t>
            </w:r>
            <w:r>
              <w:rPr>
                <w:rFonts w:hint="eastAsia"/>
                <w:lang w:val="en-US" w:eastAsia="zh-CN"/>
              </w:rPr>
              <w:t>下</w:t>
            </w:r>
            <w:r>
              <w:rPr>
                <w:rFonts w:hint="default"/>
                <w:lang w:val="en-US" w:eastAsia="zh-CN"/>
              </w:rPr>
              <w:t>图。</w:t>
            </w:r>
          </w:p>
          <w:p>
            <w:pPr>
              <w:pStyle w:val="22"/>
              <w:keepNext w:val="0"/>
              <w:keepLines w:val="0"/>
              <w:suppressLineNumbers w:val="0"/>
              <w:bidi w:val="0"/>
              <w:spacing w:before="0" w:beforeAutospacing="0" w:after="0" w:afterAutospacing="0"/>
              <w:rPr>
                <w:rFonts w:hint="default"/>
              </w:rPr>
            </w:pPr>
          </w:p>
          <w:p>
            <w:pPr>
              <w:pStyle w:val="22"/>
              <w:keepNext w:val="0"/>
              <w:keepLines w:val="0"/>
              <w:suppressLineNumbers w:val="0"/>
              <w:bidi w:val="0"/>
              <w:spacing w:before="0" w:beforeAutospacing="0" w:after="0" w:afterAutospacing="0"/>
              <w:rPr>
                <w:rFonts w:hint="default"/>
              </w:rPr>
            </w:pPr>
          </w:p>
          <w:p>
            <w:pPr>
              <w:keepNext w:val="0"/>
              <w:keepLines w:val="0"/>
              <w:suppressLineNumbers w:val="0"/>
              <w:spacing w:before="0" w:beforeAutospacing="0" w:after="0" w:afterAutospacing="0"/>
              <w:ind w:left="0" w:right="0"/>
              <w:rPr>
                <w:rFonts w:hint="default"/>
              </w:rPr>
            </w:pPr>
          </w:p>
          <w:p>
            <w:pPr>
              <w:pStyle w:val="22"/>
              <w:keepNext w:val="0"/>
              <w:keepLines w:val="0"/>
              <w:suppressLineNumbers w:val="0"/>
              <w:bidi w:val="0"/>
              <w:spacing w:before="0" w:beforeAutospacing="0" w:after="0" w:afterAutospacing="0"/>
              <w:jc w:val="both"/>
              <w:rPr>
                <w:rFonts w:hint="default"/>
              </w:rPr>
            </w:pPr>
          </w:p>
          <w:p>
            <w:pPr>
              <w:pStyle w:val="22"/>
              <w:keepNext w:val="0"/>
              <w:keepLines w:val="0"/>
              <w:suppressLineNumbers w:val="0"/>
              <w:bidi w:val="0"/>
              <w:spacing w:before="0" w:beforeAutospacing="0" w:after="0" w:afterAutospacing="0"/>
              <w:rPr>
                <w:rFonts w:hint="default"/>
                <w:lang w:val="en-US" w:eastAsia="zh-CN"/>
              </w:rPr>
            </w:pPr>
            <w:r>
              <w:rPr>
                <w:rFonts w:hint="default"/>
              </w:rPr>
              <w:drawing>
                <wp:inline distT="0" distB="0" distL="114300" distR="114300">
                  <wp:extent cx="4545330" cy="2559685"/>
                  <wp:effectExtent l="12700" t="12700" r="13970" b="18415"/>
                  <wp:docPr id="3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
                          <pic:cNvPicPr>
                            <a:picLocks noChangeAspect="1"/>
                          </pic:cNvPicPr>
                        </pic:nvPicPr>
                        <pic:blipFill>
                          <a:blip r:embed="rId19"/>
                          <a:stretch>
                            <a:fillRect/>
                          </a:stretch>
                        </pic:blipFill>
                        <pic:spPr>
                          <a:xfrm>
                            <a:off x="0" y="0"/>
                            <a:ext cx="4545330" cy="2559685"/>
                          </a:xfrm>
                          <a:prstGeom prst="rect">
                            <a:avLst/>
                          </a:prstGeom>
                          <a:noFill/>
                          <a:ln w="12700">
                            <a:solidFill>
                              <a:schemeClr val="tx1"/>
                            </a:solidFill>
                          </a:ln>
                        </pic:spPr>
                      </pic:pic>
                    </a:graphicData>
                  </a:graphic>
                </wp:inline>
              </w:drawing>
            </w:r>
          </w:p>
          <w:p>
            <w:pPr>
              <w:pStyle w:val="21"/>
              <w:keepNext w:val="0"/>
              <w:keepLines w:val="0"/>
              <w:numPr>
                <w:ilvl w:val="0"/>
                <w:numId w:val="0"/>
              </w:numPr>
              <w:suppressLineNumbers w:val="0"/>
              <w:bidi w:val="0"/>
              <w:spacing w:before="0" w:beforeAutospacing="0" w:after="0" w:afterAutospacing="0"/>
              <w:ind w:left="-454" w:leftChars="0" w:right="0" w:rightChars="0"/>
              <w:rPr>
                <w:rFonts w:hint="default"/>
                <w:lang w:val="en-US" w:eastAsia="zh-CN"/>
              </w:rPr>
            </w:pPr>
            <w:r>
              <w:rPr>
                <w:rFonts w:hint="eastAsia"/>
                <w:lang w:val="en-US" w:eastAsia="zh-CN"/>
              </w:rPr>
              <w:t xml:space="preserve">图5 </w:t>
            </w:r>
            <w:r>
              <w:rPr>
                <w:rFonts w:hint="default"/>
                <w:lang w:val="en-US" w:eastAsia="zh-CN"/>
              </w:rPr>
              <w:t>制冷系统工艺流程图</w:t>
            </w:r>
          </w:p>
          <w:p>
            <w:pPr>
              <w:pStyle w:val="2"/>
              <w:numPr>
                <w:ilvl w:val="0"/>
                <w:numId w:val="5"/>
              </w:numPr>
              <w:suppressLineNumbers w:val="0"/>
              <w:bidi w:val="0"/>
              <w:spacing w:before="0" w:after="0"/>
              <w:ind w:right="0"/>
              <w:rPr>
                <w:rFonts w:hint="default"/>
                <w:lang w:val="en-US" w:eastAsia="zh-CN"/>
              </w:rPr>
            </w:pPr>
            <w:r>
              <w:rPr>
                <w:rFonts w:hint="eastAsia"/>
                <w:lang w:val="en-US" w:eastAsia="zh-CN"/>
              </w:rPr>
              <w:t>产排污环节</w:t>
            </w:r>
          </w:p>
          <w:p>
            <w:pPr>
              <w:keepNext w:val="0"/>
              <w:keepLines w:val="0"/>
              <w:numPr>
                <w:ilvl w:val="0"/>
                <w:numId w:val="0"/>
              </w:numPr>
              <w:suppressLineNumbers w:val="0"/>
              <w:tabs>
                <w:tab w:val="left" w:pos="0"/>
              </w:tabs>
              <w:autoSpaceDE w:val="0"/>
              <w:autoSpaceDN w:val="0"/>
              <w:adjustRightInd w:val="0"/>
              <w:snapToGrid w:val="0"/>
              <w:spacing w:before="0" w:beforeAutospacing="0" w:after="0" w:afterAutospacing="0"/>
              <w:ind w:left="425" w:leftChars="0" w:right="0" w:rightChars="0"/>
              <w:jc w:val="both"/>
              <w:rPr>
                <w:rFonts w:hint="default"/>
                <w:lang w:val="en-US" w:eastAsia="zh-CN"/>
              </w:rPr>
            </w:pPr>
            <w:r>
              <w:rPr>
                <w:rFonts w:hint="default"/>
                <w:lang w:val="en-US" w:eastAsia="zh-CN"/>
              </w:rPr>
              <w:t>本项目运营期产污环节和排污特征汇总情况见</w:t>
            </w:r>
            <w:r>
              <w:rPr>
                <w:rFonts w:hint="eastAsia"/>
                <w:lang w:val="en-US" w:eastAsia="zh-CN"/>
              </w:rPr>
              <w:t>下表</w:t>
            </w:r>
            <w:r>
              <w:rPr>
                <w:rFonts w:hint="default"/>
                <w:lang w:val="en-US" w:eastAsia="zh-CN"/>
              </w:rPr>
              <w:t>。</w:t>
            </w:r>
          </w:p>
          <w:p>
            <w:pPr>
              <w:pStyle w:val="20"/>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运营期产污环节和排污特征</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525"/>
              <w:gridCol w:w="1663"/>
              <w:gridCol w:w="711"/>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类别</w:t>
                  </w: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产生点</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污染物</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特征</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74"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废气</w:t>
                  </w: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酸解过程</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硫酸雾、氨、硫化氢</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经管道负压收集至碱液喷淋塔吸收处理后，经排气筒(DA001)排放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粉碎过程</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氨、硫化氢</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经集气罩收集经风机抽引至碱液喷淋塔吸收处理后，</w:t>
                  </w:r>
                  <w:r>
                    <w:rPr>
                      <w:rFonts w:hint="eastAsia"/>
                      <w:lang w:val="en-US" w:eastAsia="zh-CN"/>
                    </w:rPr>
                    <w:t>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过滤过程</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氨、硫化氢</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间断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经</w:t>
                  </w:r>
                  <w:r>
                    <w:rPr>
                      <w:rFonts w:hint="eastAsia"/>
                      <w:lang w:val="en-US" w:eastAsia="zh-CN"/>
                    </w:rPr>
                    <w:t>管道负压</w:t>
                  </w:r>
                  <w:r>
                    <w:rPr>
                      <w:rFonts w:hint="default"/>
                      <w:lang w:val="en-US" w:eastAsia="zh-CN"/>
                    </w:rPr>
                    <w:t>至碱液喷淋塔吸收处理后，</w:t>
                  </w:r>
                  <w:r>
                    <w:rPr>
                      <w:rFonts w:hint="eastAsia"/>
                      <w:lang w:val="en-US" w:eastAsia="zh-CN"/>
                    </w:rPr>
                    <w:t>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燃气锅炉</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颗粒物、SO</w:t>
                  </w:r>
                  <w:r>
                    <w:rPr>
                      <w:rFonts w:hint="eastAsia"/>
                      <w:vertAlign w:val="subscript"/>
                      <w:lang w:val="en-US" w:eastAsia="zh-CN"/>
                    </w:rPr>
                    <w:t>2</w:t>
                  </w:r>
                  <w:r>
                    <w:rPr>
                      <w:rFonts w:hint="eastAsia"/>
                      <w:lang w:val="en-US" w:eastAsia="zh-CN"/>
                    </w:rPr>
                    <w:t>、NO</w:t>
                  </w:r>
                  <w:r>
                    <w:rPr>
                      <w:rFonts w:hint="eastAsia"/>
                      <w:vertAlign w:val="subscript"/>
                      <w:lang w:val="en-US" w:eastAsia="zh-CN"/>
                    </w:rPr>
                    <w:t>x</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经排气筒(DA002)排放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罐装过程</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氨、硫化氢</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间断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车间通风后无组织排放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硫酸储罐</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大小呼吸</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硫酸雾</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通风后无组织排放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4"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废水</w:t>
                  </w: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设备清洗废水</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COD、BOD</w:t>
                  </w:r>
                  <w:r>
                    <w:rPr>
                      <w:rFonts w:hint="eastAsia"/>
                      <w:vertAlign w:val="subscript"/>
                      <w:lang w:val="en-US" w:eastAsia="zh-CN"/>
                    </w:rPr>
                    <w:t>5</w:t>
                  </w:r>
                  <w:r>
                    <w:rPr>
                      <w:rFonts w:hint="eastAsia"/>
                      <w:lang w:val="en-US" w:eastAsia="zh-CN"/>
                    </w:rPr>
                    <w:t>、SS、NH</w:t>
                  </w:r>
                  <w:r>
                    <w:rPr>
                      <w:rFonts w:hint="eastAsia"/>
                      <w:vertAlign w:val="subscript"/>
                      <w:lang w:val="en-US" w:eastAsia="zh-CN"/>
                    </w:rPr>
                    <w:t>3</w:t>
                  </w:r>
                  <w:r>
                    <w:rPr>
                      <w:rFonts w:hint="eastAsia"/>
                      <w:lang w:val="en-US" w:eastAsia="zh-CN"/>
                    </w:rPr>
                    <w:t>-N等</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循环</w:t>
                  </w:r>
                  <w:r>
                    <w:rPr>
                      <w:rFonts w:hint="eastAsia"/>
                      <w:lang w:val="en-US" w:eastAsia="zh-CN"/>
                    </w:rPr>
                    <w:t>回用</w:t>
                  </w:r>
                  <w:r>
                    <w:rPr>
                      <w:rFonts w:hint="default"/>
                      <w:lang w:val="en-US" w:eastAsia="zh-CN"/>
                    </w:rPr>
                    <w:t>于酸解液配置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厂房清洗废水</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COD、BOD</w:t>
                  </w:r>
                  <w:r>
                    <w:rPr>
                      <w:rFonts w:hint="eastAsia"/>
                      <w:vertAlign w:val="subscript"/>
                      <w:lang w:val="en-US" w:eastAsia="zh-CN"/>
                    </w:rPr>
                    <w:t>5</w:t>
                  </w:r>
                  <w:r>
                    <w:rPr>
                      <w:rFonts w:hint="eastAsia"/>
                      <w:lang w:val="en-US" w:eastAsia="zh-CN"/>
                    </w:rPr>
                    <w:t>、SS、NH</w:t>
                  </w:r>
                  <w:r>
                    <w:rPr>
                      <w:rFonts w:hint="eastAsia"/>
                      <w:vertAlign w:val="subscript"/>
                      <w:lang w:val="en-US" w:eastAsia="zh-CN"/>
                    </w:rPr>
                    <w:t>3</w:t>
                  </w:r>
                  <w:r>
                    <w:rPr>
                      <w:rFonts w:hint="eastAsia"/>
                      <w:lang w:val="en-US" w:eastAsia="zh-CN"/>
                    </w:rPr>
                    <w:t>-N等</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碱液喷淋塔废水</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pH、SS等</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职工生活污水</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COD、BOD</w:t>
                  </w:r>
                  <w:r>
                    <w:rPr>
                      <w:rFonts w:hint="eastAsia"/>
                      <w:vertAlign w:val="subscript"/>
                      <w:lang w:val="en-US" w:eastAsia="zh-CN"/>
                    </w:rPr>
                    <w:t>5</w:t>
                  </w:r>
                  <w:r>
                    <w:rPr>
                      <w:rFonts w:hint="eastAsia"/>
                      <w:lang w:val="en-US" w:eastAsia="zh-CN"/>
                    </w:rPr>
                    <w:t>、SS、NH</w:t>
                  </w:r>
                  <w:r>
                    <w:rPr>
                      <w:rFonts w:hint="eastAsia"/>
                      <w:vertAlign w:val="subscript"/>
                      <w:lang w:val="en-US" w:eastAsia="zh-CN"/>
                    </w:rPr>
                    <w:t>3</w:t>
                  </w:r>
                  <w:r>
                    <w:rPr>
                      <w:rFonts w:hint="eastAsia"/>
                      <w:lang w:val="en-US" w:eastAsia="zh-CN"/>
                    </w:rPr>
                    <w:t>-N</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经化粪池进入园区污水管网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噪声</w:t>
                  </w: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各类生产设备、废气处理风机、泵等</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dB(A)</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连续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选用低噪声设备，厂房隔声、消声、减震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74"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固废</w:t>
                  </w: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氢氧化钾废包装</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废包装袋</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暂存厂区内危险废物暂存间，</w:t>
                  </w:r>
                  <w:r>
                    <w:rPr>
                      <w:rFonts w:hint="default"/>
                      <w:lang w:val="en-US" w:eastAsia="zh-CN"/>
                    </w:rPr>
                    <w:t>统一收集交有资质单位处理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c>
                <w:tcPr>
                  <w:tcW w:w="961"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职工生活</w:t>
                  </w:r>
                </w:p>
              </w:tc>
              <w:tc>
                <w:tcPr>
                  <w:tcW w:w="10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生活垃圾</w:t>
                  </w:r>
                </w:p>
              </w:tc>
              <w:tc>
                <w:tcPr>
                  <w:tcW w:w="44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定期收集后交由当地环卫部门处理</w:t>
                  </w:r>
                </w:p>
              </w:tc>
            </w:tr>
          </w:tbl>
          <w:p>
            <w:pPr>
              <w:pStyle w:val="3"/>
              <w:numPr>
                <w:ilvl w:val="1"/>
                <w:numId w:val="0"/>
              </w:numPr>
              <w:suppressLineNumbers w:val="0"/>
              <w:bidi w:val="0"/>
              <w:spacing w:before="0" w:after="0"/>
              <w:ind w:right="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1" w:hRule="atLeast"/>
          <w:jc w:val="center"/>
        </w:trPr>
        <w:tc>
          <w:tcPr>
            <w:tcW w:w="823"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bCs/>
                <w:szCs w:val="21"/>
              </w:rPr>
              <w:t>与项目有关的原有环境污染问题</w:t>
            </w:r>
          </w:p>
        </w:tc>
        <w:tc>
          <w:tcPr>
            <w:tcW w:w="8161" w:type="dxa"/>
          </w:tcPr>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本项目为新建项目，无现有污染情况及主要环境问题。</w:t>
            </w:r>
          </w:p>
        </w:tc>
      </w:tr>
    </w:tbl>
    <w:p>
      <w:pPr>
        <w:widowControl/>
        <w:spacing w:before="100" w:beforeAutospacing="1" w:after="100" w:afterAutospacing="1"/>
        <w:jc w:val="center"/>
        <w:rPr>
          <w:rFonts w:ascii="黑体" w:hAnsi="黑体" w:eastAsia="黑体" w:cs="Times New Roman"/>
          <w:snapToGrid w:val="0"/>
          <w:kern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hint="eastAsia" w:ascii="黑体" w:hAnsi="黑体" w:eastAsia="黑体" w:cs="Times New Roman"/>
          <w:snapToGrid w:val="0"/>
          <w:kern w:val="0"/>
          <w:sz w:val="30"/>
          <w:szCs w:val="30"/>
        </w:rPr>
        <w:t>三、区域环境质量现状、环境保护目标及评价标准</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06" w:hRule="atLeast"/>
          <w:jc w:val="center"/>
        </w:trPr>
        <w:tc>
          <w:tcPr>
            <w:tcW w:w="800" w:type="dxa"/>
            <w:vAlign w:val="center"/>
          </w:tcPr>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0"/>
                <w:szCs w:val="21"/>
              </w:rPr>
            </w:pPr>
            <w:r>
              <w:rPr>
                <w:rFonts w:hint="eastAsia" w:ascii="宋体" w:hAnsi="宋体" w:eastAsia="宋体" w:cs="宋体"/>
                <w:kern w:val="0"/>
                <w:szCs w:val="21"/>
              </w:rPr>
              <w:t>区域</w:t>
            </w:r>
          </w:p>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0"/>
                <w:szCs w:val="21"/>
              </w:rPr>
            </w:pPr>
            <w:r>
              <w:rPr>
                <w:rFonts w:hint="eastAsia" w:ascii="宋体" w:hAnsi="宋体" w:eastAsia="宋体" w:cs="宋体"/>
                <w:kern w:val="0"/>
                <w:szCs w:val="21"/>
              </w:rPr>
              <w:t>环境</w:t>
            </w:r>
          </w:p>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0"/>
                <w:szCs w:val="21"/>
              </w:rPr>
            </w:pPr>
            <w:r>
              <w:rPr>
                <w:rFonts w:hint="eastAsia" w:ascii="宋体" w:hAnsi="宋体" w:eastAsia="宋体" w:cs="宋体"/>
                <w:kern w:val="0"/>
                <w:szCs w:val="21"/>
              </w:rPr>
              <w:t>质量</w:t>
            </w:r>
          </w:p>
          <w:p>
            <w:pPr>
              <w:keepNext w:val="0"/>
              <w:keepLines w:val="0"/>
              <w:suppressLineNumbers w:val="0"/>
              <w:adjustRightInd w:val="0"/>
              <w:snapToGrid w:val="0"/>
              <w:spacing w:before="0" w:beforeAutospacing="0" w:after="0" w:afterAutospacing="0"/>
              <w:ind w:left="0" w:leftChars="0" w:right="0" w:firstLine="0" w:firstLineChars="0"/>
              <w:jc w:val="both"/>
              <w:rPr>
                <w:rFonts w:hint="default" w:ascii="宋体" w:hAnsi="宋体" w:eastAsia="宋体" w:cs="宋体"/>
                <w:kern w:val="0"/>
                <w:szCs w:val="21"/>
              </w:rPr>
            </w:pPr>
            <w:r>
              <w:rPr>
                <w:rFonts w:hint="eastAsia" w:ascii="宋体" w:hAnsi="宋体" w:eastAsia="宋体" w:cs="宋体"/>
                <w:kern w:val="0"/>
                <w:szCs w:val="21"/>
              </w:rPr>
              <w:t>现状</w:t>
            </w:r>
          </w:p>
        </w:tc>
        <w:tc>
          <w:tcPr>
            <w:tcW w:w="8190" w:type="dxa"/>
            <w:vAlign w:val="center"/>
          </w:tcPr>
          <w:p>
            <w:pPr>
              <w:keepNext w:val="0"/>
              <w:keepLines w:val="0"/>
              <w:suppressLineNumbers w:val="0"/>
              <w:spacing w:before="120" w:beforeAutospacing="0" w:after="0" w:afterAutospacing="0" w:line="360" w:lineRule="auto"/>
              <w:ind w:left="0" w:leftChars="0" w:right="102" w:firstLine="0" w:firstLineChars="0"/>
              <w:rPr>
                <w:rFonts w:hint="eastAsia" w:eastAsia="宋体"/>
                <w:lang w:val="en-US" w:eastAsia="zh-CN"/>
              </w:rPr>
            </w:pPr>
            <w:r>
              <w:rPr>
                <w:rFonts w:hint="default"/>
                <w:b/>
                <w:bCs/>
                <w:color w:val="auto"/>
                <w:sz w:val="24"/>
              </w:rPr>
              <w:t>建设项目所在地区域环境质量现状及主要环境问题</w:t>
            </w:r>
            <w:r>
              <w:rPr>
                <w:rFonts w:hint="eastAsia"/>
                <w:b/>
                <w:bCs/>
                <w:color w:val="auto"/>
                <w:sz w:val="24"/>
                <w:lang w:eastAsia="zh-CN"/>
              </w:rPr>
              <w:t>(</w:t>
            </w:r>
            <w:r>
              <w:rPr>
                <w:rFonts w:hint="default"/>
                <w:b/>
                <w:bCs/>
                <w:color w:val="auto"/>
                <w:sz w:val="24"/>
              </w:rPr>
              <w:t>环境空气、地面水、地下水、声环境、生态环境等</w:t>
            </w:r>
            <w:r>
              <w:rPr>
                <w:rFonts w:hint="eastAsia"/>
                <w:b/>
                <w:bCs/>
                <w:color w:val="auto"/>
                <w:sz w:val="24"/>
                <w:lang w:eastAsia="zh-CN"/>
              </w:rPr>
              <w:t>)</w:t>
            </w:r>
          </w:p>
          <w:p>
            <w:pPr>
              <w:pStyle w:val="2"/>
              <w:numPr>
                <w:ilvl w:val="0"/>
                <w:numId w:val="6"/>
              </w:numPr>
              <w:suppressLineNumbers w:val="0"/>
              <w:bidi w:val="0"/>
              <w:spacing w:before="0" w:after="0"/>
              <w:ind w:right="0"/>
              <w:rPr>
                <w:rFonts w:hint="default"/>
                <w:lang w:val="en-US" w:eastAsia="zh-CN"/>
              </w:rPr>
            </w:pPr>
            <w:r>
              <w:rPr>
                <w:rFonts w:hint="eastAsia"/>
                <w:lang w:val="en-US" w:eastAsia="zh-CN"/>
              </w:rPr>
              <w:t>大气环境质量现状调查与评价</w:t>
            </w:r>
          </w:p>
          <w:p>
            <w:pPr>
              <w:pStyle w:val="3"/>
              <w:suppressLineNumbers w:val="0"/>
              <w:bidi w:val="0"/>
              <w:spacing w:before="0" w:after="0"/>
              <w:ind w:right="0"/>
              <w:rPr>
                <w:rFonts w:hint="default"/>
                <w:lang w:val="en-US" w:eastAsia="zh-CN"/>
              </w:rPr>
            </w:pPr>
            <w:r>
              <w:rPr>
                <w:rFonts w:hint="eastAsia"/>
                <w:lang w:val="en-US" w:eastAsia="zh-CN"/>
              </w:rPr>
              <w:t>数据来源</w:t>
            </w:r>
          </w:p>
          <w:p>
            <w:pPr>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根据《环境影响评价技术导则-大气环境》</w:t>
            </w:r>
            <w:r>
              <w:rPr>
                <w:rFonts w:hint="eastAsia"/>
                <w:lang w:val="en-US" w:eastAsia="zh-CN"/>
              </w:rPr>
              <w:t>(</w:t>
            </w:r>
            <w:r>
              <w:rPr>
                <w:rFonts w:hint="default"/>
                <w:lang w:val="en-US" w:eastAsia="zh-CN"/>
              </w:rPr>
              <w:t>HJ2.2-2018</w:t>
            </w:r>
            <w:r>
              <w:rPr>
                <w:rFonts w:hint="eastAsia"/>
                <w:lang w:val="en-US" w:eastAsia="zh-CN"/>
              </w:rPr>
              <w:t>)</w:t>
            </w:r>
            <w:r>
              <w:rPr>
                <w:rFonts w:hint="default"/>
                <w:lang w:val="en-US" w:eastAsia="zh-CN"/>
              </w:rPr>
              <w:t>对环境质量现状数据的要求，</w:t>
            </w:r>
            <w:r>
              <w:rPr>
                <w:rFonts w:hint="eastAsia"/>
                <w:lang w:val="en-US" w:eastAsia="zh-CN"/>
              </w:rPr>
              <w:t>分别对基本污染物和特征污染物的环境质量现状进行评价。</w:t>
            </w:r>
          </w:p>
          <w:p>
            <w:pPr>
              <w:keepNext w:val="0"/>
              <w:keepLines w:val="0"/>
              <w:suppressLineNumbers w:val="0"/>
              <w:bidi w:val="0"/>
              <w:spacing w:before="0" w:beforeAutospacing="0" w:after="0" w:afterAutospacing="0"/>
              <w:ind w:left="0" w:right="0"/>
              <w:rPr>
                <w:rFonts w:hint="eastAsia"/>
                <w:lang w:val="en-US" w:eastAsia="zh-CN"/>
              </w:rPr>
            </w:pPr>
            <w:r>
              <w:rPr>
                <w:rFonts w:hint="eastAsia"/>
                <w:color w:val="auto"/>
                <w:lang w:val="en-US" w:eastAsia="zh-CN"/>
              </w:rPr>
              <w:t>本次基本污染物评价采用生态环境部“环境空气质量模型技术支持服务系统”公开发布的项目所在区域昌吉回族自治州2019年基本污染物大气环境质量现状。特征污染物评价采用新疆绿格洁瑞环境检测技术有限公司于2021年5月7日-9日监测数据，监测点位见图6。</w:t>
            </w:r>
          </w:p>
          <w:p>
            <w:pPr>
              <w:pStyle w:val="3"/>
              <w:suppressLineNumbers w:val="0"/>
              <w:bidi w:val="0"/>
              <w:spacing w:before="0" w:after="0"/>
              <w:ind w:right="0"/>
              <w:rPr>
                <w:rFonts w:hint="default"/>
                <w:lang w:val="en-US" w:eastAsia="zh-CN"/>
              </w:rPr>
            </w:pPr>
            <w:r>
              <w:rPr>
                <w:rFonts w:hint="eastAsia"/>
                <w:lang w:val="en-US" w:eastAsia="zh-CN"/>
              </w:rPr>
              <w:t>评价标准</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基本污染物</w:t>
            </w:r>
            <w:r>
              <w:rPr>
                <w:rFonts w:hint="eastAsia"/>
                <w:lang w:val="en-US" w:eastAsia="zh-CN"/>
              </w:rPr>
              <w:t>：</w:t>
            </w:r>
            <w:r>
              <w:rPr>
                <w:rFonts w:hint="default"/>
                <w:lang w:val="en-US" w:eastAsia="zh-CN"/>
              </w:rPr>
              <w:t>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、CO、O</w:t>
            </w:r>
            <w:r>
              <w:rPr>
                <w:rFonts w:hint="default"/>
                <w:vertAlign w:val="subscript"/>
                <w:lang w:val="en-US" w:eastAsia="zh-CN"/>
              </w:rPr>
              <w:t>3</w:t>
            </w:r>
            <w:r>
              <w:rPr>
                <w:rFonts w:hint="default"/>
                <w:lang w:val="en-US" w:eastAsia="zh-CN"/>
              </w:rPr>
              <w:t>执行《环境空气质量标准》</w:t>
            </w:r>
            <w:r>
              <w:rPr>
                <w:rFonts w:hint="eastAsia"/>
                <w:lang w:val="en-US" w:eastAsia="zh-CN"/>
              </w:rPr>
              <w:t>(</w:t>
            </w:r>
            <w:r>
              <w:rPr>
                <w:rFonts w:hint="default"/>
                <w:lang w:val="en-US" w:eastAsia="zh-CN"/>
              </w:rPr>
              <w:t>GB3095-2012</w:t>
            </w:r>
            <w:r>
              <w:rPr>
                <w:rFonts w:hint="eastAsia"/>
                <w:lang w:val="en-US" w:eastAsia="zh-CN"/>
              </w:rPr>
              <w:t>)</w:t>
            </w:r>
            <w:r>
              <w:rPr>
                <w:rFonts w:hint="default"/>
                <w:lang w:val="en-US" w:eastAsia="zh-CN"/>
              </w:rPr>
              <w:t>中的二级标准。</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特征污染物：硫酸雾、</w:t>
            </w:r>
            <w:r>
              <w:rPr>
                <w:rFonts w:hint="eastAsia"/>
                <w:lang w:eastAsia="zh-CN"/>
              </w:rPr>
              <w:t>H</w:t>
            </w:r>
            <w:r>
              <w:rPr>
                <w:rFonts w:hint="eastAsia"/>
                <w:vertAlign w:val="subscript"/>
                <w:lang w:eastAsia="zh-CN"/>
              </w:rPr>
              <w:t>2</w:t>
            </w:r>
            <w:r>
              <w:rPr>
                <w:rFonts w:hint="eastAsia"/>
                <w:lang w:eastAsia="zh-CN"/>
              </w:rPr>
              <w:t>S</w:t>
            </w:r>
            <w:r>
              <w:rPr>
                <w:rFonts w:hint="eastAsia"/>
                <w:lang w:val="en-US" w:eastAsia="zh-CN"/>
              </w:rPr>
              <w:t>和</w:t>
            </w:r>
            <w:r>
              <w:rPr>
                <w:rFonts w:hint="eastAsia"/>
                <w:lang w:eastAsia="zh-CN"/>
              </w:rPr>
              <w:t>NH</w:t>
            </w:r>
            <w:r>
              <w:rPr>
                <w:rFonts w:hint="eastAsia"/>
                <w:vertAlign w:val="subscript"/>
                <w:lang w:eastAsia="zh-CN"/>
              </w:rPr>
              <w:t>3</w:t>
            </w:r>
            <w:r>
              <w:rPr>
                <w:rFonts w:hint="eastAsia"/>
                <w:lang w:val="en-US" w:eastAsia="zh-CN"/>
              </w:rPr>
              <w:t>执行</w:t>
            </w:r>
            <w:r>
              <w:rPr>
                <w:rFonts w:hint="default"/>
                <w:lang w:val="en-US" w:eastAsia="zh-CN"/>
              </w:rPr>
              <w:t>H</w:t>
            </w:r>
            <w:r>
              <w:rPr>
                <w:rFonts w:hint="default"/>
              </w:rPr>
              <w:t>J</w:t>
            </w:r>
            <w:r>
              <w:rPr>
                <w:rFonts w:hint="default"/>
                <w:lang w:val="en-US" w:eastAsia="zh-CN"/>
              </w:rPr>
              <w:t>2.2</w:t>
            </w:r>
            <w:r>
              <w:rPr>
                <w:rFonts w:hint="default"/>
              </w:rPr>
              <w:t>-</w:t>
            </w:r>
            <w:r>
              <w:rPr>
                <w:rFonts w:hint="default"/>
                <w:lang w:val="en-US" w:eastAsia="zh-CN"/>
              </w:rPr>
              <w:t>2018</w:t>
            </w:r>
            <w:r>
              <w:rPr>
                <w:rFonts w:hint="default"/>
              </w:rPr>
              <w:t>《</w:t>
            </w:r>
            <w:r>
              <w:rPr>
                <w:rFonts w:hint="default"/>
                <w:lang w:eastAsia="zh-CN"/>
              </w:rPr>
              <w:t>环境影响评价技术导则</w:t>
            </w:r>
            <w:r>
              <w:rPr>
                <w:rFonts w:hint="default"/>
                <w:lang w:val="en-US" w:eastAsia="zh-CN"/>
              </w:rPr>
              <w:t xml:space="preserve"> 大气环境</w:t>
            </w:r>
            <w:r>
              <w:rPr>
                <w:rFonts w:hint="default"/>
              </w:rPr>
              <w:t>》中</w:t>
            </w:r>
            <w:r>
              <w:rPr>
                <w:rFonts w:hint="default"/>
                <w:lang w:eastAsia="zh-CN"/>
              </w:rPr>
              <w:t>附录</w:t>
            </w:r>
            <w:r>
              <w:rPr>
                <w:rFonts w:hint="default"/>
                <w:lang w:val="en-US" w:eastAsia="zh-CN"/>
              </w:rPr>
              <w:t>D</w:t>
            </w:r>
            <w:r>
              <w:rPr>
                <w:rFonts w:hint="default"/>
                <w:lang w:eastAsia="zh-CN"/>
              </w:rPr>
              <w:t>其他污染物空气质量浓度参考限值</w:t>
            </w:r>
            <w:r>
              <w:rPr>
                <w:rFonts w:hint="eastAsia"/>
                <w:lang w:eastAsia="zh-CN"/>
              </w:rPr>
              <w:t>。</w:t>
            </w:r>
          </w:p>
          <w:p>
            <w:pPr>
              <w:pStyle w:val="3"/>
              <w:suppressLineNumbers w:val="0"/>
              <w:bidi w:val="0"/>
              <w:spacing w:before="0" w:after="0"/>
              <w:ind w:right="0"/>
              <w:rPr>
                <w:rFonts w:hint="eastAsia"/>
                <w:lang w:val="en-US" w:eastAsia="zh-CN"/>
              </w:rPr>
            </w:pPr>
            <w:r>
              <w:rPr>
                <w:rFonts w:hint="eastAsia"/>
                <w:lang w:val="en-US" w:eastAsia="zh-CN"/>
              </w:rPr>
              <w:t>评价方法</w:t>
            </w:r>
          </w:p>
          <w:p>
            <w:pPr>
              <w:keepNext w:val="0"/>
              <w:keepLines w:val="0"/>
              <w:suppressLineNumbers w:val="0"/>
              <w:bidi w:val="0"/>
              <w:spacing w:before="0" w:beforeAutospacing="0" w:after="0" w:afterAutospacing="0"/>
              <w:ind w:left="0" w:right="0"/>
              <w:rPr>
                <w:rFonts w:hint="default"/>
                <w:color w:val="auto"/>
                <w:lang w:val="en-US" w:eastAsia="zh-CN"/>
              </w:rPr>
            </w:pPr>
            <w:r>
              <w:rPr>
                <w:rFonts w:hint="default"/>
                <w:lang w:val="en-US" w:eastAsia="zh-CN"/>
              </w:rPr>
              <w:t>按照《环境空气质量评价技术规范</w:t>
            </w:r>
            <w:r>
              <w:rPr>
                <w:rFonts w:hint="eastAsia"/>
                <w:lang w:val="en-US" w:eastAsia="zh-CN"/>
              </w:rPr>
              <w:t>(</w:t>
            </w:r>
            <w:r>
              <w:rPr>
                <w:rFonts w:hint="default"/>
                <w:lang w:val="en-US" w:eastAsia="zh-CN"/>
              </w:rPr>
              <w:t>试行</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HJ663-2013</w:t>
            </w:r>
            <w:r>
              <w:rPr>
                <w:rFonts w:hint="eastAsia"/>
                <w:lang w:val="en-US" w:eastAsia="zh-CN"/>
              </w:rPr>
              <w:t>)</w:t>
            </w:r>
            <w:r>
              <w:rPr>
                <w:rFonts w:hint="default"/>
                <w:lang w:val="en-US" w:eastAsia="zh-CN"/>
              </w:rPr>
              <w:t>中各评价项目的年评价指标进行判定。年评价指标中的年均浓度和相应百分位数24h平均或8h</w:t>
            </w:r>
            <w:r>
              <w:rPr>
                <w:rFonts w:hint="default"/>
                <w:color w:val="auto"/>
                <w:lang w:val="en-US" w:eastAsia="zh-CN"/>
              </w:rPr>
              <w:t>平均质量浓度满足</w:t>
            </w:r>
            <w:r>
              <w:rPr>
                <w:rFonts w:hint="eastAsia"/>
                <w:color w:val="auto"/>
                <w:lang w:val="en-US" w:eastAsia="zh-CN"/>
              </w:rPr>
              <w:t>评价标准</w:t>
            </w:r>
            <w:r>
              <w:rPr>
                <w:rFonts w:hint="default"/>
                <w:color w:val="auto"/>
                <w:lang w:val="en-US" w:eastAsia="zh-CN"/>
              </w:rPr>
              <w:t>中浓度限值要求的即为达标。</w:t>
            </w:r>
          </w:p>
          <w:p>
            <w:pPr>
              <w:pStyle w:val="3"/>
              <w:suppressLineNumbers w:val="0"/>
              <w:bidi w:val="0"/>
              <w:spacing w:before="0" w:after="0"/>
              <w:ind w:right="0"/>
              <w:rPr>
                <w:rFonts w:hint="default"/>
                <w:lang w:val="en-US" w:eastAsia="zh-CN"/>
              </w:rPr>
            </w:pPr>
            <w:r>
              <w:rPr>
                <w:rFonts w:hint="eastAsia"/>
                <w:lang w:val="en-US" w:eastAsia="zh-CN"/>
              </w:rPr>
              <w:t>评价结果</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环境空气质量现状评价表见下表。</w:t>
            </w: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20"/>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基本污染物的</w:t>
            </w:r>
            <w:r>
              <w:rPr>
                <w:rFonts w:hint="eastAsia"/>
                <w:color w:val="auto"/>
              </w:rPr>
              <w:t>环境空气质量现状评价结果</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0" w:type="dxa"/>
                <w:bottom w:w="0" w:type="dxa"/>
                <w:right w:w="0" w:type="dxa"/>
              </w:tblCellMar>
            </w:tblPr>
            <w:tblGrid>
              <w:gridCol w:w="997"/>
              <w:gridCol w:w="2141"/>
              <w:gridCol w:w="1582"/>
              <w:gridCol w:w="1147"/>
              <w:gridCol w:w="1047"/>
              <w:gridCol w:w="1047"/>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62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监测因子</w:t>
                  </w:r>
                </w:p>
              </w:tc>
              <w:tc>
                <w:tcPr>
                  <w:tcW w:w="134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年</w:t>
                  </w:r>
                  <w:r>
                    <w:rPr>
                      <w:rFonts w:hint="default"/>
                      <w:color w:val="auto"/>
                    </w:rPr>
                    <w:t>评价指标</w:t>
                  </w:r>
                </w:p>
              </w:tc>
              <w:tc>
                <w:tcPr>
                  <w:tcW w:w="9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现状浓度</w:t>
                  </w:r>
                </w:p>
                <w:p>
                  <w:pPr>
                    <w:pStyle w:val="19"/>
                    <w:keepNext w:val="0"/>
                    <w:keepLines w:val="0"/>
                    <w:suppressLineNumbers w:val="0"/>
                    <w:bidi w:val="0"/>
                    <w:spacing w:before="0" w:beforeAutospacing="0" w:after="0" w:afterAutospacing="0"/>
                    <w:ind w:left="0" w:right="0"/>
                    <w:rPr>
                      <w:rFonts w:hint="eastAsia" w:eastAsia="宋体"/>
                      <w:color w:val="auto"/>
                      <w:lang w:eastAsia="zh-CN"/>
                    </w:rPr>
                  </w:pPr>
                  <w:r>
                    <w:rPr>
                      <w:rFonts w:hint="eastAsia"/>
                      <w:color w:val="auto"/>
                      <w:lang w:eastAsia="zh-CN"/>
                    </w:rPr>
                    <w:t>(</w:t>
                  </w:r>
                  <w:r>
                    <w:rPr>
                      <w:rFonts w:hint="default"/>
                      <w:color w:val="auto"/>
                    </w:rPr>
                    <w:t>μg/m</w:t>
                  </w:r>
                  <w:r>
                    <w:rPr>
                      <w:rFonts w:hint="default"/>
                      <w:color w:val="auto"/>
                      <w:vertAlign w:val="superscript"/>
                    </w:rPr>
                    <w:t>3</w:t>
                  </w:r>
                  <w:r>
                    <w:rPr>
                      <w:rFonts w:hint="eastAsia"/>
                      <w:color w:val="auto"/>
                      <w:lang w:eastAsia="zh-CN"/>
                    </w:rPr>
                    <w:t>)</w:t>
                  </w:r>
                </w:p>
              </w:tc>
              <w:tc>
                <w:tcPr>
                  <w:tcW w:w="72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标准值</w:t>
                  </w:r>
                </w:p>
                <w:p>
                  <w:pPr>
                    <w:pStyle w:val="19"/>
                    <w:keepNext w:val="0"/>
                    <w:keepLines w:val="0"/>
                    <w:suppressLineNumbers w:val="0"/>
                    <w:bidi w:val="0"/>
                    <w:spacing w:before="0" w:beforeAutospacing="0" w:after="0" w:afterAutospacing="0"/>
                    <w:ind w:left="0" w:right="0"/>
                    <w:rPr>
                      <w:rFonts w:hint="eastAsia" w:eastAsia="宋体"/>
                      <w:color w:val="auto"/>
                      <w:lang w:eastAsia="zh-CN"/>
                    </w:rPr>
                  </w:pPr>
                  <w:r>
                    <w:rPr>
                      <w:rFonts w:hint="eastAsia"/>
                      <w:color w:val="auto"/>
                      <w:lang w:eastAsia="zh-CN"/>
                    </w:rPr>
                    <w:t>(</w:t>
                  </w:r>
                  <w:r>
                    <w:rPr>
                      <w:rFonts w:hint="default"/>
                      <w:color w:val="auto"/>
                    </w:rPr>
                    <w:t>μg/m</w:t>
                  </w:r>
                  <w:r>
                    <w:rPr>
                      <w:rFonts w:hint="default"/>
                      <w:color w:val="auto"/>
                      <w:vertAlign w:val="superscript"/>
                    </w:rPr>
                    <w:t>3</w:t>
                  </w:r>
                  <w:r>
                    <w:rPr>
                      <w:rFonts w:hint="eastAsia"/>
                      <w:color w:val="auto"/>
                      <w:lang w:eastAsia="zh-CN"/>
                    </w:rPr>
                    <w:t>)</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占标率%</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达标情况</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62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SO</w:t>
                  </w:r>
                  <w:r>
                    <w:rPr>
                      <w:rFonts w:hint="default"/>
                      <w:color w:val="auto"/>
                      <w:vertAlign w:val="subscript"/>
                    </w:rPr>
                    <w:t>2</w:t>
                  </w:r>
                </w:p>
              </w:tc>
              <w:tc>
                <w:tcPr>
                  <w:tcW w:w="134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10</w:t>
                  </w:r>
                </w:p>
              </w:tc>
              <w:tc>
                <w:tcPr>
                  <w:tcW w:w="72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60</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16.7</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2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NO</w:t>
                  </w:r>
                  <w:r>
                    <w:rPr>
                      <w:rFonts w:hint="default"/>
                      <w:color w:val="auto"/>
                      <w:vertAlign w:val="subscript"/>
                    </w:rPr>
                    <w:t>2</w:t>
                  </w:r>
                </w:p>
              </w:tc>
              <w:tc>
                <w:tcPr>
                  <w:tcW w:w="134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38</w:t>
                  </w:r>
                </w:p>
              </w:tc>
              <w:tc>
                <w:tcPr>
                  <w:tcW w:w="72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40</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95</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62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PM</w:t>
                  </w:r>
                  <w:r>
                    <w:rPr>
                      <w:rFonts w:hint="default"/>
                      <w:color w:val="auto"/>
                      <w:vertAlign w:val="subscript"/>
                    </w:rPr>
                    <w:t>10</w:t>
                  </w:r>
                </w:p>
              </w:tc>
              <w:tc>
                <w:tcPr>
                  <w:tcW w:w="134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98</w:t>
                  </w:r>
                </w:p>
              </w:tc>
              <w:tc>
                <w:tcPr>
                  <w:tcW w:w="72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70</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140</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color w:val="auto"/>
                      <w:lang w:eastAsia="zh-CN"/>
                    </w:rPr>
                  </w:pPr>
                  <w:r>
                    <w:rPr>
                      <w:rFonts w:hint="eastAsia"/>
                      <w:color w:val="auto"/>
                      <w:lang w:val="en-US" w:eastAsia="zh-CN"/>
                    </w:rPr>
                    <w:t>超标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62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PM</w:t>
                  </w:r>
                  <w:r>
                    <w:rPr>
                      <w:rFonts w:hint="default"/>
                      <w:color w:val="auto"/>
                      <w:vertAlign w:val="subscript"/>
                    </w:rPr>
                    <w:t>2.5</w:t>
                  </w:r>
                </w:p>
              </w:tc>
              <w:tc>
                <w:tcPr>
                  <w:tcW w:w="134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57</w:t>
                  </w:r>
                </w:p>
              </w:tc>
              <w:tc>
                <w:tcPr>
                  <w:tcW w:w="72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35</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163</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color w:val="auto"/>
                      <w:lang w:eastAsia="zh-CN"/>
                    </w:rPr>
                  </w:pPr>
                  <w:r>
                    <w:rPr>
                      <w:rFonts w:hint="eastAsia"/>
                      <w:color w:val="auto"/>
                      <w:lang w:val="en-US" w:eastAsia="zh-CN"/>
                    </w:rPr>
                    <w:t>超标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62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CO</w:t>
                  </w:r>
                </w:p>
              </w:tc>
              <w:tc>
                <w:tcPr>
                  <w:tcW w:w="134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日平均第98百分位数</w:t>
                  </w:r>
                </w:p>
              </w:tc>
              <w:tc>
                <w:tcPr>
                  <w:tcW w:w="9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2.4mg/m</w:t>
                  </w:r>
                  <w:r>
                    <w:rPr>
                      <w:rFonts w:hint="eastAsia"/>
                      <w:color w:val="auto"/>
                      <w:vertAlign w:val="superscript"/>
                      <w:lang w:val="en-US" w:eastAsia="zh-CN"/>
                    </w:rPr>
                    <w:t>3</w:t>
                  </w:r>
                </w:p>
              </w:tc>
              <w:tc>
                <w:tcPr>
                  <w:tcW w:w="72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4mg/m</w:t>
                  </w:r>
                  <w:r>
                    <w:rPr>
                      <w:rFonts w:hint="eastAsia"/>
                      <w:color w:val="auto"/>
                      <w:vertAlign w:val="superscript"/>
                      <w:lang w:val="en-US" w:eastAsia="zh-CN"/>
                    </w:rPr>
                    <w:t>3</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60</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2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O</w:t>
                  </w:r>
                  <w:r>
                    <w:rPr>
                      <w:rFonts w:hint="default"/>
                      <w:color w:val="auto"/>
                      <w:vertAlign w:val="subscript"/>
                    </w:rPr>
                    <w:t>3</w:t>
                  </w:r>
                </w:p>
              </w:tc>
              <w:tc>
                <w:tcPr>
                  <w:tcW w:w="134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最大8h平均第90百分位数</w:t>
                  </w:r>
                </w:p>
              </w:tc>
              <w:tc>
                <w:tcPr>
                  <w:tcW w:w="9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122</w:t>
                  </w:r>
                </w:p>
              </w:tc>
              <w:tc>
                <w:tcPr>
                  <w:tcW w:w="72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160</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76.25</w:t>
                  </w:r>
                </w:p>
              </w:tc>
              <w:tc>
                <w:tcPr>
                  <w:tcW w:w="6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bl>
          <w:p>
            <w:pPr>
              <w:keepNext w:val="0"/>
              <w:keepLines w:val="0"/>
              <w:suppressLineNumbers w:val="0"/>
              <w:bidi w:val="0"/>
              <w:spacing w:before="0" w:beforeAutospacing="0" w:after="0" w:afterAutospacing="0"/>
              <w:ind w:left="0" w:leftChars="0" w:right="0" w:firstLine="0" w:firstLineChars="0"/>
              <w:rPr>
                <w:rFonts w:hint="eastAsia"/>
              </w:rPr>
            </w:pPr>
          </w:p>
          <w:p>
            <w:pPr>
              <w:pStyle w:val="20"/>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特征污染物的环境空气质量现状评价标准</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580"/>
              <w:gridCol w:w="1070"/>
              <w:gridCol w:w="1327"/>
              <w:gridCol w:w="132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3"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监测因子</w:t>
                  </w:r>
                </w:p>
              </w:tc>
              <w:tc>
                <w:tcPr>
                  <w:tcW w:w="992"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检测浓度范围mg/m</w:t>
                  </w:r>
                  <w:r>
                    <w:rPr>
                      <w:rFonts w:hint="eastAsia"/>
                      <w:vertAlign w:val="superscript"/>
                      <w:lang w:val="en-US" w:eastAsia="zh-CN"/>
                    </w:rPr>
                    <w:t>3</w:t>
                  </w:r>
                </w:p>
              </w:tc>
              <w:tc>
                <w:tcPr>
                  <w:tcW w:w="672"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平均时间</w:t>
                  </w:r>
                </w:p>
              </w:tc>
              <w:tc>
                <w:tcPr>
                  <w:tcW w:w="833"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评价标准</w:t>
                  </w:r>
                </w:p>
              </w:tc>
              <w:tc>
                <w:tcPr>
                  <w:tcW w:w="829"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监测点位</w:t>
                  </w:r>
                </w:p>
              </w:tc>
              <w:tc>
                <w:tcPr>
                  <w:tcW w:w="838"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氨</w:t>
                  </w:r>
                </w:p>
              </w:tc>
              <w:tc>
                <w:tcPr>
                  <w:tcW w:w="992"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0.02-0.03</w:t>
                  </w:r>
                </w:p>
              </w:tc>
              <w:tc>
                <w:tcPr>
                  <w:tcW w:w="672" w:type="pct"/>
                  <w:vMerge w:val="restar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1h</w:t>
                  </w:r>
                </w:p>
              </w:tc>
              <w:tc>
                <w:tcPr>
                  <w:tcW w:w="833" w:type="pct"/>
                  <w:vAlign w:val="center"/>
                </w:tcPr>
                <w:p>
                  <w:pPr>
                    <w:pStyle w:val="19"/>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lang w:val="en-US" w:eastAsia="zh-CN"/>
                    </w:rPr>
                    <w:t>200</w:t>
                  </w:r>
                  <w:r>
                    <w:rPr>
                      <w:rFonts w:hint="default" w:ascii="Times New Roman" w:hAnsi="Times New Roman" w:cs="Times New Roman"/>
                      <w:lang w:val="en-US" w:eastAsia="zh-CN"/>
                    </w:rPr>
                    <w:t>μ</w:t>
                  </w:r>
                  <w:r>
                    <w:rPr>
                      <w:rFonts w:hint="eastAsia" w:ascii="Times New Roman" w:hAnsi="Times New Roman" w:cs="Times New Roman"/>
                      <w:lang w:val="en-US" w:eastAsia="zh-CN"/>
                    </w:rPr>
                    <w:t>g</w:t>
                  </w:r>
                  <w:r>
                    <w:rPr>
                      <w:rFonts w:hint="eastAsia"/>
                      <w:lang w:val="en-US" w:eastAsia="zh-CN"/>
                    </w:rPr>
                    <w:t>/m</w:t>
                  </w:r>
                  <w:r>
                    <w:rPr>
                      <w:rFonts w:hint="eastAsia"/>
                      <w:vertAlign w:val="superscript"/>
                      <w:lang w:val="en-US" w:eastAsia="zh-CN"/>
                    </w:rPr>
                    <w:t>3</w:t>
                  </w:r>
                </w:p>
              </w:tc>
              <w:tc>
                <w:tcPr>
                  <w:tcW w:w="829" w:type="pct"/>
                  <w:vMerge w:val="restar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项目区下风向500m处</w:t>
                  </w:r>
                </w:p>
              </w:tc>
              <w:tc>
                <w:tcPr>
                  <w:tcW w:w="838"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硫化氢</w:t>
                  </w:r>
                </w:p>
              </w:tc>
              <w:tc>
                <w:tcPr>
                  <w:tcW w:w="992" w:type="pct"/>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&lt;0.005</w:t>
                  </w:r>
                </w:p>
              </w:tc>
              <w:tc>
                <w:tcPr>
                  <w:tcW w:w="672" w:type="pct"/>
                  <w:vMerge w:val="continue"/>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p>
              </w:tc>
              <w:tc>
                <w:tcPr>
                  <w:tcW w:w="833" w:type="pct"/>
                  <w:vAlign w:val="center"/>
                </w:tcPr>
                <w:p>
                  <w:pPr>
                    <w:pStyle w:val="19"/>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lang w:val="en-US" w:eastAsia="zh-CN"/>
                    </w:rPr>
                    <w:t>10</w:t>
                  </w:r>
                  <w:r>
                    <w:rPr>
                      <w:rFonts w:hint="default" w:ascii="Times New Roman" w:hAnsi="Times New Roman" w:cs="Times New Roman"/>
                      <w:lang w:val="en-US" w:eastAsia="zh-CN"/>
                    </w:rPr>
                    <w:t>μ</w:t>
                  </w:r>
                  <w:r>
                    <w:rPr>
                      <w:rFonts w:hint="eastAsia" w:ascii="Times New Roman" w:hAnsi="Times New Roman" w:cs="Times New Roman"/>
                      <w:lang w:val="en-US" w:eastAsia="zh-CN"/>
                    </w:rPr>
                    <w:t>g</w:t>
                  </w:r>
                  <w:r>
                    <w:rPr>
                      <w:rFonts w:hint="eastAsia"/>
                      <w:lang w:val="en-US" w:eastAsia="zh-CN"/>
                    </w:rPr>
                    <w:t>/m</w:t>
                  </w:r>
                  <w:r>
                    <w:rPr>
                      <w:rFonts w:hint="eastAsia"/>
                      <w:vertAlign w:val="superscript"/>
                      <w:lang w:val="en-US" w:eastAsia="zh-CN"/>
                    </w:rPr>
                    <w:t>3</w:t>
                  </w:r>
                </w:p>
              </w:tc>
              <w:tc>
                <w:tcPr>
                  <w:tcW w:w="829" w:type="pct"/>
                  <w:vMerge w:val="continue"/>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p>
              </w:tc>
              <w:tc>
                <w:tcPr>
                  <w:tcW w:w="838"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硫酸雾</w:t>
                  </w:r>
                </w:p>
              </w:tc>
              <w:tc>
                <w:tcPr>
                  <w:tcW w:w="992" w:type="pct"/>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&lt;0.005</w:t>
                  </w:r>
                </w:p>
              </w:tc>
              <w:tc>
                <w:tcPr>
                  <w:tcW w:w="672" w:type="pct"/>
                  <w:vMerge w:val="continue"/>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p>
              </w:tc>
              <w:tc>
                <w:tcPr>
                  <w:tcW w:w="833" w:type="pct"/>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highlight w:val="none"/>
                      <w:vertAlign w:val="baseline"/>
                      <w:lang w:val="en-US" w:eastAsia="zh-CN"/>
                    </w:rPr>
                    <w:t>300</w:t>
                  </w:r>
                  <w:r>
                    <w:rPr>
                      <w:rFonts w:hint="default" w:ascii="Times New Roman" w:hAnsi="Times New Roman" w:cs="Times New Roman"/>
                      <w:highlight w:val="none"/>
                      <w:lang w:val="en-US" w:eastAsia="zh-CN"/>
                    </w:rPr>
                    <w:t>μ</w:t>
                  </w:r>
                  <w:r>
                    <w:rPr>
                      <w:rFonts w:hint="eastAsia" w:ascii="Times New Roman" w:hAnsi="Times New Roman" w:cs="Times New Roman"/>
                      <w:highlight w:val="none"/>
                      <w:lang w:val="en-US" w:eastAsia="zh-CN"/>
                    </w:rPr>
                    <w:t>g</w:t>
                  </w:r>
                  <w:r>
                    <w:rPr>
                      <w:rFonts w:hint="eastAsia"/>
                      <w:highlight w:val="none"/>
                      <w:vertAlign w:val="baseline"/>
                      <w:lang w:val="en-US" w:eastAsia="zh-CN"/>
                    </w:rPr>
                    <w:t>/m</w:t>
                  </w:r>
                  <w:r>
                    <w:rPr>
                      <w:rFonts w:hint="eastAsia"/>
                      <w:highlight w:val="none"/>
                      <w:vertAlign w:val="superscript"/>
                      <w:lang w:val="en-US" w:eastAsia="zh-CN"/>
                    </w:rPr>
                    <w:t>3</w:t>
                  </w:r>
                </w:p>
              </w:tc>
              <w:tc>
                <w:tcPr>
                  <w:tcW w:w="829" w:type="pct"/>
                  <w:vMerge w:val="continue"/>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p>
              </w:tc>
              <w:tc>
                <w:tcPr>
                  <w:tcW w:w="838"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w:t>
                  </w:r>
                </w:p>
              </w:tc>
            </w:tr>
          </w:tbl>
          <w:p>
            <w:pPr>
              <w:keepNext w:val="0"/>
              <w:keepLines w:val="0"/>
              <w:suppressLineNumbers w:val="0"/>
              <w:bidi w:val="0"/>
              <w:spacing w:before="0" w:beforeAutospacing="0" w:after="0" w:afterAutospacing="0"/>
              <w:ind w:left="0" w:leftChars="0" w:right="0" w:firstLine="0" w:firstLineChars="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r>
              <w:rPr>
                <w:rFonts w:hint="eastAsia"/>
              </w:rPr>
              <w:t>由上表分析结果可见，项目所在区域环境空气质量中SO</w:t>
            </w:r>
            <w:r>
              <w:rPr>
                <w:rFonts w:hint="eastAsia"/>
                <w:vertAlign w:val="subscript"/>
              </w:rPr>
              <w:t>2</w:t>
            </w:r>
            <w:r>
              <w:rPr>
                <w:rFonts w:hint="eastAsia"/>
              </w:rPr>
              <w:t>、NO</w:t>
            </w:r>
            <w:r>
              <w:rPr>
                <w:rFonts w:hint="eastAsia"/>
                <w:vertAlign w:val="subscript"/>
              </w:rPr>
              <w:t>2</w:t>
            </w:r>
            <w:r>
              <w:rPr>
                <w:rFonts w:hint="eastAsia"/>
              </w:rPr>
              <w:t>年平均质量浓度，CO 24小时平均第95百分位浓度、O</w:t>
            </w:r>
            <w:r>
              <w:rPr>
                <w:rFonts w:hint="eastAsia"/>
                <w:vertAlign w:val="subscript"/>
              </w:rPr>
              <w:t>3</w:t>
            </w:r>
            <w:r>
              <w:rPr>
                <w:rFonts w:hint="eastAsia"/>
              </w:rPr>
              <w:t>日最大8小时平均第90百分位数均满足《环境空气质量标准》</w:t>
            </w:r>
            <w:r>
              <w:rPr>
                <w:rFonts w:hint="eastAsia"/>
                <w:lang w:eastAsia="zh-CN"/>
              </w:rPr>
              <w:t>(</w:t>
            </w:r>
            <w:r>
              <w:rPr>
                <w:rFonts w:hint="eastAsia"/>
              </w:rPr>
              <w:t>GB3095-2012</w:t>
            </w:r>
            <w:r>
              <w:rPr>
                <w:rFonts w:hint="eastAsia"/>
                <w:lang w:eastAsia="zh-CN"/>
              </w:rPr>
              <w:t>)</w:t>
            </w:r>
            <w:r>
              <w:rPr>
                <w:rFonts w:hint="eastAsia"/>
              </w:rPr>
              <w:t>二级标准，</w:t>
            </w:r>
            <w:r>
              <w:rPr>
                <w:rFonts w:hint="eastAsia"/>
                <w:lang w:val="en-US" w:eastAsia="zh-CN"/>
              </w:rPr>
              <w:t>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S及硫酸雾均满足</w:t>
            </w:r>
            <w:r>
              <w:rPr>
                <w:rFonts w:hint="eastAsia"/>
                <w:lang w:eastAsia="zh-CN"/>
              </w:rPr>
              <w:t>HJ2.2-2018《环境影响评价技术导则 大气环境》中附录D其他污染物空气质量浓度参考限值。</w:t>
            </w:r>
            <w:r>
              <w:rPr>
                <w:rFonts w:hint="eastAsia"/>
              </w:rPr>
              <w:t>由于受沙尘天气影响导致的PM</w:t>
            </w:r>
            <w:r>
              <w:rPr>
                <w:rFonts w:hint="eastAsia"/>
                <w:vertAlign w:val="subscript"/>
              </w:rPr>
              <w:t>2.5</w:t>
            </w:r>
            <w:r>
              <w:rPr>
                <w:rFonts w:hint="eastAsia"/>
              </w:rPr>
              <w:t>、PM</w:t>
            </w:r>
            <w:r>
              <w:rPr>
                <w:rFonts w:hint="eastAsia"/>
                <w:vertAlign w:val="subscript"/>
              </w:rPr>
              <w:t>10</w:t>
            </w:r>
            <w:r>
              <w:rPr>
                <w:rFonts w:hint="eastAsia"/>
              </w:rPr>
              <w:t>年平均质量浓度超标，则项目所在区域为环境空气质量不达标区。</w:t>
            </w:r>
          </w:p>
          <w:p>
            <w:pPr>
              <w:pStyle w:val="2"/>
              <w:numPr>
                <w:ilvl w:val="0"/>
                <w:numId w:val="4"/>
              </w:numPr>
              <w:suppressLineNumbers w:val="0"/>
              <w:bidi w:val="0"/>
              <w:spacing w:before="0" w:after="0"/>
              <w:ind w:right="0"/>
              <w:rPr>
                <w:rFonts w:hint="eastAsia"/>
              </w:rPr>
            </w:pPr>
            <w:r>
              <w:rPr>
                <w:rFonts w:hint="eastAsia"/>
              </w:rPr>
              <w:t>地表水环境现状与评价</w:t>
            </w:r>
          </w:p>
          <w:p>
            <w:pPr>
              <w:keepNext w:val="0"/>
              <w:keepLines w:val="0"/>
              <w:numPr>
                <w:ilvl w:val="0"/>
                <w:numId w:val="0"/>
              </w:numPr>
              <w:suppressLineNumbers w:val="0"/>
              <w:spacing w:before="0" w:beforeLines="0" w:beforeAutospacing="0" w:after="0" w:afterLines="0" w:afterAutospacing="0"/>
              <w:ind w:left="480" w:leftChars="200" w:right="0" w:firstLine="0"/>
              <w:rPr>
                <w:rFonts w:hint="default"/>
              </w:rPr>
            </w:pPr>
            <w:r>
              <w:rPr>
                <w:rFonts w:hint="eastAsia" w:eastAsia="宋体"/>
                <w:sz w:val="24"/>
              </w:rPr>
              <w:t>本项目周边无地表水体，故</w:t>
            </w:r>
            <w:r>
              <w:rPr>
                <w:rFonts w:hint="eastAsia"/>
                <w:sz w:val="24"/>
                <w:lang w:val="en-US" w:eastAsia="zh-CN"/>
              </w:rPr>
              <w:t>未</w:t>
            </w:r>
            <w:r>
              <w:rPr>
                <w:rFonts w:hint="eastAsia" w:eastAsia="宋体"/>
                <w:sz w:val="24"/>
              </w:rPr>
              <w:t>开展地表水环境现状与评价。</w:t>
            </w:r>
          </w:p>
          <w:p>
            <w:pPr>
              <w:pStyle w:val="2"/>
              <w:numPr>
                <w:ilvl w:val="0"/>
                <w:numId w:val="4"/>
              </w:numPr>
              <w:suppressLineNumbers w:val="0"/>
              <w:bidi w:val="0"/>
              <w:spacing w:before="0" w:after="0"/>
              <w:ind w:right="0"/>
              <w:rPr>
                <w:rFonts w:hint="default"/>
                <w:lang w:val="en-US" w:eastAsia="zh-CN"/>
              </w:rPr>
            </w:pPr>
            <w:r>
              <w:rPr>
                <w:rFonts w:hint="default"/>
                <w:lang w:val="en-US" w:eastAsia="zh-CN"/>
              </w:rPr>
              <w:t>声环境现状调查与评价</w:t>
            </w:r>
          </w:p>
          <w:p>
            <w:pPr>
              <w:pStyle w:val="3"/>
              <w:suppressLineNumbers w:val="0"/>
              <w:bidi w:val="0"/>
              <w:spacing w:before="0" w:after="0"/>
              <w:ind w:right="0"/>
              <w:rPr>
                <w:rFonts w:hint="default"/>
                <w:lang w:val="en-US" w:eastAsia="zh-CN"/>
              </w:rPr>
            </w:pPr>
            <w:r>
              <w:rPr>
                <w:rFonts w:hint="default"/>
                <w:lang w:val="en-US" w:eastAsia="zh-CN"/>
              </w:rPr>
              <w:t>监测点位及项目</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根据本项目所在区域位置以及周边背景环境噪声情况，本次声环境质量现状监测在东、南、西、北边界处各布设1个监测点位。监测点位图见</w:t>
            </w:r>
            <w:r>
              <w:rPr>
                <w:rFonts w:hint="eastAsia"/>
                <w:lang w:val="en-US" w:eastAsia="zh-CN"/>
              </w:rPr>
              <w:t>图6</w:t>
            </w:r>
            <w:r>
              <w:rPr>
                <w:rFonts w:hint="default"/>
                <w:lang w:val="en-US" w:eastAsia="zh-CN"/>
              </w:rPr>
              <w:t>。</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声环境质量现状监测项目为连续等效A声级</w:t>
            </w:r>
            <w:r>
              <w:rPr>
                <w:rFonts w:hint="eastAsia"/>
                <w:lang w:val="en-US" w:eastAsia="zh-CN"/>
              </w:rPr>
              <w:t>(</w:t>
            </w:r>
            <w:r>
              <w:rPr>
                <w:rFonts w:hint="default"/>
                <w:lang w:val="en-US" w:eastAsia="zh-CN"/>
              </w:rPr>
              <w:t>Leq</w:t>
            </w:r>
            <w:r>
              <w:rPr>
                <w:rFonts w:hint="eastAsia"/>
                <w:lang w:val="en-US" w:eastAsia="zh-CN"/>
              </w:rPr>
              <w:t>(</w:t>
            </w:r>
            <w:r>
              <w:rPr>
                <w:rFonts w:hint="default"/>
                <w:lang w:val="en-US" w:eastAsia="zh-CN"/>
              </w:rPr>
              <w:t>A</w:t>
            </w:r>
            <w:r>
              <w:rPr>
                <w:rFonts w:hint="eastAsia"/>
                <w:lang w:val="en-US" w:eastAsia="zh-CN"/>
              </w:rPr>
              <w:t>))</w:t>
            </w:r>
            <w:r>
              <w:rPr>
                <w:rFonts w:hint="default"/>
                <w:lang w:val="en-US" w:eastAsia="zh-CN"/>
              </w:rPr>
              <w:t>。</w:t>
            </w:r>
          </w:p>
          <w:p>
            <w:pPr>
              <w:pStyle w:val="3"/>
              <w:suppressLineNumbers w:val="0"/>
              <w:bidi w:val="0"/>
              <w:spacing w:before="0" w:after="0"/>
              <w:ind w:right="0"/>
              <w:rPr>
                <w:rFonts w:hint="default"/>
                <w:lang w:val="en-US" w:eastAsia="zh-CN"/>
              </w:rPr>
            </w:pPr>
            <w:r>
              <w:rPr>
                <w:rFonts w:hint="default"/>
                <w:lang w:val="en-US" w:eastAsia="zh-CN"/>
              </w:rPr>
              <w:t>监测时间和频次及方法</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噪声监测委托新疆绿格洁瑞环境检测技术有限公司于</w:t>
            </w:r>
            <w:r>
              <w:rPr>
                <w:rFonts w:hint="eastAsia"/>
                <w:lang w:val="en-US" w:eastAsia="zh-CN"/>
              </w:rPr>
              <w:t>2021</w:t>
            </w:r>
            <w:r>
              <w:rPr>
                <w:rFonts w:hint="default"/>
                <w:lang w:val="en-US" w:eastAsia="zh-CN"/>
              </w:rPr>
              <w:t>年</w:t>
            </w:r>
            <w:r>
              <w:rPr>
                <w:rFonts w:hint="eastAsia"/>
                <w:lang w:val="en-US" w:eastAsia="zh-CN"/>
              </w:rPr>
              <w:t>5</w:t>
            </w:r>
            <w:r>
              <w:rPr>
                <w:rFonts w:hint="default"/>
                <w:lang w:val="en-US" w:eastAsia="zh-CN"/>
              </w:rPr>
              <w:t>月</w:t>
            </w:r>
            <w:r>
              <w:rPr>
                <w:rFonts w:hint="eastAsia"/>
                <w:lang w:val="en-US" w:eastAsia="zh-CN"/>
              </w:rPr>
              <w:t>7</w:t>
            </w:r>
            <w:r>
              <w:rPr>
                <w:rFonts w:hint="default"/>
                <w:lang w:val="en-US" w:eastAsia="zh-CN"/>
              </w:rPr>
              <w:t>日进行监测，昼夜各一次。</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监测方法按照《声环境质量标准》</w:t>
            </w:r>
            <w:r>
              <w:rPr>
                <w:rFonts w:hint="eastAsia"/>
                <w:lang w:val="en-US" w:eastAsia="zh-CN"/>
              </w:rPr>
              <w:t>(</w:t>
            </w:r>
            <w:r>
              <w:rPr>
                <w:rFonts w:hint="default"/>
                <w:lang w:val="en-US" w:eastAsia="zh-CN"/>
              </w:rPr>
              <w:t>GB3096-2008</w:t>
            </w:r>
            <w:r>
              <w:rPr>
                <w:rFonts w:hint="eastAsia"/>
                <w:lang w:val="en-US" w:eastAsia="zh-CN"/>
              </w:rPr>
              <w:t>)</w:t>
            </w:r>
            <w:r>
              <w:rPr>
                <w:rFonts w:hint="default"/>
                <w:lang w:val="en-US" w:eastAsia="zh-CN"/>
              </w:rPr>
              <w:t>中规定执行。</w:t>
            </w:r>
          </w:p>
          <w:p>
            <w:pPr>
              <w:pStyle w:val="3"/>
              <w:suppressLineNumbers w:val="0"/>
              <w:bidi w:val="0"/>
              <w:spacing w:before="0" w:after="0"/>
              <w:ind w:right="0"/>
              <w:rPr>
                <w:rFonts w:hint="default"/>
                <w:lang w:val="en-US" w:eastAsia="zh-CN"/>
              </w:rPr>
            </w:pPr>
            <w:r>
              <w:rPr>
                <w:rFonts w:hint="default"/>
                <w:lang w:val="en-US" w:eastAsia="zh-CN"/>
              </w:rPr>
              <w:t>评价标准及方法</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声环境质量现状评价标准执行《声环境质量标准》</w:t>
            </w:r>
            <w:r>
              <w:rPr>
                <w:rFonts w:hint="eastAsia"/>
                <w:lang w:val="en-US" w:eastAsia="zh-CN"/>
              </w:rPr>
              <w:t>(</w:t>
            </w:r>
            <w:r>
              <w:rPr>
                <w:rFonts w:hint="default"/>
                <w:lang w:val="en-US" w:eastAsia="zh-CN"/>
              </w:rPr>
              <w:t>GB3096-2008</w:t>
            </w:r>
            <w:r>
              <w:rPr>
                <w:rFonts w:hint="eastAsia"/>
                <w:lang w:val="en-US" w:eastAsia="zh-CN"/>
              </w:rPr>
              <w:t>)</w:t>
            </w:r>
            <w:r>
              <w:rPr>
                <w:rFonts w:hint="default"/>
                <w:lang w:val="en-US" w:eastAsia="zh-CN"/>
              </w:rPr>
              <w:t>中</w:t>
            </w:r>
            <w:r>
              <w:rPr>
                <w:rFonts w:hint="eastAsia"/>
                <w:color w:val="auto"/>
                <w:lang w:val="en-US" w:eastAsia="zh-CN"/>
              </w:rPr>
              <w:t>2</w:t>
            </w:r>
            <w:r>
              <w:rPr>
                <w:rFonts w:hint="default"/>
                <w:color w:val="auto"/>
                <w:lang w:val="en-US" w:eastAsia="zh-CN"/>
              </w:rPr>
              <w:t>类</w:t>
            </w:r>
            <w:r>
              <w:rPr>
                <w:rFonts w:hint="default"/>
                <w:lang w:val="en-US" w:eastAsia="zh-CN"/>
              </w:rPr>
              <w:t>声环境功能区环境噪声限值。</w:t>
            </w:r>
          </w:p>
          <w:p>
            <w:pPr>
              <w:pStyle w:val="3"/>
              <w:suppressLineNumbers w:val="0"/>
              <w:bidi w:val="0"/>
              <w:spacing w:before="0" w:after="0"/>
              <w:ind w:right="0"/>
              <w:rPr>
                <w:rFonts w:hint="default"/>
                <w:lang w:val="en-US" w:eastAsia="zh-CN"/>
              </w:rPr>
            </w:pPr>
            <w:r>
              <w:rPr>
                <w:rFonts w:hint="default"/>
                <w:lang w:val="en-US" w:eastAsia="zh-CN"/>
              </w:rPr>
              <w:t>监测及评价结果</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声环境质量现状监测及评价结果见</w:t>
            </w:r>
            <w:r>
              <w:rPr>
                <w:rFonts w:hint="eastAsia"/>
                <w:lang w:val="en-US" w:eastAsia="zh-CN"/>
              </w:rPr>
              <w:t>下表</w:t>
            </w:r>
            <w:r>
              <w:rPr>
                <w:rFonts w:hint="default"/>
                <w:lang w:val="en-US" w:eastAsia="zh-CN"/>
              </w:rPr>
              <w:t>。</w:t>
            </w:r>
          </w:p>
          <w:p>
            <w:pPr>
              <w:pStyle w:val="20"/>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声环境质量现状监测表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2487"/>
              <w:gridCol w:w="1123"/>
              <w:gridCol w:w="2252"/>
              <w:gridCol w:w="11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 w:hRule="exact"/>
                <w:jc w:val="center"/>
              </w:trPr>
              <w:tc>
                <w:tcPr>
                  <w:tcW w:w="789" w:type="dxa"/>
                  <w:vMerge w:val="restart"/>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监测位置</w:t>
                  </w:r>
                </w:p>
              </w:tc>
              <w:tc>
                <w:tcPr>
                  <w:tcW w:w="7050" w:type="dxa"/>
                  <w:gridSpan w:val="4"/>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监测值及标准值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789" w:type="dxa"/>
                  <w:vMerge w:val="continue"/>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2487" w:type="dxa"/>
                  <w:noWrap w:val="0"/>
                  <w:vAlign w:val="center"/>
                </w:tcPr>
                <w:p>
                  <w:pPr>
                    <w:pStyle w:val="19"/>
                    <w:keepNext w:val="0"/>
                    <w:keepLines w:val="0"/>
                    <w:suppressLineNumbers w:val="0"/>
                    <w:bidi w:val="0"/>
                    <w:spacing w:before="0" w:beforeAutospacing="0" w:after="0" w:afterAutospacing="0"/>
                    <w:ind w:left="0" w:right="0"/>
                    <w:jc w:val="center"/>
                    <w:rPr>
                      <w:rFonts w:hint="eastAsia" w:eastAsia="宋体"/>
                      <w:lang w:eastAsia="zh-CN"/>
                    </w:rPr>
                  </w:pPr>
                  <w:r>
                    <w:rPr>
                      <w:rFonts w:hint="default"/>
                    </w:rPr>
                    <w:t>监测值</w:t>
                  </w:r>
                  <w:r>
                    <w:rPr>
                      <w:rFonts w:hint="eastAsia"/>
                      <w:lang w:eastAsia="zh-CN"/>
                    </w:rPr>
                    <w:t>(</w:t>
                  </w:r>
                  <w:r>
                    <w:rPr>
                      <w:rFonts w:hint="default"/>
                    </w:rPr>
                    <w:t>昼间</w:t>
                  </w:r>
                  <w:r>
                    <w:rPr>
                      <w:rFonts w:hint="eastAsia"/>
                      <w:lang w:eastAsia="zh-CN"/>
                    </w:rPr>
                    <w:t>)</w:t>
                  </w:r>
                </w:p>
              </w:tc>
              <w:tc>
                <w:tcPr>
                  <w:tcW w:w="1123" w:type="dxa"/>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标准值</w:t>
                  </w:r>
                </w:p>
              </w:tc>
              <w:tc>
                <w:tcPr>
                  <w:tcW w:w="2252" w:type="dxa"/>
                  <w:noWrap w:val="0"/>
                  <w:vAlign w:val="center"/>
                </w:tcPr>
                <w:p>
                  <w:pPr>
                    <w:pStyle w:val="19"/>
                    <w:keepNext w:val="0"/>
                    <w:keepLines w:val="0"/>
                    <w:suppressLineNumbers w:val="0"/>
                    <w:bidi w:val="0"/>
                    <w:spacing w:before="0" w:beforeAutospacing="0" w:after="0" w:afterAutospacing="0"/>
                    <w:ind w:left="0" w:right="0"/>
                    <w:jc w:val="center"/>
                    <w:rPr>
                      <w:rFonts w:hint="eastAsia" w:eastAsia="宋体"/>
                      <w:lang w:eastAsia="zh-CN"/>
                    </w:rPr>
                  </w:pPr>
                  <w:r>
                    <w:rPr>
                      <w:rFonts w:hint="default"/>
                    </w:rPr>
                    <w:t>监测值</w:t>
                  </w:r>
                  <w:r>
                    <w:rPr>
                      <w:rFonts w:hint="eastAsia"/>
                      <w:lang w:eastAsia="zh-CN"/>
                    </w:rPr>
                    <w:t>(</w:t>
                  </w:r>
                  <w:r>
                    <w:rPr>
                      <w:rFonts w:hint="default"/>
                    </w:rPr>
                    <w:t>夜间</w:t>
                  </w:r>
                  <w:r>
                    <w:rPr>
                      <w:rFonts w:hint="eastAsia"/>
                      <w:lang w:eastAsia="zh-CN"/>
                    </w:rPr>
                    <w:t>)</w:t>
                  </w:r>
                </w:p>
              </w:tc>
              <w:tc>
                <w:tcPr>
                  <w:tcW w:w="1188" w:type="dxa"/>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标准值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exact"/>
                <w:jc w:val="center"/>
              </w:trPr>
              <w:tc>
                <w:tcPr>
                  <w:tcW w:w="789"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西</w:t>
                  </w:r>
                </w:p>
              </w:tc>
              <w:tc>
                <w:tcPr>
                  <w:tcW w:w="2487"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44</w:t>
                  </w:r>
                </w:p>
              </w:tc>
              <w:tc>
                <w:tcPr>
                  <w:tcW w:w="1123" w:type="dxa"/>
                  <w:vMerge w:val="restart"/>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6</w:t>
                  </w:r>
                  <w:r>
                    <w:rPr>
                      <w:rFonts w:hint="eastAsia"/>
                      <w:lang w:val="en-US" w:eastAsia="zh-CN"/>
                    </w:rPr>
                    <w:t>0</w:t>
                  </w:r>
                </w:p>
              </w:tc>
              <w:tc>
                <w:tcPr>
                  <w:tcW w:w="2252"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43</w:t>
                  </w:r>
                </w:p>
              </w:tc>
              <w:tc>
                <w:tcPr>
                  <w:tcW w:w="1188" w:type="dxa"/>
                  <w:vMerge w:val="restart"/>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5</w:t>
                  </w: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exact"/>
                <w:jc w:val="center"/>
              </w:trPr>
              <w:tc>
                <w:tcPr>
                  <w:tcW w:w="789"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北</w:t>
                  </w:r>
                </w:p>
              </w:tc>
              <w:tc>
                <w:tcPr>
                  <w:tcW w:w="2487"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41</w:t>
                  </w:r>
                </w:p>
              </w:tc>
              <w:tc>
                <w:tcPr>
                  <w:tcW w:w="1123" w:type="dxa"/>
                  <w:vMerge w:val="continue"/>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2252"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39</w:t>
                  </w:r>
                </w:p>
              </w:tc>
              <w:tc>
                <w:tcPr>
                  <w:tcW w:w="1188" w:type="dxa"/>
                  <w:vMerge w:val="continue"/>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7" w:hRule="exact"/>
                <w:jc w:val="center"/>
              </w:trPr>
              <w:tc>
                <w:tcPr>
                  <w:tcW w:w="789"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东</w:t>
                  </w:r>
                </w:p>
              </w:tc>
              <w:tc>
                <w:tcPr>
                  <w:tcW w:w="2487"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40</w:t>
                  </w:r>
                </w:p>
              </w:tc>
              <w:tc>
                <w:tcPr>
                  <w:tcW w:w="1123" w:type="dxa"/>
                  <w:vMerge w:val="continue"/>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2252"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38</w:t>
                  </w:r>
                </w:p>
              </w:tc>
              <w:tc>
                <w:tcPr>
                  <w:tcW w:w="1188" w:type="dxa"/>
                  <w:vMerge w:val="continue"/>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exact"/>
                <w:jc w:val="center"/>
              </w:trPr>
              <w:tc>
                <w:tcPr>
                  <w:tcW w:w="789"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南</w:t>
                  </w:r>
                </w:p>
              </w:tc>
              <w:tc>
                <w:tcPr>
                  <w:tcW w:w="2487"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41</w:t>
                  </w:r>
                </w:p>
              </w:tc>
              <w:tc>
                <w:tcPr>
                  <w:tcW w:w="1123" w:type="dxa"/>
                  <w:vMerge w:val="continue"/>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2252" w:type="dxa"/>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40</w:t>
                  </w:r>
                </w:p>
              </w:tc>
              <w:tc>
                <w:tcPr>
                  <w:tcW w:w="1188" w:type="dxa"/>
                  <w:vMerge w:val="continue"/>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r>
          </w:tbl>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现状监测评价结果表明，项目区四周噪声值符合《声环境质量标准》</w:t>
            </w:r>
            <w:r>
              <w:rPr>
                <w:rFonts w:hint="eastAsia"/>
                <w:lang w:val="en-US" w:eastAsia="zh-CN"/>
              </w:rPr>
              <w:t>(</w:t>
            </w:r>
            <w:r>
              <w:rPr>
                <w:rFonts w:hint="default"/>
                <w:lang w:val="en-US" w:eastAsia="zh-CN"/>
              </w:rPr>
              <w:t>GB3096-2008</w:t>
            </w:r>
            <w:r>
              <w:rPr>
                <w:rFonts w:hint="eastAsia"/>
                <w:lang w:val="en-US" w:eastAsia="zh-CN"/>
              </w:rPr>
              <w:t>)</w:t>
            </w:r>
            <w:r>
              <w:rPr>
                <w:rFonts w:hint="default"/>
                <w:color w:val="auto"/>
                <w:lang w:val="en-US" w:eastAsia="zh-CN"/>
              </w:rPr>
              <w:t>的</w:t>
            </w:r>
            <w:r>
              <w:rPr>
                <w:rFonts w:hint="eastAsia"/>
                <w:color w:val="auto"/>
                <w:lang w:val="en-US" w:eastAsia="zh-CN"/>
              </w:rPr>
              <w:t>2</w:t>
            </w:r>
            <w:r>
              <w:rPr>
                <w:rFonts w:hint="default"/>
                <w:color w:val="auto"/>
                <w:lang w:val="en-US" w:eastAsia="zh-CN"/>
              </w:rPr>
              <w:t>类标准</w:t>
            </w:r>
            <w:r>
              <w:rPr>
                <w:rFonts w:hint="default"/>
                <w:lang w:val="en-US" w:eastAsia="zh-CN"/>
              </w:rPr>
              <w:t>限值。</w:t>
            </w:r>
          </w:p>
          <w:p>
            <w:pPr>
              <w:pStyle w:val="2"/>
              <w:numPr>
                <w:ilvl w:val="0"/>
                <w:numId w:val="4"/>
              </w:numPr>
              <w:suppressLineNumbers w:val="0"/>
              <w:bidi w:val="0"/>
              <w:spacing w:before="0" w:after="0"/>
              <w:ind w:right="0"/>
              <w:rPr>
                <w:rFonts w:hint="default"/>
                <w:lang w:val="en-US" w:eastAsia="zh-CN"/>
              </w:rPr>
            </w:pPr>
            <w:r>
              <w:rPr>
                <w:rFonts w:hint="default"/>
                <w:lang w:val="en-US" w:eastAsia="zh-CN"/>
              </w:rPr>
              <w:t>生态环境现状与评价</w:t>
            </w:r>
          </w:p>
          <w:p>
            <w:pPr>
              <w:keepNext w:val="0"/>
              <w:keepLines w:val="0"/>
              <w:suppressLineNumbers w:val="0"/>
              <w:bidi w:val="0"/>
              <w:spacing w:before="0" w:beforeAutospacing="0" w:after="0" w:afterAutospacing="0"/>
              <w:ind w:left="0" w:right="0"/>
              <w:rPr>
                <w:rFonts w:hint="eastAsia"/>
              </w:rPr>
            </w:pPr>
            <w:r>
              <w:rPr>
                <w:rFonts w:hint="default"/>
              </w:rPr>
              <w:t>本项目位于</w:t>
            </w:r>
            <w:r>
              <w:rPr>
                <w:rFonts w:hint="eastAsia"/>
                <w:lang w:val="en-US" w:eastAsia="zh-CN"/>
              </w:rPr>
              <w:t>新疆昌吉州呼图壁县大丰镇</w:t>
            </w:r>
            <w:r>
              <w:rPr>
                <w:rFonts w:hint="default"/>
              </w:rPr>
              <w:t>，按照《新疆生态功能区划》，拟建项目区的生态功能区划见</w:t>
            </w:r>
            <w:r>
              <w:rPr>
                <w:rFonts w:hint="eastAsia"/>
                <w:lang w:val="en-US" w:eastAsia="zh-CN"/>
              </w:rPr>
              <w:t>下表</w:t>
            </w:r>
            <w:r>
              <w:rPr>
                <w:rFonts w:hint="eastAsia"/>
              </w:rPr>
              <w:t>。</w:t>
            </w: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pStyle w:val="20"/>
              <w:keepNext w:val="0"/>
              <w:keepLines w:val="0"/>
              <w:suppressLineNumbers w:val="0"/>
              <w:bidi w:val="0"/>
              <w:spacing w:before="0" w:beforeAutospacing="0" w:after="0" w:afterAutospacing="0"/>
              <w:ind w:left="0" w:right="0"/>
              <w:rPr>
                <w:rFonts w:hint="default"/>
              </w:rPr>
            </w:pPr>
            <w:r>
              <w:rPr>
                <w:rFonts w:hint="eastAsia"/>
              </w:rPr>
              <w:t>评价区生态功能区划简表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2350"/>
              <w:gridCol w:w="5611"/>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b/>
                      <w:bCs/>
                    </w:rPr>
                  </w:pPr>
                  <w:r>
                    <w:rPr>
                      <w:rFonts w:hint="default"/>
                      <w:b/>
                      <w:bCs/>
                    </w:rPr>
                    <w:t>项目</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b/>
                      <w:bCs/>
                    </w:rPr>
                  </w:pPr>
                  <w:r>
                    <w:rPr>
                      <w:rFonts w:hint="default"/>
                      <w:b/>
                      <w:bCs/>
                    </w:rPr>
                    <w:t>区划</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生态区</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准噶尔盆地温性荒漠与绿洲农业生态区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生态亚区</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准噶尔盆地南部荒漠绿洲农业生态亚区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生态功能区</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乌苏—石河子—昌吉城镇与绿洲农业生态功能区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主要生态服务功能</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ascii="宋体" w:hAnsi="宋体"/>
                    </w:rPr>
                    <w:t>工农畜产品生产、人居环境、荒漠化控制</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主要生态环境问题</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地下水超采、荒漠植被退化、土地荒漠化与盐渍化、大气和水质及土壤污染、良田减少、绿洲外围受到沙漠化威胁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生态敏感因子敏感程度</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生物多样性及其生境中度敏感，土壤盐渍化轻度敏感</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主要保护目标</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保护绿洲农田、保护城市大气和水环境质量、保护荒漠植被、保护农田土壤环境质量</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主要保护措施</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节水灌溉、严格控制地下水开采、污染物达标排放、提高城镇建设规划水平、控制城镇建设用地、荒漠草场禁牧休牧 、完善防护林体系、加强农田投入品的使用管理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适宜发展方向</w:t>
                  </w:r>
                </w:p>
              </w:tc>
              <w:tc>
                <w:tcPr>
                  <w:tcW w:w="352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发展优质高效农牧业，美化城市环境，建设健康、稳定的城乡生态系统与人居环境</w:t>
                  </w:r>
                </w:p>
              </w:tc>
            </w:tr>
          </w:tbl>
          <w:p>
            <w:pPr>
              <w:pStyle w:val="2"/>
              <w:numPr>
                <w:ilvl w:val="0"/>
                <w:numId w:val="4"/>
              </w:numPr>
              <w:suppressLineNumbers w:val="0"/>
              <w:bidi w:val="0"/>
              <w:spacing w:before="0" w:after="0"/>
              <w:ind w:right="0"/>
              <w:rPr>
                <w:rFonts w:hint="eastAsia"/>
                <w:lang w:val="en-US" w:eastAsia="zh-CN"/>
              </w:rPr>
            </w:pPr>
            <w:r>
              <w:rPr>
                <w:rFonts w:hint="eastAsia"/>
                <w:lang w:val="en-US" w:eastAsia="zh-CN"/>
              </w:rPr>
              <w:t>电磁辐射环境现状与评价</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本项目为无害化处理病死畜禽项目，不涉及电磁辐射内容，未开展电磁辐射现状监测与评价。</w:t>
            </w:r>
          </w:p>
          <w:p>
            <w:pPr>
              <w:pStyle w:val="2"/>
              <w:numPr>
                <w:ilvl w:val="0"/>
                <w:numId w:val="4"/>
              </w:numPr>
              <w:suppressLineNumbers w:val="0"/>
              <w:bidi w:val="0"/>
              <w:spacing w:before="0" w:after="0"/>
              <w:ind w:right="0"/>
              <w:rPr>
                <w:rFonts w:hint="default"/>
                <w:lang w:val="en-US" w:eastAsia="zh-CN"/>
              </w:rPr>
            </w:pPr>
            <w:r>
              <w:rPr>
                <w:rFonts w:hint="eastAsia"/>
                <w:lang w:val="en-US" w:eastAsia="zh-CN"/>
              </w:rPr>
              <w:t>地下水、土壤环境现状与评价</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根据《建设项目环境影响报告表编制技术指南(污染影响类)》(2021年4月1日实施)中区域环境质量现状的要求，环境质量现状原则上不开展地下水、土壤环境质量现状调查，且本项目生产废水回用，生活污水排入园区管网，</w:t>
            </w:r>
            <w:r>
              <w:rPr>
                <w:rFonts w:hint="eastAsia"/>
                <w:color w:val="auto"/>
                <w:lang w:val="en-US" w:eastAsia="zh-CN"/>
              </w:rPr>
              <w:t>车间地面、浓硫酸储存罐、事故池做防渗防腐处理，正常生产工况无</w:t>
            </w:r>
            <w:r>
              <w:rPr>
                <w:rFonts w:hint="eastAsia"/>
                <w:lang w:val="en-US" w:eastAsia="zh-CN"/>
              </w:rPr>
              <w:t>土壤、地下水环境污染途径，故未开展地下水、土壤现状监测与评价。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00"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环境</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保护</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目标</w:t>
            </w:r>
          </w:p>
        </w:tc>
        <w:tc>
          <w:tcPr>
            <w:tcW w:w="8190" w:type="dxa"/>
            <w:vAlign w:val="center"/>
          </w:tcPr>
          <w:p>
            <w:pPr>
              <w:keepNext w:val="0"/>
              <w:keepLines w:val="0"/>
              <w:suppressLineNumbers w:val="0"/>
              <w:spacing w:before="0" w:beforeAutospacing="0" w:after="0" w:afterAutospacing="0" w:line="360" w:lineRule="auto"/>
              <w:ind w:left="0" w:right="0" w:firstLine="480" w:firstLineChars="200"/>
              <w:rPr>
                <w:rFonts w:hint="default" w:eastAsia="宋体"/>
                <w:lang w:val="en-US" w:eastAsia="zh-CN"/>
              </w:rPr>
            </w:pPr>
            <w:r>
              <w:rPr>
                <w:rFonts w:hint="eastAsia"/>
                <w:lang w:val="en-US" w:eastAsia="zh-CN"/>
              </w:rPr>
              <w:t>本项目位于新疆昌吉州呼图壁县大丰工业园区天之泽化工有限公司东侧，大丰镇以北约12.5km，呼图壁县西北方向22km处。该评价区域内无国家、省、市级名胜古迹，自然保护区、</w:t>
            </w:r>
            <w:r>
              <w:rPr>
                <w:rFonts w:hint="default"/>
              </w:rPr>
              <w:t>风景游览区、疗养院、水源地等重点保护目标。</w:t>
            </w:r>
            <w:r>
              <w:rPr>
                <w:rFonts w:hint="eastAsia"/>
                <w:lang w:val="en-US" w:eastAsia="zh-CN"/>
              </w:rPr>
              <w:t>保护目标图见图7。</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default"/>
                <w:lang w:val="en-US" w:eastAsia="zh-CN"/>
              </w:rPr>
              <w:t>大气环境：</w:t>
            </w:r>
            <w:r>
              <w:rPr>
                <w:rFonts w:hint="eastAsia"/>
                <w:lang w:val="en-US" w:eastAsia="zh-CN"/>
              </w:rPr>
              <w:t>项目厂界外500m范围内无自然保护区、风景名胜区、居住区、文化区和农村地区中人群较集中的区域等保护目标</w:t>
            </w:r>
            <w:r>
              <w:rPr>
                <w:rFonts w:hint="default"/>
                <w:lang w:val="en-US" w:eastAsia="zh-CN"/>
              </w:rPr>
              <w:t>。</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default"/>
                <w:lang w:val="en-US" w:eastAsia="zh-CN"/>
              </w:rPr>
              <w:t>声环境：</w:t>
            </w:r>
            <w:r>
              <w:rPr>
                <w:rFonts w:hint="eastAsia"/>
                <w:lang w:val="en-US" w:eastAsia="zh-CN"/>
              </w:rPr>
              <w:t>项目厂界外50m范围内无声环境保护目标。</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eastAsia"/>
                <w:lang w:val="en-US" w:eastAsia="zh-CN"/>
              </w:rPr>
              <w:t>地下水</w:t>
            </w:r>
            <w:r>
              <w:rPr>
                <w:rFonts w:hint="default"/>
                <w:lang w:val="en-US" w:eastAsia="zh-CN"/>
              </w:rPr>
              <w:t>环境：</w:t>
            </w:r>
            <w:r>
              <w:rPr>
                <w:rFonts w:hint="eastAsia"/>
                <w:lang w:val="en-US" w:eastAsia="zh-CN"/>
              </w:rPr>
              <w:t>项目厂界外500m范围内无特殊地下水资源</w:t>
            </w:r>
            <w:r>
              <w:rPr>
                <w:rFonts w:hint="default"/>
                <w:lang w:val="en-US" w:eastAsia="zh-CN"/>
              </w:rPr>
              <w:t>。</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eastAsia"/>
                <w:lang w:val="en-US" w:eastAsia="zh-CN"/>
              </w:rPr>
              <w:t>生态环境：项目范围内无生态环境保护目标。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25" w:hRule="atLeast"/>
          <w:jc w:val="center"/>
        </w:trPr>
        <w:tc>
          <w:tcPr>
            <w:tcW w:w="800"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污染</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物排</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highlight w:val="none"/>
              </w:rPr>
              <w:t>放</w:t>
            </w:r>
            <w:r>
              <w:rPr>
                <w:rFonts w:hint="eastAsia" w:ascii="宋体" w:hAnsi="宋体" w:eastAsia="宋体" w:cs="宋体"/>
                <w:kern w:val="0"/>
                <w:szCs w:val="21"/>
              </w:rPr>
              <w:t>控</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制标</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准</w:t>
            </w:r>
          </w:p>
        </w:tc>
        <w:tc>
          <w:tcPr>
            <w:tcW w:w="8190" w:type="dxa"/>
            <w:vAlign w:val="center"/>
          </w:tcPr>
          <w:p>
            <w:pPr>
              <w:pStyle w:val="2"/>
              <w:numPr>
                <w:ilvl w:val="0"/>
                <w:numId w:val="8"/>
              </w:numPr>
              <w:suppressLineNumbers w:val="0"/>
              <w:bidi w:val="0"/>
              <w:spacing w:before="0" w:after="0"/>
              <w:ind w:right="0"/>
              <w:rPr>
                <w:rFonts w:hint="eastAsia"/>
              </w:rPr>
            </w:pPr>
            <w:r>
              <w:rPr>
                <w:rFonts w:hint="eastAsia"/>
              </w:rPr>
              <w:t>废气</w:t>
            </w:r>
          </w:p>
          <w:p>
            <w:pPr>
              <w:keepNext w:val="0"/>
              <w:keepLines w:val="0"/>
              <w:suppressLineNumbers w:val="0"/>
              <w:bidi w:val="0"/>
              <w:spacing w:before="0" w:beforeAutospacing="0" w:after="0" w:afterAutospacing="0"/>
              <w:ind w:left="0" w:right="0"/>
              <w:rPr>
                <w:rFonts w:hint="eastAsia"/>
              </w:rPr>
            </w:pPr>
            <w:r>
              <w:rPr>
                <w:rFonts w:hint="eastAsia"/>
                <w:lang w:val="en-US" w:eastAsia="zh-CN"/>
              </w:rPr>
              <w:t>硫酸雾</w:t>
            </w:r>
            <w:r>
              <w:rPr>
                <w:rFonts w:hint="eastAsia"/>
              </w:rPr>
              <w:t>执行《大气污染物综合排放标准》</w:t>
            </w:r>
            <w:r>
              <w:rPr>
                <w:rFonts w:hint="eastAsia"/>
                <w:lang w:eastAsia="zh-CN"/>
              </w:rPr>
              <w:t>(</w:t>
            </w:r>
            <w:r>
              <w:rPr>
                <w:rFonts w:hint="eastAsia"/>
              </w:rPr>
              <w:t>GB16297-1996</w:t>
            </w:r>
            <w:r>
              <w:rPr>
                <w:rFonts w:hint="eastAsia"/>
                <w:lang w:eastAsia="zh-CN"/>
              </w:rPr>
              <w:t>)</w:t>
            </w:r>
            <w:r>
              <w:rPr>
                <w:rFonts w:hint="eastAsia"/>
                <w:lang w:val="en-US" w:eastAsia="zh-CN"/>
              </w:rPr>
              <w:t>新污染源大气污染物</w:t>
            </w:r>
            <w:r>
              <w:rPr>
                <w:rFonts w:hint="eastAsia"/>
              </w:rPr>
              <w:t>排放限值</w:t>
            </w:r>
            <w:r>
              <w:rPr>
                <w:rFonts w:hint="eastAsia"/>
                <w:lang w:val="en-US" w:eastAsia="zh-CN"/>
              </w:rPr>
              <w:t>标准</w:t>
            </w:r>
            <w:r>
              <w:rPr>
                <w:rFonts w:hint="eastAsia"/>
              </w:rPr>
              <w:t>要求</w:t>
            </w:r>
            <w:r>
              <w:rPr>
                <w:rFonts w:hint="eastAsia"/>
                <w:lang w:eastAsia="zh-CN"/>
              </w:rPr>
              <w:t>；H</w:t>
            </w:r>
            <w:r>
              <w:rPr>
                <w:rFonts w:hint="eastAsia"/>
                <w:vertAlign w:val="subscript"/>
                <w:lang w:eastAsia="zh-CN"/>
              </w:rPr>
              <w:t>2</w:t>
            </w:r>
            <w:r>
              <w:rPr>
                <w:rFonts w:hint="eastAsia"/>
                <w:lang w:eastAsia="zh-CN"/>
              </w:rPr>
              <w:t>S、NH</w:t>
            </w:r>
            <w:r>
              <w:rPr>
                <w:rFonts w:hint="eastAsia"/>
                <w:vertAlign w:val="subscript"/>
                <w:lang w:eastAsia="zh-CN"/>
              </w:rPr>
              <w:t>3</w:t>
            </w:r>
            <w:r>
              <w:rPr>
                <w:rFonts w:hint="eastAsia"/>
                <w:lang w:eastAsia="zh-CN"/>
              </w:rPr>
              <w:t>及臭气</w:t>
            </w:r>
            <w:r>
              <w:rPr>
                <w:rFonts w:hint="eastAsia"/>
                <w:lang w:val="en-US" w:eastAsia="zh-CN"/>
              </w:rPr>
              <w:t>排放</w:t>
            </w:r>
            <w:r>
              <w:rPr>
                <w:rFonts w:hint="eastAsia"/>
                <w:lang w:eastAsia="zh-CN"/>
              </w:rPr>
              <w:t>浓度</w:t>
            </w:r>
            <w:r>
              <w:rPr>
                <w:rFonts w:hint="eastAsia"/>
                <w:lang w:val="en-US" w:eastAsia="zh-CN"/>
              </w:rPr>
              <w:t>执行《恶臭污染物排放标准》(GB14554-93)；</w:t>
            </w:r>
            <w:r>
              <w:rPr>
                <w:rFonts w:hint="eastAsia"/>
                <w:lang w:eastAsia="zh-CN"/>
              </w:rPr>
              <w:t>燃气锅炉烟气执行《锅炉大气污染物排放标准》(GB13271-2014)中大气污染物</w:t>
            </w:r>
            <w:r>
              <w:rPr>
                <w:rFonts w:hint="eastAsia"/>
                <w:lang w:val="en-US" w:eastAsia="zh-CN"/>
              </w:rPr>
              <w:t>特别</w:t>
            </w:r>
            <w:r>
              <w:rPr>
                <w:rFonts w:hint="eastAsia"/>
                <w:lang w:eastAsia="zh-CN"/>
              </w:rPr>
              <w:t>排放限值。</w:t>
            </w:r>
            <w:r>
              <w:rPr>
                <w:rFonts w:hint="eastAsia"/>
                <w:lang w:val="en-US" w:eastAsia="zh-CN"/>
              </w:rPr>
              <w:t>具体标准值详见下表。</w:t>
            </w:r>
          </w:p>
          <w:p>
            <w:pPr>
              <w:pStyle w:val="20"/>
              <w:keepNext w:val="0"/>
              <w:keepLines w:val="0"/>
              <w:suppressLineNumbers w:val="0"/>
              <w:bidi w:val="0"/>
              <w:spacing w:before="0" w:beforeAutospacing="0" w:after="0" w:afterAutospacing="0"/>
              <w:ind w:left="0" w:right="0"/>
              <w:rPr>
                <w:rFonts w:hint="eastAsia"/>
              </w:rPr>
            </w:pPr>
            <w:r>
              <w:rPr>
                <w:rFonts w:hint="eastAsia"/>
                <w:lang w:val="en-US" w:eastAsia="zh-CN"/>
              </w:rPr>
              <w:t>硫酸雾浓度执行标准</w:t>
            </w:r>
          </w:p>
          <w:tbl>
            <w:tblPr>
              <w:tblStyle w:val="16"/>
              <w:tblW w:w="4998" w:type="pct"/>
              <w:tblInd w:w="5"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1338"/>
              <w:gridCol w:w="1668"/>
              <w:gridCol w:w="1308"/>
              <w:gridCol w:w="1620"/>
              <w:gridCol w:w="2027"/>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c>
                <w:tcPr>
                  <w:tcW w:w="840"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vertAlign w:val="baseline"/>
                      <w:lang w:val="en-US" w:eastAsia="zh-CN"/>
                    </w:rPr>
                    <w:t>污染物名称</w:t>
                  </w:r>
                </w:p>
              </w:tc>
              <w:tc>
                <w:tcPr>
                  <w:tcW w:w="1047"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vertAlign w:val="baseline"/>
                      <w:lang w:val="en-US" w:eastAsia="zh-CN"/>
                    </w:rPr>
                    <w:t>最高允许排放浓度mg/m</w:t>
                  </w:r>
                  <w:r>
                    <w:rPr>
                      <w:rFonts w:hint="eastAsia"/>
                      <w:vertAlign w:val="superscript"/>
                      <w:lang w:val="en-US" w:eastAsia="zh-CN"/>
                    </w:rPr>
                    <w:t>3</w:t>
                  </w:r>
                </w:p>
              </w:tc>
              <w:tc>
                <w:tcPr>
                  <w:tcW w:w="821"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排放筒高度m</w:t>
                  </w:r>
                </w:p>
              </w:tc>
              <w:tc>
                <w:tcPr>
                  <w:tcW w:w="1017"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最高允许排放速率kg/h</w:t>
                  </w:r>
                </w:p>
              </w:tc>
              <w:tc>
                <w:tcPr>
                  <w:tcW w:w="1272"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无组织排放监控浓度限值</w:t>
                  </w:r>
                </w:p>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mg/m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c>
                <w:tcPr>
                  <w:tcW w:w="840"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eastAsia" w:eastAsia="宋体"/>
                      <w:vertAlign w:val="baseline"/>
                      <w:lang w:val="en-US" w:eastAsia="zh-CN"/>
                    </w:rPr>
                  </w:pPr>
                  <w:r>
                    <w:rPr>
                      <w:rFonts w:hint="eastAsia"/>
                      <w:vertAlign w:val="baseline"/>
                      <w:lang w:val="en-US" w:eastAsia="zh-CN"/>
                    </w:rPr>
                    <w:t>硫酸雾</w:t>
                  </w:r>
                </w:p>
              </w:tc>
              <w:tc>
                <w:tcPr>
                  <w:tcW w:w="1047"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vertAlign w:val="baseline"/>
                      <w:lang w:val="en-US" w:eastAsia="zh-CN"/>
                    </w:rPr>
                    <w:t>45</w:t>
                  </w:r>
                </w:p>
              </w:tc>
              <w:tc>
                <w:tcPr>
                  <w:tcW w:w="821"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15</w:t>
                  </w:r>
                </w:p>
              </w:tc>
              <w:tc>
                <w:tcPr>
                  <w:tcW w:w="1017"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1.5</w:t>
                  </w:r>
                </w:p>
              </w:tc>
              <w:tc>
                <w:tcPr>
                  <w:tcW w:w="1272" w:type="pct"/>
                  <w:tcBorders>
                    <w:tl2br w:val="nil"/>
                    <w:tr2bl w:val="nil"/>
                  </w:tcBorders>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1.2</w:t>
                  </w:r>
                </w:p>
              </w:tc>
            </w:tr>
          </w:tbl>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20"/>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H</w:t>
            </w:r>
            <w:r>
              <w:rPr>
                <w:rFonts w:hint="eastAsia"/>
                <w:vertAlign w:val="subscript"/>
                <w:lang w:eastAsia="zh-CN"/>
              </w:rPr>
              <w:t>2</w:t>
            </w:r>
            <w:r>
              <w:rPr>
                <w:rFonts w:hint="eastAsia"/>
                <w:lang w:eastAsia="zh-CN"/>
              </w:rPr>
              <w:t>S、NH</w:t>
            </w:r>
            <w:r>
              <w:rPr>
                <w:rFonts w:hint="eastAsia"/>
                <w:vertAlign w:val="subscript"/>
                <w:lang w:eastAsia="zh-CN"/>
              </w:rPr>
              <w:t>3</w:t>
            </w:r>
            <w:r>
              <w:rPr>
                <w:rFonts w:hint="eastAsia"/>
                <w:lang w:eastAsia="zh-CN"/>
              </w:rPr>
              <w:t>及臭气</w:t>
            </w:r>
            <w:r>
              <w:rPr>
                <w:rFonts w:hint="eastAsia"/>
                <w:lang w:val="en-US" w:eastAsia="zh-CN"/>
              </w:rPr>
              <w:t>浓度执行标准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1343"/>
              <w:gridCol w:w="1675"/>
              <w:gridCol w:w="1704"/>
              <w:gridCol w:w="3239"/>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843" w:type="pct"/>
                  <w:vMerge w:val="restar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污染物名称</w:t>
                  </w:r>
                </w:p>
              </w:tc>
              <w:tc>
                <w:tcPr>
                  <w:tcW w:w="4156" w:type="pct"/>
                  <w:gridSpan w:val="3"/>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rPr>
                    <w:t>《恶臭污染物排放标准》</w:t>
                  </w:r>
                  <w:r>
                    <w:rPr>
                      <w:rFonts w:hint="eastAsia"/>
                      <w:lang w:eastAsia="zh-CN"/>
                    </w:rPr>
                    <w:t>(</w:t>
                  </w:r>
                  <w:r>
                    <w:rPr>
                      <w:rFonts w:hint="eastAsia"/>
                    </w:rPr>
                    <w:t>GB14554-93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PrEx>
              <w:trPr>
                <w:jc w:val="center"/>
              </w:trPr>
              <w:tc>
                <w:tcPr>
                  <w:tcW w:w="843" w:type="pct"/>
                  <w:vMerge w:val="continue"/>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1052"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排气筒高度m</w:t>
                  </w:r>
                </w:p>
              </w:tc>
              <w:tc>
                <w:tcPr>
                  <w:tcW w:w="1070"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排放量kg/h</w:t>
                  </w:r>
                </w:p>
              </w:tc>
              <w:tc>
                <w:tcPr>
                  <w:tcW w:w="2033"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无组织排放监控浓度限值mg/m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843"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氨</w:t>
                  </w:r>
                </w:p>
              </w:tc>
              <w:tc>
                <w:tcPr>
                  <w:tcW w:w="1052" w:type="pct"/>
                  <w:vMerge w:val="restar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15</w:t>
                  </w:r>
                </w:p>
              </w:tc>
              <w:tc>
                <w:tcPr>
                  <w:tcW w:w="1070"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4.9</w:t>
                  </w:r>
                </w:p>
              </w:tc>
              <w:tc>
                <w:tcPr>
                  <w:tcW w:w="2033"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843"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硫化氢</w:t>
                  </w:r>
                </w:p>
              </w:tc>
              <w:tc>
                <w:tcPr>
                  <w:tcW w:w="1052" w:type="pct"/>
                  <w:vMerge w:val="continue"/>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1070"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0.33</w:t>
                  </w:r>
                </w:p>
              </w:tc>
              <w:tc>
                <w:tcPr>
                  <w:tcW w:w="2033"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0.06</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843"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臭气浓度</w:t>
                  </w:r>
                </w:p>
              </w:tc>
              <w:tc>
                <w:tcPr>
                  <w:tcW w:w="1052" w:type="pct"/>
                  <w:vMerge w:val="continue"/>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1070"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2000(无量纲)</w:t>
                  </w:r>
                </w:p>
              </w:tc>
              <w:tc>
                <w:tcPr>
                  <w:tcW w:w="2033" w:type="pct"/>
                  <w:tcBorders>
                    <w:tl2br w:val="nil"/>
                    <w:tr2bl w:val="nil"/>
                  </w:tcBorders>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20(无量纲)</w:t>
                  </w:r>
                </w:p>
              </w:tc>
            </w:tr>
          </w:tbl>
          <w:p>
            <w:pPr>
              <w:pStyle w:val="20"/>
              <w:keepNext w:val="0"/>
              <w:keepLines w:val="0"/>
              <w:numPr>
                <w:ilvl w:val="0"/>
                <w:numId w:val="0"/>
              </w:numPr>
              <w:suppressLineNumbers w:val="0"/>
              <w:bidi w:val="0"/>
              <w:spacing w:before="0" w:beforeAutospacing="0" w:after="0" w:afterAutospacing="0"/>
              <w:ind w:left="0" w:leftChars="0" w:right="0"/>
              <w:jc w:val="both"/>
              <w:rPr>
                <w:rFonts w:hint="default"/>
                <w:lang w:val="en-US" w:eastAsia="zh-CN"/>
              </w:rPr>
            </w:pPr>
          </w:p>
          <w:p>
            <w:pPr>
              <w:pStyle w:val="20"/>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《锅炉大气污染物排放标准》(GB13271-2014)(</w:t>
            </w:r>
            <w:r>
              <w:rPr>
                <w:rFonts w:hint="eastAsia"/>
                <w:lang w:val="en-US" w:eastAsia="zh-CN"/>
              </w:rPr>
              <w:t>摘录</w:t>
            </w:r>
            <w:r>
              <w:rPr>
                <w:rFonts w:hint="eastAsia"/>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22"/>
              <w:gridCol w:w="1744"/>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污染物</w:t>
                  </w:r>
                </w:p>
              </w:tc>
              <w:tc>
                <w:tcPr>
                  <w:tcW w:w="2722"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污染因子</w:t>
                  </w:r>
                </w:p>
              </w:tc>
              <w:tc>
                <w:tcPr>
                  <w:tcW w:w="1744"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排放限值</w:t>
                  </w:r>
                </w:p>
              </w:tc>
              <w:tc>
                <w:tcPr>
                  <w:tcW w:w="1992"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restar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锅炉烟气</w:t>
                  </w:r>
                </w:p>
              </w:tc>
              <w:tc>
                <w:tcPr>
                  <w:tcW w:w="2722"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颗粒物</w:t>
                  </w:r>
                </w:p>
              </w:tc>
              <w:tc>
                <w:tcPr>
                  <w:tcW w:w="1744"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w:t>
                  </w:r>
                  <w:r>
                    <w:rPr>
                      <w:rFonts w:hint="default"/>
                    </w:rPr>
                    <w:t>0mg/m</w:t>
                  </w:r>
                  <w:r>
                    <w:rPr>
                      <w:rFonts w:hint="default"/>
                      <w:vertAlign w:val="superscript"/>
                    </w:rPr>
                    <w:t>3</w:t>
                  </w:r>
                </w:p>
              </w:tc>
              <w:tc>
                <w:tcPr>
                  <w:tcW w:w="1992" w:type="dxa"/>
                  <w:vMerge w:val="restar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continue"/>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2722"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二氧化硫</w:t>
                  </w:r>
                </w:p>
              </w:tc>
              <w:tc>
                <w:tcPr>
                  <w:tcW w:w="1744"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5</w:t>
                  </w:r>
                  <w:r>
                    <w:rPr>
                      <w:rFonts w:hint="default"/>
                    </w:rPr>
                    <w:t>0mg/m</w:t>
                  </w:r>
                  <w:r>
                    <w:rPr>
                      <w:rFonts w:hint="default"/>
                      <w:vertAlign w:val="superscript"/>
                    </w:rPr>
                    <w:t>3</w:t>
                  </w:r>
                </w:p>
              </w:tc>
              <w:tc>
                <w:tcPr>
                  <w:tcW w:w="1992" w:type="dxa"/>
                  <w:vMerge w:val="continue"/>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continue"/>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2722"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氮氧化物</w:t>
                  </w:r>
                </w:p>
              </w:tc>
              <w:tc>
                <w:tcPr>
                  <w:tcW w:w="1744"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150</w:t>
                  </w:r>
                  <w:r>
                    <w:rPr>
                      <w:rFonts w:hint="default"/>
                      <w:highlight w:val="none"/>
                    </w:rPr>
                    <w:t>mg/m</w:t>
                  </w:r>
                  <w:r>
                    <w:rPr>
                      <w:rFonts w:hint="default"/>
                      <w:highlight w:val="none"/>
                      <w:vertAlign w:val="superscript"/>
                    </w:rPr>
                    <w:t>3</w:t>
                  </w:r>
                </w:p>
              </w:tc>
              <w:tc>
                <w:tcPr>
                  <w:tcW w:w="1992" w:type="dxa"/>
                  <w:vMerge w:val="continue"/>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continue"/>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2722"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烟气黑度(林格曼黑度，级)</w:t>
                  </w:r>
                </w:p>
              </w:tc>
              <w:tc>
                <w:tcPr>
                  <w:tcW w:w="1744"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default"/>
                    </w:rPr>
                    <w:t>≤1</w:t>
                  </w:r>
                </w:p>
              </w:tc>
              <w:tc>
                <w:tcPr>
                  <w:tcW w:w="1992" w:type="dxa"/>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default"/>
                    </w:rPr>
                    <w:t>烟囱排放口</w:t>
                  </w:r>
                </w:p>
              </w:tc>
            </w:tr>
          </w:tbl>
          <w:p>
            <w:pPr>
              <w:pStyle w:val="2"/>
              <w:numPr>
                <w:ilvl w:val="0"/>
                <w:numId w:val="4"/>
              </w:numPr>
              <w:suppressLineNumbers w:val="0"/>
              <w:bidi w:val="0"/>
              <w:spacing w:before="0" w:after="0"/>
              <w:ind w:right="0"/>
              <w:rPr>
                <w:rFonts w:hint="eastAsia"/>
              </w:rPr>
            </w:pPr>
            <w:r>
              <w:rPr>
                <w:rFonts w:hint="eastAsia"/>
                <w:lang w:val="en-US" w:eastAsia="zh-CN"/>
              </w:rPr>
              <w:t>废水</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生活污水排放执行</w:t>
            </w:r>
            <w:r>
              <w:rPr>
                <w:rFonts w:hint="eastAsia"/>
              </w:rPr>
              <w:t>《污水综合排放标准》</w:t>
            </w:r>
            <w:r>
              <w:rPr>
                <w:rFonts w:hint="eastAsia"/>
                <w:lang w:eastAsia="zh-CN"/>
              </w:rPr>
              <w:t>(</w:t>
            </w:r>
            <w:r>
              <w:rPr>
                <w:rFonts w:hint="eastAsia"/>
              </w:rPr>
              <w:t>GB8978-1996</w:t>
            </w:r>
            <w:r>
              <w:rPr>
                <w:rFonts w:hint="eastAsia"/>
                <w:lang w:eastAsia="zh-CN"/>
              </w:rPr>
              <w:t>)</w:t>
            </w:r>
            <w:r>
              <w:rPr>
                <w:rFonts w:hint="eastAsia"/>
                <w:lang w:val="en-US" w:eastAsia="zh-CN"/>
              </w:rPr>
              <w:t>三</w:t>
            </w:r>
            <w:r>
              <w:rPr>
                <w:rFonts w:hint="eastAsia"/>
                <w:highlight w:val="none"/>
              </w:rPr>
              <w:t>级标准</w:t>
            </w:r>
            <w:r>
              <w:rPr>
                <w:rFonts w:hint="eastAsia"/>
                <w:highlight w:val="none"/>
                <w:lang w:eastAsia="zh-CN"/>
              </w:rPr>
              <w:t>，</w:t>
            </w:r>
            <w:r>
              <w:rPr>
                <w:rFonts w:hint="eastAsia"/>
                <w:highlight w:val="none"/>
                <w:lang w:val="en-US" w:eastAsia="zh-CN"/>
              </w:rPr>
              <w:t>出</w:t>
            </w:r>
            <w:r>
              <w:rPr>
                <w:rFonts w:hint="eastAsia"/>
                <w:lang w:val="en-US" w:eastAsia="zh-CN"/>
              </w:rPr>
              <w:t>水进入西侧园区污水处理厂</w:t>
            </w:r>
            <w:r>
              <w:rPr>
                <w:rFonts w:hint="eastAsia"/>
                <w:lang w:eastAsia="zh-CN"/>
              </w:rPr>
              <w:t>。</w:t>
            </w:r>
            <w:r>
              <w:rPr>
                <w:rFonts w:hint="eastAsia"/>
                <w:lang w:val="en-US" w:eastAsia="zh-CN"/>
              </w:rPr>
              <w:t>具体标准值见下表。</w:t>
            </w: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pStyle w:val="20"/>
              <w:keepNext w:val="0"/>
              <w:keepLines w:val="0"/>
              <w:suppressLineNumbers w:val="0"/>
              <w:bidi w:val="0"/>
              <w:spacing w:before="0" w:beforeAutospacing="0" w:after="0" w:afterAutospacing="0"/>
              <w:ind w:left="0" w:right="0"/>
              <w:rPr>
                <w:rFonts w:hint="eastAsia"/>
              </w:rPr>
            </w:pPr>
            <w:r>
              <w:rPr>
                <w:rFonts w:hint="eastAsia"/>
                <w:lang w:val="en-US" w:eastAsia="zh-CN"/>
              </w:rPr>
              <w:t xml:space="preserve">第二类污染物最高允许排放浓度 (摘录) (GB8978-1996) </w:t>
            </w:r>
          </w:p>
          <w:tbl>
            <w:tblPr>
              <w:tblStyle w:val="15"/>
              <w:tblW w:w="4998"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978"/>
              <w:gridCol w:w="2513"/>
              <w:gridCol w:w="2236"/>
              <w:gridCol w:w="2234"/>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rPr>
                    <w:t>序号</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rPr>
                    <w:t>污染物或项目名称</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rPr>
                    <w:t>排放限值</w:t>
                  </w:r>
                </w:p>
              </w:tc>
              <w:tc>
                <w:tcPr>
                  <w:tcW w:w="140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eastAsia"/>
                      <w:lang w:val="en-US" w:eastAsia="zh-CN"/>
                    </w:rPr>
                    <w:t>适用范围</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pH</w:t>
                  </w:r>
                  <w:r>
                    <w:rPr>
                      <w:rFonts w:hint="eastAsia"/>
                      <w:lang w:eastAsia="zh-CN"/>
                    </w:rPr>
                    <w:t>(</w:t>
                  </w:r>
                  <w:r>
                    <w:rPr>
                      <w:rFonts w:hint="eastAsia"/>
                    </w:rPr>
                    <w:t>无量纲</w:t>
                  </w:r>
                  <w:r>
                    <w:rPr>
                      <w:rFonts w:hint="eastAsia"/>
                      <w:lang w:eastAsia="zh-CN"/>
                    </w:rPr>
                    <w:t>)</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6</w:t>
                  </w:r>
                  <w:r>
                    <w:rPr>
                      <w:rFonts w:hint="eastAsia"/>
                      <w:lang w:val="en-US" w:eastAsia="zh-CN"/>
                    </w:rPr>
                    <w:t>~</w:t>
                  </w:r>
                  <w:r>
                    <w:rPr>
                      <w:rFonts w:hint="default"/>
                    </w:rPr>
                    <w:t>9</w:t>
                  </w:r>
                </w:p>
              </w:tc>
              <w:tc>
                <w:tcPr>
                  <w:tcW w:w="140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一切排污单位</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2</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eastAsia"/>
                    </w:rPr>
                    <w:t>悬浮物</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400</w:t>
                  </w:r>
                </w:p>
              </w:tc>
              <w:tc>
                <w:tcPr>
                  <w:tcW w:w="1403"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其他排污单位</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66"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3</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eastAsia"/>
                    </w:rPr>
                    <w:t>五日生化需氧量</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300</w:t>
                  </w:r>
                </w:p>
              </w:tc>
              <w:tc>
                <w:tcPr>
                  <w:tcW w:w="1403"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4</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eastAsia"/>
                    </w:rPr>
                    <w:t>化学需氧量</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500</w:t>
                  </w:r>
                </w:p>
              </w:tc>
              <w:tc>
                <w:tcPr>
                  <w:tcW w:w="1403"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8"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5</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eastAsia"/>
                    </w:rPr>
                    <w:t>氨氮</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w:t>
                  </w:r>
                </w:p>
              </w:tc>
              <w:tc>
                <w:tcPr>
                  <w:tcW w:w="1403"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8"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6</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粪大肠菌群</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5000个/L</w:t>
                  </w:r>
                </w:p>
              </w:tc>
              <w:tc>
                <w:tcPr>
                  <w:tcW w:w="1403"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8" w:hRule="atLeast"/>
                <w:tblHeader/>
                <w:jc w:val="center"/>
              </w:trPr>
              <w:tc>
                <w:tcPr>
                  <w:tcW w:w="61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7</w:t>
                  </w:r>
                </w:p>
              </w:tc>
              <w:tc>
                <w:tcPr>
                  <w:tcW w:w="15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动植物油</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100</w:t>
                  </w:r>
                </w:p>
              </w:tc>
              <w:tc>
                <w:tcPr>
                  <w:tcW w:w="140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一切排污单位</w:t>
                  </w:r>
                </w:p>
              </w:tc>
            </w:tr>
          </w:tbl>
          <w:p>
            <w:pPr>
              <w:pStyle w:val="19"/>
              <w:keepNext w:val="0"/>
              <w:keepLines w:val="0"/>
              <w:suppressLineNumbers w:val="0"/>
              <w:spacing w:before="0" w:beforeAutospacing="0" w:after="0" w:afterAutospacing="0"/>
              <w:ind w:left="0" w:right="0"/>
              <w:jc w:val="both"/>
              <w:rPr>
                <w:rFonts w:hint="default"/>
                <w:lang w:val="en-US" w:eastAsia="zh-CN"/>
              </w:rPr>
            </w:pPr>
          </w:p>
          <w:p>
            <w:pPr>
              <w:pStyle w:val="2"/>
              <w:numPr>
                <w:ilvl w:val="0"/>
                <w:numId w:val="4"/>
              </w:numPr>
              <w:suppressLineNumbers w:val="0"/>
              <w:bidi w:val="0"/>
              <w:spacing w:before="0" w:after="0"/>
              <w:ind w:right="0"/>
              <w:rPr>
                <w:rFonts w:hint="eastAsia"/>
              </w:rPr>
            </w:pPr>
            <w:r>
              <w:rPr>
                <w:rFonts w:hint="eastAsia"/>
              </w:rPr>
              <w:t>噪声</w:t>
            </w:r>
          </w:p>
          <w:p>
            <w:pPr>
              <w:keepNext w:val="0"/>
              <w:keepLines w:val="0"/>
              <w:suppressLineNumbers w:val="0"/>
              <w:bidi w:val="0"/>
              <w:spacing w:before="0" w:beforeAutospacing="0" w:after="0" w:afterAutospacing="0"/>
              <w:ind w:left="0" w:right="0"/>
              <w:rPr>
                <w:rFonts w:hint="eastAsia"/>
              </w:rPr>
            </w:pPr>
            <w:r>
              <w:rPr>
                <w:rFonts w:hint="eastAsia"/>
              </w:rPr>
              <w:t>施工期噪声执行《建筑施工场界环境噪声排放标准》</w:t>
            </w:r>
            <w:r>
              <w:rPr>
                <w:rFonts w:hint="eastAsia"/>
                <w:lang w:eastAsia="zh-CN"/>
              </w:rPr>
              <w:t>(</w:t>
            </w:r>
            <w:r>
              <w:rPr>
                <w:rFonts w:hint="eastAsia"/>
              </w:rPr>
              <w:t>GB12523-2011</w:t>
            </w:r>
            <w:r>
              <w:rPr>
                <w:rFonts w:hint="eastAsia"/>
                <w:lang w:eastAsia="zh-CN"/>
              </w:rPr>
              <w:t>)</w:t>
            </w:r>
            <w:r>
              <w:rPr>
                <w:rFonts w:hint="eastAsia"/>
              </w:rPr>
              <w:t>，详见</w:t>
            </w:r>
            <w:r>
              <w:rPr>
                <w:rFonts w:hint="eastAsia"/>
                <w:lang w:val="en-US" w:eastAsia="zh-CN"/>
              </w:rPr>
              <w:t>下表</w:t>
            </w:r>
            <w:r>
              <w:rPr>
                <w:rFonts w:hint="eastAsia"/>
              </w:rPr>
              <w:t>。</w:t>
            </w:r>
          </w:p>
          <w:p>
            <w:pPr>
              <w:pStyle w:val="20"/>
              <w:keepNext w:val="0"/>
              <w:keepLines w:val="0"/>
              <w:suppressLineNumbers w:val="0"/>
              <w:bidi w:val="0"/>
              <w:spacing w:before="0" w:beforeAutospacing="0" w:after="0" w:afterAutospacing="0"/>
              <w:ind w:left="0" w:right="0"/>
              <w:rPr>
                <w:rFonts w:hint="default" w:ascii="Times New Roman" w:hAnsi="Times New Roman" w:eastAsia="宋体" w:cs="Times New Roman"/>
                <w:b/>
                <w:color w:val="000000"/>
                <w:kern w:val="2"/>
                <w:sz w:val="21"/>
                <w:szCs w:val="21"/>
              </w:rPr>
            </w:pPr>
            <w:r>
              <w:rPr>
                <w:rFonts w:hint="eastAsia" w:ascii="宋体" w:hAnsi="宋体" w:eastAsia="宋体" w:cs="宋体"/>
                <w:b/>
                <w:color w:val="000000"/>
                <w:kern w:val="2"/>
                <w:sz w:val="21"/>
                <w:szCs w:val="21"/>
                <w:lang w:val="en-US" w:eastAsia="zh-CN" w:bidi="ar"/>
              </w:rPr>
              <w:t>《建筑施工场界环境噪声排放限值》</w:t>
            </w:r>
            <w:r>
              <w:rPr>
                <w:rFonts w:hint="eastAsia" w:ascii="Times New Roman" w:hAnsi="Times New Roman" w:eastAsia="宋体" w:cs="Times New Roman"/>
                <w:b/>
                <w:color w:val="000000"/>
                <w:kern w:val="2"/>
                <w:sz w:val="21"/>
                <w:szCs w:val="21"/>
                <w:lang w:val="en-US" w:eastAsia="zh-CN" w:bidi="ar"/>
              </w:rPr>
              <w:t>(</w:t>
            </w:r>
            <w:r>
              <w:rPr>
                <w:rFonts w:hint="eastAsia" w:ascii="宋体" w:hAnsi="宋体" w:eastAsia="宋体" w:cs="宋体"/>
                <w:b/>
                <w:color w:val="000000"/>
                <w:kern w:val="2"/>
                <w:sz w:val="21"/>
                <w:szCs w:val="21"/>
                <w:lang w:val="en-US" w:eastAsia="zh-CN" w:bidi="ar"/>
              </w:rPr>
              <w:t>摘录</w:t>
            </w:r>
            <w:r>
              <w:rPr>
                <w:rFonts w:hint="eastAsia" w:ascii="Times New Roman" w:hAnsi="Times New Roman" w:eastAsia="宋体" w:cs="Times New Roman"/>
                <w:b/>
                <w:color w:val="000000"/>
                <w:kern w:val="2"/>
                <w:sz w:val="21"/>
                <w:szCs w:val="21"/>
                <w:lang w:val="en-US" w:eastAsia="zh-CN" w:bidi="ar"/>
              </w:rPr>
              <w:t>)</w:t>
            </w:r>
            <w:r>
              <w:rPr>
                <w:rFonts w:hint="eastAsia" w:ascii="宋体" w:hAnsi="宋体" w:eastAsia="宋体" w:cs="宋体"/>
                <w:b/>
                <w:color w:val="000000"/>
                <w:kern w:val="2"/>
                <w:sz w:val="21"/>
                <w:szCs w:val="21"/>
                <w:lang w:val="en-US" w:eastAsia="zh-CN" w:bidi="ar"/>
              </w:rPr>
              <w:t>单位：</w:t>
            </w:r>
            <w:r>
              <w:rPr>
                <w:rFonts w:hint="eastAsia" w:ascii="Times New Roman" w:hAnsi="Times New Roman" w:eastAsia="宋体" w:cs="Times New Roman"/>
                <w:b/>
                <w:color w:val="000000"/>
                <w:kern w:val="2"/>
                <w:sz w:val="21"/>
                <w:szCs w:val="21"/>
                <w:lang w:val="en-US" w:eastAsia="zh-CN" w:bidi="ar"/>
              </w:rPr>
              <w:t>dB(</w:t>
            </w:r>
            <w:r>
              <w:rPr>
                <w:rFonts w:hint="default" w:ascii="Times New Roman" w:hAnsi="Times New Roman" w:eastAsia="宋体" w:cs="Times New Roman"/>
                <w:b/>
                <w:color w:val="000000"/>
                <w:kern w:val="2"/>
                <w:sz w:val="21"/>
                <w:szCs w:val="21"/>
                <w:lang w:val="en-US" w:eastAsia="zh-CN" w:bidi="ar"/>
              </w:rPr>
              <w:t>A</w:t>
            </w:r>
            <w:r>
              <w:rPr>
                <w:rFonts w:hint="eastAsia" w:ascii="Times New Roman" w:hAnsi="Times New Roman" w:eastAsia="宋体" w:cs="Times New Roman"/>
                <w:b/>
                <w:color w:val="000000"/>
                <w:kern w:val="2"/>
                <w:sz w:val="21"/>
                <w:szCs w:val="21"/>
                <w:lang w:val="en-US" w:eastAsia="zh-CN" w:bidi="ar"/>
              </w:rPr>
              <w:t>)</w:t>
            </w:r>
          </w:p>
          <w:tbl>
            <w:tblPr>
              <w:tblStyle w:val="15"/>
              <w:tblW w:w="4999"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shd w:val="clear" w:color="auto" w:fill="auto"/>
              <w:tblLayout w:type="autofit"/>
              <w:tblCellMar>
                <w:top w:w="0" w:type="dxa"/>
                <w:left w:w="28" w:type="dxa"/>
                <w:bottom w:w="0" w:type="dxa"/>
                <w:right w:w="28" w:type="dxa"/>
              </w:tblCellMar>
            </w:tblPr>
            <w:tblGrid>
              <w:gridCol w:w="4109"/>
              <w:gridCol w:w="3853"/>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shd w:val="clear" w:color="auto" w:fill="auto"/>
              </w:tblPrEx>
              <w:trPr>
                <w:cantSplit/>
                <w:trHeight w:val="340" w:hRule="atLeast"/>
                <w:jc w:val="center"/>
              </w:trPr>
              <w:tc>
                <w:tcPr>
                  <w:tcW w:w="2580" w:type="pct"/>
                  <w:tcBorders>
                    <w:bottom w:val="single" w:color="000000" w:sz="6" w:space="0"/>
                    <w:right w:val="single" w:color="000000" w:sz="6"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昼间</w:t>
                  </w:r>
                </w:p>
              </w:tc>
              <w:tc>
                <w:tcPr>
                  <w:tcW w:w="2419" w:type="pct"/>
                  <w:tcBorders>
                    <w:left w:val="single" w:color="000000" w:sz="6" w:space="0"/>
                    <w:bottom w:val="single" w:color="000000" w:sz="6"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夜间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shd w:val="clear" w:color="auto" w:fill="auto"/>
                <w:tblCellMar>
                  <w:top w:w="0" w:type="dxa"/>
                  <w:left w:w="28" w:type="dxa"/>
                  <w:bottom w:w="0" w:type="dxa"/>
                  <w:right w:w="28" w:type="dxa"/>
                </w:tblCellMar>
              </w:tblPrEx>
              <w:trPr>
                <w:cantSplit/>
                <w:trHeight w:val="340" w:hRule="atLeast"/>
                <w:jc w:val="center"/>
              </w:trPr>
              <w:tc>
                <w:tcPr>
                  <w:tcW w:w="2580" w:type="pct"/>
                  <w:tcBorders>
                    <w:top w:val="single" w:color="000000" w:sz="6" w:space="0"/>
                    <w:right w:val="single" w:color="000000" w:sz="6"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eastAsia"/>
                      <w:lang w:val="en-US" w:eastAsia="zh-CN"/>
                    </w:rPr>
                    <w:t>70</w:t>
                  </w:r>
                </w:p>
              </w:tc>
              <w:tc>
                <w:tcPr>
                  <w:tcW w:w="2419" w:type="pct"/>
                  <w:tcBorders>
                    <w:top w:val="single" w:color="000000" w:sz="6" w:space="0"/>
                    <w:left w:val="single" w:color="000000" w:sz="6"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55</w:t>
                  </w:r>
                </w:p>
              </w:tc>
            </w:tr>
          </w:tbl>
          <w:p>
            <w:pPr>
              <w:keepNext w:val="0"/>
              <w:keepLines w:val="0"/>
              <w:suppressLineNumbers w:val="0"/>
              <w:bidi w:val="0"/>
              <w:spacing w:before="0" w:beforeAutospacing="0" w:after="0" w:afterAutospacing="0"/>
              <w:ind w:left="0" w:right="0"/>
              <w:rPr>
                <w:rFonts w:hint="eastAsia"/>
                <w:color w:val="auto"/>
                <w:lang w:val="en-US" w:eastAsia="zh-CN"/>
              </w:rPr>
            </w:pPr>
            <w:r>
              <w:rPr>
                <w:rFonts w:hint="eastAsia"/>
                <w:lang w:val="en-US" w:eastAsia="zh-CN"/>
              </w:rPr>
              <w:t>运营期噪声</w:t>
            </w:r>
            <w:r>
              <w:rPr>
                <w:rFonts w:hint="eastAsia"/>
              </w:rPr>
              <w:t>执行《工业企业厂界环境噪声排放标准》</w:t>
            </w:r>
            <w:r>
              <w:rPr>
                <w:rFonts w:hint="eastAsia"/>
                <w:lang w:eastAsia="zh-CN"/>
              </w:rPr>
              <w:t>(</w:t>
            </w:r>
            <w:r>
              <w:rPr>
                <w:rFonts w:hint="eastAsia"/>
              </w:rPr>
              <w:t>GB12348-2008</w:t>
            </w:r>
            <w:r>
              <w:rPr>
                <w:rFonts w:hint="eastAsia"/>
                <w:lang w:eastAsia="zh-CN"/>
              </w:rPr>
              <w:t>)</w:t>
            </w:r>
            <w:r>
              <w:rPr>
                <w:rFonts w:hint="eastAsia"/>
              </w:rPr>
              <w:t>中的</w:t>
            </w:r>
            <w:r>
              <w:rPr>
                <w:rFonts w:hint="eastAsia"/>
                <w:color w:val="auto"/>
                <w:lang w:val="en-US" w:eastAsia="zh-CN"/>
              </w:rPr>
              <w:t>2</w:t>
            </w:r>
            <w:r>
              <w:rPr>
                <w:rFonts w:hint="eastAsia"/>
                <w:color w:val="auto"/>
              </w:rPr>
              <w:t>类标准</w:t>
            </w:r>
            <w:r>
              <w:rPr>
                <w:rFonts w:hint="eastAsia"/>
                <w:color w:val="auto"/>
                <w:lang w:eastAsia="zh-CN"/>
              </w:rPr>
              <w:t>，</w:t>
            </w:r>
            <w:r>
              <w:rPr>
                <w:rFonts w:hint="eastAsia"/>
                <w:color w:val="auto"/>
                <w:lang w:val="en-US" w:eastAsia="zh-CN"/>
              </w:rPr>
              <w:t>具体标准值见下表。</w:t>
            </w:r>
          </w:p>
          <w:p>
            <w:pPr>
              <w:pStyle w:val="20"/>
              <w:keepNext w:val="0"/>
              <w:keepLines w:val="0"/>
              <w:suppressLineNumbers w:val="0"/>
              <w:bidi w:val="0"/>
              <w:spacing w:before="0" w:beforeAutospacing="0" w:after="0" w:afterAutospacing="0"/>
              <w:ind w:left="0" w:right="0"/>
              <w:rPr>
                <w:rFonts w:hint="default"/>
                <w:color w:val="auto"/>
              </w:rPr>
            </w:pPr>
            <w:r>
              <w:rPr>
                <w:rFonts w:hint="eastAsia"/>
                <w:color w:val="auto"/>
                <w:lang w:eastAsia="zh-CN"/>
              </w:rPr>
              <w:t>《</w:t>
            </w:r>
            <w:r>
              <w:rPr>
                <w:rFonts w:hint="default"/>
                <w:color w:val="auto"/>
              </w:rPr>
              <w:t>工业企业厂界环境噪声排放标准</w:t>
            </w:r>
            <w:r>
              <w:rPr>
                <w:rFonts w:hint="eastAsia"/>
                <w:color w:val="auto"/>
                <w:lang w:eastAsia="zh-CN"/>
              </w:rPr>
              <w:t>》(</w:t>
            </w:r>
            <w:r>
              <w:rPr>
                <w:rFonts w:hint="default"/>
                <w:color w:val="auto"/>
              </w:rPr>
              <w:t>摘录</w:t>
            </w:r>
            <w:r>
              <w:rPr>
                <w:rFonts w:hint="eastAsia"/>
                <w:color w:val="auto"/>
                <w:lang w:eastAsia="zh-CN"/>
              </w:rPr>
              <w:t>)</w:t>
            </w:r>
            <w:r>
              <w:rPr>
                <w:rFonts w:hint="default"/>
                <w:color w:val="auto"/>
              </w:rPr>
              <w:t>单位：</w:t>
            </w:r>
            <w:r>
              <w:rPr>
                <w:rFonts w:hint="eastAsia"/>
                <w:color w:val="auto"/>
              </w:rPr>
              <w:t>dB</w:t>
            </w:r>
            <w:r>
              <w:rPr>
                <w:rFonts w:hint="eastAsia"/>
                <w:color w:val="auto"/>
                <w:lang w:eastAsia="zh-CN"/>
              </w:rPr>
              <w:t>(</w:t>
            </w:r>
            <w:r>
              <w:rPr>
                <w:rFonts w:hint="default"/>
                <w:color w:val="auto"/>
              </w:rPr>
              <w:t>A</w:t>
            </w:r>
            <w:r>
              <w:rPr>
                <w:rFonts w:hint="eastAsia"/>
                <w:color w:val="auto"/>
                <w:lang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28" w:type="dxa"/>
                <w:bottom w:w="0" w:type="dxa"/>
                <w:right w:w="28" w:type="dxa"/>
              </w:tblCellMar>
            </w:tblPr>
            <w:tblGrid>
              <w:gridCol w:w="3650"/>
              <w:gridCol w:w="2226"/>
              <w:gridCol w:w="208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340" w:hRule="atLeast"/>
                <w:jc w:val="center"/>
              </w:trPr>
              <w:tc>
                <w:tcPr>
                  <w:tcW w:w="3650" w:type="dxa"/>
                  <w:tcBorders>
                    <w:bottom w:val="single" w:color="000000" w:sz="6" w:space="0"/>
                  </w:tcBorders>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厂界外声环境功能区类别</w:t>
                  </w:r>
                </w:p>
              </w:tc>
              <w:tc>
                <w:tcPr>
                  <w:tcW w:w="2226" w:type="dxa"/>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昼间</w:t>
                  </w:r>
                </w:p>
              </w:tc>
              <w:tc>
                <w:tcPr>
                  <w:tcW w:w="2088" w:type="dxa"/>
                  <w:noWrap w:val="0"/>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rPr>
                    <w:t>夜间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cantSplit/>
                <w:trHeight w:val="340" w:hRule="atLeast"/>
                <w:jc w:val="center"/>
              </w:trPr>
              <w:tc>
                <w:tcPr>
                  <w:tcW w:w="3650" w:type="dxa"/>
                  <w:tcBorders>
                    <w:top w:val="single" w:color="000000" w:sz="6" w:space="0"/>
                  </w:tcBorders>
                  <w:noWrap w:val="0"/>
                  <w:vAlign w:val="center"/>
                </w:tcPr>
                <w:p>
                  <w:pPr>
                    <w:pStyle w:val="19"/>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2"/>
                      <w:sz w:val="21"/>
                      <w:szCs w:val="22"/>
                      <w:lang w:val="en-US" w:eastAsia="zh-CN" w:bidi="ar-SA"/>
                    </w:rPr>
                  </w:pPr>
                  <w:r>
                    <w:rPr>
                      <w:rFonts w:hint="eastAsia"/>
                      <w:color w:val="auto"/>
                      <w:lang w:val="en-US" w:eastAsia="zh-CN"/>
                    </w:rPr>
                    <w:t>2</w:t>
                  </w:r>
                  <w:r>
                    <w:rPr>
                      <w:rFonts w:hint="default"/>
                      <w:color w:val="auto"/>
                    </w:rPr>
                    <w:t>类</w:t>
                  </w:r>
                </w:p>
              </w:tc>
              <w:tc>
                <w:tcPr>
                  <w:tcW w:w="2226" w:type="dxa"/>
                  <w:noWrap w:val="0"/>
                  <w:vAlign w:val="center"/>
                </w:tcPr>
                <w:p>
                  <w:pPr>
                    <w:pStyle w:val="19"/>
                    <w:keepNext w:val="0"/>
                    <w:keepLines w:val="0"/>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2"/>
                      <w:sz w:val="21"/>
                      <w:szCs w:val="22"/>
                      <w:lang w:val="en-US" w:eastAsia="zh-CN" w:bidi="ar-SA"/>
                    </w:rPr>
                  </w:pPr>
                  <w:r>
                    <w:rPr>
                      <w:rFonts w:hint="default"/>
                      <w:color w:val="auto"/>
                    </w:rPr>
                    <w:t>6</w:t>
                  </w:r>
                  <w:r>
                    <w:rPr>
                      <w:rFonts w:hint="eastAsia"/>
                      <w:color w:val="auto"/>
                      <w:lang w:val="en-US" w:eastAsia="zh-CN"/>
                    </w:rPr>
                    <w:t>0</w:t>
                  </w:r>
                </w:p>
              </w:tc>
              <w:tc>
                <w:tcPr>
                  <w:tcW w:w="2088" w:type="dxa"/>
                  <w:noWrap w:val="0"/>
                  <w:vAlign w:val="center"/>
                </w:tcPr>
                <w:p>
                  <w:pPr>
                    <w:pStyle w:val="19"/>
                    <w:keepNext w:val="0"/>
                    <w:keepLines w:val="0"/>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2"/>
                      <w:sz w:val="21"/>
                      <w:szCs w:val="22"/>
                      <w:lang w:val="en-US" w:eastAsia="zh-CN" w:bidi="ar-SA"/>
                    </w:rPr>
                  </w:pPr>
                  <w:r>
                    <w:rPr>
                      <w:rFonts w:hint="default"/>
                      <w:color w:val="auto"/>
                    </w:rPr>
                    <w:t>5</w:t>
                  </w:r>
                  <w:r>
                    <w:rPr>
                      <w:rFonts w:hint="eastAsia"/>
                      <w:color w:val="auto"/>
                      <w:lang w:val="en-US" w:eastAsia="zh-CN"/>
                    </w:rPr>
                    <w:t>0</w:t>
                  </w:r>
                </w:p>
              </w:tc>
            </w:tr>
          </w:tbl>
          <w:p>
            <w:pPr>
              <w:keepNext w:val="0"/>
              <w:keepLines w:val="0"/>
              <w:suppressLineNumbers w:val="0"/>
              <w:bidi w:val="0"/>
              <w:spacing w:before="0" w:beforeAutospacing="0" w:after="0" w:afterAutospacing="0"/>
              <w:ind w:left="0" w:leftChars="0" w:right="0" w:firstLine="0" w:firstLineChars="0"/>
              <w:rPr>
                <w:rFonts w:hint="default"/>
                <w:lang w:val="en-US" w:eastAsia="zh-CN"/>
              </w:rPr>
            </w:pPr>
          </w:p>
          <w:p>
            <w:pPr>
              <w:pStyle w:val="2"/>
              <w:numPr>
                <w:ilvl w:val="0"/>
                <w:numId w:val="4"/>
              </w:numPr>
              <w:suppressLineNumbers w:val="0"/>
              <w:bidi w:val="0"/>
              <w:spacing w:before="0" w:after="0"/>
              <w:ind w:right="0"/>
              <w:rPr>
                <w:rFonts w:hint="eastAsia"/>
              </w:rPr>
            </w:pPr>
            <w:r>
              <w:rPr>
                <w:rFonts w:hint="eastAsia"/>
              </w:rPr>
              <w:t>固体废物</w:t>
            </w:r>
          </w:p>
          <w:p>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一般固体废弃物</w:t>
            </w:r>
            <w:r>
              <w:rPr>
                <w:rFonts w:hint="eastAsia"/>
              </w:rPr>
              <w:t>执行《一般工业固体废物贮存和填埋污染控制标准》</w:t>
            </w:r>
            <w:r>
              <w:rPr>
                <w:rFonts w:hint="eastAsia"/>
                <w:lang w:eastAsia="zh-CN"/>
              </w:rPr>
              <w:t>(</w:t>
            </w:r>
            <w:r>
              <w:rPr>
                <w:rFonts w:hint="eastAsia"/>
              </w:rPr>
              <w:t>GB 18599-2020</w:t>
            </w:r>
            <w:r>
              <w:rPr>
                <w:rFonts w:hint="eastAsia"/>
                <w:lang w:eastAsia="zh-CN"/>
              </w:rPr>
              <w:t>)</w:t>
            </w:r>
            <w:r>
              <w:rPr>
                <w:rFonts w:hint="eastAsia"/>
              </w:rPr>
              <w:t>中的相关规定</w:t>
            </w:r>
            <w:r>
              <w:rPr>
                <w:rFonts w:hint="eastAsia"/>
                <w:lang w:eastAsia="zh-CN"/>
              </w:rPr>
              <w:t>。</w:t>
            </w:r>
          </w:p>
          <w:p>
            <w:pPr>
              <w:keepNext w:val="0"/>
              <w:keepLines w:val="0"/>
              <w:suppressLineNumbers w:val="0"/>
              <w:bidi w:val="0"/>
              <w:spacing w:before="0" w:beforeAutospacing="0" w:after="0" w:afterAutospacing="0"/>
              <w:ind w:left="0" w:right="0"/>
              <w:rPr>
                <w:rFonts w:hint="default" w:ascii="宋体" w:hAnsi="宋体" w:eastAsia="宋体" w:cs="宋体"/>
                <w:kern w:val="0"/>
                <w:szCs w:val="21"/>
              </w:rPr>
            </w:pPr>
            <w:r>
              <w:rPr>
                <w:rFonts w:hint="eastAsia"/>
                <w:lang w:val="en-US" w:eastAsia="zh-CN"/>
              </w:rPr>
              <w:t>危险废物执行《危险废物贮存污染控制标准》(GB18579-2001)及其修改单中的相关规定。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69" w:hRule="atLeast"/>
          <w:jc w:val="center"/>
        </w:trPr>
        <w:tc>
          <w:tcPr>
            <w:tcW w:w="800"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总量</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控制</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i w:val="0"/>
                <w:iCs w:val="0"/>
                <w:kern w:val="0"/>
                <w:szCs w:val="21"/>
                <w:highlight w:val="yellow"/>
              </w:rPr>
            </w:pPr>
            <w:r>
              <w:rPr>
                <w:rFonts w:hint="eastAsia" w:ascii="宋体" w:hAnsi="宋体" w:eastAsia="宋体" w:cs="宋体"/>
                <w:i w:val="0"/>
                <w:iCs w:val="0"/>
                <w:kern w:val="0"/>
                <w:szCs w:val="21"/>
                <w:highlight w:val="none"/>
              </w:rPr>
              <w:t>指标</w:t>
            </w:r>
          </w:p>
        </w:tc>
        <w:tc>
          <w:tcPr>
            <w:tcW w:w="8190" w:type="dxa"/>
            <w:vAlign w:val="center"/>
          </w:tcPr>
          <w:p>
            <w:pPr>
              <w:keepNext w:val="0"/>
              <w:keepLines w:val="0"/>
              <w:suppressLineNumbers w:val="0"/>
              <w:bidi w:val="0"/>
              <w:spacing w:before="0" w:beforeAutospacing="0" w:after="0" w:afterAutospacing="0"/>
              <w:ind w:left="0" w:right="0"/>
              <w:rPr>
                <w:rFonts w:hint="eastAsia"/>
                <w:i w:val="0"/>
                <w:iCs w:val="0"/>
                <w:highlight w:val="none"/>
                <w:lang w:val="en-US" w:eastAsia="zh-CN"/>
              </w:rPr>
            </w:pPr>
            <w:r>
              <w:rPr>
                <w:rFonts w:hint="eastAsia"/>
                <w:i w:val="0"/>
                <w:iCs w:val="0"/>
                <w:highlight w:val="none"/>
                <w:lang w:val="en-US" w:eastAsia="zh-CN"/>
              </w:rPr>
              <w:t>本项目运营期生活污水经化粪池处理后进入西侧工业园区污水管网。由于本项目COD及氨氮总量包含在污水处理厂总量中，因此不设置COD及氨氮总量控制指标。</w:t>
            </w:r>
          </w:p>
          <w:p>
            <w:pPr>
              <w:keepNext w:val="0"/>
              <w:keepLines w:val="0"/>
              <w:suppressLineNumbers w:val="0"/>
              <w:bidi w:val="0"/>
              <w:spacing w:before="0" w:beforeAutospacing="0" w:after="0" w:afterAutospacing="0"/>
              <w:ind w:left="0" w:right="0"/>
              <w:rPr>
                <w:rFonts w:hint="eastAsia"/>
                <w:i w:val="0"/>
                <w:iCs w:val="0"/>
                <w:highlight w:val="none"/>
                <w:lang w:val="en-US" w:eastAsia="zh-CN"/>
              </w:rPr>
            </w:pPr>
            <w:r>
              <w:rPr>
                <w:rFonts w:hint="eastAsia"/>
                <w:i w:val="0"/>
                <w:iCs w:val="0"/>
                <w:highlight w:val="none"/>
                <w:lang w:val="en-US" w:eastAsia="zh-CN"/>
              </w:rPr>
              <w:t>根据《新疆打赢蓝天保卫战三年行动计划(2018-2020年)》提出的“PM</w:t>
            </w:r>
            <w:r>
              <w:rPr>
                <w:rFonts w:hint="eastAsia"/>
                <w:i w:val="0"/>
                <w:iCs w:val="0"/>
                <w:highlight w:val="none"/>
                <w:vertAlign w:val="subscript"/>
                <w:lang w:val="en-US" w:eastAsia="zh-CN"/>
              </w:rPr>
              <w:t>2.5</w:t>
            </w:r>
            <w:r>
              <w:rPr>
                <w:rFonts w:hint="eastAsia"/>
                <w:i w:val="0"/>
                <w:iCs w:val="0"/>
                <w:highlight w:val="none"/>
                <w:lang w:val="en-US" w:eastAsia="zh-CN"/>
              </w:rPr>
              <w:t>年平均浓度不达标城市禁止新(改、扩)建未落实SO</w:t>
            </w:r>
            <w:r>
              <w:rPr>
                <w:rFonts w:hint="eastAsia"/>
                <w:i w:val="0"/>
                <w:iCs w:val="0"/>
                <w:highlight w:val="none"/>
                <w:vertAlign w:val="subscript"/>
                <w:lang w:val="en-US" w:eastAsia="zh-CN"/>
              </w:rPr>
              <w:t>2</w:t>
            </w:r>
            <w:r>
              <w:rPr>
                <w:rFonts w:hint="eastAsia"/>
                <w:i w:val="0"/>
                <w:iCs w:val="0"/>
                <w:highlight w:val="none"/>
                <w:lang w:val="en-US" w:eastAsia="zh-CN"/>
              </w:rPr>
              <w:t>、NO</w:t>
            </w:r>
            <w:r>
              <w:rPr>
                <w:rFonts w:hint="eastAsia"/>
                <w:i w:val="0"/>
                <w:iCs w:val="0"/>
                <w:highlight w:val="none"/>
                <w:vertAlign w:val="subscript"/>
                <w:lang w:val="en-US" w:eastAsia="zh-CN"/>
              </w:rPr>
              <w:t>X</w:t>
            </w:r>
            <w:r>
              <w:rPr>
                <w:rFonts w:hint="eastAsia"/>
                <w:i w:val="0"/>
                <w:iCs w:val="0"/>
                <w:highlight w:val="none"/>
                <w:lang w:val="en-US" w:eastAsia="zh-CN"/>
              </w:rPr>
              <w:t>、烟粉尘、挥发性有机物(VOC</w:t>
            </w:r>
            <w:r>
              <w:rPr>
                <w:rFonts w:hint="eastAsia"/>
                <w:i w:val="0"/>
                <w:iCs w:val="0"/>
                <w:highlight w:val="none"/>
                <w:vertAlign w:val="subscript"/>
                <w:lang w:val="en-US" w:eastAsia="zh-CN"/>
              </w:rPr>
              <w:t>S</w:t>
            </w:r>
            <w:r>
              <w:rPr>
                <w:rFonts w:hint="eastAsia"/>
                <w:i w:val="0"/>
                <w:iCs w:val="0"/>
                <w:highlight w:val="none"/>
                <w:lang w:val="en-US" w:eastAsia="zh-CN"/>
              </w:rPr>
              <w:t>)等四项大气污染物总量指标倍量替代的项目”要求，结合本项目区域特点，应实行“倍量替代”原则，替代源由呼图壁县生态环境局提供。</w:t>
            </w:r>
          </w:p>
          <w:p>
            <w:pPr>
              <w:keepNext w:val="0"/>
              <w:keepLines w:val="0"/>
              <w:suppressLineNumbers w:val="0"/>
              <w:bidi w:val="0"/>
              <w:spacing w:before="0" w:beforeAutospacing="0" w:after="0" w:afterAutospacing="0"/>
              <w:ind w:left="0" w:right="0"/>
              <w:rPr>
                <w:rFonts w:hint="default"/>
                <w:i w:val="0"/>
                <w:iCs w:val="0"/>
                <w:highlight w:val="yellow"/>
                <w:lang w:val="en-US" w:eastAsia="zh-CN"/>
              </w:rPr>
            </w:pPr>
            <w:r>
              <w:rPr>
                <w:rFonts w:hint="eastAsia"/>
                <w:i w:val="0"/>
                <w:iCs w:val="0"/>
                <w:highlight w:val="none"/>
                <w:lang w:val="en-US" w:eastAsia="zh-CN"/>
              </w:rPr>
              <w:t>本项目污染物排放总量控制指标为：SO</w:t>
            </w:r>
            <w:r>
              <w:rPr>
                <w:rFonts w:hint="eastAsia"/>
                <w:i w:val="0"/>
                <w:iCs w:val="0"/>
                <w:highlight w:val="none"/>
                <w:vertAlign w:val="subscript"/>
                <w:lang w:val="en-US" w:eastAsia="zh-CN"/>
              </w:rPr>
              <w:t>2</w:t>
            </w:r>
            <w:r>
              <w:rPr>
                <w:rFonts w:hint="eastAsia"/>
                <w:i w:val="0"/>
                <w:iCs w:val="0"/>
                <w:highlight w:val="none"/>
                <w:lang w:val="en-US" w:eastAsia="zh-CN"/>
              </w:rPr>
              <w:t>：0.06t/a，NO</w:t>
            </w:r>
            <w:r>
              <w:rPr>
                <w:rFonts w:hint="eastAsia"/>
                <w:i w:val="0"/>
                <w:iCs w:val="0"/>
                <w:highlight w:val="none"/>
                <w:vertAlign w:val="subscript"/>
                <w:lang w:val="en-US" w:eastAsia="zh-CN"/>
              </w:rPr>
              <w:t>x</w:t>
            </w:r>
            <w:r>
              <w:rPr>
                <w:rFonts w:hint="eastAsia"/>
                <w:i w:val="0"/>
                <w:iCs w:val="0"/>
                <w:highlight w:val="none"/>
                <w:lang w:val="en-US" w:eastAsia="zh-CN"/>
              </w:rPr>
              <w:t>：0.56t/a，颗粒物：0.07t/a。按照倍量替代原则，需总量控制指标SO</w:t>
            </w:r>
            <w:r>
              <w:rPr>
                <w:rFonts w:hint="eastAsia"/>
                <w:i w:val="0"/>
                <w:iCs w:val="0"/>
                <w:highlight w:val="none"/>
                <w:vertAlign w:val="subscript"/>
                <w:lang w:val="en-US" w:eastAsia="zh-CN"/>
              </w:rPr>
              <w:t>2</w:t>
            </w:r>
            <w:r>
              <w:rPr>
                <w:rFonts w:hint="eastAsia"/>
                <w:i w:val="0"/>
                <w:iCs w:val="0"/>
                <w:highlight w:val="none"/>
                <w:lang w:val="en-US" w:eastAsia="zh-CN"/>
              </w:rPr>
              <w:t>：0.12t/a，NO</w:t>
            </w:r>
            <w:r>
              <w:rPr>
                <w:rFonts w:hint="eastAsia"/>
                <w:i w:val="0"/>
                <w:iCs w:val="0"/>
                <w:highlight w:val="none"/>
                <w:vertAlign w:val="subscript"/>
                <w:lang w:val="en-US" w:eastAsia="zh-CN"/>
              </w:rPr>
              <w:t>x</w:t>
            </w:r>
            <w:r>
              <w:rPr>
                <w:rFonts w:hint="eastAsia"/>
                <w:i w:val="0"/>
                <w:iCs w:val="0"/>
                <w:highlight w:val="none"/>
                <w:lang w:val="en-US" w:eastAsia="zh-CN"/>
              </w:rPr>
              <w:t>：1.12t/a，颗粒物：0.14t/a。该总量指标由大唐呼图壁能源开发有限公司热电厂削减量中解决。</w:t>
            </w:r>
          </w:p>
        </w:tc>
      </w:tr>
    </w:tbl>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ascii="黑体" w:hAnsi="黑体" w:eastAsia="黑体" w:cs="Times New Roman"/>
          <w:snapToGrid w:val="0"/>
          <w:kern w:val="0"/>
          <w:sz w:val="36"/>
          <w:szCs w:val="36"/>
        </w:rPr>
        <w:br w:type="page"/>
      </w:r>
      <w:r>
        <w:rPr>
          <w:rFonts w:hint="eastAsia" w:ascii="黑体" w:hAnsi="黑体" w:eastAsia="黑体" w:cs="Times New Roman"/>
          <w:snapToGrid w:val="0"/>
          <w:kern w:val="0"/>
          <w:sz w:val="30"/>
          <w:szCs w:val="30"/>
        </w:rPr>
        <w:t>四、主要环境影响和保护措施</w:t>
      </w:r>
    </w:p>
    <w:tbl>
      <w:tblPr>
        <w:tblStyle w:val="1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13" w:hRule="atLeast"/>
          <w:jc w:val="center"/>
        </w:trPr>
        <w:tc>
          <w:tcPr>
            <w:tcW w:w="746" w:type="dxa"/>
            <w:tcMar>
              <w:left w:w="28" w:type="dxa"/>
              <w:right w:w="28" w:type="dxa"/>
            </w:tcMar>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施工</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期环</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境保</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护措</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szCs w:val="21"/>
              </w:rPr>
              <w:t>施</w:t>
            </w:r>
          </w:p>
        </w:tc>
        <w:tc>
          <w:tcPr>
            <w:tcW w:w="8162" w:type="dxa"/>
            <w:vAlign w:val="center"/>
          </w:tcPr>
          <w:p>
            <w:pPr>
              <w:pStyle w:val="2"/>
              <w:numPr>
                <w:ilvl w:val="0"/>
                <w:numId w:val="9"/>
              </w:numPr>
              <w:suppressLineNumbers w:val="0"/>
              <w:bidi w:val="0"/>
              <w:spacing w:before="0" w:after="0"/>
              <w:ind w:right="0"/>
              <w:rPr>
                <w:rFonts w:hint="default"/>
                <w:lang w:val="en-US" w:eastAsia="zh-CN"/>
              </w:rPr>
            </w:pPr>
            <w:r>
              <w:rPr>
                <w:rFonts w:hint="eastAsia"/>
                <w:lang w:val="en-US" w:eastAsia="zh-CN"/>
              </w:rPr>
              <w:t>废水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施工期废水主要是施工过程中产生的含有泥浆或砂石的工程废水及施工人员产生的生活污水。</w:t>
            </w:r>
          </w:p>
          <w:p>
            <w:pPr>
              <w:pStyle w:val="6"/>
              <w:suppressLineNumbers w:val="0"/>
              <w:bidi w:val="0"/>
              <w:spacing w:before="0" w:after="0"/>
              <w:ind w:right="0"/>
              <w:rPr>
                <w:rFonts w:hint="default"/>
                <w:lang w:val="en-US" w:eastAsia="zh-CN"/>
              </w:rPr>
            </w:pPr>
            <w:r>
              <w:rPr>
                <w:rFonts w:hint="default"/>
                <w:lang w:val="en-US" w:eastAsia="zh-CN"/>
              </w:rPr>
              <w:t>施工期间，应对地面水的排放进行组织设计，严禁乱排、乱流污染道路、环境；施工上要尽量求得土石方工程的平衡，减少弃土，做好各项排水、截水、防止水土流失的设计。</w:t>
            </w:r>
          </w:p>
          <w:p>
            <w:pPr>
              <w:pStyle w:val="6"/>
              <w:suppressLineNumbers w:val="0"/>
              <w:bidi w:val="0"/>
              <w:spacing w:before="0" w:after="0"/>
              <w:ind w:right="0"/>
              <w:rPr>
                <w:rFonts w:hint="default"/>
                <w:lang w:val="en-US" w:eastAsia="zh-CN"/>
              </w:rPr>
            </w:pPr>
            <w:r>
              <w:rPr>
                <w:rFonts w:hint="default"/>
                <w:lang w:val="en-US" w:eastAsia="zh-CN"/>
              </w:rPr>
              <w:t>在施工中，应合理安排施工计划、施工程序，协调好各个施工步骤，雨季中尽量减少地面坡度，减少开挖面，并争取土料随挖、随运，减少堆土裸土的暴露时间，以避免受降雨的直接冲刷。</w:t>
            </w:r>
          </w:p>
          <w:p>
            <w:pPr>
              <w:pStyle w:val="6"/>
              <w:suppressLineNumbers w:val="0"/>
              <w:bidi w:val="0"/>
              <w:spacing w:before="0" w:after="0"/>
              <w:ind w:right="0"/>
              <w:rPr>
                <w:rFonts w:hint="default"/>
                <w:lang w:val="en-US" w:eastAsia="zh-CN"/>
              </w:rPr>
            </w:pPr>
            <w:r>
              <w:rPr>
                <w:rFonts w:hint="default"/>
                <w:lang w:val="en-US" w:eastAsia="zh-CN"/>
              </w:rPr>
              <w:t>施工营地及施工管理区生活废水可依托</w:t>
            </w:r>
            <w:r>
              <w:rPr>
                <w:rFonts w:hint="eastAsia"/>
                <w:lang w:val="en-US" w:eastAsia="zh-CN"/>
              </w:rPr>
              <w:t>大丰工业园区处理</w:t>
            </w:r>
            <w:r>
              <w:rPr>
                <w:rFonts w:hint="default"/>
                <w:lang w:val="en-US" w:eastAsia="zh-CN"/>
              </w:rPr>
              <w:t>。</w:t>
            </w:r>
          </w:p>
          <w:p>
            <w:pPr>
              <w:pStyle w:val="2"/>
              <w:numPr>
                <w:ilvl w:val="0"/>
                <w:numId w:val="5"/>
              </w:numPr>
              <w:suppressLineNumbers w:val="0"/>
              <w:bidi w:val="0"/>
              <w:spacing w:before="0" w:after="0"/>
              <w:ind w:right="0"/>
              <w:rPr>
                <w:rFonts w:hint="default"/>
                <w:lang w:val="en-US" w:eastAsia="zh-CN"/>
              </w:rPr>
            </w:pPr>
            <w:r>
              <w:rPr>
                <w:rFonts w:hint="eastAsia"/>
                <w:lang w:val="en-US" w:eastAsia="zh-CN"/>
              </w:rPr>
              <w:t>废气</w:t>
            </w:r>
          </w:p>
          <w:p>
            <w:pPr>
              <w:pStyle w:val="6"/>
              <w:suppressLineNumbers w:val="0"/>
              <w:bidi w:val="0"/>
              <w:spacing w:before="0" w:after="0"/>
              <w:ind w:right="0"/>
              <w:rPr>
                <w:rFonts w:hint="default"/>
                <w:lang w:val="en-US" w:eastAsia="zh-CN"/>
              </w:rPr>
            </w:pPr>
            <w:r>
              <w:rPr>
                <w:rFonts w:hint="default"/>
                <w:lang w:val="en-US" w:eastAsia="zh-CN"/>
              </w:rPr>
              <w:t>在施工时工地周围设立围护屏障，提倡科学施工、文明施工，将项目建设期的污染降低到最小程度。施工期间建筑材料的堆放应有预防起尘的措施；运输车辆要采用防止散落和尘飞扬的措施，以防止施工现场的尘土向四周扩散。工地上所有裸露地面应经常洒水、使其保持一定的湿度。这样，在行车或刮风时不致形成大量扬尘。</w:t>
            </w:r>
          </w:p>
          <w:p>
            <w:pPr>
              <w:pStyle w:val="6"/>
              <w:suppressLineNumbers w:val="0"/>
              <w:bidi w:val="0"/>
              <w:spacing w:before="0" w:after="0"/>
              <w:ind w:right="0"/>
              <w:rPr>
                <w:rFonts w:hint="default"/>
                <w:lang w:val="en-US" w:eastAsia="zh-CN"/>
              </w:rPr>
            </w:pPr>
            <w:r>
              <w:rPr>
                <w:rFonts w:hint="default"/>
                <w:lang w:val="en-US" w:eastAsia="zh-CN"/>
              </w:rPr>
              <w:t>施工现场泥地较多，出施工现场车辆应在施工场地出口处配有专人， 出场车辆车轮必须经冲洗后才能上路。运输车辆不能超载，以免运输泥土和建材撒漏，影响周边道路。</w:t>
            </w:r>
          </w:p>
          <w:p>
            <w:pPr>
              <w:pStyle w:val="6"/>
              <w:suppressLineNumbers w:val="0"/>
              <w:bidi w:val="0"/>
              <w:spacing w:before="0" w:after="0"/>
              <w:ind w:right="0"/>
              <w:rPr>
                <w:rFonts w:hint="default"/>
                <w:lang w:val="en-US" w:eastAsia="zh-CN"/>
              </w:rPr>
            </w:pPr>
            <w:r>
              <w:rPr>
                <w:rFonts w:hint="default"/>
                <w:lang w:val="en-US" w:eastAsia="zh-CN"/>
              </w:rPr>
              <w:t>施工过程中将使用大量内燃机施工机械和车辆，这些机械和车辆在运行时将产生尾气污染，建议选用烟气量少的内燃机械，以缓解建设项目施工对该地区环境空气质量的影响。</w:t>
            </w:r>
          </w:p>
          <w:p>
            <w:pPr>
              <w:pStyle w:val="2"/>
              <w:numPr>
                <w:ilvl w:val="0"/>
                <w:numId w:val="5"/>
              </w:numPr>
              <w:suppressLineNumbers w:val="0"/>
              <w:bidi w:val="0"/>
              <w:spacing w:before="0" w:after="0"/>
              <w:ind w:right="0"/>
              <w:rPr>
                <w:rFonts w:hint="default"/>
                <w:lang w:val="en-US" w:eastAsia="zh-CN"/>
              </w:rPr>
            </w:pPr>
            <w:r>
              <w:rPr>
                <w:rFonts w:hint="eastAsia"/>
                <w:lang w:val="en-US" w:eastAsia="zh-CN"/>
              </w:rPr>
              <w:t>噪声</w:t>
            </w:r>
          </w:p>
          <w:p>
            <w:pPr>
              <w:pStyle w:val="6"/>
              <w:suppressLineNumbers w:val="0"/>
              <w:bidi w:val="0"/>
              <w:spacing w:before="0" w:after="0"/>
              <w:ind w:right="0"/>
              <w:rPr>
                <w:rFonts w:hint="default"/>
                <w:lang w:val="en-US" w:eastAsia="zh-CN"/>
              </w:rPr>
            </w:pPr>
            <w:r>
              <w:rPr>
                <w:rFonts w:hint="default"/>
                <w:lang w:val="en-US" w:eastAsia="zh-CN"/>
              </w:rPr>
              <w:t>在施工设备选型上、应选用正规厂家、噪声较低的环保型设备。</w:t>
            </w:r>
          </w:p>
          <w:p>
            <w:pPr>
              <w:pStyle w:val="6"/>
              <w:suppressLineNumbers w:val="0"/>
              <w:bidi w:val="0"/>
              <w:spacing w:before="0" w:after="0"/>
              <w:ind w:right="0"/>
              <w:rPr>
                <w:rFonts w:hint="default"/>
                <w:lang w:val="en-US" w:eastAsia="zh-CN"/>
              </w:rPr>
            </w:pPr>
            <w:r>
              <w:rPr>
                <w:rFonts w:hint="default"/>
                <w:lang w:val="en-US" w:eastAsia="zh-CN"/>
              </w:rPr>
              <w:t>加强施工现场管理、保证现场设备安装质量、确保施工设备正常运行。</w:t>
            </w:r>
          </w:p>
          <w:p>
            <w:pPr>
              <w:pStyle w:val="6"/>
              <w:suppressLineNumbers w:val="0"/>
              <w:bidi w:val="0"/>
              <w:spacing w:before="0" w:after="0"/>
              <w:ind w:right="0"/>
              <w:rPr>
                <w:rFonts w:hint="default"/>
                <w:lang w:val="en-US" w:eastAsia="zh-CN"/>
              </w:rPr>
            </w:pPr>
            <w:r>
              <w:rPr>
                <w:rFonts w:hint="default"/>
                <w:lang w:val="en-US" w:eastAsia="zh-CN"/>
              </w:rPr>
              <w:t>对混凝土搅拌机等能够易地使用的大型施工机械应易地使用、对不能易地使用的高噪声的施工设备必须封闭使用或四周加设隔声屏障、降低使用时产生的噪声对周围环境的影响。</w:t>
            </w:r>
          </w:p>
          <w:p>
            <w:pPr>
              <w:pStyle w:val="6"/>
              <w:suppressLineNumbers w:val="0"/>
              <w:bidi w:val="0"/>
              <w:spacing w:before="0" w:after="0"/>
              <w:ind w:right="0"/>
              <w:rPr>
                <w:rFonts w:hint="default"/>
                <w:lang w:val="en-US" w:eastAsia="zh-CN"/>
              </w:rPr>
            </w:pPr>
            <w:r>
              <w:rPr>
                <w:rFonts w:hint="default"/>
                <w:lang w:val="en-US" w:eastAsia="zh-CN"/>
              </w:rPr>
              <w:t>重型运输车在市区内行驶时禁止鸣笛、并限速行驶、严禁在</w:t>
            </w:r>
            <w:r>
              <w:rPr>
                <w:rFonts w:hint="eastAsia"/>
                <w:lang w:val="en-US" w:eastAsia="zh-CN"/>
              </w:rPr>
              <w:t>夜间</w:t>
            </w:r>
            <w:r>
              <w:rPr>
                <w:rFonts w:hint="default"/>
                <w:lang w:val="en-US" w:eastAsia="zh-CN"/>
              </w:rPr>
              <w:t>施工及运输、特别是噪声较大的基础施工和结构施工阶段。</w:t>
            </w:r>
          </w:p>
          <w:p>
            <w:pPr>
              <w:pStyle w:val="2"/>
              <w:numPr>
                <w:ilvl w:val="0"/>
                <w:numId w:val="5"/>
              </w:numPr>
              <w:suppressLineNumbers w:val="0"/>
              <w:bidi w:val="0"/>
              <w:spacing w:before="0" w:after="0"/>
              <w:ind w:right="0"/>
              <w:rPr>
                <w:rFonts w:hint="default"/>
                <w:lang w:val="en-US" w:eastAsia="zh-CN"/>
              </w:rPr>
            </w:pPr>
            <w:r>
              <w:rPr>
                <w:rFonts w:hint="eastAsia"/>
                <w:lang w:val="en-US" w:eastAsia="zh-CN"/>
              </w:rPr>
              <w:t>固体废物</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建设施工期的固体废物主要为施工弃土及施工人员的少量生活垃圾等。</w:t>
            </w:r>
          </w:p>
          <w:p>
            <w:pPr>
              <w:pStyle w:val="6"/>
              <w:suppressLineNumbers w:val="0"/>
              <w:bidi w:val="0"/>
              <w:spacing w:before="0" w:after="0"/>
              <w:ind w:right="0"/>
              <w:rPr>
                <w:rFonts w:hint="default"/>
                <w:lang w:val="en-US" w:eastAsia="zh-CN"/>
              </w:rPr>
            </w:pPr>
            <w:r>
              <w:rPr>
                <w:rFonts w:hint="default"/>
                <w:lang w:val="en-US" w:eastAsia="zh-CN"/>
              </w:rPr>
              <w:t>施工过程中产生的建筑垃圾及施工弃土应及时清运、运出废物应使用苫布遮盖、不得沿街洒落泥土、并按照</w:t>
            </w:r>
            <w:r>
              <w:rPr>
                <w:rFonts w:hint="eastAsia"/>
                <w:lang w:val="en-US" w:eastAsia="zh-CN"/>
              </w:rPr>
              <w:t>相关</w:t>
            </w:r>
            <w:r>
              <w:rPr>
                <w:rFonts w:hint="default"/>
                <w:lang w:val="en-US" w:eastAsia="zh-CN"/>
              </w:rPr>
              <w:t>部门批准的地点倾倒。</w:t>
            </w:r>
          </w:p>
          <w:p>
            <w:pPr>
              <w:pStyle w:val="6"/>
              <w:suppressLineNumbers w:val="0"/>
              <w:bidi w:val="0"/>
              <w:spacing w:before="0" w:after="0"/>
              <w:ind w:right="0"/>
              <w:rPr>
                <w:rFonts w:hint="default"/>
                <w:lang w:val="en-US" w:eastAsia="zh-CN"/>
              </w:rPr>
            </w:pPr>
            <w:r>
              <w:rPr>
                <w:rFonts w:hint="default"/>
                <w:lang w:val="en-US" w:eastAsia="zh-CN"/>
              </w:rPr>
              <w:t>施工人员产生的生活垃圾量较少、可设置固定垃圾箱存放、由</w:t>
            </w:r>
            <w:r>
              <w:rPr>
                <w:rFonts w:hint="eastAsia"/>
                <w:lang w:val="en-US" w:eastAsia="zh-CN"/>
              </w:rPr>
              <w:t>环卫部门</w:t>
            </w:r>
            <w:r>
              <w:rPr>
                <w:rFonts w:hint="default"/>
                <w:lang w:val="en-US" w:eastAsia="zh-CN"/>
              </w:rPr>
              <w:t>统一清运、不得随意丢弃。</w:t>
            </w:r>
          </w:p>
          <w:p>
            <w:pPr>
              <w:pStyle w:val="2"/>
              <w:numPr>
                <w:ilvl w:val="0"/>
                <w:numId w:val="5"/>
              </w:numPr>
              <w:suppressLineNumbers w:val="0"/>
              <w:bidi w:val="0"/>
              <w:spacing w:before="0" w:after="0"/>
              <w:ind w:right="0"/>
              <w:rPr>
                <w:rFonts w:hint="default"/>
                <w:lang w:val="en-US" w:eastAsia="zh-CN"/>
              </w:rPr>
            </w:pPr>
            <w:r>
              <w:rPr>
                <w:rFonts w:hint="default"/>
                <w:lang w:val="en-US" w:eastAsia="zh-CN"/>
              </w:rPr>
              <w:t>生态环境</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本项目新增用地范围内无生态环境保护目标。</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施工期间划定施工区域，强化施工管理，增强施工人员的环境保护意识，严格控制施工人员、施工机械、临时生活区的范围，严禁随意扩大扰动范围；缩小施工作业面和减少扰动面积；做好土石方平衡，降低工程开挖造成的水土流失；合理安排施工时间及工序，避开大风天气，弃土及时处置；施工中合理组织材料的拉运，合理安排施工进度，砂石料及时拉入现场，并尽快施工，避免在堆放过程中沙土飞扬，影响区域环境质量；严格按施工方案要求在指定地点堆放临土石方；施工作业结束后，及时平整各类施工迹地，恢复原有地貌，防止新增水土流失。</w:t>
            </w:r>
          </w:p>
        </w:tc>
      </w:tr>
    </w:tbl>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bCs/>
          <w:szCs w:val="21"/>
        </w:rPr>
      </w:pPr>
      <w:r>
        <w:rPr>
          <w:rFonts w:hint="eastAsia" w:ascii="宋体" w:hAnsi="宋体" w:eastAsia="宋体" w:cs="宋体"/>
          <w:bCs/>
          <w:szCs w:val="21"/>
        </w:rPr>
        <w:br w:type="page"/>
      </w:r>
    </w:p>
    <w:tbl>
      <w:tblPr>
        <w:tblStyle w:val="1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97" w:hRule="atLeast"/>
          <w:jc w:val="center"/>
        </w:trPr>
        <w:tc>
          <w:tcPr>
            <w:tcW w:w="746"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运营</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期环</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境影</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响和</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保护</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bCs/>
                <w:szCs w:val="21"/>
              </w:rPr>
            </w:pPr>
            <w:r>
              <w:rPr>
                <w:rFonts w:hint="eastAsia" w:ascii="宋体" w:hAnsi="宋体" w:eastAsia="宋体" w:cs="宋体"/>
                <w:bCs/>
                <w:szCs w:val="21"/>
              </w:rPr>
              <w:t>措施</w:t>
            </w:r>
          </w:p>
        </w:tc>
        <w:tc>
          <w:tcPr>
            <w:tcW w:w="8162" w:type="dxa"/>
            <w:vAlign w:val="center"/>
          </w:tcPr>
          <w:p>
            <w:pPr>
              <w:pStyle w:val="2"/>
              <w:numPr>
                <w:ilvl w:val="0"/>
                <w:numId w:val="10"/>
              </w:numPr>
              <w:suppressLineNumbers w:val="0"/>
              <w:bidi w:val="0"/>
              <w:spacing w:before="0" w:after="0"/>
              <w:ind w:right="0"/>
              <w:rPr>
                <w:rFonts w:hint="default"/>
                <w:lang w:val="en-US" w:eastAsia="zh-CN"/>
              </w:rPr>
            </w:pPr>
            <w:r>
              <w:rPr>
                <w:rFonts w:hint="eastAsia"/>
                <w:lang w:val="en-US" w:eastAsia="zh-CN"/>
              </w:rPr>
              <w:t>废气</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w:t>
            </w:r>
            <w:r>
              <w:rPr>
                <w:rFonts w:hint="eastAsia"/>
                <w:lang w:val="en-US" w:eastAsia="zh-CN"/>
              </w:rPr>
              <w:t>有组织</w:t>
            </w:r>
            <w:r>
              <w:rPr>
                <w:rFonts w:hint="default"/>
                <w:lang w:val="en-US" w:eastAsia="zh-CN"/>
              </w:rPr>
              <w:t>废气主要污染物包括酸解过程产生的硫酸雾</w:t>
            </w:r>
            <w:r>
              <w:rPr>
                <w:rFonts w:hint="eastAsia"/>
                <w:lang w:val="en-US" w:eastAsia="zh-CN"/>
              </w:rPr>
              <w:t>，粉碎</w:t>
            </w:r>
            <w:r>
              <w:rPr>
                <w:rFonts w:hint="default"/>
                <w:lang w:val="en-US" w:eastAsia="zh-CN"/>
              </w:rPr>
              <w:t>、过滤</w:t>
            </w:r>
            <w:r>
              <w:rPr>
                <w:rFonts w:hint="eastAsia"/>
                <w:lang w:val="en-US" w:eastAsia="zh-CN"/>
              </w:rPr>
              <w:t>过程产生的</w:t>
            </w:r>
            <w:r>
              <w:rPr>
                <w:rFonts w:hint="default"/>
                <w:lang w:val="en-US" w:eastAsia="zh-CN"/>
              </w:rPr>
              <w:t>恶臭</w:t>
            </w:r>
            <w:r>
              <w:rPr>
                <w:rFonts w:hint="eastAsia"/>
                <w:lang w:val="en-US" w:eastAsia="zh-CN"/>
              </w:rPr>
              <w:t>气体，</w:t>
            </w:r>
            <w:r>
              <w:rPr>
                <w:rFonts w:hint="default"/>
                <w:lang w:val="en-US" w:eastAsia="zh-CN"/>
              </w:rPr>
              <w:t>锅炉</w:t>
            </w:r>
            <w:r>
              <w:rPr>
                <w:rFonts w:hint="eastAsia"/>
                <w:lang w:val="en-US" w:eastAsia="zh-CN"/>
              </w:rPr>
              <w:t>燃烧</w:t>
            </w:r>
            <w:r>
              <w:rPr>
                <w:rFonts w:hint="default"/>
                <w:lang w:val="en-US" w:eastAsia="zh-CN"/>
              </w:rPr>
              <w:t>烟气</w:t>
            </w:r>
            <w:r>
              <w:rPr>
                <w:rFonts w:hint="eastAsia"/>
                <w:lang w:val="en-US" w:eastAsia="zh-CN"/>
              </w:rPr>
              <w:t>；无组织废气包括</w:t>
            </w:r>
            <w:r>
              <w:rPr>
                <w:rFonts w:hint="default"/>
                <w:lang w:val="en-US" w:eastAsia="zh-CN"/>
              </w:rPr>
              <w:t>硫酸储罐大小呼吸废气</w:t>
            </w:r>
            <w:r>
              <w:rPr>
                <w:rFonts w:hint="eastAsia"/>
                <w:lang w:val="en-US" w:eastAsia="zh-CN"/>
              </w:rPr>
              <w:t>、</w:t>
            </w:r>
            <w:r>
              <w:rPr>
                <w:rFonts w:hint="default"/>
                <w:lang w:val="en-US" w:eastAsia="zh-CN"/>
              </w:rPr>
              <w:t>罐装、</w:t>
            </w:r>
            <w:r>
              <w:rPr>
                <w:rFonts w:hint="eastAsia"/>
                <w:lang w:val="en-US" w:eastAsia="zh-CN"/>
              </w:rPr>
              <w:t>粉碎</w:t>
            </w:r>
            <w:r>
              <w:rPr>
                <w:rFonts w:hint="default"/>
                <w:lang w:val="en-US" w:eastAsia="zh-CN"/>
              </w:rPr>
              <w:t>等过程少量恶臭废气。</w:t>
            </w:r>
          </w:p>
          <w:p>
            <w:pPr>
              <w:pStyle w:val="3"/>
              <w:suppressLineNumbers w:val="0"/>
              <w:bidi w:val="0"/>
              <w:spacing w:before="0" w:after="0"/>
              <w:ind w:right="0"/>
              <w:rPr>
                <w:rFonts w:hint="default"/>
                <w:lang w:val="en-US" w:eastAsia="zh-CN"/>
              </w:rPr>
            </w:pPr>
            <w:r>
              <w:rPr>
                <w:rFonts w:hint="eastAsia"/>
                <w:lang w:val="en-US" w:eastAsia="zh-CN"/>
              </w:rPr>
              <w:t>污染物源强计算</w:t>
            </w:r>
          </w:p>
          <w:p>
            <w:pPr>
              <w:pStyle w:val="5"/>
              <w:suppressLineNumbers w:val="0"/>
              <w:bidi w:val="0"/>
              <w:spacing w:before="0" w:beforeAutospacing="0" w:after="0" w:afterAutospacing="0"/>
              <w:ind w:right="0"/>
              <w:rPr>
                <w:rFonts w:hint="default"/>
                <w:lang w:val="en-US" w:eastAsia="zh-CN"/>
              </w:rPr>
            </w:pPr>
            <w:r>
              <w:rPr>
                <w:rFonts w:hint="default"/>
                <w:lang w:val="en-US" w:eastAsia="zh-CN"/>
              </w:rPr>
              <w:t>硫酸雾</w:t>
            </w:r>
          </w:p>
          <w:p>
            <w:pPr>
              <w:keepNext w:val="0"/>
              <w:keepLines w:val="0"/>
              <w:suppressLineNumbers w:val="0"/>
              <w:bidi w:val="0"/>
              <w:spacing w:before="0" w:beforeAutospacing="0" w:after="0" w:afterAutospacing="0"/>
              <w:ind w:left="0" w:right="0"/>
              <w:rPr>
                <w:rFonts w:hint="eastAsia"/>
                <w:color w:val="auto"/>
                <w:lang w:val="en-US" w:eastAsia="zh-CN"/>
              </w:rPr>
            </w:pPr>
            <w:r>
              <w:rPr>
                <w:rFonts w:hint="default"/>
                <w:lang w:val="en-US" w:eastAsia="zh-CN"/>
              </w:rPr>
              <w:t>本项目单日处理量为1</w:t>
            </w:r>
            <w:r>
              <w:rPr>
                <w:rFonts w:hint="eastAsia"/>
                <w:lang w:val="en-US" w:eastAsia="zh-CN"/>
              </w:rPr>
              <w:t>2</w:t>
            </w:r>
            <w:r>
              <w:rPr>
                <w:rFonts w:hint="default"/>
                <w:lang w:val="en-US" w:eastAsia="zh-CN"/>
              </w:rPr>
              <w:t>t</w:t>
            </w:r>
            <w:r>
              <w:rPr>
                <w:rFonts w:hint="eastAsia"/>
                <w:lang w:val="en-US" w:eastAsia="zh-CN"/>
              </w:rPr>
              <w:t>。</w:t>
            </w:r>
            <w:r>
              <w:rPr>
                <w:rFonts w:hint="default"/>
                <w:color w:val="auto"/>
                <w:lang w:val="en-US" w:eastAsia="zh-CN"/>
              </w:rPr>
              <w:t>反应釜</w:t>
            </w:r>
            <w:r>
              <w:rPr>
                <w:rFonts w:hint="eastAsia"/>
                <w:color w:val="auto"/>
                <w:lang w:val="en-US" w:eastAsia="zh-CN"/>
              </w:rPr>
              <w:t>内</w:t>
            </w:r>
            <w:r>
              <w:rPr>
                <w:rFonts w:hint="eastAsia"/>
                <w:strike w:val="0"/>
                <w:dstrike w:val="0"/>
                <w:color w:val="auto"/>
                <w:lang w:val="en-US" w:eastAsia="zh-CN"/>
              </w:rPr>
              <w:t>酸解反应过程</w:t>
            </w:r>
            <w:r>
              <w:rPr>
                <w:rFonts w:hint="eastAsia"/>
                <w:color w:val="auto"/>
                <w:lang w:val="en-US" w:eastAsia="zh-CN"/>
              </w:rPr>
              <w:t>会产生</w:t>
            </w:r>
            <w:r>
              <w:rPr>
                <w:rFonts w:hint="default"/>
                <w:color w:val="auto"/>
                <w:lang w:val="en-US" w:eastAsia="zh-CN"/>
              </w:rPr>
              <w:t>硫酸雾，</w:t>
            </w:r>
            <w:r>
              <w:rPr>
                <w:rFonts w:hint="eastAsia"/>
                <w:color w:val="auto"/>
                <w:lang w:val="en-US" w:eastAsia="zh-CN"/>
              </w:rPr>
              <w:t>反应釜、内酸性废气经管道负压收集送至喷淋塔处理达标后外排。</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硫酸采用储罐暂存于厂区，储罐大小呼吸将产生无组织硫酸雾废气。本项目硫酸拟采用一座储罐贮存，最大储存量为</w:t>
            </w:r>
            <w:r>
              <w:rPr>
                <w:rFonts w:hint="eastAsia" w:ascii="Times New Roman" w:hAnsi="Times New Roman" w:eastAsia="宋体" w:cs="Times New Roman"/>
                <w:kern w:val="2"/>
                <w:sz w:val="24"/>
                <w:szCs w:val="24"/>
                <w:lang w:val="en-US" w:eastAsia="zh-CN" w:bidi="ar"/>
              </w:rPr>
              <w:t>27.6t</w:t>
            </w:r>
            <w:r>
              <w:rPr>
                <w:rFonts w:hint="eastAsia" w:ascii="宋体" w:hAnsi="宋体" w:eastAsia="宋体" w:cs="宋体"/>
                <w:kern w:val="2"/>
                <w:sz w:val="24"/>
                <w:szCs w:val="24"/>
                <w:lang w:val="en-US" w:eastAsia="zh-CN" w:bidi="ar"/>
              </w:rPr>
              <w:t>。储罐在日常装卸过程中，温度变化、压力变化、液面</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或体积</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变化都将产生</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损耗。装料卸料引发的物料损失称为</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，因外环境</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温度、气压</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变化而非人为干扰产生的损耗称为</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小呼吸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。大呼吸量和小呼吸量可用经验公式计算，具体如下：</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损耗计算公式：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W</w:t>
            </w:r>
            <w:r>
              <w:rPr>
                <w:rFonts w:hint="default" w:ascii="Times New Roman" w:hAnsi="Times New Roman" w:eastAsia="宋体" w:cs="Times New Roman"/>
                <w:kern w:val="2"/>
                <w:sz w:val="24"/>
                <w:szCs w:val="24"/>
                <w:lang w:val="en-US" w:eastAsia="zh-CN" w:bidi="ar"/>
              </w:rPr>
              <w:t>=4.188×10</w:t>
            </w:r>
            <w:r>
              <w:rPr>
                <w:rFonts w:hint="default" w:ascii="Times New Roman" w:hAnsi="Times New Roman" w:eastAsia="宋体" w:cs="Times New Roman"/>
                <w:kern w:val="2"/>
                <w:sz w:val="24"/>
                <w:szCs w:val="24"/>
                <w:vertAlign w:val="superscript"/>
                <w:lang w:val="en-US" w:eastAsia="zh-CN" w:bidi="ar"/>
              </w:rPr>
              <w:t>-7</w:t>
            </w:r>
            <w:r>
              <w:rPr>
                <w:rFonts w:hint="default" w:ascii="Times New Roman" w:hAnsi="Times New Roman" w:eastAsia="宋体" w:cs="Times New Roman"/>
                <w:kern w:val="2"/>
                <w:sz w:val="24"/>
                <w:szCs w:val="24"/>
                <w:lang w:val="en-US" w:eastAsia="zh-CN" w:bidi="ar"/>
              </w:rPr>
              <w:t>×M×P×K</w:t>
            </w:r>
            <w:r>
              <w:rPr>
                <w:rFonts w:hint="default" w:ascii="Times New Roman" w:hAnsi="Times New Roman" w:eastAsia="宋体" w:cs="Times New Roman"/>
                <w:kern w:val="2"/>
                <w:sz w:val="24"/>
                <w:szCs w:val="24"/>
                <w:vertAlign w:val="subscript"/>
                <w:lang w:val="en-US" w:eastAsia="zh-CN" w:bidi="ar"/>
              </w:rPr>
              <w:t>N</w:t>
            </w:r>
            <w:r>
              <w:rPr>
                <w:rFonts w:hint="default" w:ascii="Times New Roman" w:hAnsi="Times New Roman" w:eastAsia="宋体" w:cs="Times New Roman"/>
                <w:kern w:val="2"/>
                <w:sz w:val="24"/>
                <w:szCs w:val="24"/>
                <w:lang w:val="en-US" w:eastAsia="zh-CN" w:bidi="ar"/>
              </w:rPr>
              <w:t>×K</w:t>
            </w:r>
            <w:r>
              <w:rPr>
                <w:rFonts w:hint="default" w:ascii="Times New Roman" w:hAnsi="Times New Roman" w:eastAsia="宋体" w:cs="Times New Roman"/>
                <w:kern w:val="2"/>
                <w:sz w:val="24"/>
                <w:szCs w:val="24"/>
                <w:vertAlign w:val="subscript"/>
                <w:lang w:val="en-US" w:eastAsia="zh-CN" w:bidi="ar"/>
              </w:rPr>
              <w:t>C</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小呼吸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损耗计算公式：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vertAlign w:val="subscript"/>
              </w:rPr>
            </w:pPr>
            <w:r>
              <w:rPr>
                <w:rFonts w:hint="default" w:ascii="Times New Roman" w:hAnsi="Times New Roman" w:eastAsia="宋体" w:cs="Times New Roman"/>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B</w:t>
            </w:r>
            <w:r>
              <w:rPr>
                <w:rFonts w:hint="default" w:ascii="Times New Roman" w:hAnsi="Times New Roman" w:eastAsia="宋体" w:cs="Times New Roman"/>
                <w:kern w:val="2"/>
                <w:sz w:val="24"/>
                <w:szCs w:val="24"/>
                <w:lang w:val="en-US" w:eastAsia="zh-CN" w:bidi="ar"/>
              </w:rPr>
              <w:t>=0.191×M[P/(10</w:t>
            </w:r>
            <w:r>
              <w:rPr>
                <w:rFonts w:hint="eastAsia" w:ascii="Times New Roman" w:hAnsi="Times New Roman" w:eastAsia="宋体" w:cs="Times New Roman"/>
                <w:kern w:val="2"/>
                <w:sz w:val="24"/>
                <w:szCs w:val="24"/>
                <w:lang w:val="en-US" w:eastAsia="zh-CN" w:bidi="ar"/>
              </w:rPr>
              <w:t>1283</w:t>
            </w:r>
            <w:r>
              <w:rPr>
                <w:rFonts w:hint="default" w:ascii="Times New Roman" w:hAnsi="Times New Roman" w:eastAsia="宋体" w:cs="Times New Roman"/>
                <w:kern w:val="2"/>
                <w:sz w:val="24"/>
                <w:szCs w:val="24"/>
                <w:lang w:val="en-US" w:eastAsia="zh-CN" w:bidi="ar"/>
              </w:rPr>
              <w:t>-P</w:t>
            </w:r>
            <w:r>
              <w:rPr>
                <w:rFonts w:hint="eastAsia"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0.68</w:t>
            </w:r>
            <w:r>
              <w:rPr>
                <w:rFonts w:hint="default" w:ascii="Times New Roman" w:hAnsi="Times New Roman" w:eastAsia="宋体" w:cs="Times New Roman"/>
                <w:kern w:val="2"/>
                <w:sz w:val="24"/>
                <w:szCs w:val="24"/>
                <w:lang w:val="en-US" w:eastAsia="zh-CN" w:bidi="ar"/>
              </w:rPr>
              <w:t>×D</w:t>
            </w:r>
            <w:r>
              <w:rPr>
                <w:rFonts w:hint="default" w:ascii="Times New Roman" w:hAnsi="Times New Roman" w:eastAsia="宋体" w:cs="Times New Roman"/>
                <w:kern w:val="2"/>
                <w:sz w:val="24"/>
                <w:szCs w:val="24"/>
                <w:vertAlign w:val="superscript"/>
                <w:lang w:val="en-US" w:eastAsia="zh-CN" w:bidi="ar"/>
              </w:rPr>
              <w:t>1.73</w:t>
            </w:r>
            <w:r>
              <w:rPr>
                <w:rFonts w:hint="default" w:ascii="Times New Roman" w:hAnsi="Times New Roman" w:eastAsia="宋体" w:cs="Times New Roman"/>
                <w:kern w:val="2"/>
                <w:sz w:val="24"/>
                <w:szCs w:val="24"/>
                <w:lang w:val="en-US" w:eastAsia="zh-CN" w:bidi="ar"/>
              </w:rPr>
              <w:t>×H</w:t>
            </w:r>
            <w:r>
              <w:rPr>
                <w:rFonts w:hint="default" w:ascii="Times New Roman" w:hAnsi="Times New Roman" w:eastAsia="宋体" w:cs="Times New Roman"/>
                <w:kern w:val="2"/>
                <w:sz w:val="24"/>
                <w:szCs w:val="24"/>
                <w:vertAlign w:val="superscript"/>
                <w:lang w:val="en-US" w:eastAsia="zh-CN" w:bidi="ar"/>
              </w:rPr>
              <w:t>0.51</w:t>
            </w:r>
            <w:r>
              <w:rPr>
                <w:rFonts w:hint="default" w:ascii="Times New Roman" w:hAnsi="Times New Roman" w:eastAsia="宋体" w:cs="Times New Roman"/>
                <w:kern w:val="2"/>
                <w:sz w:val="24"/>
                <w:szCs w:val="24"/>
                <w:lang w:val="en-US" w:eastAsia="zh-CN" w:bidi="ar"/>
              </w:rPr>
              <w:t>×ΔT</w:t>
            </w:r>
            <w:r>
              <w:rPr>
                <w:rFonts w:hint="default" w:ascii="Times New Roman" w:hAnsi="Times New Roman" w:eastAsia="宋体" w:cs="Times New Roman"/>
                <w:kern w:val="2"/>
                <w:sz w:val="24"/>
                <w:szCs w:val="24"/>
                <w:vertAlign w:val="superscript"/>
                <w:lang w:val="en-US" w:eastAsia="zh-CN" w:bidi="ar"/>
              </w:rPr>
              <w:t>0.45</w:t>
            </w:r>
            <w:r>
              <w:rPr>
                <w:rFonts w:hint="default" w:ascii="Times New Roman" w:hAnsi="Times New Roman" w:eastAsia="宋体" w:cs="Times New Roman"/>
                <w:kern w:val="2"/>
                <w:sz w:val="24"/>
                <w:szCs w:val="24"/>
                <w:lang w:val="en-US" w:eastAsia="zh-CN" w:bidi="ar"/>
              </w:rPr>
              <w:t>×F</w:t>
            </w:r>
            <w:r>
              <w:rPr>
                <w:rFonts w:hint="default" w:ascii="Times New Roman" w:hAnsi="Times New Roman" w:eastAsia="宋体" w:cs="Times New Roman"/>
                <w:kern w:val="2"/>
                <w:sz w:val="24"/>
                <w:szCs w:val="24"/>
                <w:vertAlign w:val="subscript"/>
                <w:lang w:val="en-US" w:eastAsia="zh-CN" w:bidi="ar"/>
              </w:rPr>
              <w:t>P</w:t>
            </w:r>
            <w:r>
              <w:rPr>
                <w:rFonts w:hint="default" w:ascii="Times New Roman" w:hAnsi="Times New Roman" w:eastAsia="宋体" w:cs="Times New Roman"/>
                <w:kern w:val="2"/>
                <w:sz w:val="24"/>
                <w:szCs w:val="24"/>
                <w:lang w:val="en-US" w:eastAsia="zh-CN" w:bidi="ar"/>
              </w:rPr>
              <w:t>×C×K</w:t>
            </w:r>
            <w:r>
              <w:rPr>
                <w:rFonts w:hint="default" w:ascii="Times New Roman" w:hAnsi="Times New Roman" w:eastAsia="宋体" w:cs="Times New Roman"/>
                <w:kern w:val="2"/>
                <w:sz w:val="24"/>
                <w:szCs w:val="24"/>
                <w:vertAlign w:val="subscript"/>
                <w:lang w:val="en-US" w:eastAsia="zh-CN" w:bidi="ar"/>
              </w:rPr>
              <w:t>C</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硫酸储罐大小呼吸损耗计算参数：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L</w:t>
            </w:r>
            <w:r>
              <w:rPr>
                <w:rFonts w:hint="eastAsia" w:ascii="Times New Roman" w:hAnsi="Times New Roman" w:eastAsia="宋体" w:cs="Times New Roman"/>
                <w:kern w:val="2"/>
                <w:sz w:val="24"/>
                <w:szCs w:val="24"/>
                <w:vertAlign w:val="subscript"/>
                <w:lang w:val="en-US" w:eastAsia="zh-CN" w:bidi="ar"/>
              </w:rPr>
              <w:t>W</w:t>
            </w:r>
            <w:r>
              <w:rPr>
                <w:rFonts w:hint="eastAsia" w:ascii="Times New Roman" w:hAnsi="Times New Roman" w:eastAsia="宋体" w:cs="Times New Roman"/>
                <w:kern w:val="2"/>
                <w:sz w:val="24"/>
                <w:szCs w:val="24"/>
                <w:lang w:val="en-US" w:eastAsia="zh-CN" w:bidi="ar"/>
              </w:rPr>
              <w:t>—“大呼吸”损耗</w:t>
            </w:r>
            <w:r>
              <w:rPr>
                <w:rFonts w:hint="eastAsia" w:ascii="Times New Roman" w:hAnsi="Times New Roman" w:eastAsia="宋体" w:cs="Times New Roman"/>
                <w:kern w:val="2"/>
                <w:sz w:val="24"/>
                <w:szCs w:val="24"/>
                <w:highlight w:val="none"/>
                <w:lang w:val="en-US" w:eastAsia="zh-CN" w:bidi="ar"/>
              </w:rPr>
              <w:t>(kg/m</w:t>
            </w:r>
            <w:r>
              <w:rPr>
                <w:rFonts w:hint="eastAsia" w:ascii="Times New Roman" w:hAnsi="Times New Roman" w:eastAsia="宋体" w:cs="Times New Roman"/>
                <w:kern w:val="2"/>
                <w:sz w:val="24"/>
                <w:szCs w:val="24"/>
                <w:highlight w:val="none"/>
                <w:vertAlign w:val="superscript"/>
                <w:lang w:val="en-US" w:eastAsia="zh-CN" w:bidi="ar"/>
              </w:rPr>
              <w:t>3</w:t>
            </w:r>
            <w:r>
              <w:rPr>
                <w:rFonts w:hint="eastAsia" w:ascii="宋体" w:hAnsi="宋体" w:eastAsia="宋体" w:cs="宋体"/>
                <w:kern w:val="2"/>
                <w:sz w:val="24"/>
                <w:szCs w:val="24"/>
                <w:highlight w:val="none"/>
                <w:lang w:val="en-US" w:eastAsia="zh-CN" w:bidi="ar"/>
              </w:rPr>
              <w:t>投</w:t>
            </w:r>
            <w:r>
              <w:rPr>
                <w:rFonts w:hint="eastAsia" w:ascii="宋体" w:hAnsi="宋体" w:eastAsia="宋体" w:cs="宋体"/>
                <w:kern w:val="2"/>
                <w:sz w:val="24"/>
                <w:szCs w:val="24"/>
                <w:lang w:val="en-US" w:eastAsia="zh-CN" w:bidi="ar"/>
              </w:rPr>
              <w:t>入量</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，硫酸年用量</w:t>
            </w:r>
            <w:r>
              <w:rPr>
                <w:rFonts w:hint="default" w:ascii="Times New Roman" w:hAnsi="Times New Roman" w:eastAsia="宋体" w:cs="Times New Roman"/>
                <w:kern w:val="2"/>
                <w:sz w:val="24"/>
                <w:szCs w:val="24"/>
                <w:lang w:val="en-US" w:eastAsia="zh-CN" w:bidi="ar"/>
              </w:rPr>
              <w:t>360t</w:t>
            </w:r>
            <w:r>
              <w:rPr>
                <w:rFonts w:hint="eastAsia" w:ascii="宋体" w:hAnsi="宋体" w:eastAsia="宋体" w:cs="宋体"/>
                <w:kern w:val="2"/>
                <w:sz w:val="24"/>
                <w:szCs w:val="24"/>
                <w:lang w:val="en-US" w:eastAsia="zh-CN" w:bidi="ar"/>
              </w:rPr>
              <w:t>，密度</w:t>
            </w:r>
            <w:r>
              <w:rPr>
                <w:rFonts w:hint="default" w:ascii="Times New Roman" w:hAnsi="Times New Roman" w:eastAsia="宋体" w:cs="Times New Roman"/>
                <w:kern w:val="2"/>
                <w:sz w:val="24"/>
                <w:szCs w:val="24"/>
                <w:lang w:val="en-US" w:eastAsia="zh-CN" w:bidi="ar"/>
              </w:rPr>
              <w:t>1.84g/ml</w:t>
            </w:r>
            <w:r>
              <w:rPr>
                <w:rFonts w:hint="eastAsia" w:ascii="宋体" w:hAnsi="宋体" w:eastAsia="宋体" w:cs="宋体"/>
                <w:kern w:val="2"/>
                <w:sz w:val="24"/>
                <w:szCs w:val="24"/>
                <w:lang w:val="en-US" w:eastAsia="zh-CN" w:bidi="ar"/>
              </w:rPr>
              <w:t>，年投入量为</w:t>
            </w:r>
            <w:r>
              <w:rPr>
                <w:rFonts w:hint="default" w:ascii="Times New Roman" w:hAnsi="Times New Roman" w:eastAsia="宋体" w:cs="Times New Roman"/>
                <w:kern w:val="2"/>
                <w:sz w:val="24"/>
                <w:szCs w:val="24"/>
                <w:lang w:val="en-US" w:eastAsia="zh-CN" w:bidi="ar"/>
              </w:rPr>
              <w:t>195.7m</w:t>
            </w:r>
            <w:r>
              <w:rPr>
                <w:rFonts w:hint="eastAsia" w:ascii="Times New Roman" w:hAnsi="Times New Roman" w:eastAsia="宋体" w:cs="Times New Roman"/>
                <w:kern w:val="2"/>
                <w:sz w:val="24"/>
                <w:szCs w:val="24"/>
                <w:vertAlign w:val="superscript"/>
                <w:lang w:val="en-US" w:eastAsia="zh-CN" w:bidi="ar"/>
              </w:rPr>
              <w:t>3</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L</w:t>
            </w:r>
            <w:r>
              <w:rPr>
                <w:rFonts w:hint="eastAsia" w:ascii="Times New Roman" w:hAnsi="Times New Roman" w:eastAsia="宋体" w:cs="Times New Roman"/>
                <w:kern w:val="2"/>
                <w:sz w:val="24"/>
                <w:szCs w:val="24"/>
                <w:vertAlign w:val="subscript"/>
                <w:lang w:val="en-US" w:eastAsia="zh-CN" w:bidi="ar"/>
              </w:rPr>
              <w:t>B</w:t>
            </w:r>
            <w:r>
              <w:rPr>
                <w:rFonts w:hint="eastAsia" w:ascii="Times New Roman" w:hAnsi="Times New Roman" w:eastAsia="宋体" w:cs="Times New Roman"/>
                <w:kern w:val="2"/>
                <w:sz w:val="24"/>
                <w:szCs w:val="24"/>
                <w:lang w:val="en-US" w:eastAsia="zh-CN" w:bidi="ar"/>
              </w:rPr>
              <w:t>—“小呼吸”损耗</w:t>
            </w:r>
            <w:r>
              <w:rPr>
                <w:rFonts w:hint="default" w:ascii="Times New Roman" w:hAnsi="Times New Roman" w:eastAsia="宋体" w:cs="Times New Roman"/>
                <w:kern w:val="2"/>
                <w:sz w:val="24"/>
                <w:szCs w:val="24"/>
                <w:lang w:val="en-US" w:eastAsia="zh-CN" w:bidi="ar"/>
              </w:rPr>
              <w:t>(kg/a)</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—储罐内蒸汽的分子量，硫酸取值为</w:t>
            </w:r>
            <w:r>
              <w:rPr>
                <w:rFonts w:hint="default" w:ascii="Times New Roman" w:hAnsi="Times New Roman" w:eastAsia="宋体" w:cs="Times New Roman"/>
                <w:kern w:val="2"/>
                <w:sz w:val="24"/>
                <w:szCs w:val="24"/>
                <w:lang w:val="en-US" w:eastAsia="zh-CN" w:bidi="ar"/>
              </w:rPr>
              <w:t>98</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P</w:t>
            </w:r>
            <w:r>
              <w:rPr>
                <w:rFonts w:hint="eastAsia" w:ascii="宋体" w:hAnsi="宋体" w:eastAsia="宋体" w:cs="宋体"/>
                <w:kern w:val="2"/>
                <w:sz w:val="24"/>
                <w:szCs w:val="24"/>
                <w:lang w:val="en-US" w:eastAsia="zh-CN" w:bidi="ar"/>
              </w:rPr>
              <w:t>—在大量液体状态下，真实的蒸汽压力</w:t>
            </w:r>
            <w:r>
              <w:rPr>
                <w:rFonts w:hint="default" w:ascii="Times New Roman" w:hAnsi="Times New Roman" w:eastAsia="宋体" w:cs="Times New Roman"/>
                <w:kern w:val="2"/>
                <w:sz w:val="24"/>
                <w:szCs w:val="24"/>
                <w:lang w:val="en-US" w:eastAsia="zh-CN" w:bidi="ar"/>
              </w:rPr>
              <w:t>(Pa)</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220Pa</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D</w:t>
            </w:r>
            <w:r>
              <w:rPr>
                <w:rFonts w:hint="eastAsia" w:ascii="宋体" w:hAnsi="宋体" w:eastAsia="宋体" w:cs="宋体"/>
                <w:kern w:val="2"/>
                <w:sz w:val="24"/>
                <w:szCs w:val="24"/>
                <w:lang w:val="en-US" w:eastAsia="zh-CN" w:bidi="ar"/>
              </w:rPr>
              <w:t>—罐的直径，</w:t>
            </w:r>
            <w:r>
              <w:rPr>
                <w:rFonts w:hint="eastAsia" w:ascii="Times New Roman" w:hAnsi="Times New Roman" w:eastAsia="宋体" w:cs="Times New Roman"/>
                <w:kern w:val="2"/>
                <w:sz w:val="24"/>
                <w:szCs w:val="24"/>
                <w:lang w:val="en-US" w:eastAsia="zh-CN" w:bidi="ar"/>
              </w:rPr>
              <w:t>2.75</w:t>
            </w:r>
            <w:r>
              <w:rPr>
                <w:rFonts w:hint="default"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H</w:t>
            </w:r>
            <w:r>
              <w:rPr>
                <w:rFonts w:hint="eastAsia" w:ascii="宋体" w:hAnsi="宋体" w:eastAsia="宋体" w:cs="宋体"/>
                <w:kern w:val="2"/>
                <w:sz w:val="24"/>
                <w:szCs w:val="24"/>
                <w:lang w:val="en-US" w:eastAsia="zh-CN" w:bidi="ar"/>
              </w:rPr>
              <w:t>—平均蒸汽空间高度</w:t>
            </w:r>
            <w:r>
              <w:rPr>
                <w:rFonts w:hint="default"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w:t>
            </w:r>
            <w:r>
              <w:rPr>
                <w:rFonts w:hint="eastAsia"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ΔT</w:t>
            </w:r>
            <w:r>
              <w:rPr>
                <w:rFonts w:hint="eastAsia" w:ascii="Times New Roman" w:hAnsi="Times New Roman" w:eastAsia="宋体" w:cs="Times New Roman"/>
                <w:kern w:val="2"/>
                <w:sz w:val="24"/>
                <w:szCs w:val="24"/>
                <w:lang w:val="en-US" w:eastAsia="zh-CN" w:bidi="ar"/>
              </w:rPr>
              <w:t>—一天之内平均温度差</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12</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F</w:t>
            </w:r>
            <w:r>
              <w:rPr>
                <w:rFonts w:hint="eastAsia" w:ascii="Times New Roman" w:hAnsi="Times New Roman" w:eastAsia="宋体" w:cs="Times New Roman"/>
                <w:kern w:val="2"/>
                <w:sz w:val="24"/>
                <w:szCs w:val="24"/>
                <w:vertAlign w:val="subscript"/>
                <w:lang w:val="en-US" w:eastAsia="zh-CN" w:bidi="ar"/>
              </w:rPr>
              <w:t>p</w:t>
            </w:r>
            <w:r>
              <w:rPr>
                <w:rFonts w:hint="eastAsia" w:ascii="Times New Roman" w:hAnsi="Times New Roman" w:eastAsia="宋体" w:cs="Times New Roman"/>
                <w:kern w:val="2"/>
                <w:sz w:val="24"/>
                <w:szCs w:val="24"/>
                <w:lang w:val="en-US" w:eastAsia="zh-CN" w:bidi="ar"/>
              </w:rPr>
              <w:t>—图层因子</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无量纲</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，一般取值在</w:t>
            </w:r>
            <w:r>
              <w:rPr>
                <w:rFonts w:hint="default" w:ascii="Times New Roman" w:hAnsi="Times New Roman" w:eastAsia="宋体" w:cs="Times New Roman"/>
                <w:kern w:val="2"/>
                <w:sz w:val="24"/>
                <w:szCs w:val="24"/>
                <w:lang w:val="en-US" w:eastAsia="zh-CN" w:bidi="ar"/>
              </w:rPr>
              <w:t>1~1.5</w:t>
            </w:r>
            <w:r>
              <w:rPr>
                <w:rFonts w:hint="eastAsia" w:ascii="宋体" w:hAnsi="宋体" w:eastAsia="宋体" w:cs="宋体"/>
                <w:kern w:val="2"/>
                <w:sz w:val="24"/>
                <w:szCs w:val="24"/>
                <w:lang w:val="en-US" w:eastAsia="zh-CN" w:bidi="ar"/>
              </w:rPr>
              <w:t>之间，本项目取</w:t>
            </w:r>
            <w:r>
              <w:rPr>
                <w:rFonts w:hint="default" w:ascii="Times New Roman" w:hAnsi="Times New Roman" w:eastAsia="宋体" w:cs="Times New Roman"/>
                <w:kern w:val="2"/>
                <w:sz w:val="24"/>
                <w:szCs w:val="24"/>
                <w:lang w:val="en-US" w:eastAsia="zh-CN" w:bidi="ar"/>
              </w:rPr>
              <w:t>1.25</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C</w:t>
            </w:r>
            <w:r>
              <w:rPr>
                <w:rFonts w:hint="eastAsia" w:ascii="宋体" w:hAnsi="宋体" w:eastAsia="宋体" w:cs="宋体"/>
                <w:kern w:val="2"/>
                <w:sz w:val="24"/>
                <w:szCs w:val="24"/>
                <w:lang w:val="en-US" w:eastAsia="zh-CN" w:bidi="ar"/>
              </w:rPr>
              <w:t>—用于小直径罐的调节因子</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无量纲</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，罐径大于</w:t>
            </w:r>
            <w:r>
              <w:rPr>
                <w:rFonts w:hint="default" w:ascii="Times New Roman" w:hAnsi="Times New Roman" w:eastAsia="宋体" w:cs="Times New Roman"/>
                <w:kern w:val="2"/>
                <w:sz w:val="24"/>
                <w:szCs w:val="24"/>
                <w:lang w:val="en-US" w:eastAsia="zh-CN" w:bidi="ar"/>
              </w:rPr>
              <w:t>9m</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C=1</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0~9m</w:t>
            </w:r>
            <w:r>
              <w:rPr>
                <w:rFonts w:hint="eastAsia" w:ascii="宋体" w:hAnsi="宋体" w:eastAsia="宋体" w:cs="宋体"/>
                <w:kern w:val="2"/>
                <w:sz w:val="24"/>
                <w:szCs w:val="24"/>
                <w:lang w:val="en-US" w:eastAsia="zh-CN" w:bidi="ar"/>
              </w:rPr>
              <w:t>之间的罐体，</w:t>
            </w:r>
            <w:r>
              <w:rPr>
                <w:rFonts w:hint="default" w:ascii="Times New Roman" w:hAnsi="Times New Roman" w:eastAsia="宋体" w:cs="Times New Roman"/>
                <w:kern w:val="2"/>
                <w:sz w:val="24"/>
                <w:szCs w:val="24"/>
                <w:lang w:val="en-US" w:eastAsia="zh-CN" w:bidi="ar"/>
              </w:rPr>
              <w:t>C=1-0.0123(D-9)</w:t>
            </w:r>
            <w:r>
              <w:rPr>
                <w:rFonts w:hint="eastAsia" w:ascii="Times New Roman" w:hAnsi="Times New Roman" w:eastAsia="宋体" w:cs="Times New Roman"/>
                <w:kern w:val="2"/>
                <w:sz w:val="24"/>
                <w:szCs w:val="24"/>
                <w:vertAlign w:val="superscript"/>
                <w:lang w:val="en-US" w:eastAsia="zh-CN" w:bidi="ar"/>
              </w:rPr>
              <w:t>2</w:t>
            </w:r>
            <w:r>
              <w:rPr>
                <w:rFonts w:hint="eastAsia" w:ascii="宋体" w:hAnsi="宋体" w:eastAsia="宋体" w:cs="宋体"/>
                <w:kern w:val="2"/>
                <w:sz w:val="24"/>
                <w:szCs w:val="24"/>
                <w:lang w:val="en-US" w:eastAsia="zh-CN" w:bidi="ar"/>
              </w:rPr>
              <w:t>；本项目取</w:t>
            </w:r>
            <w:r>
              <w:rPr>
                <w:rFonts w:hint="eastAsia" w:ascii="Times New Roman" w:hAnsi="Times New Roman" w:eastAsia="宋体" w:cs="Times New Roman"/>
                <w:kern w:val="2"/>
                <w:sz w:val="24"/>
                <w:szCs w:val="24"/>
                <w:lang w:val="en-US" w:eastAsia="zh-CN" w:bidi="ar"/>
              </w:rPr>
              <w:t>0.5195</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K</w:t>
            </w:r>
            <w:r>
              <w:rPr>
                <w:rFonts w:hint="eastAsia" w:ascii="Times New Roman" w:hAnsi="Times New Roman" w:eastAsia="宋体" w:cs="Times New Roman"/>
                <w:kern w:val="2"/>
                <w:sz w:val="24"/>
                <w:szCs w:val="24"/>
                <w:vertAlign w:val="subscript"/>
                <w:lang w:val="en-US" w:eastAsia="zh-CN" w:bidi="ar"/>
              </w:rPr>
              <w:t>c</w:t>
            </w:r>
            <w:r>
              <w:rPr>
                <w:rFonts w:hint="eastAsia" w:ascii="Times New Roman" w:hAnsi="Times New Roman" w:eastAsia="宋体" w:cs="Times New Roman"/>
                <w:kern w:val="2"/>
                <w:sz w:val="24"/>
                <w:szCs w:val="24"/>
                <w:lang w:val="en-US" w:eastAsia="zh-CN" w:bidi="ar"/>
              </w:rPr>
              <w:t>—产品因子，取</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kern w:val="2"/>
                <w:sz w:val="24"/>
                <w:szCs w:val="24"/>
              </w:rPr>
            </w:pPr>
            <w:r>
              <w:rPr>
                <w:rFonts w:hint="eastAsia" w:ascii="Times New Roman" w:hAnsi="Times New Roman" w:eastAsia="宋体" w:cs="Times New Roman"/>
                <w:kern w:val="2"/>
                <w:sz w:val="24"/>
                <w:szCs w:val="24"/>
                <w:lang w:val="en-US" w:eastAsia="zh-CN" w:bidi="ar"/>
              </w:rPr>
              <w:t>K</w:t>
            </w:r>
            <w:r>
              <w:rPr>
                <w:rFonts w:hint="eastAsia" w:ascii="Times New Roman" w:hAnsi="Times New Roman" w:eastAsia="宋体" w:cs="Times New Roman"/>
                <w:kern w:val="2"/>
                <w:sz w:val="24"/>
                <w:szCs w:val="24"/>
                <w:vertAlign w:val="subscript"/>
                <w:lang w:val="en-US" w:eastAsia="zh-CN" w:bidi="ar"/>
              </w:rPr>
              <w:t>N</w:t>
            </w:r>
            <w:r>
              <w:rPr>
                <w:rFonts w:hint="eastAsia" w:ascii="Times New Roman" w:hAnsi="Times New Roman" w:eastAsia="宋体" w:cs="Times New Roman"/>
                <w:kern w:val="2"/>
                <w:sz w:val="24"/>
                <w:szCs w:val="24"/>
                <w:lang w:val="en-US" w:eastAsia="zh-CN" w:bidi="ar"/>
              </w:rPr>
              <w:t>—周转因子，取</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经上述公式计算可知，大呼吸损耗为</w:t>
            </w:r>
            <w:r>
              <w:rPr>
                <w:rFonts w:hint="eastAsia" w:ascii="Times New Roman" w:hAnsi="Times New Roman" w:eastAsia="宋体" w:cs="Times New Roman"/>
                <w:kern w:val="2"/>
                <w:sz w:val="24"/>
                <w:szCs w:val="24"/>
                <w:lang w:val="en-US" w:eastAsia="zh-CN" w:bidi="ar"/>
              </w:rPr>
              <w:t>0.01</w:t>
            </w:r>
            <w:r>
              <w:rPr>
                <w:rFonts w:hint="eastAsia" w:ascii="Times New Roman" w:hAnsi="Times New Roman" w:eastAsia="宋体" w:cs="Times New Roman"/>
                <w:kern w:val="2"/>
                <w:sz w:val="24"/>
                <w:szCs w:val="24"/>
                <w:highlight w:val="none"/>
                <w:lang w:val="en-US" w:eastAsia="zh-CN" w:bidi="ar"/>
              </w:rPr>
              <w:t>t/a</w:t>
            </w:r>
            <w:r>
              <w:rPr>
                <w:rFonts w:hint="eastAsia" w:ascii="宋体" w:hAnsi="宋体" w:eastAsia="宋体" w:cs="宋体"/>
                <w:kern w:val="2"/>
                <w:sz w:val="24"/>
                <w:szCs w:val="24"/>
                <w:lang w:val="en-US" w:eastAsia="zh-CN" w:bidi="ar"/>
              </w:rPr>
              <w:t>，小呼吸损耗为</w:t>
            </w:r>
            <w:r>
              <w:rPr>
                <w:rFonts w:hint="eastAsia" w:ascii="Times New Roman" w:hAnsi="Times New Roman" w:eastAsia="宋体" w:cs="Times New Roman"/>
                <w:kern w:val="2"/>
                <w:sz w:val="24"/>
                <w:szCs w:val="24"/>
                <w:lang w:val="en-US" w:eastAsia="zh-CN" w:bidi="ar"/>
              </w:rPr>
              <w:t>0.002t/a</w:t>
            </w:r>
            <w:r>
              <w:rPr>
                <w:rFonts w:hint="eastAsia" w:ascii="宋体" w:hAnsi="宋体" w:eastAsia="宋体" w:cs="宋体"/>
                <w:kern w:val="2"/>
                <w:sz w:val="24"/>
                <w:szCs w:val="24"/>
                <w:lang w:val="en-US" w:eastAsia="zh-CN" w:bidi="ar"/>
              </w:rPr>
              <w:t>，共产生无组织硫酸雾</w:t>
            </w:r>
            <w:r>
              <w:rPr>
                <w:rFonts w:hint="default" w:ascii="Times New Roman" w:hAnsi="Times New Roman" w:eastAsia="宋体" w:cs="Times New Roman"/>
                <w:kern w:val="2"/>
                <w:sz w:val="24"/>
                <w:szCs w:val="24"/>
                <w:lang w:val="en-US" w:eastAsia="zh-CN" w:bidi="ar"/>
              </w:rPr>
              <w:t>0.0</w:t>
            </w:r>
            <w:r>
              <w:rPr>
                <w:rFonts w:hint="eastAsia" w:ascii="Times New Roman" w:hAnsi="Times New Roman" w:eastAsia="宋体" w:cs="Times New Roman"/>
                <w:kern w:val="2"/>
                <w:sz w:val="24"/>
                <w:szCs w:val="24"/>
                <w:lang w:val="en-US" w:eastAsia="zh-CN" w:bidi="ar"/>
              </w:rPr>
              <w:t>12</w:t>
            </w:r>
            <w:r>
              <w:rPr>
                <w:rFonts w:hint="default" w:ascii="Times New Roman" w:hAnsi="Times New Roman" w:eastAsia="宋体" w:cs="Times New Roman"/>
                <w:kern w:val="2"/>
                <w:sz w:val="24"/>
                <w:szCs w:val="24"/>
                <w:lang w:val="en-US" w:eastAsia="zh-CN" w:bidi="ar"/>
              </w:rPr>
              <w:t>t/a</w:t>
            </w:r>
            <w:r>
              <w:rPr>
                <w:rFonts w:hint="eastAsia" w:ascii="宋体" w:hAnsi="宋体" w:eastAsia="宋体" w:cs="宋体"/>
                <w:kern w:val="2"/>
                <w:sz w:val="24"/>
                <w:szCs w:val="24"/>
                <w:lang w:val="en-US" w:eastAsia="zh-CN" w:bidi="ar"/>
              </w:rPr>
              <w:t>。</w:t>
            </w: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strike w:val="0"/>
                <w:dstrike w:val="0"/>
                <w:color w:val="auto"/>
                <w:lang w:val="en-US" w:eastAsia="zh-CN"/>
              </w:rPr>
              <w:t>本次环评源强计算类比长春市鹏鹞奥霖生物科技有限公司病死畜禽无害化处理中心项目</w:t>
            </w:r>
            <w:r>
              <w:rPr>
                <w:rFonts w:hint="eastAsia"/>
                <w:color w:val="auto"/>
                <w:lang w:val="en-US" w:eastAsia="zh-CN"/>
              </w:rPr>
              <w:t>验收监测</w:t>
            </w:r>
            <w:r>
              <w:rPr>
                <w:rFonts w:hint="eastAsia"/>
                <w:lang w:val="en-US" w:eastAsia="zh-CN"/>
              </w:rPr>
              <w:t>数据</w:t>
            </w:r>
            <w:r>
              <w:rPr>
                <w:rFonts w:hint="eastAsia"/>
                <w:strike w:val="0"/>
                <w:dstrike w:val="0"/>
                <w:color w:val="auto"/>
                <w:lang w:val="en-US" w:eastAsia="zh-CN"/>
              </w:rPr>
              <w:t>(采用硫酸分解法，生产工艺与本项目一致，处理量为10t/d)。根据</w:t>
            </w:r>
            <w:r>
              <w:rPr>
                <w:rFonts w:hint="eastAsia" w:ascii="Times New Roman" w:hAnsi="Times New Roman" w:cs="Times New Roman"/>
                <w:color w:val="000000" w:themeColor="text1"/>
                <w:lang w:val="en-US" w:eastAsia="zh-CN"/>
                <w14:textFill>
                  <w14:solidFill>
                    <w14:schemeClr w14:val="tx1"/>
                  </w14:solidFill>
                </w14:textFill>
              </w:rPr>
              <w:t>长春市病死畜禽无害化集中处理中心项目竣工环境保护验收监测数据(见附件)，硫酸雾有组织排放浓度为3</w:t>
            </w:r>
            <w:r>
              <w:rPr>
                <w:rFonts w:hint="eastAsia" w:cs="Times New Roman"/>
                <w:color w:val="000000" w:themeColor="text1"/>
                <w:lang w:val="en-US" w:eastAsia="zh-CN"/>
                <w14:textFill>
                  <w14:solidFill>
                    <w14:schemeClr w14:val="tx1"/>
                  </w14:solidFill>
                </w14:textFill>
              </w:rPr>
              <w:t>6</w:t>
            </w:r>
            <w:r>
              <w:rPr>
                <w:rFonts w:hint="eastAsia" w:ascii="Times New Roman" w:hAnsi="Times New Roman" w:cs="Times New Roman"/>
                <w:color w:val="000000" w:themeColor="text1"/>
                <w:lang w:val="en-US" w:eastAsia="zh-CN"/>
                <w14:textFill>
                  <w14:solidFill>
                    <w14:schemeClr w14:val="tx1"/>
                  </w14:solidFill>
                </w14:textFill>
              </w:rPr>
              <w:t>mg/m</w:t>
            </w:r>
            <w:r>
              <w:rPr>
                <w:rFonts w:hint="eastAsia" w:ascii="Times New Roman" w:hAnsi="Times New Roman"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，厂界硫酸雾无组织监控浓度最大值0.362mg/m</w:t>
            </w:r>
            <w:r>
              <w:rPr>
                <w:rFonts w:hint="eastAsia" w:cs="Times New Roman"/>
                <w:color w:val="000000" w:themeColor="text1"/>
                <w:vertAlign w:val="superscript"/>
                <w:lang w:val="en-US" w:eastAsia="zh-CN"/>
                <w14:textFill>
                  <w14:solidFill>
                    <w14:schemeClr w14:val="tx1"/>
                  </w14:solidFill>
                </w14:textFill>
              </w:rPr>
              <w:t>3</w:t>
            </w:r>
            <w:r>
              <w:rPr>
                <w:rFonts w:hint="eastAsia" w:ascii="Times New Roman" w:hAnsi="Times New Roman" w:cs="Times New Roman"/>
                <w:color w:val="000000" w:themeColor="text1"/>
                <w:vertAlign w:val="baseline"/>
                <w:lang w:val="en-US" w:eastAsia="zh-CN"/>
                <w14:textFill>
                  <w14:solidFill>
                    <w14:schemeClr w14:val="tx1"/>
                  </w14:solidFill>
                </w14:textFill>
              </w:rPr>
              <w:t>。风量为</w:t>
            </w:r>
            <w:r>
              <w:rPr>
                <w:rFonts w:hint="eastAsia" w:cs="Times New Roman"/>
                <w:color w:val="000000" w:themeColor="text1"/>
                <w:vertAlign w:val="baseline"/>
                <w:lang w:val="en-US" w:eastAsia="zh-CN"/>
                <w14:textFill>
                  <w14:solidFill>
                    <w14:schemeClr w14:val="tx1"/>
                  </w14:solidFill>
                </w14:textFill>
              </w:rPr>
              <w:t>9000</w:t>
            </w:r>
            <w:r>
              <w:rPr>
                <w:rFonts w:hint="eastAsia" w:ascii="Times New Roman" w:hAnsi="Times New Roman" w:cs="Times New Roman"/>
                <w:color w:val="000000" w:themeColor="text1"/>
                <w:vertAlign w:val="baseline"/>
                <w:lang w:val="en-US" w:eastAsia="zh-CN"/>
                <w14:textFill>
                  <w14:solidFill>
                    <w14:schemeClr w14:val="tx1"/>
                  </w14:solidFill>
                </w14:textFill>
              </w:rPr>
              <w:t>m</w:t>
            </w:r>
            <w:r>
              <w:rPr>
                <w:rFonts w:hint="eastAsia" w:ascii="Times New Roman" w:hAnsi="Times New Roman" w:cs="Times New Roman"/>
                <w:color w:val="000000" w:themeColor="text1"/>
                <w:vertAlign w:val="superscript"/>
                <w:lang w:val="en-US" w:eastAsia="zh-CN"/>
                <w14:textFill>
                  <w14:solidFill>
                    <w14:schemeClr w14:val="tx1"/>
                  </w14:solidFill>
                </w14:textFill>
              </w:rPr>
              <w:t>3</w:t>
            </w:r>
            <w:r>
              <w:rPr>
                <w:rFonts w:hint="eastAsia" w:ascii="Times New Roman" w:hAnsi="Times New Roman" w:cs="Times New Roman"/>
                <w:color w:val="000000" w:themeColor="text1"/>
                <w:vertAlign w:val="baseline"/>
                <w:lang w:val="en-US" w:eastAsia="zh-CN"/>
                <w14:textFill>
                  <w14:solidFill>
                    <w14:schemeClr w14:val="tx1"/>
                  </w14:solidFill>
                </w14:textFill>
              </w:rPr>
              <w:t>/h，</w:t>
            </w:r>
            <w:r>
              <w:rPr>
                <w:rFonts w:hint="eastAsia" w:cs="Times New Roman"/>
                <w:color w:val="000000" w:themeColor="text1"/>
                <w:vertAlign w:val="baseline"/>
                <w:lang w:val="en-US" w:eastAsia="zh-CN"/>
                <w14:textFill>
                  <w14:solidFill>
                    <w14:schemeClr w14:val="tx1"/>
                  </w14:solidFill>
                </w14:textFill>
              </w:rPr>
              <w:t>经计算，</w:t>
            </w:r>
            <w:r>
              <w:rPr>
                <w:rFonts w:hint="eastAsia" w:ascii="Times New Roman" w:hAnsi="Times New Roman" w:cs="Times New Roman"/>
                <w:color w:val="000000" w:themeColor="text1"/>
                <w:vertAlign w:val="baseline"/>
                <w:lang w:val="en-US" w:eastAsia="zh-CN"/>
                <w14:textFill>
                  <w14:solidFill>
                    <w14:schemeClr w14:val="tx1"/>
                  </w14:solidFill>
                </w14:textFill>
              </w:rPr>
              <w:t>硫酸雾源强计算结果见下表。</w:t>
            </w:r>
          </w:p>
          <w:p>
            <w:pPr>
              <w:pStyle w:val="20"/>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硫酸雾源强计算表</w:t>
            </w:r>
          </w:p>
          <w:tbl>
            <w:tblPr>
              <w:tblStyle w:val="16"/>
              <w:tblpPr w:leftFromText="180" w:rightFromText="180" w:vertAnchor="text" w:horzAnchor="page" w:tblpXSpec="center" w:tblpY="10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46"/>
              <w:gridCol w:w="1455"/>
              <w:gridCol w:w="1141"/>
              <w:gridCol w:w="156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风量(m</w:t>
                  </w:r>
                  <w:r>
                    <w:rPr>
                      <w:rFonts w:hint="eastAsia"/>
                      <w:vertAlign w:val="superscript"/>
                      <w:lang w:val="en-US" w:eastAsia="zh-CN"/>
                    </w:rPr>
                    <w:t>3</w:t>
                  </w:r>
                  <w:r>
                    <w:rPr>
                      <w:rFonts w:hint="eastAsia"/>
                      <w:lang w:val="en-US" w:eastAsia="zh-CN"/>
                    </w:rPr>
                    <w:t>/h)</w:t>
                  </w:r>
                </w:p>
              </w:tc>
              <w:tc>
                <w:tcPr>
                  <w:tcW w:w="2610" w:type="pct"/>
                  <w:gridSpan w:val="3"/>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有组织</w:t>
                  </w:r>
                </w:p>
              </w:tc>
              <w:tc>
                <w:tcPr>
                  <w:tcW w:w="1676" w:type="pct"/>
                  <w:gridSpan w:val="2"/>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p>
              </w:tc>
              <w:tc>
                <w:tcPr>
                  <w:tcW w:w="974"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浓度(mg/m</w:t>
                  </w:r>
                  <w:r>
                    <w:rPr>
                      <w:rFonts w:hint="default"/>
                      <w:vertAlign w:val="superscript"/>
                    </w:rPr>
                    <w:t>3</w:t>
                  </w:r>
                  <w:r>
                    <w:rPr>
                      <w:rFonts w:hint="eastAsia"/>
                      <w:lang w:eastAsia="zh-CN"/>
                    </w:rPr>
                    <w:t>)</w:t>
                  </w:r>
                </w:p>
              </w:tc>
              <w:tc>
                <w:tcPr>
                  <w:tcW w:w="917"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719"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olor w:val="auto"/>
                      <w:lang w:val="en-US" w:eastAsia="zh-CN"/>
                    </w:rPr>
                    <w:t>排放</w:t>
                  </w:r>
                  <w:r>
                    <w:rPr>
                      <w:rFonts w:hint="default"/>
                      <w:color w:val="auto"/>
                    </w:rPr>
                    <w:t>量(t/a</w:t>
                  </w:r>
                  <w:r>
                    <w:rPr>
                      <w:rFonts w:hint="eastAsia"/>
                      <w:color w:val="auto"/>
                      <w:lang w:eastAsia="zh-CN"/>
                    </w:rPr>
                    <w:t>)</w:t>
                  </w:r>
                </w:p>
              </w:tc>
              <w:tc>
                <w:tcPr>
                  <w:tcW w:w="983"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693"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color w:val="auto"/>
                    </w:rPr>
                    <w:t>量(t/a</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9000</w:t>
                  </w:r>
                </w:p>
              </w:tc>
              <w:tc>
                <w:tcPr>
                  <w:tcW w:w="974"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36</w:t>
                  </w:r>
                </w:p>
              </w:tc>
              <w:tc>
                <w:tcPr>
                  <w:tcW w:w="917"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0.32</w:t>
                  </w:r>
                </w:p>
              </w:tc>
              <w:tc>
                <w:tcPr>
                  <w:tcW w:w="719"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0.78</w:t>
                  </w:r>
                </w:p>
              </w:tc>
              <w:tc>
                <w:tcPr>
                  <w:tcW w:w="983"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0.005</w:t>
                  </w:r>
                </w:p>
              </w:tc>
              <w:tc>
                <w:tcPr>
                  <w:tcW w:w="693"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0.012</w:t>
                  </w:r>
                </w:p>
              </w:tc>
            </w:tr>
          </w:tbl>
          <w:p>
            <w:pPr>
              <w:keepNext w:val="0"/>
              <w:keepLines w:val="0"/>
              <w:suppressLineNumbers w:val="0"/>
              <w:bidi w:val="0"/>
              <w:spacing w:before="0" w:beforeAutospacing="0" w:after="0" w:afterAutospacing="0"/>
              <w:ind w:left="0" w:leftChars="0" w:right="0" w:firstLine="0" w:firstLineChars="0"/>
              <w:rPr>
                <w:rFonts w:hint="default" w:ascii="Times New Roman" w:hAnsi="Times New Roman" w:cs="Times New Roman"/>
                <w:color w:val="000000" w:themeColor="text1"/>
                <w:vertAlign w:val="baseline"/>
                <w:lang w:val="en-US" w:eastAsia="zh-CN"/>
                <w14:textFill>
                  <w14:solidFill>
                    <w14:schemeClr w14:val="tx1"/>
                  </w14:solidFill>
                </w14:textFill>
              </w:rPr>
            </w:pPr>
          </w:p>
          <w:p>
            <w:pPr>
              <w:pStyle w:val="5"/>
              <w:suppressLineNumbers w:val="0"/>
              <w:bidi w:val="0"/>
              <w:spacing w:before="0" w:beforeAutospacing="0" w:after="0" w:afterAutospacing="0"/>
              <w:ind w:right="0"/>
              <w:rPr>
                <w:rFonts w:hint="default"/>
                <w:highlight w:val="none"/>
                <w:lang w:val="en-US" w:eastAsia="zh-CN"/>
              </w:rPr>
            </w:pPr>
            <w:r>
              <w:rPr>
                <w:rFonts w:hint="default"/>
                <w:highlight w:val="none"/>
                <w:lang w:val="en-US" w:eastAsia="zh-CN"/>
              </w:rPr>
              <w:t>NH</w:t>
            </w:r>
            <w:r>
              <w:rPr>
                <w:rFonts w:hint="default"/>
                <w:highlight w:val="none"/>
                <w:vertAlign w:val="subscript"/>
                <w:lang w:val="en-US" w:eastAsia="zh-CN"/>
              </w:rPr>
              <w:t>3</w:t>
            </w:r>
            <w:r>
              <w:rPr>
                <w:rFonts w:hint="eastAsia"/>
                <w:highlight w:val="none"/>
                <w:lang w:val="en-US" w:eastAsia="zh-CN"/>
              </w:rPr>
              <w:t>、</w:t>
            </w:r>
            <w:r>
              <w:rPr>
                <w:rFonts w:hint="default"/>
                <w:highlight w:val="none"/>
                <w:lang w:val="en-US" w:eastAsia="zh-CN"/>
              </w:rPr>
              <w:t>H</w:t>
            </w:r>
            <w:r>
              <w:rPr>
                <w:rFonts w:hint="default"/>
                <w:highlight w:val="none"/>
                <w:vertAlign w:val="subscript"/>
                <w:lang w:val="en-US" w:eastAsia="zh-CN"/>
              </w:rPr>
              <w:t>2</w:t>
            </w:r>
            <w:r>
              <w:rPr>
                <w:rFonts w:hint="default"/>
                <w:highlight w:val="none"/>
                <w:lang w:val="en-US" w:eastAsia="zh-CN"/>
              </w:rPr>
              <w:t>S</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本项目产生的气体主要污染因子包括</w:t>
            </w:r>
            <w:r>
              <w:rPr>
                <w:rFonts w:hint="default"/>
                <w:lang w:val="en-US" w:eastAsia="zh-CN"/>
              </w:rPr>
              <w:t>NH</w:t>
            </w:r>
            <w:r>
              <w:rPr>
                <w:rFonts w:hint="default"/>
                <w:vertAlign w:val="subscript"/>
                <w:lang w:val="en-US" w:eastAsia="zh-CN"/>
              </w:rPr>
              <w:t>3</w:t>
            </w:r>
            <w:r>
              <w:rPr>
                <w:rFonts w:hint="default"/>
                <w:lang w:val="en-US" w:eastAsia="zh-CN"/>
              </w:rPr>
              <w:t>和H</w:t>
            </w:r>
            <w:r>
              <w:rPr>
                <w:rFonts w:hint="default"/>
                <w:vertAlign w:val="subscript"/>
                <w:lang w:val="en-US" w:eastAsia="zh-CN"/>
              </w:rPr>
              <w:t>2</w:t>
            </w:r>
            <w:r>
              <w:rPr>
                <w:rFonts w:hint="default"/>
                <w:lang w:val="en-US" w:eastAsia="zh-CN"/>
              </w:rPr>
              <w:t>S。</w:t>
            </w:r>
            <w:r>
              <w:rPr>
                <w:rFonts w:hint="eastAsia"/>
                <w:lang w:val="en-US" w:eastAsia="zh-CN"/>
              </w:rPr>
              <w:t>粉碎工艺废气经集气罩收集进入管道，过滤、罐装工艺废气经管道负压直接收集，密闭性较高但会有微量废气逸散(占5%左右)，未有效收集的废气以无组织形式排放。</w:t>
            </w: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strike w:val="0"/>
                <w:dstrike w:val="0"/>
                <w:color w:val="auto"/>
                <w:lang w:val="en-US" w:eastAsia="zh-CN"/>
              </w:rPr>
              <w:t>本项目类比长春市病死畜禽无害化集中处理中心项目竣工环境保护验收监测数据</w:t>
            </w:r>
            <w:r>
              <w:rPr>
                <w:rFonts w:hint="eastAsia" w:ascii="Times New Roman" w:hAnsi="Times New Roman" w:cs="Times New Roman"/>
                <w:color w:val="000000" w:themeColor="text1"/>
                <w:lang w:val="en-US" w:eastAsia="zh-CN"/>
                <w14:textFill>
                  <w14:solidFill>
                    <w14:schemeClr w14:val="tx1"/>
                  </w14:solidFill>
                </w14:textFill>
              </w:rPr>
              <w:t>，</w:t>
            </w:r>
            <w:r>
              <w:rPr>
                <w:rFonts w:hint="default"/>
                <w:lang w:val="en-US" w:eastAsia="zh-CN"/>
              </w:rPr>
              <w:t>NH</w:t>
            </w:r>
            <w:r>
              <w:rPr>
                <w:rFonts w:hint="default"/>
                <w:vertAlign w:val="subscript"/>
                <w:lang w:val="en-US" w:eastAsia="zh-CN"/>
              </w:rPr>
              <w:t>3</w:t>
            </w:r>
            <w:r>
              <w:rPr>
                <w:rFonts w:hint="eastAsia" w:ascii="Times New Roman" w:hAnsi="Times New Roman" w:cs="Times New Roman"/>
                <w:color w:val="000000" w:themeColor="text1"/>
                <w:lang w:val="en-US" w:eastAsia="zh-CN"/>
                <w14:textFill>
                  <w14:solidFill>
                    <w14:schemeClr w14:val="tx1"/>
                  </w14:solidFill>
                </w14:textFill>
              </w:rPr>
              <w:t>有组织排放速率为</w:t>
            </w:r>
            <w:r>
              <w:rPr>
                <w:rFonts w:hint="eastAsia" w:cs="Times New Roman"/>
                <w:color w:val="000000" w:themeColor="text1"/>
                <w:lang w:val="en-US" w:eastAsia="zh-CN"/>
                <w14:textFill>
                  <w14:solidFill>
                    <w14:schemeClr w14:val="tx1"/>
                  </w14:solidFill>
                </w14:textFill>
              </w:rPr>
              <w:t>2.2</w:t>
            </w:r>
            <w:r>
              <w:rPr>
                <w:rFonts w:hint="eastAsia" w:ascii="Times New Roman" w:hAnsi="Times New Roman" w:cs="Times New Roman"/>
                <w:color w:val="000000" w:themeColor="text1"/>
                <w:lang w:val="en-US" w:eastAsia="zh-CN"/>
                <w14:textFill>
                  <w14:solidFill>
                    <w14:schemeClr w14:val="tx1"/>
                  </w14:solidFill>
                </w14:textFill>
              </w:rPr>
              <w:t>kg/h</w:t>
            </w:r>
            <w:r>
              <w:rPr>
                <w:rFonts w:hint="eastAsia" w:ascii="Times New Roman" w:hAnsi="Times New Roman" w:cs="Times New Roman"/>
                <w:color w:val="000000" w:themeColor="text1"/>
                <w:shd w:val="clear" w:color="auto" w:fill="auto"/>
                <w:vertAlign w:val="baseline"/>
                <w:lang w:val="en-US" w:eastAsia="zh-CN"/>
                <w14:textFill>
                  <w14:solidFill>
                    <w14:schemeClr w14:val="tx1"/>
                  </w14:solidFill>
                </w14:textFill>
              </w:rPr>
              <w:t>，</w:t>
            </w:r>
            <w:r>
              <w:rPr>
                <w:rFonts w:hint="default"/>
                <w:sz w:val="24"/>
              </w:rPr>
              <w:t>H</w:t>
            </w:r>
            <w:r>
              <w:rPr>
                <w:rFonts w:hint="default"/>
                <w:sz w:val="24"/>
                <w:vertAlign w:val="subscript"/>
              </w:rPr>
              <w:t>2</w:t>
            </w:r>
            <w:r>
              <w:rPr>
                <w:rFonts w:hint="default"/>
                <w:sz w:val="24"/>
              </w:rPr>
              <w:t>S</w:t>
            </w:r>
            <w:r>
              <w:rPr>
                <w:rFonts w:hint="eastAsia" w:ascii="Times New Roman" w:hAnsi="Times New Roman" w:cs="Times New Roman"/>
                <w:color w:val="000000" w:themeColor="text1"/>
                <w:lang w:val="en-US" w:eastAsia="zh-CN"/>
                <w14:textFill>
                  <w14:solidFill>
                    <w14:schemeClr w14:val="tx1"/>
                  </w14:solidFill>
                </w14:textFill>
              </w:rPr>
              <w:t>有组织排放速率为</w:t>
            </w:r>
            <w:r>
              <w:rPr>
                <w:rFonts w:hint="eastAsia" w:cs="Times New Roman"/>
                <w:color w:val="000000" w:themeColor="text1"/>
                <w:lang w:val="en-US" w:eastAsia="zh-CN"/>
                <w14:textFill>
                  <w14:solidFill>
                    <w14:schemeClr w14:val="tx1"/>
                  </w14:solidFill>
                </w14:textFill>
              </w:rPr>
              <w:t>0.099</w:t>
            </w:r>
            <w:r>
              <w:rPr>
                <w:rFonts w:hint="eastAsia" w:ascii="Times New Roman" w:hAnsi="Times New Roman" w:cs="Times New Roman"/>
                <w:color w:val="000000" w:themeColor="text1"/>
                <w:lang w:val="en-US" w:eastAsia="zh-CN"/>
                <w14:textFill>
                  <w14:solidFill>
                    <w14:schemeClr w14:val="tx1"/>
                  </w14:solidFill>
                </w14:textFill>
              </w:rPr>
              <w:t>kg/h</w:t>
            </w:r>
            <w:r>
              <w:rPr>
                <w:rFonts w:hint="eastAsia" w:cs="Times New Roman"/>
                <w:color w:val="000000" w:themeColor="text1"/>
                <w:vertAlign w:val="baseline"/>
                <w:lang w:val="en-US" w:eastAsia="zh-CN"/>
                <w14:textFill>
                  <w14:solidFill>
                    <w14:schemeClr w14:val="tx1"/>
                  </w14:solidFill>
                </w14:textFill>
              </w:rPr>
              <w:t>。厂界NH</w:t>
            </w:r>
            <w:r>
              <w:rPr>
                <w:rFonts w:hint="eastAsia" w:cs="Times New Roman"/>
                <w:color w:val="000000" w:themeColor="text1"/>
                <w:vertAlign w:val="sub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无组织最大监控浓度为1.30mg/m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，H</w:t>
            </w:r>
            <w:r>
              <w:rPr>
                <w:rFonts w:hint="eastAsia" w:cs="Times New Roman"/>
                <w:color w:val="000000" w:themeColor="text1"/>
                <w:vertAlign w:val="subscript"/>
                <w:lang w:val="en-US" w:eastAsia="zh-CN"/>
                <w14:textFill>
                  <w14:solidFill>
                    <w14:schemeClr w14:val="tx1"/>
                  </w14:solidFill>
                </w14:textFill>
              </w:rPr>
              <w:t>2</w:t>
            </w:r>
            <w:r>
              <w:rPr>
                <w:rFonts w:hint="eastAsia" w:cs="Times New Roman"/>
                <w:color w:val="000000" w:themeColor="text1"/>
                <w:vertAlign w:val="baseline"/>
                <w:lang w:val="en-US" w:eastAsia="zh-CN"/>
                <w14:textFill>
                  <w14:solidFill>
                    <w14:schemeClr w14:val="tx1"/>
                  </w14:solidFill>
                </w14:textFill>
              </w:rPr>
              <w:t>S无组织最大监控浓度为0.039mg/m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w:t>
            </w:r>
            <w:r>
              <w:rPr>
                <w:rFonts w:hint="eastAsia" w:ascii="Times New Roman" w:hAnsi="Times New Roman" w:cs="Times New Roman"/>
                <w:color w:val="000000" w:themeColor="text1"/>
                <w:vertAlign w:val="baseline"/>
                <w:lang w:val="en-US" w:eastAsia="zh-CN"/>
                <w14:textFill>
                  <w14:solidFill>
                    <w14:schemeClr w14:val="tx1"/>
                  </w14:solidFill>
                </w14:textFill>
              </w:rPr>
              <w:t>本项目</w:t>
            </w:r>
            <w:r>
              <w:rPr>
                <w:rFonts w:hint="default"/>
                <w:lang w:val="en-US" w:eastAsia="zh-CN"/>
              </w:rPr>
              <w:t>NH</w:t>
            </w:r>
            <w:r>
              <w:rPr>
                <w:rFonts w:hint="default"/>
                <w:vertAlign w:val="subscript"/>
                <w:lang w:val="en-US" w:eastAsia="zh-CN"/>
              </w:rPr>
              <w:t>3</w:t>
            </w:r>
            <w:r>
              <w:rPr>
                <w:rFonts w:hint="eastAsia"/>
                <w:lang w:val="en-US" w:eastAsia="zh-CN"/>
              </w:rPr>
              <w:t>、</w:t>
            </w:r>
            <w:r>
              <w:rPr>
                <w:rFonts w:hint="default"/>
                <w:lang w:val="en-US" w:eastAsia="zh-CN"/>
              </w:rPr>
              <w:t>H</w:t>
            </w:r>
            <w:r>
              <w:rPr>
                <w:rFonts w:hint="default"/>
                <w:vertAlign w:val="subscript"/>
                <w:lang w:val="en-US" w:eastAsia="zh-CN"/>
              </w:rPr>
              <w:t>2</w:t>
            </w:r>
            <w:r>
              <w:rPr>
                <w:rFonts w:hint="default"/>
                <w:lang w:val="en-US" w:eastAsia="zh-CN"/>
              </w:rPr>
              <w:t>S</w:t>
            </w:r>
            <w:r>
              <w:rPr>
                <w:rFonts w:hint="eastAsia"/>
                <w:lang w:val="en-US" w:eastAsia="zh-CN"/>
              </w:rPr>
              <w:t>污染</w:t>
            </w:r>
            <w:r>
              <w:rPr>
                <w:rFonts w:hint="eastAsia" w:ascii="Times New Roman" w:hAnsi="Times New Roman" w:cs="Times New Roman"/>
                <w:color w:val="000000" w:themeColor="text1"/>
                <w:vertAlign w:val="baseline"/>
                <w:lang w:val="en-US" w:eastAsia="zh-CN"/>
                <w14:textFill>
                  <w14:solidFill>
                    <w14:schemeClr w14:val="tx1"/>
                  </w14:solidFill>
                </w14:textFill>
              </w:rPr>
              <w:t>源强计算结果见下表。</w:t>
            </w: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p>
          <w:p>
            <w:pPr>
              <w:keepNext w:val="0"/>
              <w:keepLines w:val="0"/>
              <w:suppressLineNumbers w:val="0"/>
              <w:bidi w:val="0"/>
              <w:spacing w:before="0" w:beforeAutospacing="0" w:after="0" w:afterAutospacing="0"/>
              <w:ind w:left="0" w:leftChars="0" w:right="0" w:firstLine="0" w:firstLineChars="0"/>
              <w:rPr>
                <w:rFonts w:hint="eastAsia" w:ascii="Times New Roman" w:hAnsi="Times New Roman" w:cs="Times New Roman"/>
                <w:color w:val="000000" w:themeColor="text1"/>
                <w:vertAlign w:val="baseline"/>
                <w:lang w:val="en-US" w:eastAsia="zh-CN"/>
                <w14:textFill>
                  <w14:solidFill>
                    <w14:schemeClr w14:val="tx1"/>
                  </w14:solidFill>
                </w14:textFill>
              </w:rPr>
            </w:pPr>
          </w:p>
          <w:p>
            <w:pPr>
              <w:pStyle w:val="20"/>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default"/>
                <w:lang w:val="en-US" w:eastAsia="zh-CN"/>
              </w:rPr>
              <w:t>NH</w:t>
            </w:r>
            <w:r>
              <w:rPr>
                <w:rFonts w:hint="default"/>
                <w:vertAlign w:val="subscript"/>
                <w:lang w:val="en-US" w:eastAsia="zh-CN"/>
              </w:rPr>
              <w:t>3</w:t>
            </w:r>
            <w:r>
              <w:rPr>
                <w:rFonts w:hint="eastAsia"/>
                <w:lang w:val="en-US" w:eastAsia="zh-CN"/>
              </w:rPr>
              <w:t>、</w:t>
            </w:r>
            <w:r>
              <w:rPr>
                <w:rFonts w:hint="default"/>
                <w:lang w:val="en-US" w:eastAsia="zh-CN"/>
              </w:rPr>
              <w:t>H</w:t>
            </w:r>
            <w:r>
              <w:rPr>
                <w:rFonts w:hint="default"/>
                <w:vertAlign w:val="subscript"/>
                <w:lang w:val="en-US" w:eastAsia="zh-CN"/>
              </w:rPr>
              <w:t>2</w:t>
            </w:r>
            <w:r>
              <w:rPr>
                <w:rFonts w:hint="default"/>
                <w:lang w:val="en-US" w:eastAsia="zh-CN"/>
              </w:rPr>
              <w:t>S</w:t>
            </w:r>
            <w:r>
              <w:rPr>
                <w:rFonts w:hint="eastAsia"/>
                <w:lang w:val="en-US" w:eastAsia="zh-CN"/>
              </w:rPr>
              <w:t>污染</w:t>
            </w:r>
            <w:r>
              <w:rPr>
                <w:rFonts w:hint="eastAsia" w:ascii="Times New Roman" w:hAnsi="Times New Roman" w:cs="Times New Roman"/>
                <w:color w:val="000000" w:themeColor="text1"/>
                <w:vertAlign w:val="baseline"/>
                <w:lang w:val="en-US" w:eastAsia="zh-CN"/>
                <w14:textFill>
                  <w14:solidFill>
                    <w14:schemeClr w14:val="tx1"/>
                  </w14:solidFill>
                </w14:textFill>
              </w:rPr>
              <w:t>源强计算</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005"/>
              <w:gridCol w:w="1054"/>
              <w:gridCol w:w="1021"/>
              <w:gridCol w:w="986"/>
              <w:gridCol w:w="863"/>
              <w:gridCol w:w="122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0" w:type="pct"/>
                  <w:gridSpan w:val="4"/>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NH</w:t>
                  </w:r>
                  <w:r>
                    <w:rPr>
                      <w:rFonts w:hint="default"/>
                      <w:vertAlign w:val="subscript"/>
                      <w:lang w:val="en-US" w:eastAsia="zh-CN"/>
                    </w:rPr>
                    <w:t>3</w:t>
                  </w:r>
                </w:p>
              </w:tc>
              <w:tc>
                <w:tcPr>
                  <w:tcW w:w="2439" w:type="pct"/>
                  <w:gridSpan w:val="4"/>
                  <w:vAlign w:val="center"/>
                </w:tcPr>
                <w:p>
                  <w:pPr>
                    <w:pStyle w:val="19"/>
                    <w:keepNext w:val="0"/>
                    <w:keepLines w:val="0"/>
                    <w:suppressLineNumbers w:val="0"/>
                    <w:bidi w:val="0"/>
                    <w:spacing w:before="0" w:beforeAutospacing="0" w:after="0" w:afterAutospacing="0"/>
                    <w:ind w:left="0" w:right="0" w:firstLine="0" w:firstLineChars="0"/>
                    <w:jc w:val="center"/>
                    <w:rPr>
                      <w:rFonts w:hint="default" w:ascii="Times New Roman" w:hAnsi="Times New Roman" w:eastAsia="宋体" w:cstheme="minorBidi"/>
                      <w:kern w:val="2"/>
                      <w:sz w:val="21"/>
                      <w:szCs w:val="22"/>
                      <w:lang w:val="en-US" w:eastAsia="zh-CN" w:bidi="ar-SA"/>
                    </w:rPr>
                  </w:pPr>
                  <w:r>
                    <w:rPr>
                      <w:rFonts w:hint="default"/>
                      <w:lang w:val="en-US" w:eastAsia="zh-CN"/>
                    </w:rPr>
                    <w:t>H</w:t>
                  </w:r>
                  <w:r>
                    <w:rPr>
                      <w:rFonts w:hint="default"/>
                      <w:vertAlign w:val="subscript"/>
                      <w:lang w:val="en-US" w:eastAsia="zh-CN"/>
                    </w:rPr>
                    <w:t>2</w:t>
                  </w:r>
                  <w:r>
                    <w:rPr>
                      <w:rFonts w:hint="default"/>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gridSpan w:val="2"/>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有组织</w:t>
                  </w:r>
                </w:p>
              </w:tc>
              <w:tc>
                <w:tcPr>
                  <w:tcW w:w="1307" w:type="pct"/>
                  <w:gridSpan w:val="2"/>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无组织</w:t>
                  </w:r>
                </w:p>
              </w:tc>
              <w:tc>
                <w:tcPr>
                  <w:tcW w:w="1165" w:type="pct"/>
                  <w:gridSpan w:val="2"/>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有组织</w:t>
                  </w:r>
                </w:p>
              </w:tc>
              <w:tc>
                <w:tcPr>
                  <w:tcW w:w="1274" w:type="pct"/>
                  <w:gridSpan w:val="2"/>
                  <w:vAlign w:val="center"/>
                </w:tcPr>
                <w:p>
                  <w:pPr>
                    <w:pStyle w:val="19"/>
                    <w:keepNext w:val="0"/>
                    <w:keepLines w:val="0"/>
                    <w:suppressLineNumbers w:val="0"/>
                    <w:bidi w:val="0"/>
                    <w:spacing w:before="0" w:beforeAutospacing="0" w:after="0" w:afterAutospacing="0"/>
                    <w:ind w:left="0" w:right="0" w:firstLine="0" w:firstLineChars="0"/>
                    <w:jc w:val="center"/>
                    <w:rPr>
                      <w:rFonts w:hint="eastAsia" w:ascii="Times New Roman" w:hAnsi="Times New Roman" w:eastAsia="宋体" w:cstheme="minorBidi"/>
                      <w:kern w:val="2"/>
                      <w:sz w:val="21"/>
                      <w:szCs w:val="22"/>
                      <w:lang w:val="en-US" w:eastAsia="zh-CN" w:bidi="ar-SA"/>
                    </w:rPr>
                  </w:pPr>
                  <w:r>
                    <w:rPr>
                      <w:rFonts w:hint="eastAsia"/>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633"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color w:val="auto"/>
                    </w:rPr>
                    <w:t>量(t/a</w:t>
                  </w:r>
                  <w:r>
                    <w:rPr>
                      <w:rFonts w:hint="eastAsia"/>
                      <w:color w:val="auto"/>
                      <w:lang w:eastAsia="zh-CN"/>
                    </w:rPr>
                    <w:t>)</w:t>
                  </w:r>
                </w:p>
              </w:tc>
              <w:tc>
                <w:tcPr>
                  <w:tcW w:w="664"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643"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eastAsia"/>
                      <w:lang w:val="en-US" w:eastAsia="zh-CN"/>
                    </w:rPr>
                    <w:t>排放</w:t>
                  </w:r>
                  <w:r>
                    <w:rPr>
                      <w:rFonts w:hint="default"/>
                      <w:color w:val="auto"/>
                    </w:rPr>
                    <w:t>量(t/a</w:t>
                  </w:r>
                  <w:r>
                    <w:rPr>
                      <w:rFonts w:hint="eastAsia"/>
                      <w:color w:val="auto"/>
                      <w:lang w:eastAsia="zh-CN"/>
                    </w:rPr>
                    <w:t>)</w:t>
                  </w:r>
                </w:p>
              </w:tc>
              <w:tc>
                <w:tcPr>
                  <w:tcW w:w="621"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543"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color w:val="auto"/>
                    </w:rPr>
                    <w:t>量(t/a</w:t>
                  </w:r>
                  <w:r>
                    <w:rPr>
                      <w:rFonts w:hint="eastAsia"/>
                      <w:color w:val="auto"/>
                      <w:lang w:eastAsia="zh-CN"/>
                    </w:rPr>
                    <w:t>)</w:t>
                  </w:r>
                </w:p>
              </w:tc>
              <w:tc>
                <w:tcPr>
                  <w:tcW w:w="770"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504" w:type="pct"/>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heme="minorBidi"/>
                      <w:color w:val="auto"/>
                      <w:kern w:val="2"/>
                      <w:sz w:val="21"/>
                      <w:szCs w:val="22"/>
                      <w:lang w:val="en-US" w:eastAsia="zh-CN" w:bidi="ar-SA"/>
                    </w:rPr>
                  </w:pPr>
                  <w:r>
                    <w:rPr>
                      <w:rFonts w:hint="eastAsia"/>
                      <w:lang w:val="en-US" w:eastAsia="zh-CN"/>
                    </w:rPr>
                    <w:t>排放</w:t>
                  </w:r>
                  <w:r>
                    <w:rPr>
                      <w:rFonts w:hint="default"/>
                      <w:color w:val="auto"/>
                    </w:rPr>
                    <w:t>量(t/a</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2.2</w:t>
                  </w:r>
                </w:p>
              </w:tc>
              <w:tc>
                <w:tcPr>
                  <w:tcW w:w="633"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2.64</w:t>
                  </w:r>
                </w:p>
              </w:tc>
              <w:tc>
                <w:tcPr>
                  <w:tcW w:w="664"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0.58</w:t>
                  </w:r>
                </w:p>
              </w:tc>
              <w:tc>
                <w:tcPr>
                  <w:tcW w:w="643"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0.69</w:t>
                  </w:r>
                </w:p>
              </w:tc>
              <w:tc>
                <w:tcPr>
                  <w:tcW w:w="621"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0.099</w:t>
                  </w:r>
                </w:p>
              </w:tc>
              <w:tc>
                <w:tcPr>
                  <w:tcW w:w="543"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0.12</w:t>
                  </w:r>
                </w:p>
              </w:tc>
              <w:tc>
                <w:tcPr>
                  <w:tcW w:w="770" w:type="pct"/>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0.0025</w:t>
                  </w:r>
                </w:p>
              </w:tc>
              <w:tc>
                <w:tcPr>
                  <w:tcW w:w="504" w:type="pct"/>
                  <w:vAlign w:val="center"/>
                </w:tcPr>
                <w:p>
                  <w:pPr>
                    <w:pStyle w:val="19"/>
                    <w:keepNext w:val="0"/>
                    <w:keepLines w:val="0"/>
                    <w:suppressLineNumbers w:val="0"/>
                    <w:bidi w:val="0"/>
                    <w:spacing w:before="0" w:beforeAutospacing="0" w:after="0" w:afterAutospacing="0"/>
                    <w:ind w:left="0" w:right="0" w:firstLine="0" w:firstLineChars="0"/>
                    <w:jc w:val="center"/>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000" w:type="pct"/>
                  <w:gridSpan w:val="8"/>
                  <w:vAlign w:val="center"/>
                </w:tcPr>
                <w:p>
                  <w:pPr>
                    <w:pStyle w:val="19"/>
                    <w:keepNext w:val="0"/>
                    <w:keepLines w:val="0"/>
                    <w:suppressLineNumbers w:val="0"/>
                    <w:bidi w:val="0"/>
                    <w:spacing w:before="0" w:beforeAutospacing="0" w:after="0" w:afterAutospacing="0"/>
                    <w:ind w:left="0" w:right="0"/>
                    <w:jc w:val="both"/>
                    <w:rPr>
                      <w:rFonts w:hint="eastAsia" w:cstheme="minorBidi"/>
                      <w:kern w:val="2"/>
                      <w:sz w:val="21"/>
                      <w:szCs w:val="22"/>
                      <w:lang w:val="en-US" w:eastAsia="zh-CN" w:bidi="ar-SA"/>
                    </w:rPr>
                  </w:pPr>
                  <w:r>
                    <w:rPr>
                      <w:rFonts w:hint="eastAsia"/>
                      <w:lang w:val="en-US" w:eastAsia="zh-CN"/>
                    </w:rPr>
                    <w:t>注：主要恶臭气体源为粉碎、过滤和罐装工序，间歇性运行，运行时间按4h/d计算。</w:t>
                  </w:r>
                </w:p>
              </w:tc>
            </w:tr>
          </w:tbl>
          <w:p>
            <w:pPr>
              <w:keepNext w:val="0"/>
              <w:keepLines w:val="0"/>
              <w:suppressLineNumbers w:val="0"/>
              <w:bidi w:val="0"/>
              <w:spacing w:before="0" w:beforeAutospacing="0" w:after="0" w:afterAutospacing="0"/>
              <w:ind w:left="0" w:right="0"/>
              <w:rPr>
                <w:rFonts w:hint="default"/>
                <w:lang w:val="en-US" w:eastAsia="zh-CN"/>
              </w:rPr>
            </w:pPr>
          </w:p>
          <w:p>
            <w:pPr>
              <w:pStyle w:val="5"/>
              <w:suppressLineNumbers w:val="0"/>
              <w:bidi w:val="0"/>
              <w:spacing w:before="0" w:beforeAutospacing="0" w:after="0" w:afterAutospacing="0"/>
              <w:ind w:right="0"/>
              <w:rPr>
                <w:rFonts w:hint="default"/>
                <w:lang w:val="en-US" w:eastAsia="zh-CN"/>
              </w:rPr>
            </w:pPr>
            <w:r>
              <w:rPr>
                <w:rFonts w:hint="default"/>
                <w:lang w:val="en-US" w:eastAsia="zh-CN"/>
              </w:rPr>
              <w:t>锅炉烟气</w:t>
            </w:r>
          </w:p>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lang w:val="en-US" w:eastAsia="zh-CN"/>
              </w:rPr>
              <w:t>本项目燃气锅炉天然气总用气量为30万m</w:t>
            </w:r>
            <w:r>
              <w:rPr>
                <w:rFonts w:hint="eastAsia"/>
                <w:vertAlign w:val="superscript"/>
                <w:lang w:val="en-US" w:eastAsia="zh-CN"/>
              </w:rPr>
              <w:t>3</w:t>
            </w:r>
            <w:r>
              <w:rPr>
                <w:rFonts w:hint="eastAsia"/>
                <w:lang w:val="en-US" w:eastAsia="zh-CN"/>
              </w:rPr>
              <w:t>/a，参照《</w:t>
            </w:r>
            <w:r>
              <w:rPr>
                <w:rFonts w:hint="default"/>
                <w:lang w:val="en-US" w:eastAsia="zh-CN"/>
              </w:rPr>
              <w:t>产排污核算系数手册</w:t>
            </w:r>
            <w:r>
              <w:rPr>
                <w:rFonts w:hint="eastAsia"/>
                <w:lang w:val="en-US" w:eastAsia="zh-CN"/>
              </w:rPr>
              <w:t>》</w:t>
            </w:r>
            <w:r>
              <w:rPr>
                <w:rFonts w:hint="default"/>
                <w:lang w:val="en-US" w:eastAsia="zh-CN"/>
              </w:rPr>
              <w:t>4430工业锅炉</w:t>
            </w:r>
            <w:r>
              <w:rPr>
                <w:rFonts w:hint="eastAsia"/>
                <w:lang w:val="en-US" w:eastAsia="zh-CN"/>
              </w:rPr>
              <w:t>(</w:t>
            </w:r>
            <w:r>
              <w:rPr>
                <w:rFonts w:hint="default"/>
                <w:lang w:val="en-US" w:eastAsia="zh-CN"/>
              </w:rPr>
              <w:t>热力生产和供应行业</w:t>
            </w:r>
            <w:r>
              <w:rPr>
                <w:rFonts w:hint="eastAsia"/>
                <w:lang w:val="en-US" w:eastAsia="zh-CN"/>
              </w:rPr>
              <w:t>)</w:t>
            </w:r>
            <w:r>
              <w:rPr>
                <w:rFonts w:hint="default"/>
                <w:lang w:val="en-US" w:eastAsia="zh-CN"/>
              </w:rPr>
              <w:t>行业系数手册</w:t>
            </w:r>
            <w:r>
              <w:rPr>
                <w:rFonts w:hint="eastAsia"/>
                <w:lang w:val="en-US" w:eastAsia="zh-CN"/>
              </w:rPr>
              <w:t>(</w:t>
            </w:r>
            <w:r>
              <w:rPr>
                <w:rFonts w:hint="default"/>
                <w:lang w:val="en-US" w:eastAsia="zh-CN"/>
              </w:rPr>
              <w:t>初稿</w:t>
            </w:r>
            <w:r>
              <w:rPr>
                <w:rFonts w:hint="eastAsia"/>
                <w:lang w:val="en-US" w:eastAsia="zh-CN"/>
              </w:rPr>
              <w:t>)</w:t>
            </w:r>
            <w:r>
              <w:rPr>
                <w:rFonts w:hint="default"/>
                <w:lang w:val="en-US" w:eastAsia="zh-CN"/>
              </w:rPr>
              <w:t>中的产污系数表-燃气工业锅炉</w:t>
            </w:r>
            <w:r>
              <w:rPr>
                <w:rFonts w:hint="eastAsia"/>
                <w:lang w:val="en-US" w:eastAsia="zh-CN"/>
              </w:rPr>
              <w:t>和《环境保护使用数据手册》(机械工业出版社，胡名操)：工业废气量产污系数</w:t>
            </w:r>
            <w:r>
              <w:rPr>
                <w:rFonts w:hint="eastAsia"/>
                <w:highlight w:val="none"/>
                <w:lang w:val="en-US" w:eastAsia="zh-CN"/>
              </w:rPr>
              <w:t>136259.17</w:t>
            </w:r>
            <w:r>
              <w:rPr>
                <w:rFonts w:hint="eastAsia"/>
                <w:lang w:val="en-US" w:eastAsia="zh-CN"/>
              </w:rPr>
              <w:t>Nm</w:t>
            </w:r>
            <w:r>
              <w:rPr>
                <w:rFonts w:hint="eastAsia"/>
                <w:vertAlign w:val="superscript"/>
                <w:lang w:val="en-US" w:eastAsia="zh-CN"/>
              </w:rPr>
              <w:t>3</w:t>
            </w:r>
            <w:r>
              <w:rPr>
                <w:rFonts w:hint="eastAsia"/>
                <w:lang w:val="en-US" w:eastAsia="zh-CN"/>
              </w:rPr>
              <w:t>/(万m</w:t>
            </w:r>
            <w:r>
              <w:rPr>
                <w:rFonts w:hint="eastAsia"/>
                <w:vertAlign w:val="superscript"/>
                <w:lang w:val="en-US" w:eastAsia="zh-CN"/>
              </w:rPr>
              <w:t>3</w:t>
            </w:r>
            <w:r>
              <w:rPr>
                <w:rFonts w:hint="eastAsia"/>
                <w:lang w:val="en-US" w:eastAsia="zh-CN"/>
              </w:rPr>
              <w:t>原料)</w:t>
            </w:r>
            <w:r>
              <w:rPr>
                <w:rFonts w:hint="eastAsia"/>
                <w:vertAlign w:val="baseline"/>
                <w:lang w:val="en-US" w:eastAsia="zh-CN"/>
              </w:rPr>
              <w:t>、</w:t>
            </w:r>
            <w:r>
              <w:rPr>
                <w:rFonts w:hint="eastAsia"/>
                <w:lang w:val="en-US" w:eastAsia="zh-CN"/>
              </w:rPr>
              <w:t>NO</w:t>
            </w:r>
            <w:r>
              <w:rPr>
                <w:rFonts w:hint="eastAsia"/>
                <w:vertAlign w:val="subscript"/>
                <w:lang w:val="en-US" w:eastAsia="zh-CN"/>
              </w:rPr>
              <w:t>x</w:t>
            </w:r>
            <w:r>
              <w:rPr>
                <w:rFonts w:hint="eastAsia"/>
                <w:lang w:val="en-US" w:eastAsia="zh-CN"/>
              </w:rPr>
              <w:t>产污系数为18.71kg/</w:t>
            </w:r>
            <w:r>
              <w:rPr>
                <w:rFonts w:hint="eastAsia"/>
                <w:vertAlign w:val="baseline"/>
                <w:lang w:val="en-US" w:eastAsia="zh-CN"/>
              </w:rPr>
              <w:t>(</w:t>
            </w:r>
            <w:r>
              <w:rPr>
                <w:rFonts w:hint="eastAsia"/>
                <w:lang w:val="en-US" w:eastAsia="zh-CN"/>
              </w:rPr>
              <w:t>万m</w:t>
            </w:r>
            <w:r>
              <w:rPr>
                <w:rFonts w:hint="eastAsia"/>
                <w:vertAlign w:val="superscript"/>
                <w:lang w:val="en-US" w:eastAsia="zh-CN"/>
              </w:rPr>
              <w:t>3</w:t>
            </w:r>
            <w:r>
              <w:rPr>
                <w:rFonts w:hint="eastAsia"/>
                <w:vertAlign w:val="baseline"/>
                <w:lang w:val="en-US" w:eastAsia="zh-CN"/>
              </w:rPr>
              <w:t>原料)</w:t>
            </w:r>
            <w:r>
              <w:rPr>
                <w:rFonts w:hint="eastAsia"/>
                <w:lang w:val="en-US" w:eastAsia="zh-CN"/>
              </w:rPr>
              <w:t>、SO</w:t>
            </w:r>
            <w:r>
              <w:rPr>
                <w:rFonts w:hint="eastAsia"/>
                <w:vertAlign w:val="subscript"/>
                <w:lang w:val="en-US" w:eastAsia="zh-CN"/>
              </w:rPr>
              <w:t>2</w:t>
            </w:r>
            <w:r>
              <w:rPr>
                <w:rFonts w:hint="eastAsia"/>
                <w:lang w:val="en-US" w:eastAsia="zh-CN"/>
              </w:rPr>
              <w:t>产污系数为0.02Skg/</w:t>
            </w:r>
            <w:r>
              <w:rPr>
                <w:rFonts w:hint="eastAsia"/>
                <w:vertAlign w:val="baseline"/>
                <w:lang w:val="en-US" w:eastAsia="zh-CN"/>
              </w:rPr>
              <w:t>(</w:t>
            </w:r>
            <w:r>
              <w:rPr>
                <w:rFonts w:hint="eastAsia"/>
                <w:lang w:val="en-US" w:eastAsia="zh-CN"/>
              </w:rPr>
              <w:t>万m</w:t>
            </w:r>
            <w:r>
              <w:rPr>
                <w:rFonts w:hint="eastAsia"/>
                <w:vertAlign w:val="superscript"/>
                <w:lang w:val="en-US" w:eastAsia="zh-CN"/>
              </w:rPr>
              <w:t>3</w:t>
            </w:r>
            <w:r>
              <w:rPr>
                <w:rFonts w:hint="eastAsia"/>
                <w:vertAlign w:val="baseline"/>
                <w:lang w:val="en-US" w:eastAsia="zh-CN"/>
              </w:rPr>
              <w:t>原料)、</w:t>
            </w:r>
            <w:r>
              <w:rPr>
                <w:rFonts w:hint="default" w:ascii="Times New Roman" w:hAnsi="Times New Roman" w:cs="Times New Roman"/>
                <w:color w:val="000000" w:themeColor="text1"/>
                <w:highlight w:val="none"/>
                <w:lang w:eastAsia="zh-CN"/>
                <w14:textFill>
                  <w14:solidFill>
                    <w14:schemeClr w14:val="tx1"/>
                  </w14:solidFill>
                </w14:textFill>
              </w:rPr>
              <w:t>燃料总硫的质量浓度</w:t>
            </w:r>
            <w:r>
              <w:rPr>
                <w:rFonts w:hint="eastAsia" w:ascii="Times New Roman" w:hAnsi="Times New Roman" w:cs="Times New Roman"/>
                <w:color w:val="000000" w:themeColor="text1"/>
                <w:highlight w:val="none"/>
                <w:lang w:val="en-US" w:eastAsia="zh-CN"/>
                <w14:textFill>
                  <w14:solidFill>
                    <w14:schemeClr w14:val="tx1"/>
                  </w14:solidFill>
                </w14:textFill>
              </w:rPr>
              <w:t>S</w:t>
            </w:r>
            <w:r>
              <w:rPr>
                <w:rFonts w:hint="default" w:ascii="Times New Roman" w:hAnsi="Times New Roman" w:cs="Times New Roman"/>
                <w:color w:val="000000" w:themeColor="text1"/>
                <w:highlight w:val="none"/>
                <w:lang w:eastAsia="zh-CN"/>
                <w14:textFill>
                  <w14:solidFill>
                    <w14:schemeClr w14:val="tx1"/>
                  </w14:solidFill>
                </w14:textFill>
              </w:rPr>
              <w:t>取</w:t>
            </w:r>
            <w:r>
              <w:rPr>
                <w:rFonts w:hint="eastAsia" w:ascii="Times New Roman" w:hAnsi="Times New Roman" w:cs="Times New Roman"/>
                <w:color w:val="000000" w:themeColor="text1"/>
                <w:highlight w:val="none"/>
                <w:lang w:val="en-US" w:eastAsia="zh-CN"/>
                <w14:textFill>
                  <w14:solidFill>
                    <w14:schemeClr w14:val="tx1"/>
                  </w14:solidFill>
                </w14:textFill>
              </w:rPr>
              <w:t>100mg</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eastAsia" w:cs="Times New Roman"/>
                <w:color w:val="000000" w:themeColor="text1"/>
                <w:highlight w:val="none"/>
                <w:vertAlign w:val="baseline"/>
                <w:lang w:eastAsia="zh-CN"/>
                <w14:textFill>
                  <w14:solidFill>
                    <w14:schemeClr w14:val="tx1"/>
                  </w14:solidFill>
                </w14:textFill>
              </w:rPr>
              <w:t>，</w:t>
            </w:r>
            <w:r>
              <w:rPr>
                <w:rFonts w:hint="eastAsia" w:cs="Times New Roman"/>
                <w:color w:val="000000" w:themeColor="text1"/>
                <w:highlight w:val="none"/>
                <w:vertAlign w:val="baseline"/>
                <w:lang w:val="en-US" w:eastAsia="zh-CN"/>
                <w14:textFill>
                  <w14:solidFill>
                    <w14:schemeClr w14:val="tx1"/>
                  </w14:solidFill>
                </w14:textFill>
              </w:rPr>
              <w:t>因此经计算本项目废气产生量为408.778万m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/a、SO</w:t>
            </w:r>
            <w:r>
              <w:rPr>
                <w:rFonts w:hint="eastAsia" w:cs="Times New Roman"/>
                <w:color w:val="000000" w:themeColor="text1"/>
                <w:highlight w:val="none"/>
                <w:vertAlign w:val="subscript"/>
                <w:lang w:val="en-US" w:eastAsia="zh-CN"/>
                <w14:textFill>
                  <w14:solidFill>
                    <w14:schemeClr w14:val="tx1"/>
                  </w14:solidFill>
                </w14:textFill>
              </w:rPr>
              <w:t>2</w:t>
            </w:r>
            <w:r>
              <w:rPr>
                <w:rFonts w:hint="eastAsia" w:cs="Times New Roman"/>
                <w:color w:val="000000" w:themeColor="text1"/>
                <w:highlight w:val="none"/>
                <w:vertAlign w:val="baseline"/>
                <w:lang w:val="en-US" w:eastAsia="zh-CN"/>
                <w14:textFill>
                  <w14:solidFill>
                    <w14:schemeClr w14:val="tx1"/>
                  </w14:solidFill>
                </w14:textFill>
              </w:rPr>
              <w:t>产生量为0.06t/a、NO</w:t>
            </w:r>
            <w:r>
              <w:rPr>
                <w:rFonts w:hint="eastAsia" w:cs="Times New Roman"/>
                <w:color w:val="000000" w:themeColor="text1"/>
                <w:highlight w:val="none"/>
                <w:vertAlign w:val="subscript"/>
                <w:lang w:val="en-US" w:eastAsia="zh-CN"/>
                <w14:textFill>
                  <w14:solidFill>
                    <w14:schemeClr w14:val="tx1"/>
                  </w14:solidFill>
                </w14:textFill>
              </w:rPr>
              <w:t>x</w:t>
            </w:r>
            <w:r>
              <w:rPr>
                <w:rFonts w:hint="eastAsia" w:cs="Times New Roman"/>
                <w:color w:val="000000" w:themeColor="text1"/>
                <w:highlight w:val="none"/>
                <w:vertAlign w:val="baseline"/>
                <w:lang w:val="en-US" w:eastAsia="zh-CN"/>
                <w14:textFill>
                  <w14:solidFill>
                    <w14:schemeClr w14:val="tx1"/>
                  </w14:solidFill>
                </w14:textFill>
              </w:rPr>
              <w:t>产生量为0.56t/a。颗粒物产生量根据《建设项目环境影响评价培训教材》(环境保护部环境工程评估中心)中天然气燃烧产排污系数表中数据，颗粒物产污系数为0.8-2.4kg/(万m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原料)，本项目取2.4kg/(万m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原料)，因此颗粒物产生量为0.07t/a。</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经计算，</w:t>
            </w:r>
            <w:r>
              <w:rPr>
                <w:rFonts w:hint="default"/>
                <w:lang w:val="en-US" w:eastAsia="zh-CN"/>
              </w:rPr>
              <w:t>锅炉烟气产生情况见下表。</w:t>
            </w:r>
          </w:p>
          <w:p>
            <w:pPr>
              <w:pStyle w:val="20"/>
              <w:keepNext w:val="0"/>
              <w:keepLines w:val="0"/>
              <w:suppressLineNumbers w:val="0"/>
              <w:bidi w:val="0"/>
              <w:spacing w:before="0" w:beforeAutospacing="0" w:after="0" w:afterAutospacing="0"/>
              <w:ind w:left="0" w:right="0"/>
              <w:rPr>
                <w:rFonts w:hint="default"/>
              </w:rPr>
            </w:pPr>
            <w:r>
              <w:rPr>
                <w:rFonts w:hint="default"/>
                <w:lang w:val="en-US" w:eastAsia="zh-CN"/>
              </w:rPr>
              <w:t>锅炉烟气产生情况</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1594"/>
              <w:gridCol w:w="951"/>
              <w:gridCol w:w="1850"/>
              <w:gridCol w:w="1822"/>
              <w:gridCol w:w="170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283" w:hRule="atLeast"/>
                <w:jc w:val="center"/>
              </w:trPr>
              <w:tc>
                <w:tcPr>
                  <w:tcW w:w="100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废气量</w:t>
                  </w:r>
                </w:p>
              </w:tc>
              <w:tc>
                <w:tcPr>
                  <w:tcW w:w="60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名称</w:t>
                  </w:r>
                </w:p>
              </w:tc>
              <w:tc>
                <w:tcPr>
                  <w:tcW w:w="116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产生浓度(mg/m</w:t>
                  </w:r>
                  <w:r>
                    <w:rPr>
                      <w:rFonts w:hint="default"/>
                      <w:vertAlign w:val="superscript"/>
                    </w:rPr>
                    <w:t>3</w:t>
                  </w:r>
                  <w:r>
                    <w:rPr>
                      <w:rFonts w:hint="eastAsia"/>
                      <w:lang w:eastAsia="zh-CN"/>
                    </w:rPr>
                    <w:t>)</w:t>
                  </w:r>
                </w:p>
              </w:tc>
              <w:tc>
                <w:tcPr>
                  <w:tcW w:w="1149"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产生速率</w:t>
                  </w:r>
                  <w:r>
                    <w:rPr>
                      <w:rFonts w:hint="eastAsia"/>
                      <w:lang w:eastAsia="zh-CN"/>
                    </w:rPr>
                    <w:t>(</w:t>
                  </w:r>
                  <w:r>
                    <w:rPr>
                      <w:rFonts w:hint="default"/>
                    </w:rPr>
                    <w:t>kg/h</w:t>
                  </w:r>
                  <w:r>
                    <w:rPr>
                      <w:rFonts w:hint="eastAsia"/>
                      <w:lang w:eastAsia="zh-CN"/>
                    </w:rPr>
                    <w:t>)</w:t>
                  </w:r>
                </w:p>
              </w:tc>
              <w:tc>
                <w:tcPr>
                  <w:tcW w:w="107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eastAsia="宋体"/>
                      <w:color w:val="auto"/>
                      <w:lang w:eastAsia="zh-CN"/>
                    </w:rPr>
                  </w:pPr>
                  <w:r>
                    <w:rPr>
                      <w:rFonts w:hint="default"/>
                      <w:color w:val="auto"/>
                    </w:rPr>
                    <w:t>产生量(t/a</w:t>
                  </w:r>
                  <w:r>
                    <w:rPr>
                      <w:rFonts w:hint="eastAsia"/>
                      <w:color w:val="auto"/>
                      <w:lang w:eastAsia="zh-CN"/>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05" w:type="pct"/>
                  <w:vMerge w:val="restar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408.778万m</w:t>
                  </w:r>
                  <w:r>
                    <w:rPr>
                      <w:rFonts w:hint="eastAsia"/>
                      <w:vertAlign w:val="superscript"/>
                      <w:lang w:val="en-US" w:eastAsia="zh-CN"/>
                    </w:rPr>
                    <w:t>3</w:t>
                  </w:r>
                  <w:r>
                    <w:rPr>
                      <w:rFonts w:hint="eastAsia"/>
                      <w:lang w:val="en-US" w:eastAsia="zh-CN"/>
                    </w:rPr>
                    <w:t>/a</w:t>
                  </w:r>
                </w:p>
              </w:tc>
              <w:tc>
                <w:tcPr>
                  <w:tcW w:w="60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SO</w:t>
                  </w:r>
                  <w:r>
                    <w:rPr>
                      <w:rFonts w:hint="default"/>
                      <w:vertAlign w:val="subscript"/>
                    </w:rPr>
                    <w:t>2</w:t>
                  </w:r>
                </w:p>
              </w:tc>
              <w:tc>
                <w:tcPr>
                  <w:tcW w:w="116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14.68</w:t>
                  </w:r>
                </w:p>
              </w:tc>
              <w:tc>
                <w:tcPr>
                  <w:tcW w:w="1149"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0.025</w:t>
                  </w:r>
                </w:p>
              </w:tc>
              <w:tc>
                <w:tcPr>
                  <w:tcW w:w="107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0.06</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05"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60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NO</w:t>
                  </w:r>
                  <w:r>
                    <w:rPr>
                      <w:rFonts w:hint="default"/>
                      <w:vertAlign w:val="subscript"/>
                    </w:rPr>
                    <w:t>x</w:t>
                  </w:r>
                </w:p>
              </w:tc>
              <w:tc>
                <w:tcPr>
                  <w:tcW w:w="116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137.24</w:t>
                  </w:r>
                </w:p>
              </w:tc>
              <w:tc>
                <w:tcPr>
                  <w:tcW w:w="1149"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0.23</w:t>
                  </w:r>
                </w:p>
              </w:tc>
              <w:tc>
                <w:tcPr>
                  <w:tcW w:w="107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0.56</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283" w:hRule="atLeast"/>
                <w:jc w:val="center"/>
              </w:trPr>
              <w:tc>
                <w:tcPr>
                  <w:tcW w:w="1005"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60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颗粒物</w:t>
                  </w:r>
                </w:p>
              </w:tc>
              <w:tc>
                <w:tcPr>
                  <w:tcW w:w="116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17.61</w:t>
                  </w:r>
                </w:p>
              </w:tc>
              <w:tc>
                <w:tcPr>
                  <w:tcW w:w="1149"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0.03</w:t>
                  </w:r>
                </w:p>
              </w:tc>
              <w:tc>
                <w:tcPr>
                  <w:tcW w:w="1076"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0.07</w:t>
                  </w:r>
                </w:p>
              </w:tc>
            </w:tr>
          </w:tbl>
          <w:p>
            <w:pPr>
              <w:pStyle w:val="5"/>
              <w:suppressLineNumbers w:val="0"/>
              <w:bidi w:val="0"/>
              <w:spacing w:before="0" w:beforeAutospacing="0" w:after="0" w:afterAutospacing="0"/>
              <w:ind w:right="0"/>
              <w:rPr>
                <w:rFonts w:hint="default"/>
              </w:rPr>
            </w:pPr>
            <w:r>
              <w:rPr>
                <w:rFonts w:hint="default"/>
                <w:lang w:val="en-US" w:eastAsia="zh-CN"/>
              </w:rPr>
              <w:t>厂区臭气浓度</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采用硫酸酸解法工艺对病死畜禽进行无害化处理。酸解过程全程在密闭高温夹层容器中进行。恶臭污染源主要来自于粉碎过程。这些恶臭臭气是许多单一臭气物质相互作用的产物。目前，已鉴定出的有恶臭成分220种，这些物质都是产生生化反应的中间产物或终端产物，其中包括了多种挥发性有机酸、醇类物质、醛类物质、不流动气体、酯类物质、胺类物质、硫化物、硫醇以及含氮杂环类物质。在粪便中还发现80多种含氮化合物，其中有10种与恶臭味有关。其中主要恶臭物质有氨气、硫化氢以及类臭基硫酸等。</w:t>
            </w:r>
          </w:p>
          <w:p>
            <w:pPr>
              <w:pStyle w:val="3"/>
              <w:suppressLineNumbers w:val="0"/>
              <w:bidi w:val="0"/>
              <w:spacing w:before="0" w:after="0"/>
              <w:ind w:right="0"/>
              <w:rPr>
                <w:rFonts w:hint="default"/>
                <w:lang w:val="en-US" w:eastAsia="zh-CN"/>
              </w:rPr>
            </w:pPr>
            <w:r>
              <w:rPr>
                <w:rFonts w:hint="eastAsia"/>
                <w:lang w:val="en-US" w:eastAsia="zh-CN"/>
              </w:rPr>
              <w:t>污染防治措施</w:t>
            </w:r>
          </w:p>
          <w:p>
            <w:pPr>
              <w:pStyle w:val="5"/>
              <w:suppressLineNumbers w:val="0"/>
              <w:bidi w:val="0"/>
              <w:spacing w:before="0" w:beforeAutospacing="0" w:after="0" w:afterAutospacing="0"/>
              <w:ind w:right="0"/>
              <w:rPr>
                <w:rFonts w:hint="default"/>
                <w:lang w:val="en-US" w:eastAsia="zh-CN"/>
              </w:rPr>
            </w:pPr>
            <w:r>
              <w:rPr>
                <w:rFonts w:hint="default"/>
                <w:lang w:val="en-US" w:eastAsia="zh-CN"/>
              </w:rPr>
              <w:t>酸解、</w:t>
            </w:r>
            <w:r>
              <w:rPr>
                <w:rFonts w:hint="eastAsia"/>
                <w:lang w:val="en-US" w:eastAsia="zh-CN"/>
              </w:rPr>
              <w:t>粉碎</w:t>
            </w:r>
            <w:r>
              <w:rPr>
                <w:rFonts w:hint="default"/>
                <w:lang w:val="en-US" w:eastAsia="zh-CN"/>
              </w:rPr>
              <w:t>、过滤废气治理措施</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酸解、</w:t>
            </w:r>
            <w:r>
              <w:rPr>
                <w:rFonts w:hint="eastAsia"/>
                <w:lang w:val="en-US" w:eastAsia="zh-CN"/>
              </w:rPr>
              <w:t>粉碎</w:t>
            </w:r>
            <w:r>
              <w:rPr>
                <w:rFonts w:hint="default"/>
                <w:lang w:val="en-US" w:eastAsia="zh-CN"/>
              </w:rPr>
              <w:t>、过滤工序均位于生产车间，</w:t>
            </w:r>
            <w:r>
              <w:rPr>
                <w:rFonts w:hint="eastAsia"/>
                <w:lang w:val="en-US" w:eastAsia="zh-CN"/>
              </w:rPr>
              <w:t>使用全套密闭生产系统，粉碎废气经集气罩收集，酸解、过滤废气经管道负压收集，废气集中引</w:t>
            </w:r>
            <w:r>
              <w:rPr>
                <w:rFonts w:hint="default"/>
                <w:lang w:val="en-US" w:eastAsia="zh-CN"/>
              </w:rPr>
              <w:t>至碱液喷淋塔</w:t>
            </w:r>
            <w:r>
              <w:rPr>
                <w:rFonts w:hint="eastAsia"/>
                <w:lang w:val="en-US" w:eastAsia="zh-CN"/>
              </w:rPr>
              <w:t>净化</w:t>
            </w:r>
            <w:r>
              <w:rPr>
                <w:rFonts w:hint="default"/>
                <w:lang w:val="en-US" w:eastAsia="zh-CN"/>
              </w:rPr>
              <w:t>处理，经</w:t>
            </w:r>
            <w:r>
              <w:rPr>
                <w:rFonts w:hint="eastAsia"/>
                <w:lang w:val="en-US" w:eastAsia="zh-CN"/>
              </w:rPr>
              <w:t>15m高</w:t>
            </w:r>
            <w:r>
              <w:rPr>
                <w:rFonts w:hint="default"/>
                <w:lang w:val="en-US" w:eastAsia="zh-CN"/>
              </w:rPr>
              <w:t>排气筒</w:t>
            </w:r>
            <w:r>
              <w:rPr>
                <w:rFonts w:hint="eastAsia"/>
                <w:lang w:val="en-US" w:eastAsia="zh-CN"/>
              </w:rPr>
              <w:t>(DA001)</w:t>
            </w:r>
            <w:r>
              <w:rPr>
                <w:rFonts w:hint="default"/>
                <w:lang w:val="en-US" w:eastAsia="zh-CN"/>
              </w:rPr>
              <w:t>排放。</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污染物去除效率及去除可行性：</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废气中NH</w:t>
            </w:r>
            <w:r>
              <w:rPr>
                <w:rFonts w:hint="eastAsia"/>
                <w:vertAlign w:val="subscript"/>
                <w:lang w:val="en-US" w:eastAsia="zh-CN"/>
              </w:rPr>
              <w:t>3</w:t>
            </w:r>
            <w:r>
              <w:rPr>
                <w:rFonts w:hint="eastAsia"/>
                <w:lang w:val="en-US" w:eastAsia="zh-CN"/>
              </w:rPr>
              <w:t>和硫酸雾易溶于水，在吸收塔内与液相接触吸收、反应达到吸收净化的目的，反应方程式如下：</w:t>
            </w:r>
          </w:p>
          <w:p>
            <w:pPr>
              <w:keepNext w:val="0"/>
              <w:keepLines w:val="0"/>
              <w:suppressLineNumbers w:val="0"/>
              <w:spacing w:before="0" w:beforeAutospacing="0" w:after="0" w:afterAutospacing="0" w:line="360" w:lineRule="auto"/>
              <w:ind w:left="0" w:right="0" w:firstLine="480"/>
              <w:rPr>
                <w:rFonts w:hint="eastAsia" w:ascii="Times New Roman" w:hAnsi="Times New Roman" w:eastAsia="仿宋_GB2312" w:cs="Times New Roman"/>
                <w:sz w:val="24"/>
                <w:szCs w:val="24"/>
                <w:u w:val="none" w:color="auto"/>
                <w:vertAlign w:val="subscript"/>
                <w:lang w:val="en-US" w:eastAsia="zh-CN"/>
              </w:rPr>
            </w:pPr>
            <w:r>
              <w:rPr>
                <w:rFonts w:hint="eastAsia" w:ascii="Times New Roman" w:hAnsi="Times New Roman" w:eastAsia="仿宋_GB2312" w:cs="Times New Roman"/>
                <w:sz w:val="24"/>
                <w:szCs w:val="24"/>
                <w:u w:val="none" w:color="auto"/>
                <w:lang w:val="en-US" w:eastAsia="zh-CN"/>
              </w:rPr>
              <w:t>NH</w:t>
            </w:r>
            <w:r>
              <w:rPr>
                <w:rFonts w:hint="eastAsia" w:ascii="Times New Roman" w:hAnsi="Times New Roman" w:eastAsia="仿宋_GB2312" w:cs="Times New Roman"/>
                <w:sz w:val="24"/>
                <w:szCs w:val="24"/>
                <w:u w:val="none" w:color="auto"/>
                <w:vertAlign w:val="subscript"/>
                <w:lang w:val="en-US" w:eastAsia="zh-CN"/>
              </w:rPr>
              <w:t>3</w:t>
            </w:r>
            <w:r>
              <w:rPr>
                <w:rFonts w:hint="eastAsia" w:ascii="Times New Roman" w:hAnsi="Times New Roman" w:eastAsia="仿宋_GB2312" w:cs="Times New Roman"/>
                <w:sz w:val="24"/>
                <w:szCs w:val="24"/>
                <w:u w:val="none" w:color="auto"/>
                <w:lang w:val="en-US" w:eastAsia="zh-CN"/>
              </w:rPr>
              <w:t>+H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SO</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=NH</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HSO</w:t>
            </w:r>
            <w:r>
              <w:rPr>
                <w:rFonts w:hint="eastAsia" w:ascii="Times New Roman" w:hAnsi="Times New Roman" w:eastAsia="仿宋_GB2312" w:cs="Times New Roman"/>
                <w:sz w:val="24"/>
                <w:szCs w:val="24"/>
                <w:u w:val="none" w:color="auto"/>
                <w:vertAlign w:val="subscript"/>
                <w:lang w:val="en-US" w:eastAsia="zh-CN"/>
              </w:rPr>
              <w:t>4</w:t>
            </w:r>
          </w:p>
          <w:p>
            <w:pPr>
              <w:keepNext w:val="0"/>
              <w:keepLines w:val="0"/>
              <w:suppressLineNumbers w:val="0"/>
              <w:spacing w:before="0" w:beforeAutospacing="0" w:after="0" w:afterAutospacing="0" w:line="360" w:lineRule="auto"/>
              <w:ind w:left="0" w:right="0" w:firstLine="480"/>
              <w:rPr>
                <w:rFonts w:hint="eastAsia" w:ascii="Times New Roman" w:hAnsi="Times New Roman" w:eastAsia="仿宋_GB2312" w:cs="Times New Roman"/>
                <w:sz w:val="24"/>
                <w:szCs w:val="24"/>
                <w:u w:val="none" w:color="auto"/>
                <w:lang w:val="en-US" w:eastAsia="zh-CN"/>
              </w:rPr>
            </w:pPr>
            <w:r>
              <w:rPr>
                <w:rFonts w:hint="eastAsia" w:ascii="Times New Roman" w:hAnsi="Times New Roman" w:eastAsia="仿宋_GB2312" w:cs="Times New Roman"/>
                <w:sz w:val="24"/>
                <w:szCs w:val="24"/>
                <w:u w:val="none" w:color="auto"/>
                <w:lang w:val="en-US" w:eastAsia="zh-CN"/>
              </w:rPr>
              <w:t>NH</w:t>
            </w:r>
            <w:r>
              <w:rPr>
                <w:rFonts w:hint="eastAsia" w:ascii="Times New Roman" w:hAnsi="Times New Roman" w:eastAsia="仿宋_GB2312" w:cs="Times New Roman"/>
                <w:sz w:val="24"/>
                <w:szCs w:val="24"/>
                <w:u w:val="none" w:color="auto"/>
                <w:vertAlign w:val="subscript"/>
                <w:lang w:val="en-US" w:eastAsia="zh-CN"/>
              </w:rPr>
              <w:t>3</w:t>
            </w:r>
            <w:r>
              <w:rPr>
                <w:rFonts w:hint="eastAsia" w:ascii="Times New Roman" w:hAnsi="Times New Roman" w:eastAsia="仿宋_GB2312" w:cs="Times New Roman"/>
                <w:sz w:val="24"/>
                <w:szCs w:val="24"/>
                <w:u w:val="none" w:color="auto"/>
                <w:lang w:val="en-US" w:eastAsia="zh-CN"/>
              </w:rPr>
              <w:t>+H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O=NH</w:t>
            </w:r>
            <w:r>
              <w:rPr>
                <w:rFonts w:hint="eastAsia" w:ascii="Times New Roman" w:hAnsi="Times New Roman" w:eastAsia="仿宋_GB2312" w:cs="Times New Roman"/>
                <w:sz w:val="24"/>
                <w:szCs w:val="24"/>
                <w:u w:val="none" w:color="auto"/>
                <w:vertAlign w:val="subscript"/>
                <w:lang w:val="en-US" w:eastAsia="zh-CN"/>
              </w:rPr>
              <w:t>4</w:t>
            </w:r>
            <w:r>
              <w:rPr>
                <w:rFonts w:hint="default" w:ascii="Times New Roman" w:hAnsi="Times New Roman" w:eastAsia="仿宋_GB2312" w:cs="Times New Roman"/>
                <w:sz w:val="24"/>
                <w:szCs w:val="24"/>
                <w:u w:val="none" w:color="auto"/>
                <w:vertAlign w:val="baseline"/>
                <w:lang w:val="en-US" w:eastAsia="zh-CN"/>
              </w:rPr>
              <w:t>·</w:t>
            </w:r>
            <w:r>
              <w:rPr>
                <w:rFonts w:hint="eastAsia" w:ascii="Times New Roman" w:hAnsi="Times New Roman" w:eastAsia="仿宋_GB2312" w:cs="Times New Roman"/>
                <w:sz w:val="24"/>
                <w:szCs w:val="24"/>
                <w:u w:val="none" w:color="auto"/>
                <w:lang w:val="en-US" w:eastAsia="zh-CN"/>
              </w:rPr>
              <w:t>OH</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废气中H</w:t>
            </w:r>
            <w:r>
              <w:rPr>
                <w:rFonts w:hint="eastAsia"/>
                <w:vertAlign w:val="subscript"/>
                <w:lang w:val="en-US" w:eastAsia="zh-CN"/>
              </w:rPr>
              <w:t>2</w:t>
            </w:r>
            <w:r>
              <w:rPr>
                <w:rFonts w:hint="eastAsia"/>
                <w:lang w:val="en-US" w:eastAsia="zh-CN"/>
              </w:rPr>
              <w:t>S与KOH发生反应，达到去除H</w:t>
            </w:r>
            <w:r>
              <w:rPr>
                <w:rFonts w:hint="eastAsia"/>
                <w:vertAlign w:val="subscript"/>
                <w:lang w:val="en-US" w:eastAsia="zh-CN"/>
              </w:rPr>
              <w:t>2</w:t>
            </w:r>
            <w:r>
              <w:rPr>
                <w:rFonts w:hint="eastAsia"/>
                <w:lang w:val="en-US" w:eastAsia="zh-CN"/>
              </w:rPr>
              <w:t>S的目的，反应方程式如下：</w:t>
            </w:r>
          </w:p>
          <w:p>
            <w:pPr>
              <w:keepNext w:val="0"/>
              <w:keepLines w:val="0"/>
              <w:suppressLineNumbers w:val="0"/>
              <w:bidi w:val="0"/>
              <w:spacing w:before="0" w:beforeAutospacing="0" w:after="0" w:afterAutospacing="0"/>
              <w:ind w:left="0" w:right="0"/>
              <w:rPr>
                <w:rFonts w:hint="eastAsia" w:ascii="Times New Roman" w:hAnsi="Times New Roman" w:eastAsia="仿宋_GB2312" w:cs="Times New Roman"/>
                <w:szCs w:val="24"/>
                <w:u w:val="none" w:color="auto"/>
                <w:lang w:val="en-US" w:eastAsia="zh-CN"/>
              </w:rPr>
            </w:pPr>
            <w:r>
              <w:rPr>
                <w:rFonts w:hint="eastAsia"/>
                <w:lang w:val="en-US" w:eastAsia="zh-CN"/>
              </w:rPr>
              <w:t>2KOH+H</w:t>
            </w:r>
            <w:r>
              <w:rPr>
                <w:rFonts w:hint="eastAsia"/>
                <w:vertAlign w:val="subscript"/>
                <w:lang w:val="en-US" w:eastAsia="zh-CN"/>
              </w:rPr>
              <w:t>2</w:t>
            </w:r>
            <w:r>
              <w:rPr>
                <w:rFonts w:hint="eastAsia"/>
                <w:lang w:val="en-US" w:eastAsia="zh-CN"/>
              </w:rPr>
              <w:t>S=K</w:t>
            </w:r>
            <w:r>
              <w:rPr>
                <w:rFonts w:hint="eastAsia"/>
                <w:vertAlign w:val="subscript"/>
                <w:lang w:val="en-US" w:eastAsia="zh-CN"/>
              </w:rPr>
              <w:t>2</w:t>
            </w:r>
            <w:r>
              <w:rPr>
                <w:rFonts w:hint="eastAsia"/>
                <w:lang w:val="en-US" w:eastAsia="zh-CN"/>
              </w:rPr>
              <w:t>S+2H</w:t>
            </w:r>
            <w:r>
              <w:rPr>
                <w:rFonts w:hint="eastAsia"/>
                <w:vertAlign w:val="subscript"/>
                <w:lang w:val="en-US" w:eastAsia="zh-CN"/>
              </w:rPr>
              <w:t>2</w:t>
            </w:r>
            <w:r>
              <w:rPr>
                <w:rFonts w:hint="eastAsia"/>
                <w:lang w:val="en-US" w:eastAsia="zh-CN"/>
              </w:rPr>
              <w:t>O</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硫酸雾与KOH发生反应，达到去除硫酸雾的目的，反应方程式如下：</w:t>
            </w:r>
          </w:p>
          <w:p>
            <w:pPr>
              <w:keepNext w:val="0"/>
              <w:keepLines w:val="0"/>
              <w:suppressLineNumbers w:val="0"/>
              <w:spacing w:before="0" w:beforeAutospacing="0" w:after="0" w:afterAutospacing="0" w:line="360" w:lineRule="auto"/>
              <w:ind w:left="0" w:right="0" w:firstLine="480"/>
              <w:rPr>
                <w:rFonts w:hint="default"/>
                <w:lang w:val="en-US" w:eastAsia="zh-CN"/>
              </w:rPr>
            </w:pPr>
            <w:r>
              <w:rPr>
                <w:rFonts w:hint="eastAsia" w:ascii="Times New Roman" w:hAnsi="Times New Roman" w:eastAsia="仿宋_GB2312" w:cs="Times New Roman"/>
                <w:sz w:val="24"/>
                <w:szCs w:val="24"/>
                <w:u w:val="none" w:color="auto"/>
                <w:lang w:val="en-US" w:eastAsia="zh-CN"/>
              </w:rPr>
              <w:t>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SO</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＋2</w:t>
            </w:r>
            <w:r>
              <w:rPr>
                <w:rFonts w:hint="eastAsia" w:eastAsia="仿宋_GB2312" w:cs="Times New Roman"/>
                <w:sz w:val="24"/>
                <w:szCs w:val="24"/>
                <w:u w:val="none" w:color="auto"/>
                <w:lang w:val="en-US" w:eastAsia="zh-CN"/>
              </w:rPr>
              <w:t>K</w:t>
            </w:r>
            <w:r>
              <w:rPr>
                <w:rFonts w:hint="eastAsia" w:ascii="Times New Roman" w:hAnsi="Times New Roman" w:eastAsia="仿宋_GB2312" w:cs="Times New Roman"/>
                <w:sz w:val="24"/>
                <w:szCs w:val="24"/>
                <w:u w:val="none" w:color="auto"/>
                <w:lang w:val="en-US" w:eastAsia="zh-CN"/>
              </w:rPr>
              <w:t>OH＝</w:t>
            </w:r>
            <w:r>
              <w:rPr>
                <w:rFonts w:hint="eastAsia" w:eastAsia="仿宋_GB2312" w:cs="Times New Roman"/>
                <w:sz w:val="24"/>
                <w:szCs w:val="24"/>
                <w:u w:val="none" w:color="auto"/>
                <w:lang w:val="en-US" w:eastAsia="zh-CN"/>
              </w:rPr>
              <w:t>K</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SO</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＋2H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O</w:t>
            </w:r>
          </w:p>
          <w:p>
            <w:pPr>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本项目采用碱液喷淋塔吸收处理</w:t>
            </w:r>
            <w:r>
              <w:rPr>
                <w:rFonts w:hint="eastAsia"/>
                <w:lang w:val="en-US" w:eastAsia="zh-CN"/>
              </w:rPr>
              <w:t>粉碎、</w:t>
            </w:r>
            <w:r>
              <w:rPr>
                <w:rFonts w:hint="default"/>
                <w:lang w:val="en-US" w:eastAsia="zh-CN"/>
              </w:rPr>
              <w:t>酸解废气、过滤废气，</w:t>
            </w:r>
            <w:r>
              <w:rPr>
                <w:rFonts w:hint="eastAsia"/>
                <w:lang w:val="en-US" w:eastAsia="zh-CN"/>
              </w:rPr>
              <w:t>碱液喷淋塔吸收处理工艺已在异地建成厂区成熟应用，工艺设计硫酸雾的处理效率为90%，NH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S处理效率80%，污染物能够达标排放。</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工艺废气净化后经排气筒</w:t>
            </w:r>
            <w:r>
              <w:rPr>
                <w:rFonts w:hint="eastAsia"/>
                <w:highlight w:val="none"/>
                <w:lang w:val="en-US" w:eastAsia="zh-CN"/>
              </w:rPr>
              <w:t>(DA001)</w:t>
            </w:r>
            <w:r>
              <w:rPr>
                <w:rFonts w:hint="default"/>
                <w:highlight w:val="none"/>
                <w:lang w:val="en-US" w:eastAsia="zh-CN"/>
              </w:rPr>
              <w:t>排放，硫酸雾排放</w:t>
            </w:r>
            <w:r>
              <w:rPr>
                <w:rFonts w:hint="eastAsia"/>
                <w:highlight w:val="none"/>
                <w:lang w:val="en-US" w:eastAsia="zh-CN"/>
              </w:rPr>
              <w:t>浓度</w:t>
            </w:r>
            <w:r>
              <w:rPr>
                <w:rFonts w:hint="default"/>
                <w:highlight w:val="none"/>
                <w:lang w:val="en-US" w:eastAsia="zh-CN"/>
              </w:rPr>
              <w:t>满足《大气污染物综合排放标准》</w:t>
            </w:r>
            <w:r>
              <w:rPr>
                <w:rFonts w:hint="eastAsia"/>
                <w:highlight w:val="none"/>
                <w:lang w:val="en-US" w:eastAsia="zh-CN"/>
              </w:rPr>
              <w:t>(</w:t>
            </w:r>
            <w:r>
              <w:rPr>
                <w:rFonts w:hint="default"/>
                <w:highlight w:val="none"/>
                <w:lang w:val="en-US" w:eastAsia="zh-CN"/>
              </w:rPr>
              <w:t>GB16297-1996</w:t>
            </w:r>
            <w:r>
              <w:rPr>
                <w:rFonts w:hint="eastAsia"/>
                <w:highlight w:val="none"/>
                <w:lang w:val="en-US" w:eastAsia="zh-CN"/>
              </w:rPr>
              <w:t>)</w:t>
            </w:r>
            <w:r>
              <w:rPr>
                <w:rFonts w:hint="default"/>
                <w:highlight w:val="none"/>
                <w:lang w:val="en-US" w:eastAsia="zh-CN"/>
              </w:rPr>
              <w:t>表2中二级标准</w:t>
            </w:r>
            <w:r>
              <w:rPr>
                <w:rFonts w:hint="eastAsia"/>
                <w:highlight w:val="none"/>
                <w:lang w:val="en-US" w:eastAsia="zh-CN"/>
              </w:rPr>
              <w:t>要求</w:t>
            </w:r>
            <w:r>
              <w:rPr>
                <w:rFonts w:hint="default"/>
                <w:highlight w:val="none"/>
                <w:lang w:val="en-US" w:eastAsia="zh-CN"/>
              </w:rPr>
              <w:t>；NH</w:t>
            </w:r>
            <w:r>
              <w:rPr>
                <w:rFonts w:hint="default"/>
                <w:highlight w:val="none"/>
                <w:vertAlign w:val="subscript"/>
                <w:lang w:val="en-US" w:eastAsia="zh-CN"/>
              </w:rPr>
              <w:t>3</w:t>
            </w:r>
            <w:r>
              <w:rPr>
                <w:rFonts w:hint="default"/>
                <w:highlight w:val="none"/>
                <w:lang w:val="en-US" w:eastAsia="zh-CN"/>
              </w:rPr>
              <w:t>、H</w:t>
            </w:r>
            <w:r>
              <w:rPr>
                <w:rFonts w:hint="default"/>
                <w:highlight w:val="none"/>
                <w:vertAlign w:val="subscript"/>
                <w:lang w:val="en-US" w:eastAsia="zh-CN"/>
              </w:rPr>
              <w:t>2</w:t>
            </w:r>
            <w:r>
              <w:rPr>
                <w:rFonts w:hint="default"/>
                <w:highlight w:val="none"/>
                <w:lang w:val="en-US" w:eastAsia="zh-CN"/>
              </w:rPr>
              <w:t>S排放</w:t>
            </w:r>
            <w:r>
              <w:rPr>
                <w:rFonts w:hint="eastAsia"/>
                <w:highlight w:val="none"/>
                <w:lang w:val="en-US" w:eastAsia="zh-CN"/>
              </w:rPr>
              <w:t>速率</w:t>
            </w:r>
            <w:r>
              <w:rPr>
                <w:rFonts w:hint="default"/>
                <w:highlight w:val="none"/>
                <w:lang w:val="en-US" w:eastAsia="zh-CN"/>
              </w:rPr>
              <w:t>满足《恶臭污染物排放标准》</w:t>
            </w:r>
            <w:r>
              <w:rPr>
                <w:rFonts w:hint="eastAsia"/>
                <w:highlight w:val="none"/>
                <w:lang w:val="en-US" w:eastAsia="zh-CN"/>
              </w:rPr>
              <w:t>(</w:t>
            </w:r>
            <w:r>
              <w:rPr>
                <w:rFonts w:hint="default"/>
                <w:highlight w:val="none"/>
                <w:lang w:val="en-US" w:eastAsia="zh-CN"/>
              </w:rPr>
              <w:t>GB14554-93</w:t>
            </w:r>
            <w:r>
              <w:rPr>
                <w:rFonts w:hint="eastAsia"/>
                <w:highlight w:val="none"/>
                <w:lang w:val="en-US" w:eastAsia="zh-CN"/>
              </w:rPr>
              <w:t>)</w:t>
            </w:r>
            <w:r>
              <w:rPr>
                <w:rFonts w:hint="default"/>
                <w:highlight w:val="none"/>
                <w:lang w:val="en-US" w:eastAsia="zh-CN"/>
              </w:rPr>
              <w:t>表2恶臭污染物排放标准值</w:t>
            </w:r>
            <w:r>
              <w:rPr>
                <w:rFonts w:hint="eastAsia"/>
                <w:highlight w:val="none"/>
                <w:lang w:val="en-US" w:eastAsia="zh-CN"/>
              </w:rPr>
              <w:t>要求</w:t>
            </w:r>
            <w:r>
              <w:rPr>
                <w:rFonts w:hint="default"/>
                <w:highlight w:val="none"/>
                <w:lang w:val="en-US" w:eastAsia="zh-CN"/>
              </w:rPr>
              <w:t>，处理措施可行。</w:t>
            </w:r>
          </w:p>
          <w:p>
            <w:pPr>
              <w:pStyle w:val="5"/>
              <w:suppressLineNumbers w:val="0"/>
              <w:bidi w:val="0"/>
              <w:spacing w:before="0" w:beforeAutospacing="0" w:after="0" w:afterAutospacing="0"/>
              <w:ind w:right="0"/>
              <w:rPr>
                <w:rFonts w:hint="default"/>
                <w:lang w:val="en-US" w:eastAsia="zh-CN"/>
              </w:rPr>
            </w:pPr>
            <w:r>
              <w:rPr>
                <w:rFonts w:hint="default"/>
                <w:lang w:val="en-US" w:eastAsia="zh-CN"/>
              </w:rPr>
              <w:t>无组织废气防治措施</w:t>
            </w:r>
          </w:p>
          <w:p>
            <w:pPr>
              <w:pStyle w:val="6"/>
              <w:numPr>
                <w:ilvl w:val="3"/>
                <w:numId w:val="11"/>
              </w:numPr>
              <w:suppressLineNumbers w:val="0"/>
              <w:bidi w:val="0"/>
              <w:spacing w:before="0" w:after="0"/>
              <w:ind w:right="0"/>
              <w:rPr>
                <w:rFonts w:hint="default"/>
                <w:lang w:val="en-US" w:eastAsia="zh-CN"/>
              </w:rPr>
            </w:pPr>
            <w:r>
              <w:rPr>
                <w:rFonts w:hint="default"/>
                <w:lang w:val="en-US" w:eastAsia="zh-CN"/>
              </w:rPr>
              <w:t>严格控制生产工艺参数，减少废气的排放量。</w:t>
            </w:r>
          </w:p>
          <w:p>
            <w:pPr>
              <w:pStyle w:val="6"/>
              <w:numPr>
                <w:ilvl w:val="3"/>
                <w:numId w:val="11"/>
              </w:numPr>
              <w:suppressLineNumbers w:val="0"/>
              <w:bidi w:val="0"/>
              <w:spacing w:before="0" w:after="0"/>
              <w:ind w:right="0"/>
              <w:rPr>
                <w:rFonts w:hint="default"/>
                <w:lang w:val="en-US" w:eastAsia="zh-CN"/>
              </w:rPr>
            </w:pPr>
            <w:r>
              <w:rPr>
                <w:rFonts w:hint="default"/>
                <w:lang w:val="en-US" w:eastAsia="zh-CN"/>
              </w:rPr>
              <w:t>加强对各类废气收集与处理装置的检查和维护，保障其稳定运行，</w:t>
            </w:r>
            <w:r>
              <w:rPr>
                <w:rFonts w:hint="default" w:eastAsia="宋体"/>
                <w:lang w:val="en-US" w:eastAsia="zh-CN"/>
              </w:rPr>
              <w:t>减少装置的跑、冒、滴、漏</w:t>
            </w:r>
            <w:r>
              <w:rPr>
                <w:rFonts w:hint="eastAsia" w:eastAsia="宋体"/>
                <w:lang w:val="en-US" w:eastAsia="zh-CN"/>
              </w:rPr>
              <w:t>，</w:t>
            </w:r>
            <w:r>
              <w:rPr>
                <w:rFonts w:hint="default"/>
                <w:lang w:val="en-US" w:eastAsia="zh-CN"/>
              </w:rPr>
              <w:t>避免事故无组织排放。</w:t>
            </w:r>
          </w:p>
          <w:p>
            <w:pPr>
              <w:pStyle w:val="6"/>
              <w:numPr>
                <w:ilvl w:val="3"/>
                <w:numId w:val="11"/>
              </w:numPr>
              <w:suppressLineNumbers w:val="0"/>
              <w:bidi w:val="0"/>
              <w:spacing w:before="0" w:after="0"/>
              <w:ind w:right="0"/>
              <w:rPr>
                <w:rFonts w:hint="default"/>
                <w:lang w:val="en-US" w:eastAsia="zh-CN"/>
              </w:rPr>
            </w:pPr>
            <w:r>
              <w:rPr>
                <w:rFonts w:hint="default"/>
                <w:lang w:val="en-US" w:eastAsia="zh-CN"/>
              </w:rPr>
              <w:t>合理设计生产车间集气装置与进风门窗的相对位置，避免出现局部对流</w:t>
            </w:r>
            <w:r>
              <w:rPr>
                <w:rFonts w:hint="eastAsia"/>
                <w:lang w:val="en-US" w:eastAsia="zh-CN"/>
              </w:rPr>
              <w:t>，</w:t>
            </w:r>
            <w:r>
              <w:rPr>
                <w:rFonts w:hint="default"/>
                <w:lang w:val="en-US" w:eastAsia="zh-CN"/>
              </w:rPr>
              <w:t>影响车间内废气的捕集效率。</w:t>
            </w:r>
            <w:r>
              <w:rPr>
                <w:rFonts w:hint="default" w:eastAsia="宋体"/>
                <w:lang w:val="en-US" w:eastAsia="zh-CN"/>
              </w:rPr>
              <w:t>将产生无组织废气的工序布置在远离厂界的地方，以减少无组织废气对厂界周围环境的影响。</w:t>
            </w:r>
          </w:p>
          <w:p>
            <w:pPr>
              <w:pStyle w:val="6"/>
              <w:numPr>
                <w:ilvl w:val="3"/>
                <w:numId w:val="11"/>
              </w:numPr>
              <w:suppressLineNumbers w:val="0"/>
              <w:bidi w:val="0"/>
              <w:spacing w:before="0" w:after="0"/>
              <w:ind w:right="0"/>
              <w:rPr>
                <w:rFonts w:hint="default" w:eastAsia="宋体"/>
                <w:lang w:val="en-US" w:eastAsia="zh-CN"/>
              </w:rPr>
            </w:pPr>
            <w:r>
              <w:rPr>
                <w:rFonts w:hint="default" w:eastAsia="宋体"/>
                <w:lang w:val="en-US" w:eastAsia="zh-CN"/>
              </w:rPr>
              <w:t>建设单位在生产过程中将加强对生产各加工工序的监控力度，保证生产设备设施密闭性，杜绝敞开式作业，有效控制无组织排放排放。</w:t>
            </w:r>
          </w:p>
          <w:p>
            <w:pPr>
              <w:pStyle w:val="6"/>
              <w:numPr>
                <w:ilvl w:val="3"/>
                <w:numId w:val="11"/>
              </w:numPr>
              <w:suppressLineNumbers w:val="0"/>
              <w:bidi w:val="0"/>
              <w:spacing w:before="0" w:after="0"/>
              <w:ind w:right="0"/>
              <w:rPr>
                <w:rFonts w:hint="default" w:eastAsia="宋体"/>
                <w:lang w:val="en-US" w:eastAsia="zh-CN"/>
              </w:rPr>
            </w:pPr>
            <w:r>
              <w:rPr>
                <w:rFonts w:hint="default" w:eastAsia="宋体"/>
                <w:lang w:val="en-US" w:eastAsia="zh-CN"/>
              </w:rPr>
              <w:t>加强绿化。在厂区四周设置高4~5m的绿色隔离带，种植芳香的木本植物减少和遏制臭味。通过绿化组成一道绿色防护屏障，以减少无组织排放对周围环境的影响。</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以上措施在已建成运行厂区实际运用中效果良好，类比长春市病死畜禽无害化集中处理中心项目竣工环境保护验收监测数据(厂界无组织监控浓度最大值：NH</w:t>
            </w:r>
            <w:r>
              <w:rPr>
                <w:rFonts w:hint="eastAsia"/>
                <w:vertAlign w:val="subscript"/>
                <w:lang w:val="en-US" w:eastAsia="zh-CN"/>
              </w:rPr>
              <w:t>3</w:t>
            </w:r>
            <w:r>
              <w:rPr>
                <w:rFonts w:hint="eastAsia"/>
                <w:vertAlign w:val="baseline"/>
                <w:lang w:val="en-US" w:eastAsia="zh-CN"/>
              </w:rPr>
              <w:t xml:space="preserve"> </w:t>
            </w:r>
            <w:r>
              <w:rPr>
                <w:rFonts w:hint="eastAsia"/>
                <w:lang w:val="en-US" w:eastAsia="zh-CN"/>
              </w:rPr>
              <w:t>1.3mg/m</w:t>
            </w:r>
            <w:r>
              <w:rPr>
                <w:rFonts w:hint="eastAsia"/>
                <w:vertAlign w:val="superscript"/>
                <w:lang w:val="en-US" w:eastAsia="zh-CN"/>
              </w:rPr>
              <w:t>3</w:t>
            </w:r>
            <w:r>
              <w:rPr>
                <w:rFonts w:hint="eastAsia"/>
                <w:vertAlign w:val="baseline"/>
                <w:lang w:val="en-US" w:eastAsia="zh-CN"/>
              </w:rPr>
              <w:t>、H</w:t>
            </w:r>
            <w:r>
              <w:rPr>
                <w:rFonts w:hint="eastAsia"/>
                <w:vertAlign w:val="subscript"/>
                <w:lang w:val="en-US" w:eastAsia="zh-CN"/>
              </w:rPr>
              <w:t>2</w:t>
            </w:r>
            <w:r>
              <w:rPr>
                <w:rFonts w:hint="eastAsia"/>
                <w:vertAlign w:val="baseline"/>
                <w:lang w:val="en-US" w:eastAsia="zh-CN"/>
              </w:rPr>
              <w:t>S 0.039</w:t>
            </w:r>
            <w:r>
              <w:rPr>
                <w:rFonts w:hint="eastAsia"/>
                <w:lang w:val="en-US" w:eastAsia="zh-CN"/>
              </w:rPr>
              <w:t>mg/m</w:t>
            </w:r>
            <w:r>
              <w:rPr>
                <w:rFonts w:hint="eastAsia"/>
                <w:vertAlign w:val="superscript"/>
                <w:lang w:val="en-US" w:eastAsia="zh-CN"/>
              </w:rPr>
              <w:t>3</w:t>
            </w:r>
            <w:r>
              <w:rPr>
                <w:rFonts w:hint="eastAsia"/>
                <w:vertAlign w:val="baseline"/>
                <w:lang w:val="en-US" w:eastAsia="zh-CN"/>
              </w:rPr>
              <w:t>、硫酸雾0.362</w:t>
            </w:r>
            <w:r>
              <w:rPr>
                <w:rFonts w:hint="eastAsia"/>
                <w:lang w:val="en-US" w:eastAsia="zh-CN"/>
              </w:rPr>
              <w:t>mg/m</w:t>
            </w:r>
            <w:r>
              <w:rPr>
                <w:rFonts w:hint="eastAsia"/>
                <w:vertAlign w:val="superscript"/>
                <w:lang w:val="en-US" w:eastAsia="zh-CN"/>
              </w:rPr>
              <w:t>3</w:t>
            </w:r>
            <w:r>
              <w:rPr>
                <w:rFonts w:hint="eastAsia"/>
                <w:lang w:val="en-US" w:eastAsia="zh-CN"/>
              </w:rPr>
              <w:t>)，无组织废气经过上述治理、减量和净化后，硫酸雾无组织监控浓度能够满足《大气污染物综合排放标准》(GB16297-1996)无组织监控浓度限值要求；H</w:t>
            </w:r>
            <w:r>
              <w:rPr>
                <w:rFonts w:hint="eastAsia"/>
                <w:vertAlign w:val="subscript"/>
                <w:lang w:val="en-US" w:eastAsia="zh-CN"/>
              </w:rPr>
              <w:t>2</w:t>
            </w:r>
            <w:r>
              <w:rPr>
                <w:rFonts w:hint="eastAsia"/>
                <w:lang w:val="en-US" w:eastAsia="zh-CN"/>
              </w:rPr>
              <w:t>S、NH</w:t>
            </w:r>
            <w:r>
              <w:rPr>
                <w:rFonts w:hint="eastAsia"/>
                <w:vertAlign w:val="subscript"/>
                <w:lang w:val="en-US" w:eastAsia="zh-CN"/>
              </w:rPr>
              <w:t>3</w:t>
            </w:r>
            <w:r>
              <w:rPr>
                <w:rFonts w:hint="eastAsia"/>
                <w:lang w:val="en-US" w:eastAsia="zh-CN"/>
              </w:rPr>
              <w:t>及臭气浓度能够满足《恶臭污染物排放标准》(GB14554-93)厂界标准限值要求，治理措施可行。</w:t>
            </w:r>
          </w:p>
          <w:p>
            <w:pPr>
              <w:pStyle w:val="5"/>
              <w:suppressLineNumbers w:val="0"/>
              <w:bidi w:val="0"/>
              <w:spacing w:before="0" w:beforeAutospacing="0" w:after="0" w:afterAutospacing="0"/>
              <w:ind w:right="0"/>
              <w:rPr>
                <w:rFonts w:hint="default"/>
                <w:lang w:val="en-US" w:eastAsia="zh-CN"/>
              </w:rPr>
            </w:pPr>
            <w:r>
              <w:rPr>
                <w:rFonts w:hint="eastAsia"/>
                <w:lang w:val="en-US" w:eastAsia="zh-CN"/>
              </w:rPr>
              <w:t>锅炉废气防治措施</w:t>
            </w:r>
          </w:p>
          <w:p>
            <w:pPr>
              <w:keepNext w:val="0"/>
              <w:keepLines w:val="0"/>
              <w:suppressLineNumbers w:val="0"/>
              <w:bidi w:val="0"/>
              <w:spacing w:before="0" w:beforeAutospacing="0" w:after="0" w:afterAutospacing="0"/>
              <w:ind w:left="0" w:right="0"/>
              <w:rPr>
                <w:rFonts w:hint="default"/>
                <w:lang w:val="en-US" w:eastAsia="zh-CN"/>
              </w:rPr>
            </w:pPr>
            <w:r>
              <w:rPr>
                <w:rFonts w:hint="eastAsia"/>
                <w:color w:val="auto"/>
                <w:lang w:val="en-US" w:eastAsia="zh-CN"/>
              </w:rPr>
              <w:t>锅炉燃烧清洁燃料</w:t>
            </w:r>
            <w:r>
              <w:rPr>
                <w:rFonts w:hint="eastAsia"/>
                <w:color w:val="auto"/>
                <w:highlight w:val="none"/>
                <w:lang w:val="en-US" w:eastAsia="zh-CN"/>
              </w:rPr>
              <w:t>天然气</w:t>
            </w:r>
            <w:r>
              <w:rPr>
                <w:rFonts w:hint="eastAsia"/>
                <w:color w:val="auto"/>
                <w:lang w:val="en-US" w:eastAsia="zh-CN"/>
              </w:rPr>
              <w:t>，烟气</w:t>
            </w:r>
            <w:r>
              <w:rPr>
                <w:rFonts w:hint="default"/>
                <w:color w:val="auto"/>
                <w:lang w:val="en-US" w:eastAsia="zh-CN"/>
              </w:rPr>
              <w:t>经</w:t>
            </w:r>
            <w:r>
              <w:rPr>
                <w:rFonts w:hint="eastAsia"/>
                <w:color w:val="auto"/>
                <w:lang w:val="en-US" w:eastAsia="zh-CN"/>
              </w:rPr>
              <w:t>8</w:t>
            </w:r>
            <w:r>
              <w:rPr>
                <w:rFonts w:hint="default"/>
                <w:color w:val="auto"/>
                <w:lang w:val="en-US" w:eastAsia="zh-CN"/>
              </w:rPr>
              <w:t>m</w:t>
            </w:r>
            <w:r>
              <w:rPr>
                <w:rFonts w:hint="eastAsia"/>
                <w:color w:val="auto"/>
                <w:lang w:val="en-US" w:eastAsia="zh-CN"/>
              </w:rPr>
              <w:t>(DA002)</w:t>
            </w:r>
            <w:r>
              <w:rPr>
                <w:rFonts w:hint="default"/>
                <w:color w:val="auto"/>
                <w:lang w:val="en-US" w:eastAsia="zh-CN"/>
              </w:rPr>
              <w:t>排气</w:t>
            </w:r>
            <w:r>
              <w:rPr>
                <w:rFonts w:hint="default"/>
                <w:lang w:val="en-US" w:eastAsia="zh-CN"/>
              </w:rPr>
              <w:t>筒排放。</w:t>
            </w:r>
          </w:p>
          <w:p>
            <w:pPr>
              <w:keepNext w:val="0"/>
              <w:keepLines w:val="0"/>
              <w:suppressLineNumbers w:val="0"/>
              <w:bidi w:val="0"/>
              <w:spacing w:before="0" w:beforeAutospacing="0" w:after="0" w:afterAutospacing="0"/>
              <w:ind w:left="0" w:right="0"/>
              <w:rPr>
                <w:rFonts w:hint="eastAsia"/>
                <w:lang w:val="en-US" w:eastAsia="zh-CN"/>
              </w:rPr>
            </w:pPr>
            <w:r>
              <w:rPr>
                <w:rFonts w:hint="eastAsia"/>
                <w:lang w:eastAsia="zh-CN"/>
              </w:rPr>
              <w:t>锅炉烟气</w:t>
            </w:r>
            <w:r>
              <w:rPr>
                <w:rFonts w:hint="eastAsia"/>
                <w:color w:val="auto"/>
                <w:lang w:val="en-US" w:eastAsia="zh-CN"/>
              </w:rPr>
              <w:t>主要污染物排放浓度</w:t>
            </w:r>
            <w:r>
              <w:rPr>
                <w:rFonts w:hint="eastAsia"/>
                <w:lang w:val="en-US" w:eastAsia="zh-CN"/>
              </w:rPr>
              <w:t>可满足</w:t>
            </w:r>
            <w:r>
              <w:rPr>
                <w:rFonts w:hint="eastAsia"/>
                <w:lang w:eastAsia="zh-CN"/>
              </w:rPr>
              <w:t>《锅炉大气污染物排放标准》(GB13271-2014)中大气污染物</w:t>
            </w:r>
            <w:r>
              <w:rPr>
                <w:rFonts w:hint="eastAsia"/>
                <w:lang w:val="en-US" w:eastAsia="zh-CN"/>
              </w:rPr>
              <w:t>特别</w:t>
            </w:r>
            <w:r>
              <w:rPr>
                <w:rFonts w:hint="eastAsia"/>
                <w:lang w:eastAsia="zh-CN"/>
              </w:rPr>
              <w:t>排放限值。</w:t>
            </w:r>
          </w:p>
          <w:p>
            <w:pPr>
              <w:pStyle w:val="5"/>
              <w:suppressLineNumbers w:val="0"/>
              <w:bidi w:val="0"/>
              <w:spacing w:before="0" w:beforeAutospacing="0" w:after="0" w:afterAutospacing="0"/>
              <w:ind w:right="0"/>
              <w:rPr>
                <w:rFonts w:hint="eastAsia"/>
                <w:lang w:val="en-US" w:eastAsia="zh-CN"/>
              </w:rPr>
            </w:pPr>
            <w:r>
              <w:rPr>
                <w:rFonts w:hint="eastAsia"/>
                <w:lang w:val="en-US" w:eastAsia="zh-CN"/>
              </w:rPr>
              <w:t>臭气防治措施</w:t>
            </w:r>
          </w:p>
          <w:p>
            <w:pPr>
              <w:pStyle w:val="6"/>
              <w:numPr>
                <w:ilvl w:val="3"/>
                <w:numId w:val="12"/>
              </w:numPr>
              <w:suppressLineNumbers w:val="0"/>
              <w:bidi w:val="0"/>
              <w:spacing w:before="0" w:after="0"/>
              <w:ind w:right="0"/>
              <w:rPr>
                <w:rFonts w:hint="eastAsia"/>
                <w:lang w:val="en-US" w:eastAsia="zh-CN"/>
              </w:rPr>
            </w:pPr>
            <w:r>
              <w:rPr>
                <w:rFonts w:hint="eastAsia" w:eastAsia="宋体"/>
                <w:lang w:val="en-US" w:eastAsia="zh-CN"/>
              </w:rPr>
              <w:t>生产</w:t>
            </w:r>
            <w:r>
              <w:rPr>
                <w:rFonts w:hint="eastAsia"/>
                <w:lang w:val="en-US" w:eastAsia="zh-CN"/>
              </w:rPr>
              <w:t>设备中收集的臭气进入碱液喷淋塔净化处理后达标排放；</w:t>
            </w:r>
          </w:p>
          <w:p>
            <w:pPr>
              <w:pStyle w:val="6"/>
              <w:numPr>
                <w:ilvl w:val="3"/>
                <w:numId w:val="12"/>
              </w:numPr>
              <w:suppressLineNumbers w:val="0"/>
              <w:bidi w:val="0"/>
              <w:spacing w:before="0" w:after="0"/>
              <w:ind w:right="0"/>
              <w:rPr>
                <w:rFonts w:hint="eastAsia"/>
                <w:lang w:val="en-US" w:eastAsia="zh-CN"/>
              </w:rPr>
            </w:pPr>
            <w:r>
              <w:rPr>
                <w:rFonts w:hint="default" w:eastAsia="宋体"/>
                <w:lang w:val="en-US" w:eastAsia="zh-CN"/>
              </w:rPr>
              <w:t>加强绿化。在厂区四周设置高4</w:t>
            </w:r>
            <w:r>
              <w:rPr>
                <w:rFonts w:hint="eastAsia" w:eastAsia="宋体"/>
                <w:lang w:val="en-US" w:eastAsia="zh-CN"/>
              </w:rPr>
              <w:t>~</w:t>
            </w:r>
            <w:r>
              <w:rPr>
                <w:rFonts w:hint="default" w:eastAsia="宋体"/>
                <w:lang w:val="en-US" w:eastAsia="zh-CN"/>
              </w:rPr>
              <w:t>5m的绿色隔离带，能较好减少和遏制臭味</w:t>
            </w:r>
            <w:r>
              <w:rPr>
                <w:rFonts w:hint="eastAsia"/>
                <w:lang w:val="en-US" w:eastAsia="zh-CN"/>
              </w:rPr>
              <w:t>；</w:t>
            </w:r>
          </w:p>
          <w:p>
            <w:pPr>
              <w:pStyle w:val="6"/>
              <w:numPr>
                <w:ilvl w:val="3"/>
                <w:numId w:val="12"/>
              </w:numPr>
              <w:suppressLineNumbers w:val="0"/>
              <w:bidi w:val="0"/>
              <w:spacing w:before="0" w:after="0"/>
              <w:ind w:right="0"/>
              <w:rPr>
                <w:rFonts w:hint="eastAsia" w:eastAsia="宋体"/>
                <w:lang w:val="en-US" w:eastAsia="zh-CN"/>
              </w:rPr>
            </w:pPr>
            <w:r>
              <w:rPr>
                <w:rFonts w:hint="default" w:eastAsia="宋体"/>
                <w:lang w:val="en-US" w:eastAsia="zh-CN"/>
              </w:rPr>
              <w:t>合理设计生产车间</w:t>
            </w:r>
            <w:r>
              <w:rPr>
                <w:rFonts w:hint="eastAsia" w:eastAsia="宋体"/>
                <w:lang w:val="en-US" w:eastAsia="zh-CN"/>
              </w:rPr>
              <w:t>中</w:t>
            </w:r>
            <w:r>
              <w:rPr>
                <w:rFonts w:hint="default" w:eastAsia="宋体"/>
                <w:lang w:val="en-US" w:eastAsia="zh-CN"/>
              </w:rPr>
              <w:t>进风门窗的相对位置，</w:t>
            </w:r>
            <w:r>
              <w:rPr>
                <w:rFonts w:hint="eastAsia" w:eastAsia="宋体"/>
                <w:lang w:val="en-US" w:eastAsia="zh-CN"/>
              </w:rPr>
              <w:t>加强厂房通风，必要时进行厂房空气净化处理</w:t>
            </w:r>
            <w:r>
              <w:rPr>
                <w:rFonts w:hint="eastAsia"/>
                <w:lang w:val="en-US" w:eastAsia="zh-CN"/>
              </w:rPr>
              <w:t>；</w:t>
            </w:r>
          </w:p>
          <w:p>
            <w:pPr>
              <w:pStyle w:val="6"/>
              <w:numPr>
                <w:ilvl w:val="3"/>
                <w:numId w:val="12"/>
              </w:numPr>
              <w:suppressLineNumbers w:val="0"/>
              <w:bidi w:val="0"/>
              <w:spacing w:before="0" w:after="0"/>
              <w:ind w:right="0"/>
              <w:rPr>
                <w:rFonts w:hint="default" w:eastAsia="宋体"/>
                <w:lang w:val="en-US" w:eastAsia="zh-CN"/>
              </w:rPr>
            </w:pPr>
            <w:r>
              <w:rPr>
                <w:rFonts w:hint="default" w:eastAsia="宋体"/>
                <w:lang w:val="en-US" w:eastAsia="zh-CN"/>
              </w:rPr>
              <w:t>生产设备加强管理、及时清洗设备</w:t>
            </w:r>
            <w:r>
              <w:rPr>
                <w:rFonts w:hint="eastAsia"/>
                <w:lang w:val="en-US" w:eastAsia="zh-CN"/>
              </w:rPr>
              <w:t>。</w:t>
            </w:r>
          </w:p>
          <w:p>
            <w:pPr>
              <w:keepNext w:val="0"/>
              <w:keepLines w:val="0"/>
              <w:suppressLineNumbers w:val="0"/>
              <w:bidi w:val="0"/>
              <w:spacing w:before="0" w:beforeAutospacing="0" w:after="0" w:afterAutospacing="0"/>
              <w:ind w:left="0" w:right="0"/>
              <w:rPr>
                <w:rFonts w:hint="default"/>
              </w:rPr>
            </w:pPr>
            <w:r>
              <w:rPr>
                <w:rFonts w:hint="eastAsia"/>
                <w:lang w:val="en-US" w:eastAsia="zh-CN"/>
              </w:rPr>
              <w:t>类比长春市病死畜禽无害化集中处理中心项目竣工环境保护验收监测数据(见表22)，采取上述除臭措施后可保证厂界臭气浓度满足《恶臭污染物排放标准》(GB14554-93)表1厂界标准值要求。</w:t>
            </w:r>
          </w:p>
          <w:p>
            <w:pPr>
              <w:pStyle w:val="20"/>
              <w:keepNext w:val="0"/>
              <w:keepLines w:val="0"/>
              <w:suppressLineNumbers w:val="0"/>
              <w:bidi w:val="0"/>
              <w:spacing w:before="0" w:beforeAutospacing="0" w:after="0" w:afterAutospacing="0"/>
              <w:ind w:left="0" w:right="0"/>
              <w:rPr>
                <w:rFonts w:hint="default"/>
              </w:rPr>
            </w:pPr>
            <w:r>
              <w:rPr>
                <w:rFonts w:hint="default"/>
              </w:rPr>
              <w:t>本项目养殖场臭气污染源强一览表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0"/>
              <w:gridCol w:w="2327"/>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3136" w:type="pct"/>
                  <w:gridSpan w:val="2"/>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污染</w:t>
                  </w:r>
                </w:p>
              </w:tc>
              <w:tc>
                <w:tcPr>
                  <w:tcW w:w="186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eastAsia="zh-CN"/>
                    </w:rPr>
                    <w:t>生产</w:t>
                  </w:r>
                  <w:r>
                    <w:rPr>
                      <w:rFonts w:hint="default"/>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670"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eastAsia="zh-CN"/>
                    </w:rPr>
                  </w:pPr>
                  <w:r>
                    <w:rPr>
                      <w:rFonts w:hint="default"/>
                    </w:rPr>
                    <w:t>臭气浓度</w:t>
                  </w:r>
                  <w:r>
                    <w:rPr>
                      <w:rFonts w:hint="eastAsia"/>
                      <w:lang w:eastAsia="zh-CN"/>
                    </w:rPr>
                    <w:t>(无量纲)</w:t>
                  </w:r>
                </w:p>
              </w:tc>
              <w:tc>
                <w:tcPr>
                  <w:tcW w:w="146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产生源强</w:t>
                  </w:r>
                </w:p>
              </w:tc>
              <w:tc>
                <w:tcPr>
                  <w:tcW w:w="186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ascii="Times New Roman" w:hAnsi="Times New Roman" w:cs="Times New Roman"/>
                      <w:lang w:val="en-US" w:eastAsia="zh-CN"/>
                    </w:rPr>
                    <w:t>≤</w:t>
                  </w:r>
                  <w:r>
                    <w:rPr>
                      <w:rFonts w:hint="default"/>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670"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146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排放源强</w:t>
                  </w:r>
                </w:p>
              </w:tc>
              <w:tc>
                <w:tcPr>
                  <w:tcW w:w="186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ascii="Times New Roman" w:hAnsi="Times New Roman" w:cs="Times New Roman"/>
                      <w:lang w:val="en-US" w:eastAsia="zh-CN"/>
                    </w:rPr>
                    <w:t>≤</w:t>
                  </w:r>
                  <w:r>
                    <w:rPr>
                      <w:rFonts w:hint="default"/>
                    </w:rPr>
                    <w:t>20</w:t>
                  </w:r>
                </w:p>
              </w:tc>
            </w:tr>
          </w:tbl>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仿宋_GB2312" w:cs="Times New Roman"/>
                <w:sz w:val="24"/>
                <w:szCs w:val="24"/>
                <w:u w:val="none" w:color="auto"/>
              </w:rPr>
            </w:pPr>
          </w:p>
          <w:p>
            <w:pPr>
              <w:keepNext w:val="0"/>
              <w:keepLines w:val="0"/>
              <w:suppressLineNumbers w:val="0"/>
              <w:bidi w:val="0"/>
              <w:spacing w:before="0" w:beforeAutospacing="0" w:after="0" w:afterAutospacing="0"/>
              <w:ind w:left="0" w:right="0"/>
              <w:rPr>
                <w:rFonts w:hint="eastAsia"/>
                <w:lang w:val="en-US" w:eastAsia="zh-CN"/>
              </w:rPr>
            </w:pPr>
            <w:r>
              <w:rPr>
                <w:rFonts w:hint="default"/>
              </w:rPr>
              <w:t>经采取上述除臭措施后可保证厂界臭气浓度≤</w:t>
            </w:r>
            <w:r>
              <w:rPr>
                <w:rFonts w:hint="eastAsia"/>
                <w:lang w:val="en-US" w:eastAsia="zh-CN"/>
              </w:rPr>
              <w:t>2</w:t>
            </w:r>
            <w:r>
              <w:rPr>
                <w:rFonts w:hint="default"/>
              </w:rPr>
              <w:t>0，满足《恶臭污染物排放标准》</w:t>
            </w:r>
            <w:r>
              <w:rPr>
                <w:rFonts w:hint="eastAsia"/>
                <w:lang w:eastAsia="zh-CN"/>
              </w:rPr>
              <w:t>(</w:t>
            </w:r>
            <w:r>
              <w:rPr>
                <w:rFonts w:hint="default"/>
              </w:rPr>
              <w:t>GB14554-93</w:t>
            </w:r>
            <w:r>
              <w:rPr>
                <w:rFonts w:hint="eastAsia"/>
                <w:lang w:eastAsia="zh-CN"/>
              </w:rPr>
              <w:t>)</w:t>
            </w:r>
            <w:r>
              <w:rPr>
                <w:rFonts w:hint="default"/>
              </w:rPr>
              <w:t>表1二级新改扩建标准值。</w:t>
            </w:r>
          </w:p>
          <w:p>
            <w:pPr>
              <w:pStyle w:val="3"/>
              <w:suppressLineNumbers w:val="0"/>
              <w:bidi w:val="0"/>
              <w:spacing w:before="0" w:after="0"/>
              <w:ind w:right="0"/>
              <w:rPr>
                <w:rFonts w:hint="eastAsia"/>
                <w:lang w:val="en-US" w:eastAsia="zh-CN"/>
              </w:rPr>
            </w:pPr>
            <w:r>
              <w:rPr>
                <w:rFonts w:hint="eastAsia"/>
                <w:lang w:val="en-US" w:eastAsia="zh-CN"/>
              </w:rPr>
              <w:t>废气排放源强</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项目废气源强统计见下表。</w:t>
            </w:r>
          </w:p>
          <w:p>
            <w:pPr>
              <w:pStyle w:val="20"/>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项目有组织废气源强表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37"/>
              <w:gridCol w:w="1984"/>
              <w:gridCol w:w="672"/>
              <w:gridCol w:w="719"/>
              <w:gridCol w:w="831"/>
              <w:gridCol w:w="627"/>
              <w:gridCol w:w="629"/>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57"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排气量</w:t>
                  </w:r>
                </w:p>
              </w:tc>
              <w:tc>
                <w:tcPr>
                  <w:tcW w:w="837"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eastAsia="zh-CN"/>
                    </w:rPr>
                  </w:pPr>
                  <w:r>
                    <w:rPr>
                      <w:rFonts w:hint="eastAsia"/>
                      <w:lang w:eastAsia="zh-CN"/>
                    </w:rPr>
                    <w:t>污染物名称</w:t>
                  </w:r>
                </w:p>
              </w:tc>
              <w:tc>
                <w:tcPr>
                  <w:tcW w:w="1984"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eastAsia="zh-CN"/>
                    </w:rPr>
                  </w:pPr>
                  <w:r>
                    <w:rPr>
                      <w:rFonts w:hint="eastAsia"/>
                      <w:lang w:eastAsia="zh-CN"/>
                    </w:rPr>
                    <w:t>治理措施</w:t>
                  </w:r>
                </w:p>
              </w:tc>
              <w:tc>
                <w:tcPr>
                  <w:tcW w:w="672"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设计净化</w:t>
                  </w:r>
                  <w:r>
                    <w:rPr>
                      <w:rFonts w:hint="eastAsia"/>
                      <w:lang w:eastAsia="zh-CN"/>
                    </w:rPr>
                    <w:t>效率</w:t>
                  </w:r>
                </w:p>
              </w:tc>
              <w:tc>
                <w:tcPr>
                  <w:tcW w:w="2177" w:type="dxa"/>
                  <w:gridSpan w:val="3"/>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eastAsia="zh-CN"/>
                    </w:rPr>
                  </w:pPr>
                  <w:r>
                    <w:rPr>
                      <w:rFonts w:hint="eastAsia"/>
                      <w:lang w:eastAsia="zh-CN"/>
                    </w:rPr>
                    <w:t>排放</w:t>
                  </w:r>
                  <w:r>
                    <w:rPr>
                      <w:rFonts w:hint="eastAsia"/>
                      <w:lang w:val="en-US" w:eastAsia="zh-CN"/>
                    </w:rPr>
                    <w:t>参数</w:t>
                  </w:r>
                </w:p>
              </w:tc>
              <w:tc>
                <w:tcPr>
                  <w:tcW w:w="1443" w:type="dxa"/>
                  <w:gridSpan w:val="2"/>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eastAsia="zh-CN"/>
                    </w:rPr>
                  </w:pPr>
                  <w:r>
                    <w:rPr>
                      <w:rFonts w:hint="eastAsia"/>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57"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837"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1984"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672"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71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eastAsia="zh-CN"/>
                    </w:rPr>
                    <w:t>速率</w:t>
                  </w:r>
                  <w:r>
                    <w:rPr>
                      <w:rFonts w:hint="eastAsia"/>
                      <w:lang w:val="en-US" w:eastAsia="zh-CN"/>
                    </w:rPr>
                    <w:t>kg/h</w:t>
                  </w:r>
                </w:p>
              </w:tc>
              <w:tc>
                <w:tcPr>
                  <w:tcW w:w="831"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eastAsia="zh-CN"/>
                    </w:rPr>
                    <w:t>浓度</w:t>
                  </w:r>
                  <w:r>
                    <w:rPr>
                      <w:rFonts w:hint="eastAsia"/>
                      <w:lang w:val="en-US" w:eastAsia="zh-CN"/>
                    </w:rPr>
                    <w:t>mg/m</w:t>
                  </w:r>
                  <w:r>
                    <w:rPr>
                      <w:rFonts w:hint="eastAsia"/>
                      <w:vertAlign w:val="superscript"/>
                      <w:lang w:val="en-US" w:eastAsia="zh-CN"/>
                    </w:rPr>
                    <w:t>3</w:t>
                  </w:r>
                </w:p>
              </w:tc>
              <w:tc>
                <w:tcPr>
                  <w:tcW w:w="62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eastAsia="zh-CN"/>
                    </w:rPr>
                    <w:t>排放量</w:t>
                  </w:r>
                  <w:r>
                    <w:rPr>
                      <w:rFonts w:hint="eastAsia"/>
                      <w:lang w:val="en-US" w:eastAsia="zh-CN"/>
                    </w:rPr>
                    <w:t>t/a</w:t>
                  </w:r>
                </w:p>
              </w:tc>
              <w:tc>
                <w:tcPr>
                  <w:tcW w:w="62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eastAsia="zh-CN"/>
                    </w:rPr>
                    <w:t>速率</w:t>
                  </w:r>
                  <w:r>
                    <w:rPr>
                      <w:rFonts w:hint="eastAsia"/>
                      <w:lang w:val="en-US" w:eastAsia="zh-CN"/>
                    </w:rPr>
                    <w:t>kg/h</w:t>
                  </w:r>
                </w:p>
              </w:tc>
              <w:tc>
                <w:tcPr>
                  <w:tcW w:w="814"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eastAsia="zh-CN"/>
                    </w:rPr>
                    <w:t>浓度</w:t>
                  </w:r>
                  <w:r>
                    <w:rPr>
                      <w:rFonts w:hint="eastAsia"/>
                      <w:lang w:val="en-US" w:eastAsia="zh-CN"/>
                    </w:rPr>
                    <w:t>mg/m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57"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9000m</w:t>
                  </w:r>
                  <w:r>
                    <w:rPr>
                      <w:rFonts w:hint="eastAsia"/>
                      <w:vertAlign w:val="superscript"/>
                      <w:lang w:val="en-US" w:eastAsia="zh-CN"/>
                    </w:rPr>
                    <w:t>3</w:t>
                  </w:r>
                  <w:r>
                    <w:rPr>
                      <w:rFonts w:hint="eastAsia"/>
                      <w:lang w:val="en-US" w:eastAsia="zh-CN"/>
                    </w:rPr>
                    <w:t>/h</w:t>
                  </w:r>
                </w:p>
              </w:tc>
              <w:tc>
                <w:tcPr>
                  <w:tcW w:w="83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eastAsia="zh-CN"/>
                    </w:rPr>
                  </w:pPr>
                  <w:r>
                    <w:rPr>
                      <w:rFonts w:hint="eastAsia"/>
                      <w:lang w:eastAsia="zh-CN"/>
                    </w:rPr>
                    <w:t>硫酸雾</w:t>
                  </w:r>
                </w:p>
              </w:tc>
              <w:tc>
                <w:tcPr>
                  <w:tcW w:w="1984"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酸解、过滤废气经管道负压收集，与经集气罩收集的粉碎废气一并</w:t>
                  </w:r>
                  <w:r>
                    <w:rPr>
                      <w:rFonts w:hint="default"/>
                      <w:lang w:val="en-US" w:eastAsia="zh-CN"/>
                    </w:rPr>
                    <w:t>引至碱液喷淋塔吸收处理后，经</w:t>
                  </w:r>
                  <w:r>
                    <w:rPr>
                      <w:rFonts w:hint="eastAsia"/>
                      <w:lang w:val="en-US" w:eastAsia="zh-CN"/>
                    </w:rPr>
                    <w:t>15m高排气筒(DA001)排放</w:t>
                  </w:r>
                </w:p>
              </w:tc>
              <w:tc>
                <w:tcPr>
                  <w:tcW w:w="672"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90%</w:t>
                  </w:r>
                </w:p>
              </w:tc>
              <w:tc>
                <w:tcPr>
                  <w:tcW w:w="71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0.32</w:t>
                  </w:r>
                </w:p>
              </w:tc>
              <w:tc>
                <w:tcPr>
                  <w:tcW w:w="831"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36</w:t>
                  </w:r>
                </w:p>
              </w:tc>
              <w:tc>
                <w:tcPr>
                  <w:tcW w:w="62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0.78</w:t>
                  </w:r>
                </w:p>
              </w:tc>
              <w:tc>
                <w:tcPr>
                  <w:tcW w:w="62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1.5</w:t>
                  </w:r>
                </w:p>
              </w:tc>
              <w:tc>
                <w:tcPr>
                  <w:tcW w:w="814"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57"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83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NH</w:t>
                  </w:r>
                  <w:r>
                    <w:rPr>
                      <w:rFonts w:hint="eastAsia"/>
                      <w:vertAlign w:val="subscript"/>
                      <w:lang w:val="en-US" w:eastAsia="zh-CN"/>
                    </w:rPr>
                    <w:t>3</w:t>
                  </w:r>
                </w:p>
              </w:tc>
              <w:tc>
                <w:tcPr>
                  <w:tcW w:w="1984"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80%</w:t>
                  </w:r>
                </w:p>
              </w:tc>
              <w:tc>
                <w:tcPr>
                  <w:tcW w:w="71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2.2</w:t>
                  </w:r>
                </w:p>
              </w:tc>
              <w:tc>
                <w:tcPr>
                  <w:tcW w:w="831"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62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2.64</w:t>
                  </w:r>
                </w:p>
              </w:tc>
              <w:tc>
                <w:tcPr>
                  <w:tcW w:w="62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4.9</w:t>
                  </w:r>
                </w:p>
              </w:tc>
              <w:tc>
                <w:tcPr>
                  <w:tcW w:w="814"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57"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83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H</w:t>
                  </w:r>
                  <w:r>
                    <w:rPr>
                      <w:rFonts w:hint="eastAsia"/>
                      <w:vertAlign w:val="subscript"/>
                      <w:lang w:val="en-US" w:eastAsia="zh-CN"/>
                    </w:rPr>
                    <w:t>2</w:t>
                  </w:r>
                  <w:r>
                    <w:rPr>
                      <w:rFonts w:hint="eastAsia"/>
                      <w:lang w:val="en-US" w:eastAsia="zh-CN"/>
                    </w:rPr>
                    <w:t>S</w:t>
                  </w:r>
                </w:p>
              </w:tc>
              <w:tc>
                <w:tcPr>
                  <w:tcW w:w="1984"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80%</w:t>
                  </w:r>
                </w:p>
              </w:tc>
              <w:tc>
                <w:tcPr>
                  <w:tcW w:w="71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0.099</w:t>
                  </w:r>
                </w:p>
              </w:tc>
              <w:tc>
                <w:tcPr>
                  <w:tcW w:w="831"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62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0.12</w:t>
                  </w:r>
                </w:p>
              </w:tc>
              <w:tc>
                <w:tcPr>
                  <w:tcW w:w="62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0.33</w:t>
                  </w:r>
                </w:p>
              </w:tc>
              <w:tc>
                <w:tcPr>
                  <w:tcW w:w="814"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57"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408.778万</w:t>
                  </w:r>
                  <w:r>
                    <w:rPr>
                      <w:rFonts w:hint="default"/>
                    </w:rPr>
                    <w:t>m³/a</w:t>
                  </w:r>
                </w:p>
              </w:tc>
              <w:tc>
                <w:tcPr>
                  <w:tcW w:w="83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eastAsia="zh-CN"/>
                    </w:rPr>
                    <w:t>颗粒物</w:t>
                  </w:r>
                </w:p>
              </w:tc>
              <w:tc>
                <w:tcPr>
                  <w:tcW w:w="1984" w:type="dxa"/>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经</w:t>
                  </w:r>
                  <w:r>
                    <w:rPr>
                      <w:rFonts w:hint="eastAsia"/>
                      <w:lang w:val="en-US" w:eastAsia="zh-CN"/>
                    </w:rPr>
                    <w:t>8m高的排气筒(DA002)排放</w:t>
                  </w:r>
                </w:p>
              </w:tc>
              <w:tc>
                <w:tcPr>
                  <w:tcW w:w="672"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w:t>
                  </w:r>
                </w:p>
              </w:tc>
              <w:tc>
                <w:tcPr>
                  <w:tcW w:w="719"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highlight w:val="none"/>
                    </w:rPr>
                  </w:pPr>
                  <w:r>
                    <w:rPr>
                      <w:rFonts w:hint="eastAsia" w:cstheme="minorBidi"/>
                      <w:kern w:val="2"/>
                      <w:sz w:val="21"/>
                      <w:szCs w:val="22"/>
                      <w:lang w:val="en-US" w:eastAsia="zh-CN" w:bidi="ar-SA"/>
                    </w:rPr>
                    <w:t>0.03</w:t>
                  </w:r>
                </w:p>
              </w:tc>
              <w:tc>
                <w:tcPr>
                  <w:tcW w:w="831"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highlight w:val="none"/>
                    </w:rPr>
                  </w:pPr>
                  <w:r>
                    <w:rPr>
                      <w:rFonts w:hint="eastAsia" w:cstheme="minorBidi"/>
                      <w:kern w:val="2"/>
                      <w:sz w:val="21"/>
                      <w:szCs w:val="22"/>
                      <w:lang w:val="en-US" w:eastAsia="zh-CN" w:bidi="ar-SA"/>
                    </w:rPr>
                    <w:t>17.61</w:t>
                  </w:r>
                </w:p>
              </w:tc>
              <w:tc>
                <w:tcPr>
                  <w:tcW w:w="627"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highlight w:val="none"/>
                    </w:rPr>
                  </w:pPr>
                  <w:r>
                    <w:rPr>
                      <w:rFonts w:hint="eastAsia" w:cstheme="minorBidi"/>
                      <w:kern w:val="2"/>
                      <w:sz w:val="21"/>
                      <w:szCs w:val="22"/>
                      <w:highlight w:val="none"/>
                      <w:lang w:val="en-US" w:eastAsia="zh-CN" w:bidi="ar-SA"/>
                    </w:rPr>
                    <w:t>0.07</w:t>
                  </w:r>
                </w:p>
              </w:tc>
              <w:tc>
                <w:tcPr>
                  <w:tcW w:w="62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w:t>
                  </w:r>
                </w:p>
              </w:tc>
              <w:tc>
                <w:tcPr>
                  <w:tcW w:w="814"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757"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83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rPr>
                    <w:t>SO</w:t>
                  </w:r>
                  <w:r>
                    <w:rPr>
                      <w:rFonts w:hint="default"/>
                      <w:vertAlign w:val="subscript"/>
                    </w:rPr>
                    <w:t>2</w:t>
                  </w:r>
                </w:p>
              </w:tc>
              <w:tc>
                <w:tcPr>
                  <w:tcW w:w="1984"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719"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lang w:val="en-US" w:eastAsia="zh-CN" w:bidi="ar-SA"/>
                    </w:rPr>
                    <w:t>0.025</w:t>
                  </w:r>
                </w:p>
              </w:tc>
              <w:tc>
                <w:tcPr>
                  <w:tcW w:w="831"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highlight w:val="yellow"/>
                    </w:rPr>
                  </w:pPr>
                  <w:r>
                    <w:rPr>
                      <w:rFonts w:hint="eastAsia" w:cstheme="minorBidi"/>
                      <w:kern w:val="2"/>
                      <w:sz w:val="21"/>
                      <w:szCs w:val="22"/>
                      <w:highlight w:val="none"/>
                      <w:lang w:val="en-US" w:eastAsia="zh-CN" w:bidi="ar-SA"/>
                    </w:rPr>
                    <w:t>14.68</w:t>
                  </w:r>
                </w:p>
              </w:tc>
              <w:tc>
                <w:tcPr>
                  <w:tcW w:w="627"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lang w:val="en-US" w:eastAsia="zh-CN" w:bidi="ar-SA"/>
                    </w:rPr>
                    <w:t>0.06</w:t>
                  </w:r>
                </w:p>
              </w:tc>
              <w:tc>
                <w:tcPr>
                  <w:tcW w:w="62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814"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57"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837"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default"/>
                    </w:rPr>
                    <w:t>NO</w:t>
                  </w:r>
                  <w:r>
                    <w:rPr>
                      <w:rFonts w:hint="default"/>
                      <w:vertAlign w:val="subscript"/>
                    </w:rPr>
                    <w:t>x</w:t>
                  </w:r>
                </w:p>
              </w:tc>
              <w:tc>
                <w:tcPr>
                  <w:tcW w:w="1984" w:type="dxa"/>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719"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lang w:val="en-US" w:eastAsia="zh-CN" w:bidi="ar-SA"/>
                    </w:rPr>
                    <w:t>0.23</w:t>
                  </w:r>
                </w:p>
              </w:tc>
              <w:tc>
                <w:tcPr>
                  <w:tcW w:w="831"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highlight w:val="yellow"/>
                    </w:rPr>
                  </w:pPr>
                  <w:r>
                    <w:rPr>
                      <w:rFonts w:hint="eastAsia" w:cstheme="minorBidi"/>
                      <w:kern w:val="2"/>
                      <w:sz w:val="21"/>
                      <w:szCs w:val="22"/>
                      <w:highlight w:val="none"/>
                      <w:lang w:val="en-US" w:eastAsia="zh-CN" w:bidi="ar-SA"/>
                    </w:rPr>
                    <w:t>137.24</w:t>
                  </w:r>
                </w:p>
              </w:tc>
              <w:tc>
                <w:tcPr>
                  <w:tcW w:w="627" w:type="dxa"/>
                  <w:tcBorders>
                    <w:tl2br w:val="nil"/>
                    <w:tr2bl w:val="nil"/>
                  </w:tcBorders>
                  <w:noWrap w:val="0"/>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highlight w:val="none"/>
                      <w:lang w:val="en-US" w:eastAsia="zh-CN" w:bidi="ar-SA"/>
                    </w:rPr>
                    <w:t>0.56</w:t>
                  </w:r>
                </w:p>
              </w:tc>
              <w:tc>
                <w:tcPr>
                  <w:tcW w:w="629"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814" w:type="dxa"/>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highlight w:val="none"/>
                      <w:lang w:val="en-US" w:eastAsia="zh-CN"/>
                    </w:rPr>
                    <w:t>150</w:t>
                  </w:r>
                </w:p>
              </w:tc>
            </w:tr>
          </w:tbl>
          <w:p>
            <w:pPr>
              <w:keepNext w:val="0"/>
              <w:keepLines w:val="0"/>
              <w:suppressLineNumbers w:val="0"/>
              <w:bidi w:val="0"/>
              <w:spacing w:before="0" w:beforeAutospacing="0" w:after="0" w:afterAutospacing="0"/>
              <w:ind w:left="0" w:leftChars="0" w:right="0" w:firstLine="0" w:firstLineChars="0"/>
              <w:rPr>
                <w:rFonts w:hint="eastAsia"/>
                <w:lang w:val="en-US" w:eastAsia="zh-CN"/>
              </w:rPr>
            </w:pPr>
          </w:p>
          <w:p>
            <w:pPr>
              <w:pStyle w:val="20"/>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项目无组织废气源强表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244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759" w:type="pct"/>
                  <w:vMerge w:val="restar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污染物名称</w:t>
                  </w:r>
                </w:p>
              </w:tc>
              <w:tc>
                <w:tcPr>
                  <w:tcW w:w="3240" w:type="pct"/>
                  <w:gridSpan w:val="2"/>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jc w:val="center"/>
              </w:trPr>
              <w:tc>
                <w:tcPr>
                  <w:tcW w:w="1759" w:type="pct"/>
                  <w:vMerge w:val="continue"/>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p>
              </w:tc>
              <w:tc>
                <w:tcPr>
                  <w:tcW w:w="1537"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排放</w:t>
                  </w:r>
                  <w:r>
                    <w:rPr>
                      <w:rFonts w:hint="eastAsia"/>
                      <w:lang w:eastAsia="zh-CN"/>
                    </w:rPr>
                    <w:t>速率</w:t>
                  </w:r>
                  <w:r>
                    <w:rPr>
                      <w:rFonts w:hint="eastAsia"/>
                      <w:lang w:val="en-US" w:eastAsia="zh-CN"/>
                    </w:rPr>
                    <w:t>kg/h</w:t>
                  </w:r>
                </w:p>
              </w:tc>
              <w:tc>
                <w:tcPr>
                  <w:tcW w:w="1703" w:type="pct"/>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eastAsia="zh-CN"/>
                    </w:rPr>
                    <w:t>排放量</w:t>
                  </w:r>
                  <w:r>
                    <w:rPr>
                      <w:rFonts w:hint="eastAsia"/>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59"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硫酸雾</w:t>
                  </w:r>
                </w:p>
              </w:tc>
              <w:tc>
                <w:tcPr>
                  <w:tcW w:w="1537" w:type="pct"/>
                  <w:vAlign w:val="center"/>
                </w:tcPr>
                <w:p>
                  <w:pPr>
                    <w:pStyle w:val="19"/>
                    <w:keepNext w:val="0"/>
                    <w:keepLines w:val="0"/>
                    <w:suppressLineNumbers w:val="0"/>
                    <w:spacing w:before="0" w:beforeAutospacing="0" w:after="0" w:afterAutospacing="0"/>
                    <w:ind w:left="0" w:leftChars="0" w:right="0" w:rightChars="0" w:firstLine="0" w:firstLineChars="0"/>
                    <w:jc w:val="center"/>
                    <w:rPr>
                      <w:rFonts w:hint="eastAsia"/>
                      <w:vertAlign w:val="baseline"/>
                      <w:lang w:val="en-US" w:eastAsia="zh-CN"/>
                    </w:rPr>
                  </w:pPr>
                  <w:r>
                    <w:rPr>
                      <w:rFonts w:hint="eastAsia"/>
                      <w:vertAlign w:val="baseline"/>
                      <w:lang w:val="en-US" w:eastAsia="zh-CN"/>
                    </w:rPr>
                    <w:t>0.005</w:t>
                  </w:r>
                </w:p>
              </w:tc>
              <w:tc>
                <w:tcPr>
                  <w:tcW w:w="1703" w:type="pct"/>
                  <w:vAlign w:val="center"/>
                </w:tcPr>
                <w:p>
                  <w:pPr>
                    <w:pStyle w:val="19"/>
                    <w:keepNext w:val="0"/>
                    <w:keepLines w:val="0"/>
                    <w:suppressLineNumbers w:val="0"/>
                    <w:spacing w:before="0" w:beforeAutospacing="0" w:after="0" w:afterAutospacing="0"/>
                    <w:ind w:left="0" w:leftChars="0" w:right="0" w:rightChars="0" w:firstLine="0" w:firstLineChars="0"/>
                    <w:jc w:val="center"/>
                    <w:rPr>
                      <w:rFonts w:hint="eastAsia"/>
                      <w:vertAlign w:val="baseline"/>
                      <w:lang w:val="en-US" w:eastAsia="zh-CN"/>
                    </w:rPr>
                  </w:pPr>
                  <w:r>
                    <w:rPr>
                      <w:rFonts w:hint="eastAsia"/>
                      <w:vertAlign w:val="baseline"/>
                      <w:lang w:val="en-US" w:eastAsia="zh-CN"/>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9"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NH</w:t>
                  </w:r>
                  <w:r>
                    <w:rPr>
                      <w:rFonts w:hint="eastAsia"/>
                      <w:vertAlign w:val="subscript"/>
                      <w:lang w:val="en-US" w:eastAsia="zh-CN"/>
                    </w:rPr>
                    <w:t>3</w:t>
                  </w:r>
                </w:p>
              </w:tc>
              <w:tc>
                <w:tcPr>
                  <w:tcW w:w="1537" w:type="pct"/>
                  <w:vAlign w:val="center"/>
                </w:tcPr>
                <w:p>
                  <w:pPr>
                    <w:pStyle w:val="19"/>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0.58</w:t>
                  </w:r>
                </w:p>
              </w:tc>
              <w:tc>
                <w:tcPr>
                  <w:tcW w:w="1703" w:type="pct"/>
                  <w:vAlign w:val="center"/>
                </w:tcPr>
                <w:p>
                  <w:pPr>
                    <w:pStyle w:val="19"/>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H</w:t>
                  </w:r>
                  <w:r>
                    <w:rPr>
                      <w:rFonts w:hint="eastAsia"/>
                      <w:vertAlign w:val="subscript"/>
                      <w:lang w:val="en-US" w:eastAsia="zh-CN"/>
                    </w:rPr>
                    <w:t>2</w:t>
                  </w:r>
                  <w:r>
                    <w:rPr>
                      <w:rFonts w:hint="eastAsia"/>
                      <w:vertAlign w:val="baseline"/>
                      <w:lang w:val="en-US" w:eastAsia="zh-CN"/>
                    </w:rPr>
                    <w:t>S</w:t>
                  </w:r>
                </w:p>
              </w:tc>
              <w:tc>
                <w:tcPr>
                  <w:tcW w:w="1537" w:type="pct"/>
                  <w:vAlign w:val="center"/>
                </w:tcPr>
                <w:p>
                  <w:pPr>
                    <w:pStyle w:val="19"/>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0.0025</w:t>
                  </w:r>
                </w:p>
              </w:tc>
              <w:tc>
                <w:tcPr>
                  <w:tcW w:w="1703" w:type="pct"/>
                  <w:vAlign w:val="center"/>
                </w:tcPr>
                <w:p>
                  <w:pPr>
                    <w:pStyle w:val="19"/>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759" w:type="pct"/>
                  <w:vAlign w:val="center"/>
                </w:tcPr>
                <w:p>
                  <w:pPr>
                    <w:pStyle w:val="19"/>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臭气浓度</w:t>
                  </w:r>
                </w:p>
              </w:tc>
              <w:tc>
                <w:tcPr>
                  <w:tcW w:w="3240" w:type="pct"/>
                  <w:gridSpan w:val="2"/>
                  <w:vAlign w:val="center"/>
                </w:tcPr>
                <w:p>
                  <w:pPr>
                    <w:pStyle w:val="19"/>
                    <w:keepNext w:val="0"/>
                    <w:keepLines w:val="0"/>
                    <w:suppressLineNumbers w:val="0"/>
                    <w:spacing w:before="0" w:beforeAutospacing="0" w:after="0" w:afterAutospacing="0"/>
                    <w:ind w:left="0" w:right="0"/>
                    <w:jc w:val="center"/>
                    <w:rPr>
                      <w:rFonts w:hint="eastAsia"/>
                      <w:vertAlign w:val="baseline"/>
                      <w:lang w:val="en-US" w:eastAsia="zh-CN"/>
                    </w:rPr>
                  </w:pPr>
                  <w:r>
                    <w:rPr>
                      <w:rFonts w:hint="default" w:ascii="Times New Roman" w:hAnsi="Times New Roman" w:cs="Times New Roman"/>
                      <w:vertAlign w:val="baseline"/>
                      <w:lang w:val="en-US" w:eastAsia="zh-CN"/>
                    </w:rPr>
                    <w:t>≤</w:t>
                  </w:r>
                  <w:r>
                    <w:rPr>
                      <w:rFonts w:hint="eastAsia"/>
                      <w:vertAlign w:val="baseline"/>
                      <w:lang w:val="en-US" w:eastAsia="zh-CN"/>
                    </w:rPr>
                    <w:t>20</w:t>
                  </w:r>
                </w:p>
              </w:tc>
            </w:tr>
          </w:tbl>
          <w:p>
            <w:pPr>
              <w:keepNext w:val="0"/>
              <w:keepLines w:val="0"/>
              <w:suppressLineNumbers w:val="0"/>
              <w:bidi w:val="0"/>
              <w:spacing w:before="0" w:beforeAutospacing="0" w:after="0" w:afterAutospacing="0"/>
              <w:ind w:left="0" w:right="0"/>
              <w:rPr>
                <w:rFonts w:hint="default"/>
                <w:lang w:val="en-US" w:eastAsia="zh-CN"/>
              </w:rPr>
            </w:pPr>
          </w:p>
          <w:p>
            <w:pPr>
              <w:pStyle w:val="3"/>
              <w:suppressLineNumbers w:val="0"/>
              <w:bidi w:val="0"/>
              <w:spacing w:before="0" w:after="0"/>
              <w:ind w:right="0"/>
              <w:rPr>
                <w:rFonts w:hint="default"/>
                <w:lang w:val="en-US" w:eastAsia="zh-CN"/>
              </w:rPr>
            </w:pPr>
            <w:r>
              <w:rPr>
                <w:rFonts w:hint="eastAsia"/>
                <w:lang w:val="en-US" w:eastAsia="zh-CN"/>
              </w:rPr>
              <w:t>大气影响分析</w:t>
            </w:r>
          </w:p>
          <w:p>
            <w:pPr>
              <w:pStyle w:val="6"/>
              <w:suppressLineNumbers w:val="0"/>
              <w:bidi w:val="0"/>
              <w:spacing w:before="0" w:after="0"/>
              <w:ind w:right="0"/>
              <w:jc w:val="both"/>
              <w:rPr>
                <w:rFonts w:hint="default"/>
                <w:lang w:val="en-US" w:eastAsia="zh-CN"/>
              </w:rPr>
            </w:pPr>
            <w:r>
              <w:rPr>
                <w:rFonts w:hint="default"/>
                <w:lang w:val="en-US" w:eastAsia="zh-CN"/>
              </w:rPr>
              <w:t>项目所在区域环境空气质量</w:t>
            </w:r>
            <w:r>
              <w:rPr>
                <w:rFonts w:hint="eastAsia"/>
                <w:lang w:val="en-US" w:eastAsia="zh-CN"/>
              </w:rPr>
              <w:t>现状中</w:t>
            </w:r>
            <w:r>
              <w:rPr>
                <w:rFonts w:hint="default"/>
                <w:lang w:val="en-US" w:eastAsia="zh-CN"/>
              </w:rPr>
              <w:t>NH</w:t>
            </w:r>
            <w:r>
              <w:rPr>
                <w:rFonts w:hint="default"/>
                <w:vertAlign w:val="subscript"/>
                <w:lang w:val="en-US" w:eastAsia="zh-CN"/>
              </w:rPr>
              <w:t>3</w:t>
            </w:r>
            <w:r>
              <w:rPr>
                <w:rFonts w:hint="eastAsia"/>
                <w:vertAlign w:val="baseline"/>
                <w:lang w:val="en-US" w:eastAsia="zh-CN"/>
              </w:rPr>
              <w:t>的检测浓度范围为0.02-0.03mg/m</w:t>
            </w:r>
            <w:r>
              <w:rPr>
                <w:rFonts w:hint="eastAsia"/>
                <w:vertAlign w:val="superscript"/>
                <w:lang w:val="en-US" w:eastAsia="zh-CN"/>
              </w:rPr>
              <w:t>3</w:t>
            </w:r>
            <w:r>
              <w:rPr>
                <w:rFonts w:hint="default"/>
                <w:lang w:val="en-US" w:eastAsia="zh-CN"/>
              </w:rPr>
              <w:t>、H</w:t>
            </w:r>
            <w:r>
              <w:rPr>
                <w:rFonts w:hint="default"/>
                <w:vertAlign w:val="subscript"/>
                <w:lang w:val="en-US" w:eastAsia="zh-CN"/>
              </w:rPr>
              <w:t>2</w:t>
            </w:r>
            <w:r>
              <w:rPr>
                <w:rFonts w:hint="default"/>
                <w:lang w:val="en-US" w:eastAsia="zh-CN"/>
              </w:rPr>
              <w:t>S检测浓度范围</w:t>
            </w:r>
            <w:r>
              <w:rPr>
                <w:rFonts w:hint="eastAsia"/>
                <w:lang w:val="en-US" w:eastAsia="zh-CN"/>
              </w:rPr>
              <w:t>为&lt;0.005</w:t>
            </w:r>
            <w:r>
              <w:rPr>
                <w:rFonts w:hint="default"/>
                <w:lang w:val="en-US" w:eastAsia="zh-CN"/>
              </w:rPr>
              <w:t>mg/m</w:t>
            </w:r>
            <w:r>
              <w:rPr>
                <w:rFonts w:hint="default"/>
                <w:vertAlign w:val="superscript"/>
                <w:lang w:val="en-US" w:eastAsia="zh-CN"/>
              </w:rPr>
              <w:t>3</w:t>
            </w:r>
            <w:r>
              <w:rPr>
                <w:rFonts w:hint="default"/>
                <w:lang w:val="en-US" w:eastAsia="zh-CN"/>
              </w:rPr>
              <w:t>、硫酸雾检测浓度范围</w:t>
            </w:r>
            <w:r>
              <w:rPr>
                <w:rFonts w:hint="eastAsia"/>
                <w:lang w:val="en-US" w:eastAsia="zh-CN"/>
              </w:rPr>
              <w:t>为</w:t>
            </w:r>
          </w:p>
          <w:p>
            <w:pPr>
              <w:pStyle w:val="6"/>
              <w:numPr>
                <w:ilvl w:val="3"/>
                <w:numId w:val="0"/>
              </w:numPr>
              <w:suppressLineNumbers w:val="0"/>
              <w:bidi w:val="0"/>
              <w:spacing w:before="0" w:after="0"/>
              <w:ind w:right="0"/>
              <w:jc w:val="both"/>
              <w:rPr>
                <w:rFonts w:hint="default"/>
                <w:lang w:val="en-US" w:eastAsia="zh-CN"/>
              </w:rPr>
            </w:pPr>
            <w:r>
              <w:rPr>
                <w:rFonts w:hint="eastAsia"/>
                <w:lang w:val="en-US" w:eastAsia="zh-CN"/>
              </w:rPr>
              <w:t>&lt;0.005</w:t>
            </w:r>
            <w:r>
              <w:rPr>
                <w:rFonts w:hint="default"/>
                <w:lang w:val="en-US" w:eastAsia="zh-CN"/>
              </w:rPr>
              <w:t>mg/m</w:t>
            </w:r>
            <w:r>
              <w:rPr>
                <w:rFonts w:hint="default"/>
                <w:vertAlign w:val="superscript"/>
                <w:lang w:val="en-US" w:eastAsia="zh-CN"/>
              </w:rPr>
              <w:t>3</w:t>
            </w:r>
            <w:r>
              <w:rPr>
                <w:rFonts w:hint="eastAsia"/>
                <w:vertAlign w:val="baseline"/>
                <w:lang w:val="en-US" w:eastAsia="zh-CN"/>
              </w:rPr>
              <w:t>，</w:t>
            </w:r>
            <w:r>
              <w:rPr>
                <w:rFonts w:hint="eastAsia"/>
                <w:lang w:val="en-US" w:eastAsia="zh-CN"/>
              </w:rPr>
              <w:t>符合</w:t>
            </w:r>
            <w:r>
              <w:rPr>
                <w:rFonts w:hint="default"/>
                <w:lang w:val="en-US" w:eastAsia="zh-CN"/>
              </w:rPr>
              <w:t>《环境影响评价技术导则 大气环境》</w:t>
            </w:r>
            <w:r>
              <w:rPr>
                <w:rFonts w:hint="eastAsia"/>
                <w:lang w:val="en-US" w:eastAsia="zh-CN"/>
              </w:rPr>
              <w:t>(</w:t>
            </w:r>
            <w:r>
              <w:rPr>
                <w:rFonts w:hint="default"/>
                <w:lang w:val="en-US" w:eastAsia="zh-CN"/>
              </w:rPr>
              <w:t>HJ2.2-2018</w:t>
            </w:r>
            <w:r>
              <w:rPr>
                <w:rFonts w:hint="eastAsia"/>
                <w:lang w:val="en-US" w:eastAsia="zh-CN"/>
              </w:rPr>
              <w:t>)</w:t>
            </w:r>
            <w:r>
              <w:rPr>
                <w:rFonts w:hint="default"/>
                <w:lang w:val="en-US" w:eastAsia="zh-CN"/>
              </w:rPr>
              <w:t>中附录D其他污染物空气质量浓度参考限值</w:t>
            </w:r>
            <w:r>
              <w:rPr>
                <w:rFonts w:hint="eastAsia"/>
                <w:lang w:val="en-US" w:eastAsia="zh-CN"/>
              </w:rPr>
              <w:t>要求</w:t>
            </w:r>
            <w:r>
              <w:rPr>
                <w:rFonts w:hint="default"/>
                <w:lang w:val="en-US" w:eastAsia="zh-CN"/>
              </w:rPr>
              <w:t>。</w:t>
            </w:r>
          </w:p>
          <w:p>
            <w:pPr>
              <w:pStyle w:val="6"/>
              <w:suppressLineNumbers w:val="0"/>
              <w:bidi w:val="0"/>
              <w:spacing w:before="0" w:after="0"/>
              <w:ind w:right="0"/>
              <w:jc w:val="both"/>
              <w:rPr>
                <w:rFonts w:hint="default"/>
                <w:lang w:val="en-US" w:eastAsia="zh-CN"/>
              </w:rPr>
            </w:pPr>
            <w:r>
              <w:rPr>
                <w:rFonts w:hint="eastAsia"/>
                <w:lang w:val="en-US" w:eastAsia="zh-CN"/>
              </w:rPr>
              <w:t>本项目位于新疆昌吉州呼图壁县大丰工业园区天之泽化工有限公司东侧，大丰镇以北约12.5km。该评价区域内无国家、省、市级名胜古迹，自然保护区、</w:t>
            </w:r>
            <w:r>
              <w:rPr>
                <w:rFonts w:hint="default"/>
              </w:rPr>
              <w:t>风景游览区、疗养院、水源地等重点保护目标</w:t>
            </w:r>
            <w:r>
              <w:rPr>
                <w:rFonts w:hint="eastAsia"/>
                <w:lang w:eastAsia="zh-CN"/>
              </w:rPr>
              <w:t>，区域无特殊环境敏感目标。</w:t>
            </w:r>
          </w:p>
          <w:p>
            <w:pPr>
              <w:pStyle w:val="6"/>
              <w:suppressLineNumbers w:val="0"/>
              <w:bidi w:val="0"/>
              <w:spacing w:before="0" w:after="0"/>
              <w:ind w:right="0"/>
              <w:jc w:val="both"/>
              <w:rPr>
                <w:rFonts w:hint="default"/>
                <w:lang w:val="en-US" w:eastAsia="zh-CN"/>
              </w:rPr>
            </w:pPr>
            <w:r>
              <w:rPr>
                <w:rFonts w:hint="eastAsia"/>
                <w:lang w:val="en-US" w:eastAsia="zh-CN"/>
              </w:rPr>
              <w:t>项目生产过程有组织废气主要污染物包括酸解过程产生的硫酸雾，粉碎、过滤过程产生的恶臭气体，粉碎废气经集气罩收集，酸解、过滤废气经管道负压收集，集中引至碱液喷淋塔净化处理，经排气筒(DA001)排放。净化后，硫酸雾排放浓度为36mg/m</w:t>
            </w:r>
            <w:r>
              <w:rPr>
                <w:rFonts w:hint="eastAsia"/>
                <w:vertAlign w:val="superscript"/>
                <w:lang w:val="en-US" w:eastAsia="zh-CN"/>
              </w:rPr>
              <w:t>3</w:t>
            </w:r>
            <w:r>
              <w:rPr>
                <w:rFonts w:hint="eastAsia"/>
                <w:lang w:val="en-US" w:eastAsia="zh-CN"/>
              </w:rPr>
              <w:t>符合</w:t>
            </w:r>
            <w:r>
              <w:rPr>
                <w:rFonts w:hint="eastAsia"/>
                <w:vertAlign w:val="baseline"/>
                <w:lang w:val="en-US" w:eastAsia="zh-CN"/>
              </w:rPr>
              <w:t>《大气污染物综合排放标准》(GB16297-1996)中二级标准要求，NH</w:t>
            </w:r>
            <w:r>
              <w:rPr>
                <w:rFonts w:hint="eastAsia"/>
                <w:vertAlign w:val="subscript"/>
                <w:lang w:val="en-US" w:eastAsia="zh-CN"/>
              </w:rPr>
              <w:t>3</w:t>
            </w:r>
            <w:r>
              <w:rPr>
                <w:rFonts w:hint="eastAsia"/>
                <w:vertAlign w:val="baseline"/>
                <w:lang w:val="en-US" w:eastAsia="zh-CN"/>
              </w:rPr>
              <w:t>排放速率为2.2kg/h、H</w:t>
            </w:r>
            <w:r>
              <w:rPr>
                <w:rFonts w:hint="eastAsia"/>
                <w:vertAlign w:val="subscript"/>
                <w:lang w:val="en-US" w:eastAsia="zh-CN"/>
              </w:rPr>
              <w:t>2</w:t>
            </w:r>
            <w:r>
              <w:rPr>
                <w:rFonts w:hint="eastAsia"/>
                <w:vertAlign w:val="baseline"/>
                <w:lang w:val="en-US" w:eastAsia="zh-CN"/>
              </w:rPr>
              <w:t>S排放速率为0.099kg/h符合《恶臭污染物排放标准》(GB14554-93)恶臭污染物排放标准值要求，排放量较小。</w:t>
            </w:r>
          </w:p>
          <w:p>
            <w:pPr>
              <w:pStyle w:val="6"/>
              <w:suppressLineNumbers w:val="0"/>
              <w:bidi w:val="0"/>
              <w:spacing w:before="0" w:after="0"/>
              <w:ind w:right="0"/>
              <w:jc w:val="both"/>
              <w:rPr>
                <w:rFonts w:hint="default"/>
                <w:lang w:val="en-US" w:eastAsia="zh-CN"/>
              </w:rPr>
            </w:pPr>
            <w:r>
              <w:rPr>
                <w:rFonts w:hint="eastAsia"/>
                <w:lang w:val="en-US" w:eastAsia="zh-CN"/>
              </w:rPr>
              <w:t>项目生产过程无组织废气包括硫酸储罐大小呼吸废气，罐装、粉碎等过程少量恶臭废气(NH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S)。类比长春市病死畜禽无害化集中处理中心项目竣工环境保护验收监测数据，厂界无组织监控浓度最大值：NH</w:t>
            </w:r>
            <w:r>
              <w:rPr>
                <w:rFonts w:hint="eastAsia"/>
                <w:vertAlign w:val="subscript"/>
                <w:lang w:val="en-US" w:eastAsia="zh-CN"/>
              </w:rPr>
              <w:t>3</w:t>
            </w:r>
            <w:r>
              <w:rPr>
                <w:rFonts w:hint="eastAsia"/>
                <w:lang w:val="en-US" w:eastAsia="zh-CN"/>
              </w:rPr>
              <w:t xml:space="preserve"> 1.3mg/m</w:t>
            </w:r>
            <w:r>
              <w:rPr>
                <w:rFonts w:hint="eastAsia"/>
                <w:vertAlign w:val="super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 0.039mg/m</w:t>
            </w:r>
            <w:r>
              <w:rPr>
                <w:rFonts w:hint="eastAsia"/>
                <w:vertAlign w:val="superscript"/>
                <w:lang w:val="en-US" w:eastAsia="zh-CN"/>
              </w:rPr>
              <w:t>3</w:t>
            </w:r>
            <w:r>
              <w:rPr>
                <w:rFonts w:hint="eastAsia"/>
                <w:lang w:val="en-US" w:eastAsia="zh-CN"/>
              </w:rPr>
              <w:t>、硫酸雾0.362mg/m</w:t>
            </w:r>
            <w:r>
              <w:rPr>
                <w:rFonts w:hint="eastAsia"/>
                <w:vertAlign w:val="superscript"/>
                <w:lang w:val="en-US" w:eastAsia="zh-CN"/>
              </w:rPr>
              <w:t>3</w:t>
            </w:r>
            <w:r>
              <w:rPr>
                <w:rFonts w:hint="eastAsia"/>
                <w:vertAlign w:val="baseline"/>
                <w:lang w:val="en-US" w:eastAsia="zh-CN"/>
              </w:rPr>
              <w:t>，</w:t>
            </w:r>
            <w:r>
              <w:rPr>
                <w:rFonts w:hint="eastAsia"/>
                <w:lang w:val="en-US" w:eastAsia="zh-CN"/>
              </w:rPr>
              <w:t>臭气浓度</w:t>
            </w:r>
            <w:r>
              <w:rPr>
                <w:rFonts w:hint="default" w:ascii="Times New Roman" w:hAnsi="Times New Roman" w:cs="Times New Roman"/>
                <w:lang w:val="en-US" w:eastAsia="zh-CN"/>
              </w:rPr>
              <w:t>≤</w:t>
            </w:r>
            <w:r>
              <w:rPr>
                <w:rFonts w:hint="eastAsia"/>
                <w:lang w:val="en-US" w:eastAsia="zh-CN"/>
              </w:rPr>
              <w:t>20。硫酸雾无组织监控浓度能够符合《大气污染物综合排放标准》(GB16297-1996)无组织监控浓度限值要求；H</w:t>
            </w:r>
            <w:r>
              <w:rPr>
                <w:rFonts w:hint="eastAsia"/>
                <w:vertAlign w:val="subscript"/>
                <w:lang w:val="en-US" w:eastAsia="zh-CN"/>
              </w:rPr>
              <w:t>2</w:t>
            </w:r>
            <w:r>
              <w:rPr>
                <w:rFonts w:hint="eastAsia"/>
                <w:lang w:val="en-US" w:eastAsia="zh-CN"/>
              </w:rPr>
              <w:t>S、NH</w:t>
            </w:r>
            <w:r>
              <w:rPr>
                <w:rFonts w:hint="eastAsia"/>
                <w:vertAlign w:val="subscript"/>
                <w:lang w:val="en-US" w:eastAsia="zh-CN"/>
              </w:rPr>
              <w:t>3</w:t>
            </w:r>
            <w:r>
              <w:rPr>
                <w:rFonts w:hint="eastAsia"/>
                <w:lang w:val="en-US" w:eastAsia="zh-CN"/>
              </w:rPr>
              <w:t>及臭气浓度符合《恶臭污染物排放标准》(GB14554-93)厂界标准限值要求。</w:t>
            </w:r>
          </w:p>
          <w:p>
            <w:pPr>
              <w:pStyle w:val="6"/>
              <w:suppressLineNumbers w:val="0"/>
              <w:bidi w:val="0"/>
              <w:spacing w:before="0" w:after="0"/>
              <w:ind w:right="0"/>
              <w:jc w:val="both"/>
              <w:rPr>
                <w:rFonts w:hint="default"/>
                <w:lang w:val="en-US" w:eastAsia="zh-CN"/>
              </w:rPr>
            </w:pPr>
            <w:r>
              <w:rPr>
                <w:rFonts w:hint="eastAsia"/>
                <w:lang w:val="en-US" w:eastAsia="zh-CN"/>
              </w:rPr>
              <w:t>项目燃气锅炉使用清洁燃料天然气，SO</w:t>
            </w:r>
            <w:r>
              <w:rPr>
                <w:rFonts w:hint="eastAsia"/>
                <w:vertAlign w:val="subscript"/>
                <w:lang w:val="en-US" w:eastAsia="zh-CN"/>
              </w:rPr>
              <w:t>2</w:t>
            </w:r>
            <w:r>
              <w:rPr>
                <w:rFonts w:hint="eastAsia"/>
                <w:lang w:val="en-US" w:eastAsia="zh-CN"/>
              </w:rPr>
              <w:t>排放浓度为14.68mg/m</w:t>
            </w:r>
            <w:r>
              <w:rPr>
                <w:rFonts w:hint="eastAsia"/>
                <w:vertAlign w:val="superscript"/>
                <w:lang w:val="en-US" w:eastAsia="zh-CN"/>
              </w:rPr>
              <w:t>3</w:t>
            </w:r>
            <w:r>
              <w:rPr>
                <w:rFonts w:hint="eastAsia"/>
                <w:lang w:val="en-US" w:eastAsia="zh-CN"/>
              </w:rPr>
              <w:t>、NO</w:t>
            </w:r>
            <w:r>
              <w:rPr>
                <w:rFonts w:hint="eastAsia"/>
                <w:vertAlign w:val="subscript"/>
                <w:lang w:val="en-US" w:eastAsia="zh-CN"/>
              </w:rPr>
              <w:t>X</w:t>
            </w:r>
            <w:r>
              <w:rPr>
                <w:rFonts w:hint="eastAsia"/>
                <w:lang w:val="en-US" w:eastAsia="zh-CN"/>
              </w:rPr>
              <w:t>排放浓度为137.24mg/m</w:t>
            </w:r>
            <w:r>
              <w:rPr>
                <w:rFonts w:hint="eastAsia"/>
                <w:vertAlign w:val="superscript"/>
                <w:lang w:val="en-US" w:eastAsia="zh-CN"/>
              </w:rPr>
              <w:t>3</w:t>
            </w:r>
            <w:r>
              <w:rPr>
                <w:rFonts w:hint="eastAsia"/>
                <w:vertAlign w:val="baseline"/>
                <w:lang w:val="en-US" w:eastAsia="zh-CN"/>
              </w:rPr>
              <w:t>、颗粒物排放浓度为17.61</w:t>
            </w:r>
            <w:r>
              <w:rPr>
                <w:rFonts w:hint="eastAsia"/>
                <w:lang w:val="en-US" w:eastAsia="zh-CN"/>
              </w:rPr>
              <w:t>mg/m</w:t>
            </w:r>
            <w:r>
              <w:rPr>
                <w:rFonts w:hint="eastAsia"/>
                <w:vertAlign w:val="superscript"/>
                <w:lang w:val="en-US" w:eastAsia="zh-CN"/>
              </w:rPr>
              <w:t>3</w:t>
            </w:r>
            <w:r>
              <w:rPr>
                <w:rFonts w:hint="eastAsia"/>
                <w:vertAlign w:val="baseline"/>
                <w:lang w:val="en-US" w:eastAsia="zh-CN"/>
              </w:rPr>
              <w:t>，经排气筒(DA002)排放，符合</w:t>
            </w:r>
            <w:r>
              <w:rPr>
                <w:rFonts w:hint="eastAsia"/>
                <w:lang w:eastAsia="zh-CN"/>
              </w:rPr>
              <w:t>《锅炉大气污染物排放标准》(GB13271-2014)中大气污染物</w:t>
            </w:r>
            <w:r>
              <w:rPr>
                <w:rFonts w:hint="eastAsia"/>
                <w:lang w:val="en-US" w:eastAsia="zh-CN"/>
              </w:rPr>
              <w:t>特别</w:t>
            </w:r>
            <w:r>
              <w:rPr>
                <w:rFonts w:hint="eastAsia"/>
                <w:lang w:eastAsia="zh-CN"/>
              </w:rPr>
              <w:t>排放限值，</w:t>
            </w:r>
            <w:r>
              <w:rPr>
                <w:rFonts w:hint="eastAsia"/>
                <w:lang w:val="en-US" w:eastAsia="zh-CN"/>
              </w:rPr>
              <w:t>排放量较小</w:t>
            </w:r>
            <w:r>
              <w:rPr>
                <w:rFonts w:hint="eastAsia"/>
                <w:lang w:eastAsia="zh-CN"/>
              </w:rPr>
              <w:t>。</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综上所述，项目区域环境空气特征污染因子浓度较低，区域无明显环境敏感限制因素，项目运行主要污染物可达标排放，排放量较小，对区域大气环境影响较小。</w:t>
            </w:r>
          </w:p>
          <w:p>
            <w:pPr>
              <w:pStyle w:val="2"/>
              <w:suppressLineNumbers w:val="0"/>
              <w:bidi w:val="0"/>
              <w:spacing w:before="0" w:after="0"/>
              <w:ind w:right="0"/>
              <w:rPr>
                <w:rFonts w:hint="default"/>
                <w:lang w:val="en-US" w:eastAsia="zh-CN"/>
              </w:rPr>
            </w:pPr>
            <w:r>
              <w:rPr>
                <w:rFonts w:hint="eastAsia"/>
                <w:lang w:val="en-US" w:eastAsia="zh-CN"/>
              </w:rPr>
              <w:t>废水</w:t>
            </w:r>
          </w:p>
          <w:p>
            <w:pPr>
              <w:pStyle w:val="3"/>
              <w:suppressLineNumbers w:val="0"/>
              <w:bidi w:val="0"/>
              <w:spacing w:before="0" w:after="0"/>
              <w:ind w:right="0"/>
              <w:rPr>
                <w:rFonts w:hint="eastAsia"/>
                <w:lang w:val="en-US" w:eastAsia="zh-CN"/>
              </w:rPr>
            </w:pPr>
            <w:r>
              <w:rPr>
                <w:rFonts w:hint="eastAsia"/>
                <w:lang w:val="en-US" w:eastAsia="zh-CN"/>
              </w:rPr>
              <w:t>污染物源强计算</w:t>
            </w:r>
          </w:p>
          <w:p>
            <w:pPr>
              <w:pStyle w:val="5"/>
              <w:suppressLineNumbers w:val="0"/>
              <w:bidi w:val="0"/>
              <w:spacing w:before="0" w:beforeAutospacing="0" w:after="0" w:afterAutospacing="0"/>
              <w:ind w:right="0"/>
              <w:rPr>
                <w:rFonts w:hint="eastAsia"/>
                <w:lang w:val="en-US" w:eastAsia="zh-CN"/>
              </w:rPr>
            </w:pPr>
            <w:r>
              <w:rPr>
                <w:rFonts w:hint="eastAsia"/>
                <w:lang w:val="en-US" w:eastAsia="zh-CN"/>
              </w:rPr>
              <w:t>生产废水</w:t>
            </w:r>
          </w:p>
          <w:p>
            <w:pPr>
              <w:keepNext w:val="0"/>
              <w:keepLines w:val="0"/>
              <w:suppressLineNumbers w:val="0"/>
              <w:bidi w:val="0"/>
              <w:spacing w:before="0" w:beforeAutospacing="0" w:after="0" w:afterAutospacing="0"/>
              <w:ind w:left="0" w:right="0"/>
              <w:rPr>
                <w:rFonts w:hint="eastAsia"/>
                <w:lang w:val="zh-CN"/>
              </w:rPr>
            </w:pPr>
            <w:r>
              <w:rPr>
                <w:rFonts w:hint="default"/>
                <w:lang w:val="en-US" w:eastAsia="zh-CN"/>
              </w:rPr>
              <w:t>本项目生产废水主要为设备清洗废水、</w:t>
            </w:r>
            <w:r>
              <w:rPr>
                <w:rFonts w:hint="eastAsia"/>
                <w:lang w:val="en-US" w:eastAsia="zh-CN"/>
              </w:rPr>
              <w:t>车间</w:t>
            </w:r>
            <w:r>
              <w:rPr>
                <w:rFonts w:hint="default"/>
                <w:lang w:val="en-US" w:eastAsia="zh-CN"/>
              </w:rPr>
              <w:t>清洗废水、碱液喷淋塔废水，产生量分别为135m</w:t>
            </w:r>
            <w:r>
              <w:rPr>
                <w:rFonts w:hint="default"/>
                <w:vertAlign w:val="superscript"/>
                <w:lang w:val="en-US" w:eastAsia="zh-CN"/>
              </w:rPr>
              <w:t>3</w:t>
            </w:r>
            <w:r>
              <w:rPr>
                <w:rFonts w:hint="default"/>
                <w:lang w:val="en-US" w:eastAsia="zh-CN"/>
              </w:rPr>
              <w:t>/a，</w:t>
            </w:r>
            <w:r>
              <w:rPr>
                <w:rFonts w:hint="eastAsia"/>
                <w:lang w:val="en-US" w:eastAsia="zh-CN"/>
              </w:rPr>
              <w:t>390</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67.5</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生活污水</w:t>
            </w:r>
          </w:p>
          <w:p>
            <w:pPr>
              <w:keepNext w:val="0"/>
              <w:keepLines w:val="0"/>
              <w:suppressLineNumbers w:val="0"/>
              <w:spacing w:before="0" w:beforeAutospacing="0" w:after="0" w:afterAutospacing="0"/>
              <w:ind w:left="0" w:right="0"/>
              <w:rPr>
                <w:rFonts w:hint="eastAsia"/>
                <w:lang w:val="en-US" w:eastAsia="zh-CN"/>
              </w:rPr>
            </w:pPr>
            <w:r>
              <w:rPr>
                <w:rFonts w:hint="eastAsia"/>
                <w:lang w:val="zh-CN"/>
              </w:rPr>
              <w:t>生活污水主要为职工日常办公生活排放的污水，产生量为</w:t>
            </w:r>
            <w:r>
              <w:rPr>
                <w:rFonts w:hint="eastAsia"/>
                <w:lang w:val="en-US" w:eastAsia="zh-CN"/>
              </w:rPr>
              <w:t>180</w:t>
            </w:r>
            <w:r>
              <w:rPr>
                <w:rFonts w:hint="eastAsia"/>
                <w:lang w:val="zh-CN"/>
              </w:rPr>
              <w:t>m</w:t>
            </w:r>
            <w:r>
              <w:rPr>
                <w:rFonts w:hint="eastAsia"/>
                <w:vertAlign w:val="superscript"/>
                <w:lang w:val="zh-CN"/>
              </w:rPr>
              <w:t>3</w:t>
            </w:r>
            <w:r>
              <w:rPr>
                <w:rFonts w:hint="eastAsia"/>
                <w:lang w:val="zh-CN"/>
              </w:rPr>
              <w:t>/a。</w:t>
            </w:r>
          </w:p>
          <w:p>
            <w:pPr>
              <w:pStyle w:val="3"/>
              <w:suppressLineNumbers w:val="0"/>
              <w:bidi w:val="0"/>
              <w:spacing w:before="0" w:after="0"/>
              <w:ind w:right="0"/>
              <w:rPr>
                <w:rFonts w:hint="default"/>
                <w:lang w:val="en-US" w:eastAsia="zh-CN"/>
              </w:rPr>
            </w:pPr>
            <w:r>
              <w:rPr>
                <w:rFonts w:hint="eastAsia"/>
                <w:lang w:val="en-US" w:eastAsia="zh-CN"/>
              </w:rPr>
              <w:t>污染防治措施</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生产废水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设备清洗及厂房清洗产生的废水经收集后，与碱液喷淋塔排水一并进入</w:t>
            </w:r>
            <w:r>
              <w:rPr>
                <w:rFonts w:hint="eastAsia"/>
                <w:lang w:val="en-US" w:eastAsia="zh-CN"/>
              </w:rPr>
              <w:t>废水收集池</w:t>
            </w:r>
            <w:r>
              <w:rPr>
                <w:rFonts w:hint="default"/>
                <w:lang w:val="en-US" w:eastAsia="zh-CN"/>
              </w:rPr>
              <w:t>中暂存</w:t>
            </w:r>
            <w:r>
              <w:rPr>
                <w:rFonts w:hint="eastAsia"/>
                <w:lang w:val="en-US" w:eastAsia="zh-CN"/>
              </w:rPr>
              <w:t>、沉淀</w:t>
            </w:r>
            <w:r>
              <w:rPr>
                <w:rFonts w:hint="default"/>
                <w:lang w:val="en-US" w:eastAsia="zh-CN"/>
              </w:rPr>
              <w:t>，用水泵抽至酸解液配置过程，全部回用生产，无外排。</w:t>
            </w:r>
          </w:p>
          <w:p>
            <w:pPr>
              <w:keepNext w:val="0"/>
              <w:keepLines w:val="0"/>
              <w:suppressLineNumbers w:val="0"/>
              <w:bidi w:val="0"/>
              <w:spacing w:before="0" w:beforeAutospacing="0" w:after="0" w:afterAutospacing="0"/>
              <w:ind w:left="0" w:right="0"/>
              <w:rPr>
                <w:rFonts w:hint="eastAsia"/>
                <w:lang w:val="zh-CN"/>
              </w:rPr>
            </w:pPr>
            <w:r>
              <w:rPr>
                <w:rFonts w:hint="eastAsia"/>
                <w:lang w:val="zh-CN"/>
              </w:rPr>
              <w:t>酸解液配置过程消纳项目运营期产生的废水。根据建设单位提供的资料，酸解液配置用水对水质无较高要求，项目产生的废水</w:t>
            </w:r>
            <w:r>
              <w:rPr>
                <w:rFonts w:hint="eastAsia"/>
                <w:lang w:val="en-US" w:eastAsia="zh-CN"/>
              </w:rPr>
              <w:t>简单沉淀净化处理后</w:t>
            </w:r>
            <w:r>
              <w:rPr>
                <w:rFonts w:hint="eastAsia"/>
                <w:lang w:val="zh-CN"/>
              </w:rPr>
              <w:t>可以满足酸解液配置用水要求。因此本项目废水回用于酸解液配置过程可行。</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生活污水</w:t>
            </w:r>
          </w:p>
          <w:p>
            <w:pPr>
              <w:keepNext w:val="0"/>
              <w:keepLines w:val="0"/>
              <w:suppressLineNumbers w:val="0"/>
              <w:bidi w:val="0"/>
              <w:spacing w:before="0" w:beforeAutospacing="0" w:after="0" w:afterAutospacing="0"/>
              <w:ind w:left="0" w:right="0"/>
              <w:rPr>
                <w:rFonts w:hint="eastAsia"/>
                <w:lang w:val="zh-CN"/>
              </w:rPr>
            </w:pPr>
            <w:r>
              <w:rPr>
                <w:rFonts w:hint="eastAsia"/>
                <w:lang w:val="zh-CN"/>
              </w:rPr>
              <w:t>生活污水进入化粪池处理后排入西侧大丰工业园区污水</w:t>
            </w:r>
            <w:r>
              <w:rPr>
                <w:rFonts w:hint="eastAsia"/>
                <w:lang w:val="en-US" w:eastAsia="zh-CN"/>
              </w:rPr>
              <w:t>管网</w:t>
            </w:r>
            <w:r>
              <w:rPr>
                <w:rFonts w:hint="eastAsia"/>
                <w:lang w:val="zh-CN"/>
              </w:rPr>
              <w:t>。</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依托可行性分析：呼图壁县大丰工业园区污水处理厂处理规模为20000m</w:t>
            </w:r>
            <w:r>
              <w:rPr>
                <w:rFonts w:hint="eastAsia"/>
                <w:vertAlign w:val="superscript"/>
                <w:lang w:val="en-US" w:eastAsia="zh-CN"/>
              </w:rPr>
              <w:t>3</w:t>
            </w:r>
            <w:r>
              <w:rPr>
                <w:rFonts w:hint="eastAsia"/>
                <w:lang w:val="en-US" w:eastAsia="zh-CN"/>
              </w:rPr>
              <w:t>/d。采用“预处理+生化处理+深度处理”处理工艺，其中预处理单元采用“混凝沉淀+气浮”工艺，生化单元采用“水解酸化+A</w:t>
            </w:r>
            <w:r>
              <w:rPr>
                <w:rFonts w:hint="eastAsia"/>
                <w:vertAlign w:val="superscript"/>
                <w:lang w:val="en-US" w:eastAsia="zh-CN"/>
              </w:rPr>
              <w:t>2</w:t>
            </w:r>
            <w:r>
              <w:rPr>
                <w:rFonts w:hint="eastAsia"/>
                <w:lang w:val="en-US" w:eastAsia="zh-CN"/>
              </w:rPr>
              <w:t>/O”工艺，深度处理采用“抽样+曝气生物滤池”工艺。出水标准：再生水水质可达到《城镇污水处理厂污染物排放标准》(GB18918－2002)中的中的一级A标准要求。本项目仅排放生活污水，为0.6m</w:t>
            </w:r>
            <w:r>
              <w:rPr>
                <w:rFonts w:hint="eastAsia"/>
                <w:vertAlign w:val="superscript"/>
                <w:lang w:val="en-US" w:eastAsia="zh-CN"/>
              </w:rPr>
              <w:t>3</w:t>
            </w:r>
            <w:r>
              <w:rPr>
                <w:rFonts w:hint="eastAsia"/>
                <w:lang w:val="en-US" w:eastAsia="zh-CN"/>
              </w:rPr>
              <w:t>/d，水量及水质不会对园区污水处理厂造成冲击。</w:t>
            </w:r>
          </w:p>
          <w:p>
            <w:pPr>
              <w:pStyle w:val="3"/>
              <w:suppressLineNumbers w:val="0"/>
              <w:bidi w:val="0"/>
              <w:spacing w:before="0" w:after="0"/>
              <w:ind w:right="0"/>
              <w:rPr>
                <w:rFonts w:hint="default"/>
                <w:lang w:val="en-US" w:eastAsia="zh-CN"/>
              </w:rPr>
            </w:pPr>
            <w:r>
              <w:rPr>
                <w:rFonts w:hint="eastAsia"/>
                <w:lang w:val="en-US" w:eastAsia="zh-CN"/>
              </w:rPr>
              <w:t>环境影响分析</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本项目生产废水简单净化处理后全部回用生产无外排；生活污水经化粪池处理后出水满足《污水综合排放标准》(GB8978-1996)三级标准，接入西侧大丰工业园区污水管网，对区域水环境影响较小。</w:t>
            </w:r>
          </w:p>
          <w:p>
            <w:pPr>
              <w:pStyle w:val="2"/>
              <w:suppressLineNumbers w:val="0"/>
              <w:bidi w:val="0"/>
              <w:spacing w:before="0" w:after="0"/>
              <w:ind w:right="0"/>
              <w:rPr>
                <w:rFonts w:hint="default"/>
                <w:lang w:val="en-US" w:eastAsia="zh-CN"/>
              </w:rPr>
            </w:pPr>
            <w:r>
              <w:rPr>
                <w:rFonts w:hint="eastAsia"/>
                <w:lang w:val="en-US" w:eastAsia="zh-CN"/>
              </w:rPr>
              <w:t>噪声</w:t>
            </w:r>
          </w:p>
          <w:p>
            <w:pPr>
              <w:pStyle w:val="3"/>
              <w:suppressLineNumbers w:val="0"/>
              <w:bidi w:val="0"/>
              <w:spacing w:before="0" w:after="0"/>
              <w:ind w:right="0"/>
              <w:rPr>
                <w:rFonts w:hint="default"/>
                <w:lang w:val="en-US" w:eastAsia="zh-CN"/>
              </w:rPr>
            </w:pPr>
            <w:r>
              <w:rPr>
                <w:rFonts w:hint="eastAsia"/>
                <w:lang w:val="en-US" w:eastAsia="zh-CN"/>
              </w:rPr>
              <w:t>污染源分析</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本项目噪声源主要为进料输送机、提升机、破碎机及各类风机、各种泵类产生的噪声。项目对噪声的控制从设备选型上尽量选择噪声低的设备，对于达不到要求的高噪声设备，设计中采用消声器和隔音效果良好的机房隔声等防治措施，以降低机房外噪声值。</w:t>
            </w:r>
          </w:p>
          <w:p>
            <w:pPr>
              <w:pStyle w:val="20"/>
              <w:keepNext w:val="0"/>
              <w:keepLines w:val="0"/>
              <w:suppressLineNumbers w:val="0"/>
              <w:bidi w:val="0"/>
              <w:spacing w:before="0" w:beforeAutospacing="0" w:after="0" w:afterAutospacing="0"/>
              <w:ind w:left="0" w:right="0"/>
              <w:rPr>
                <w:rFonts w:hint="default"/>
              </w:rPr>
            </w:pPr>
            <w:r>
              <w:rPr>
                <w:rFonts w:hint="default"/>
                <w:lang w:val="en-US" w:eastAsia="zh-CN"/>
              </w:rPr>
              <w:t>主要噪声设备噪声值</w:t>
            </w:r>
          </w:p>
          <w:tbl>
            <w:tblPr>
              <w:tblStyle w:val="15"/>
              <w:tblW w:w="4996" w:type="pct"/>
              <w:jc w:val="center"/>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Layout w:type="fixed"/>
              <w:tblCellMar>
                <w:top w:w="0" w:type="dxa"/>
                <w:left w:w="0" w:type="dxa"/>
                <w:bottom w:w="0" w:type="dxa"/>
                <w:right w:w="0" w:type="dxa"/>
              </w:tblCellMar>
            </w:tblPr>
            <w:tblGrid>
              <w:gridCol w:w="394"/>
              <w:gridCol w:w="1313"/>
              <w:gridCol w:w="762"/>
              <w:gridCol w:w="987"/>
              <w:gridCol w:w="936"/>
              <w:gridCol w:w="2284"/>
              <w:gridCol w:w="1254"/>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45" w:hRule="atLeast"/>
                <w:jc w:val="center"/>
              </w:trPr>
              <w:tc>
                <w:tcPr>
                  <w:tcW w:w="248" w:type="pct"/>
                  <w:tcBorders>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序号</w:t>
                  </w:r>
                </w:p>
              </w:tc>
              <w:tc>
                <w:tcPr>
                  <w:tcW w:w="827" w:type="pct"/>
                  <w:tcBorders>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噪声源名称</w:t>
                  </w:r>
                </w:p>
              </w:tc>
              <w:tc>
                <w:tcPr>
                  <w:tcW w:w="480" w:type="pct"/>
                  <w:tcBorders>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数量</w:t>
                  </w:r>
                  <w:r>
                    <w:rPr>
                      <w:rFonts w:hint="eastAsia"/>
                      <w:lang w:eastAsia="zh-CN"/>
                    </w:rPr>
                    <w:t>(</w:t>
                  </w:r>
                  <w:r>
                    <w:rPr>
                      <w:rFonts w:hint="default"/>
                    </w:rPr>
                    <w:t>台</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/套</w:t>
                  </w:r>
                  <w:r>
                    <w:rPr>
                      <w:rFonts w:hint="eastAsia"/>
                      <w:lang w:eastAsia="zh-CN"/>
                    </w:rPr>
                    <w:t>)</w:t>
                  </w:r>
                </w:p>
              </w:tc>
              <w:tc>
                <w:tcPr>
                  <w:tcW w:w="622" w:type="pct"/>
                  <w:tcBorders>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噪声源强</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dB</w:t>
                  </w:r>
                  <w:r>
                    <w:rPr>
                      <w:rFonts w:hint="eastAsia"/>
                      <w:lang w:eastAsia="zh-CN"/>
                    </w:rPr>
                    <w:t>(</w:t>
                  </w:r>
                  <w:r>
                    <w:rPr>
                      <w:rFonts w:hint="default"/>
                    </w:rPr>
                    <w:t>A</w:t>
                  </w:r>
                  <w:r>
                    <w:rPr>
                      <w:rFonts w:hint="eastAsia"/>
                      <w:lang w:eastAsia="zh-CN"/>
                    </w:rPr>
                    <w:t>)</w:t>
                  </w:r>
                </w:p>
              </w:tc>
              <w:tc>
                <w:tcPr>
                  <w:tcW w:w="590" w:type="pct"/>
                  <w:tcBorders>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所处位置</w:t>
                  </w:r>
                </w:p>
              </w:tc>
              <w:tc>
                <w:tcPr>
                  <w:tcW w:w="1439" w:type="pct"/>
                  <w:tcBorders>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防治措施</w:t>
                  </w:r>
                </w:p>
              </w:tc>
              <w:tc>
                <w:tcPr>
                  <w:tcW w:w="790" w:type="pct"/>
                  <w:tcBorders>
                    <w:left w:val="nil"/>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消减后噪声</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值dB</w:t>
                  </w:r>
                  <w:r>
                    <w:rPr>
                      <w:rFonts w:hint="eastAsia"/>
                      <w:lang w:eastAsia="zh-CN"/>
                    </w:rPr>
                    <w:t>(</w:t>
                  </w:r>
                  <w:r>
                    <w:rPr>
                      <w:rFonts w:hint="default"/>
                    </w:rPr>
                    <w:t>A</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3"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进料输送机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85</w:t>
                  </w:r>
                </w:p>
              </w:tc>
              <w:tc>
                <w:tcPr>
                  <w:tcW w:w="590" w:type="pct"/>
                  <w:vMerge w:val="restart"/>
                  <w:tcBorders>
                    <w:top w:val="nil"/>
                    <w:left w:val="nil"/>
                    <w:bottom w:val="single" w:color="000000" w:sz="12"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厂房</w:t>
                  </w: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65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5"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2</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提升机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80</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60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5"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3</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破碎机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95</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75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90"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4</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物料泵</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85</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65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655"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5</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风机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3</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95</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13" w:hRule="atLeast"/>
                <w:jc w:val="center"/>
              </w:trPr>
              <w:tc>
                <w:tcPr>
                  <w:tcW w:w="248" w:type="pct"/>
                  <w:tcBorders>
                    <w:top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6</w:t>
                  </w:r>
                </w:p>
              </w:tc>
              <w:tc>
                <w:tcPr>
                  <w:tcW w:w="827" w:type="pct"/>
                  <w:tcBorders>
                    <w:top w:val="single" w:color="000000" w:sz="4" w:space="0"/>
                    <w:left w:val="nil"/>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水泵</w:t>
                  </w:r>
                </w:p>
              </w:tc>
              <w:tc>
                <w:tcPr>
                  <w:tcW w:w="480" w:type="pct"/>
                  <w:tcBorders>
                    <w:top w:val="single" w:color="000000" w:sz="4" w:space="0"/>
                    <w:left w:val="nil"/>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lang w:val="en-US"/>
                    </w:rPr>
                  </w:pPr>
                  <w:r>
                    <w:rPr>
                      <w:rFonts w:hint="eastAsia"/>
                      <w:color w:val="auto"/>
                      <w:lang w:val="en-US" w:eastAsia="zh-CN"/>
                    </w:rPr>
                    <w:t>75</w:t>
                  </w:r>
                </w:p>
              </w:tc>
              <w:tc>
                <w:tcPr>
                  <w:tcW w:w="590" w:type="pct"/>
                  <w:vMerge w:val="continue"/>
                  <w:tcBorders>
                    <w:top w:val="nil"/>
                    <w:left w:val="nil"/>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rPr>
                    <w:t>隔声，降噪</w:t>
                  </w:r>
                </w:p>
                <w:p>
                  <w:pPr>
                    <w:pStyle w:val="19"/>
                    <w:keepNext w:val="0"/>
                    <w:keepLines w:val="0"/>
                    <w:suppressLineNumbers w:val="0"/>
                    <w:bidi w:val="0"/>
                    <w:spacing w:before="0" w:beforeAutospacing="0" w:after="0" w:afterAutospacing="0"/>
                    <w:ind w:left="0" w:right="0"/>
                    <w:rPr>
                      <w:rFonts w:hint="default"/>
                    </w:rPr>
                  </w:pPr>
                  <w:r>
                    <w:rPr>
                      <w:rFonts w:hint="default"/>
                    </w:rPr>
                    <w:t>10~15dB(A)</w:t>
                  </w:r>
                </w:p>
              </w:tc>
              <w:tc>
                <w:tcPr>
                  <w:tcW w:w="790" w:type="pct"/>
                  <w:tcBorders>
                    <w:top w:val="single" w:color="000000" w:sz="4" w:space="0"/>
                    <w:left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60</w:t>
                  </w:r>
                </w:p>
              </w:tc>
            </w:tr>
          </w:tbl>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3"/>
              <w:suppressLineNumbers w:val="0"/>
              <w:bidi w:val="0"/>
              <w:spacing w:before="0" w:after="0"/>
              <w:ind w:right="0"/>
              <w:rPr>
                <w:rFonts w:hint="default"/>
                <w:lang w:val="en-US" w:eastAsia="zh-CN"/>
              </w:rPr>
            </w:pPr>
            <w:r>
              <w:rPr>
                <w:rFonts w:hint="eastAsia"/>
                <w:lang w:val="en-US" w:eastAsia="zh-CN"/>
              </w:rPr>
              <w:t>噪声预测</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本项目主要噪声源为提升机、</w:t>
            </w:r>
            <w:r>
              <w:rPr>
                <w:rFonts w:hint="eastAsia"/>
                <w:lang w:val="en-US" w:eastAsia="zh-CN"/>
              </w:rPr>
              <w:t>粉碎</w:t>
            </w:r>
            <w:r>
              <w:rPr>
                <w:rFonts w:hint="default"/>
                <w:lang w:val="en-US" w:eastAsia="zh-CN"/>
              </w:rPr>
              <w:t>机及各类风机、各种泵类产生的噪声，其等效声级值范围80~95dB(A</w:t>
            </w:r>
            <w:r>
              <w:rPr>
                <w:rFonts w:hint="eastAsia"/>
                <w:lang w:val="en-US" w:eastAsia="zh-CN"/>
              </w:rPr>
              <w:t>)</w:t>
            </w:r>
            <w:r>
              <w:rPr>
                <w:rFonts w:hint="default"/>
                <w:lang w:val="en-US" w:eastAsia="zh-CN"/>
              </w:rPr>
              <w:t>。采取的降噪措施主要有选用技术先进的低噪声的设备、对设备进行隔声减震、消声吸声等措施，同时对工作人员操作室、值班室等处采用设置隔声措施来降低噪声对工作人员的影响；另外，厂区内各建筑物及绿化区的树木等对机组运行噪声也有一定的吸声效果，通过落实上述措施，拟建厂区厂界处噪声可控制在执行标准内。</w:t>
            </w:r>
          </w:p>
          <w:p>
            <w:pPr>
              <w:pStyle w:val="5"/>
              <w:suppressLineNumbers w:val="0"/>
              <w:bidi w:val="0"/>
              <w:spacing w:before="0" w:beforeAutospacing="0" w:after="0" w:afterAutospacing="0"/>
              <w:ind w:right="0"/>
              <w:rPr>
                <w:rFonts w:hint="default"/>
                <w:lang w:val="en-US" w:eastAsia="zh-CN"/>
              </w:rPr>
            </w:pPr>
            <w:r>
              <w:rPr>
                <w:rFonts w:hint="eastAsia"/>
                <w:lang w:val="en-US" w:eastAsia="zh-CN"/>
              </w:rPr>
              <w:t>预测模式</w:t>
            </w:r>
          </w:p>
          <w:p>
            <w:pPr>
              <w:keepNext w:val="0"/>
              <w:keepLines w:val="0"/>
              <w:suppressLineNumbers w:val="0"/>
              <w:bidi w:val="0"/>
              <w:spacing w:before="0" w:beforeAutospacing="0" w:after="0" w:afterAutospacing="0"/>
              <w:ind w:left="0" w:right="0"/>
              <w:rPr>
                <w:rFonts w:hint="default"/>
              </w:rPr>
            </w:pPr>
            <w:r>
              <w:rPr>
                <w:rFonts w:hint="default"/>
              </w:rPr>
              <w:t>预测方法采用多声源至受声点声压级估算法，先用衰减模式分别计算出每个噪声源对某受声点的声压级,然后再叠加，即得到该点的总声压级。预测公式如下：</w:t>
            </w:r>
          </w:p>
          <w:p>
            <w:pPr>
              <w:pStyle w:val="6"/>
              <w:numPr>
                <w:ilvl w:val="3"/>
                <w:numId w:val="10"/>
              </w:numPr>
              <w:suppressLineNumbers w:val="0"/>
              <w:bidi w:val="0"/>
              <w:spacing w:before="0" w:after="0"/>
              <w:ind w:right="0"/>
              <w:rPr>
                <w:rFonts w:hint="default"/>
              </w:rPr>
            </w:pPr>
            <w:r>
              <w:rPr>
                <w:rFonts w:hint="default"/>
              </w:rPr>
              <w:t>点源传播衰减模式：</w:t>
            </w:r>
          </w:p>
          <w:p>
            <w:pPr>
              <w:keepNext w:val="0"/>
              <w:keepLines w:val="0"/>
              <w:numPr>
                <w:ilvl w:val="0"/>
                <w:numId w:val="0"/>
              </w:numPr>
              <w:suppressLineNumbers w:val="0"/>
              <w:tabs>
                <w:tab w:val="left" w:pos="0"/>
              </w:tabs>
              <w:bidi w:val="0"/>
              <w:spacing w:before="0" w:beforeAutospacing="0" w:after="0" w:afterAutospacing="0"/>
              <w:ind w:left="0" w:right="0"/>
              <w:jc w:val="center"/>
              <w:rPr>
                <w:rFonts w:hint="default"/>
              </w:rPr>
            </w:pPr>
            <w:r>
              <w:rPr>
                <w:rFonts w:hint="default"/>
              </w:rPr>
              <w:t>L</w:t>
            </w:r>
            <w:r>
              <w:rPr>
                <w:rFonts w:hint="default"/>
                <w:vertAlign w:val="subscript"/>
              </w:rPr>
              <w:t>p</w:t>
            </w:r>
            <w:r>
              <w:rPr>
                <w:rFonts w:hint="default"/>
              </w:rPr>
              <w:t>=L</w:t>
            </w:r>
            <w:r>
              <w:rPr>
                <w:rFonts w:hint="default"/>
                <w:vertAlign w:val="subscript"/>
              </w:rPr>
              <w:t>po</w:t>
            </w:r>
            <w:r>
              <w:rPr>
                <w:rFonts w:hint="default"/>
              </w:rPr>
              <w:t>-20lg</w:t>
            </w:r>
            <w:r>
              <w:rPr>
                <w:rFonts w:hint="eastAsia"/>
                <w:lang w:eastAsia="zh-CN"/>
              </w:rPr>
              <w:t>(</w:t>
            </w:r>
            <w:r>
              <w:rPr>
                <w:rFonts w:hint="default"/>
              </w:rPr>
              <w:t>r/r</w:t>
            </w:r>
            <w:r>
              <w:rPr>
                <w:rFonts w:hint="default"/>
                <w:vertAlign w:val="subscript"/>
              </w:rPr>
              <w:t>0</w:t>
            </w:r>
            <w:r>
              <w:rPr>
                <w:rFonts w:hint="eastAsia"/>
                <w:lang w:eastAsia="zh-CN"/>
              </w:rPr>
              <w:t>)</w:t>
            </w:r>
            <w:r>
              <w:rPr>
                <w:rFonts w:hint="default"/>
              </w:rPr>
              <w:t>-ΔL</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式中：L</w:t>
            </w:r>
            <w:r>
              <w:rPr>
                <w:rFonts w:hint="default"/>
                <w:vertAlign w:val="subscript"/>
              </w:rPr>
              <w:t>p</w:t>
            </w:r>
            <w:r>
              <w:rPr>
                <w:rFonts w:hint="default"/>
              </w:rPr>
              <w:t>—距声源r</w:t>
            </w:r>
            <w:r>
              <w:rPr>
                <w:rFonts w:hint="eastAsia"/>
                <w:lang w:val="en-US" w:eastAsia="zh-CN"/>
              </w:rPr>
              <w:t xml:space="preserve"> </w:t>
            </w:r>
            <w:r>
              <w:rPr>
                <w:rFonts w:hint="default"/>
              </w:rPr>
              <w:t>m处声压级，dB</w:t>
            </w:r>
            <w:r>
              <w:rPr>
                <w:rFonts w:hint="eastAsia"/>
                <w:lang w:eastAsia="zh-CN"/>
              </w:rPr>
              <w:t>(</w:t>
            </w:r>
            <w:r>
              <w:rPr>
                <w:rFonts w:hint="default"/>
              </w:rPr>
              <w:t>A</w:t>
            </w:r>
            <w:r>
              <w:rPr>
                <w:rFonts w:hint="eastAsia"/>
                <w:lang w:eastAsia="zh-CN"/>
              </w:rPr>
              <w:t>)</w:t>
            </w:r>
            <w:r>
              <w:rPr>
                <w:rFonts w:hint="default"/>
              </w:rPr>
              <w:t>；</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L</w:t>
            </w:r>
            <w:r>
              <w:rPr>
                <w:rFonts w:hint="default"/>
                <w:vertAlign w:val="subscript"/>
              </w:rPr>
              <w:t>po</w:t>
            </w:r>
            <w:r>
              <w:rPr>
                <w:rFonts w:hint="default"/>
              </w:rPr>
              <w:t>—距声源r</w:t>
            </w:r>
            <w:r>
              <w:rPr>
                <w:rFonts w:hint="default"/>
                <w:vertAlign w:val="subscript"/>
              </w:rPr>
              <w:t>0</w:t>
            </w:r>
            <w:r>
              <w:rPr>
                <w:rFonts w:hint="eastAsia"/>
                <w:vertAlign w:val="subscript"/>
                <w:lang w:val="en-US" w:eastAsia="zh-CN"/>
              </w:rPr>
              <w:t xml:space="preserve"> </w:t>
            </w:r>
            <w:r>
              <w:rPr>
                <w:rFonts w:hint="default"/>
              </w:rPr>
              <w:t>m处的声压级，dB</w:t>
            </w:r>
            <w:r>
              <w:rPr>
                <w:rFonts w:hint="eastAsia"/>
                <w:lang w:eastAsia="zh-CN"/>
              </w:rPr>
              <w:t>(</w:t>
            </w:r>
            <w:r>
              <w:rPr>
                <w:rFonts w:hint="default"/>
              </w:rPr>
              <w:t>A</w:t>
            </w:r>
            <w:r>
              <w:rPr>
                <w:rFonts w:hint="eastAsia"/>
                <w:lang w:eastAsia="zh-CN"/>
              </w:rPr>
              <w:t>)</w:t>
            </w:r>
            <w:r>
              <w:rPr>
                <w:rFonts w:hint="default"/>
              </w:rPr>
              <w:t>；</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r—距声源的距离，m；</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r</w:t>
            </w:r>
            <w:r>
              <w:rPr>
                <w:rFonts w:hint="default"/>
                <w:vertAlign w:val="subscript"/>
              </w:rPr>
              <w:t>0</w:t>
            </w:r>
            <w:r>
              <w:rPr>
                <w:rFonts w:hint="default"/>
              </w:rPr>
              <w:t>—距声源1m；</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ΔL—各种衰减量，dB</w:t>
            </w:r>
            <w:r>
              <w:rPr>
                <w:rFonts w:hint="eastAsia"/>
                <w:lang w:eastAsia="zh-CN"/>
              </w:rPr>
              <w:t>(</w:t>
            </w:r>
            <w:r>
              <w:rPr>
                <w:rFonts w:hint="default"/>
              </w:rPr>
              <w:t>A</w:t>
            </w:r>
            <w:r>
              <w:rPr>
                <w:rFonts w:hint="eastAsia"/>
                <w:lang w:eastAsia="zh-CN"/>
              </w:rPr>
              <w:t>)</w:t>
            </w:r>
            <w:r>
              <w:rPr>
                <w:rFonts w:hint="default"/>
              </w:rPr>
              <w:t>。</w:t>
            </w:r>
          </w:p>
          <w:p>
            <w:pPr>
              <w:pStyle w:val="6"/>
              <w:numPr>
                <w:ilvl w:val="3"/>
                <w:numId w:val="10"/>
              </w:numPr>
              <w:suppressLineNumbers w:val="0"/>
              <w:bidi w:val="0"/>
              <w:spacing w:before="0" w:after="0"/>
              <w:ind w:right="0"/>
              <w:rPr>
                <w:rFonts w:hint="default"/>
              </w:rPr>
            </w:pPr>
            <w:r>
              <w:rPr>
                <w:rFonts w:hint="default"/>
              </w:rPr>
              <w:t>多声源在某一点的影响叠加模式：</w:t>
            </w:r>
          </w:p>
          <w:p>
            <w:pPr>
              <w:keepNext w:val="0"/>
              <w:keepLines w:val="0"/>
              <w:suppressLineNumbers w:val="0"/>
              <w:bidi w:val="0"/>
              <w:spacing w:before="0" w:beforeAutospacing="0" w:after="0" w:afterAutospacing="0"/>
              <w:ind w:left="0" w:right="0"/>
              <w:jc w:val="center"/>
              <w:rPr>
                <w:rFonts w:hint="default" w:ascii="Times New Roman" w:hAnsi="Times New Roman" w:eastAsia="仿宋_GB2312" w:cs="Times New Roman"/>
                <w:snapToGrid w:val="0"/>
                <w:color w:val="000000"/>
                <w:position w:val="-30"/>
                <w:sz w:val="24"/>
              </w:rPr>
            </w:pPr>
            <w:r>
              <w:rPr>
                <w:rFonts w:hint="default"/>
                <w:color w:val="auto"/>
                <w:sz w:val="24"/>
              </w:rPr>
              <w:drawing>
                <wp:inline distT="0" distB="0" distL="114300" distR="114300">
                  <wp:extent cx="1983105" cy="319405"/>
                  <wp:effectExtent l="0" t="0" r="171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1983105" cy="319405"/>
                          </a:xfrm>
                          <a:prstGeom prst="rect">
                            <a:avLst/>
                          </a:prstGeom>
                          <a:noFill/>
                          <a:ln>
                            <a:noFill/>
                          </a:ln>
                        </pic:spPr>
                      </pic:pic>
                    </a:graphicData>
                  </a:graphic>
                </wp:inline>
              </w:drawing>
            </w:r>
          </w:p>
          <w:p>
            <w:pPr>
              <w:keepNext w:val="0"/>
              <w:keepLines w:val="0"/>
              <w:suppressLineNumbers w:val="0"/>
              <w:bidi w:val="0"/>
              <w:spacing w:before="0" w:beforeAutospacing="0" w:after="0" w:afterAutospacing="0"/>
              <w:ind w:left="0" w:right="0"/>
              <w:rPr>
                <w:rFonts w:hint="default"/>
              </w:rPr>
            </w:pPr>
            <w:r>
              <w:rPr>
                <w:rFonts w:hint="default"/>
              </w:rPr>
              <w:t>式中：L</w:t>
            </w:r>
            <w:r>
              <w:rPr>
                <w:rFonts w:hint="default"/>
                <w:vertAlign w:val="subscript"/>
              </w:rPr>
              <w:t>eq</w:t>
            </w:r>
            <w:r>
              <w:rPr>
                <w:rFonts w:hint="default"/>
              </w:rPr>
              <w:t>—预测点的预测等效声级，dB(A)；</w:t>
            </w:r>
          </w:p>
          <w:p>
            <w:pPr>
              <w:keepNext w:val="0"/>
              <w:keepLines w:val="0"/>
              <w:suppressLineNumbers w:val="0"/>
              <w:bidi w:val="0"/>
              <w:spacing w:before="0" w:beforeAutospacing="0" w:after="0" w:afterAutospacing="0"/>
              <w:ind w:left="0" w:right="0"/>
              <w:rPr>
                <w:rFonts w:hint="default"/>
              </w:rPr>
            </w:pPr>
            <w:r>
              <w:rPr>
                <w:rFonts w:hint="default"/>
              </w:rPr>
              <w:t>L</w:t>
            </w:r>
            <w:r>
              <w:rPr>
                <w:rFonts w:hint="default"/>
                <w:vertAlign w:val="subscript"/>
              </w:rPr>
              <w:t>eqg</w:t>
            </w:r>
            <w:r>
              <w:rPr>
                <w:rFonts w:hint="default"/>
              </w:rPr>
              <w:t>—建设项目声源在预测点的等效声级贡献值，dB(A)；</w:t>
            </w:r>
          </w:p>
          <w:p>
            <w:pPr>
              <w:keepNext w:val="0"/>
              <w:keepLines w:val="0"/>
              <w:suppressLineNumbers w:val="0"/>
              <w:bidi w:val="0"/>
              <w:spacing w:before="0" w:beforeAutospacing="0" w:after="0" w:afterAutospacing="0"/>
              <w:ind w:left="0" w:right="0"/>
              <w:rPr>
                <w:rFonts w:hint="eastAsia" w:eastAsia="宋体"/>
                <w:lang w:eastAsia="zh-CN"/>
              </w:rPr>
            </w:pPr>
            <w:r>
              <w:rPr>
                <w:rFonts w:hint="default"/>
              </w:rPr>
              <w:t>L</w:t>
            </w:r>
            <w:r>
              <w:rPr>
                <w:rFonts w:hint="default"/>
                <w:vertAlign w:val="subscript"/>
              </w:rPr>
              <w:t>eqb</w:t>
            </w:r>
            <w:r>
              <w:rPr>
                <w:rFonts w:hint="default"/>
              </w:rPr>
              <w:t>—预测点的背景值，dB(A)</w:t>
            </w:r>
            <w:r>
              <w:rPr>
                <w:rFonts w:hint="eastAsia"/>
                <w:lang w:eastAsia="zh-CN"/>
              </w:rPr>
              <w:t>。</w:t>
            </w:r>
          </w:p>
          <w:p>
            <w:pPr>
              <w:pStyle w:val="5"/>
              <w:suppressLineNumbers w:val="0"/>
              <w:bidi w:val="0"/>
              <w:spacing w:before="0" w:beforeAutospacing="0" w:after="0" w:afterAutospacing="0"/>
              <w:ind w:right="0"/>
              <w:rPr>
                <w:rFonts w:hint="default"/>
              </w:rPr>
            </w:pPr>
            <w:r>
              <w:rPr>
                <w:rFonts w:hint="default"/>
              </w:rPr>
              <w:t>预测结果及评价</w:t>
            </w:r>
          </w:p>
          <w:p>
            <w:pPr>
              <w:keepNext w:val="0"/>
              <w:keepLines w:val="0"/>
              <w:suppressLineNumbers w:val="0"/>
              <w:bidi w:val="0"/>
              <w:spacing w:before="0" w:beforeAutospacing="0" w:after="0" w:afterAutospacing="0"/>
              <w:ind w:left="0" w:right="0"/>
              <w:rPr>
                <w:rFonts w:hint="default"/>
              </w:rPr>
            </w:pPr>
            <w:r>
              <w:rPr>
                <w:rFonts w:hint="default"/>
              </w:rPr>
              <w:t>厂界预测结果详见</w:t>
            </w:r>
            <w:r>
              <w:rPr>
                <w:rFonts w:hint="eastAsia"/>
                <w:lang w:val="en-US" w:eastAsia="zh-CN"/>
              </w:rPr>
              <w:t>下表</w:t>
            </w:r>
            <w:r>
              <w:rPr>
                <w:rFonts w:hint="default"/>
              </w:rPr>
              <w:t>。</w:t>
            </w:r>
          </w:p>
          <w:p>
            <w:pPr>
              <w:pStyle w:val="20"/>
              <w:keepNext w:val="0"/>
              <w:keepLines w:val="0"/>
              <w:suppressLineNumbers w:val="0"/>
              <w:bidi w:val="0"/>
              <w:spacing w:before="0" w:beforeAutospacing="0" w:after="0" w:afterAutospacing="0"/>
              <w:ind w:left="0" w:right="0"/>
              <w:rPr>
                <w:rFonts w:hint="default"/>
              </w:rPr>
            </w:pPr>
            <w:r>
              <w:rPr>
                <w:rFonts w:hint="default"/>
              </w:rPr>
              <w:t>厂界噪声预测结果统计表</w:t>
            </w:r>
            <w:r>
              <w:rPr>
                <w:rFonts w:hint="eastAsia"/>
                <w:lang w:val="en-US" w:eastAsia="zh-CN"/>
              </w:rPr>
              <w:t xml:space="preserve">  </w:t>
            </w:r>
            <w:r>
              <w:rPr>
                <w:rFonts w:hint="default"/>
              </w:rPr>
              <w:t>单位：dB</w:t>
            </w:r>
            <w:r>
              <w:rPr>
                <w:rFonts w:hint="eastAsia"/>
                <w:lang w:eastAsia="zh-CN"/>
              </w:rPr>
              <w:t>(</w:t>
            </w:r>
            <w:r>
              <w:rPr>
                <w:rFonts w:hint="default"/>
              </w:rPr>
              <w:t>A</w:t>
            </w:r>
            <w:r>
              <w:rPr>
                <w:rFonts w:hint="eastAsia"/>
                <w:lang w:eastAsia="zh-CN"/>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5"/>
              <w:gridCol w:w="687"/>
              <w:gridCol w:w="695"/>
              <w:gridCol w:w="695"/>
              <w:gridCol w:w="800"/>
              <w:gridCol w:w="678"/>
              <w:gridCol w:w="695"/>
              <w:gridCol w:w="695"/>
              <w:gridCol w:w="695"/>
              <w:gridCol w:w="697"/>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707" w:type="pct"/>
                  <w:gridSpan w:val="2"/>
                  <w:vMerge w:val="restart"/>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预测点</w:t>
                  </w:r>
                </w:p>
              </w:tc>
              <w:tc>
                <w:tcPr>
                  <w:tcW w:w="1807" w:type="pct"/>
                  <w:gridSpan w:val="4"/>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昼间</w:t>
                  </w:r>
                </w:p>
              </w:tc>
              <w:tc>
                <w:tcPr>
                  <w:tcW w:w="1753" w:type="pct"/>
                  <w:gridSpan w:val="4"/>
                  <w:tcBorders>
                    <w:left w:val="single" w:color="auto" w:sz="4" w:space="0"/>
                    <w:bottom w:val="single" w:color="auto" w:sz="4" w:space="0"/>
                    <w:righ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夜间</w:t>
                  </w:r>
                </w:p>
              </w:tc>
              <w:tc>
                <w:tcPr>
                  <w:tcW w:w="731" w:type="pct"/>
                  <w:vMerge w:val="restart"/>
                  <w:tcBorders>
                    <w:lef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距厂界的相对位置(m)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pct"/>
                  <w:gridSpan w:val="2"/>
                  <w:vMerge w:val="continue"/>
                  <w:tcBorders>
                    <w:top w:val="single" w:color="auto" w:sz="12"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背景值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贡献值</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预测值</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标准值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背景值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贡献值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预测值</w:t>
                  </w:r>
                </w:p>
              </w:tc>
              <w:tc>
                <w:tcPr>
                  <w:tcW w:w="439" w:type="pct"/>
                  <w:tcBorders>
                    <w:top w:val="single" w:color="auto" w:sz="4" w:space="0"/>
                    <w:left w:val="single" w:color="auto" w:sz="4" w:space="0"/>
                    <w:bottom w:val="single" w:color="auto" w:sz="4" w:space="0"/>
                    <w:righ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标准值</w:t>
                  </w:r>
                </w:p>
              </w:tc>
              <w:tc>
                <w:tcPr>
                  <w:tcW w:w="731" w:type="pct"/>
                  <w:vMerge w:val="continue"/>
                  <w:tcBorders>
                    <w:lef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西</w:t>
                  </w:r>
                  <w:r>
                    <w:rPr>
                      <w:rFonts w:hint="default"/>
                      <w:color w:val="auto"/>
                      <w:lang w:val="en-US" w:eastAsia="zh-CN"/>
                    </w:rPr>
                    <w:t>厂界</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44</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42.10</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46.16</w:t>
                  </w:r>
                </w:p>
              </w:tc>
              <w:tc>
                <w:tcPr>
                  <w:tcW w:w="426" w:type="pct"/>
                  <w:vMerge w:val="restar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60</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highlight w:val="none"/>
                      <w:lang w:val="en-US"/>
                    </w:rPr>
                  </w:pPr>
                  <w:r>
                    <w:rPr>
                      <w:rFonts w:hint="eastAsia" w:cs="Times New Roman"/>
                      <w:color w:val="auto"/>
                      <w:kern w:val="2"/>
                      <w:sz w:val="21"/>
                      <w:szCs w:val="21"/>
                      <w:highlight w:val="none"/>
                      <w:lang w:val="en-US" w:eastAsia="zh-CN" w:bidi="ar"/>
                    </w:rPr>
                    <w:t>43</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39" w:type="pct"/>
                  <w:vMerge w:val="restart"/>
                  <w:tcBorders>
                    <w:top w:val="single" w:color="auto" w:sz="4" w:space="0"/>
                    <w:left w:val="single" w:color="auto" w:sz="4" w:space="0"/>
                    <w:righ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highlight w:val="none"/>
                      <w:lang w:val="en-US"/>
                    </w:rPr>
                  </w:pPr>
                  <w:r>
                    <w:rPr>
                      <w:rFonts w:hint="eastAsia"/>
                      <w:color w:val="auto"/>
                      <w:highlight w:val="none"/>
                      <w:lang w:val="en-US" w:eastAsia="zh-CN"/>
                    </w:rPr>
                    <w:t>50</w:t>
                  </w:r>
                </w:p>
              </w:tc>
              <w:tc>
                <w:tcPr>
                  <w:tcW w:w="731" w:type="pct"/>
                  <w:tcBorders>
                    <w:top w:val="single" w:color="auto" w:sz="4" w:space="0"/>
                    <w:left w:val="single" w:color="000000" w:sz="8"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default"/>
                      <w:color w:val="auto"/>
                      <w:lang w:val="en-US" w:eastAsia="zh-CN"/>
                    </w:rPr>
                    <w:t>北厂界</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41</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47.90</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48.71</w:t>
                  </w:r>
                </w:p>
              </w:tc>
              <w:tc>
                <w:tcPr>
                  <w:tcW w:w="426"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39</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9" w:type="pct"/>
                  <w:vMerge w:val="continue"/>
                  <w:tcBorders>
                    <w:left w:val="single" w:color="auto" w:sz="4" w:space="0"/>
                    <w:righ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color w:val="auto"/>
                    </w:rPr>
                  </w:pPr>
                </w:p>
              </w:tc>
              <w:tc>
                <w:tcPr>
                  <w:tcW w:w="731" w:type="pct"/>
                  <w:tcBorders>
                    <w:top w:val="single" w:color="auto" w:sz="4" w:space="0"/>
                    <w:left w:val="single" w:color="000000" w:sz="8"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74"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3#</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东</w:t>
                  </w:r>
                  <w:r>
                    <w:rPr>
                      <w:rFonts w:hint="default"/>
                      <w:color w:val="auto"/>
                      <w:lang w:val="en-US" w:eastAsia="zh-CN"/>
                    </w:rPr>
                    <w:t>厂界</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40</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42.28</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44.30</w:t>
                  </w:r>
                </w:p>
              </w:tc>
              <w:tc>
                <w:tcPr>
                  <w:tcW w:w="426"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38</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9" w:type="pct"/>
                  <w:vMerge w:val="continue"/>
                  <w:tcBorders>
                    <w:left w:val="single" w:color="auto" w:sz="4" w:space="0"/>
                    <w:righ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color w:val="auto"/>
                    </w:rPr>
                  </w:pPr>
                </w:p>
              </w:tc>
              <w:tc>
                <w:tcPr>
                  <w:tcW w:w="731" w:type="pct"/>
                  <w:tcBorders>
                    <w:top w:val="single" w:color="auto" w:sz="4" w:space="0"/>
                    <w:left w:val="single" w:color="000000" w:sz="8"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74" w:type="pct"/>
                  <w:tcBorders>
                    <w:top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4#</w:t>
                  </w:r>
                </w:p>
              </w:tc>
              <w:tc>
                <w:tcPr>
                  <w:tcW w:w="433" w:type="pc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南</w:t>
                  </w:r>
                  <w:r>
                    <w:rPr>
                      <w:rFonts w:hint="default"/>
                      <w:color w:val="auto"/>
                      <w:lang w:val="en-US" w:eastAsia="zh-CN"/>
                    </w:rPr>
                    <w:t>厂界</w:t>
                  </w:r>
                </w:p>
              </w:tc>
              <w:tc>
                <w:tcPr>
                  <w:tcW w:w="438" w:type="pc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41</w:t>
                  </w:r>
                </w:p>
              </w:tc>
              <w:tc>
                <w:tcPr>
                  <w:tcW w:w="438" w:type="pc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38.19</w:t>
                  </w:r>
                </w:p>
              </w:tc>
              <w:tc>
                <w:tcPr>
                  <w:tcW w:w="504" w:type="pc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42.83</w:t>
                  </w:r>
                </w:p>
              </w:tc>
              <w:tc>
                <w:tcPr>
                  <w:tcW w:w="426" w:type="pct"/>
                  <w:vMerge w:val="continue"/>
                  <w:tcBorders>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p>
              </w:tc>
              <w:tc>
                <w:tcPr>
                  <w:tcW w:w="438" w:type="pc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40</w:t>
                  </w:r>
                </w:p>
              </w:tc>
              <w:tc>
                <w:tcPr>
                  <w:tcW w:w="438" w:type="pc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8" w:type="pct"/>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9" w:type="pct"/>
                  <w:vMerge w:val="continue"/>
                  <w:tcBorders>
                    <w:left w:val="single" w:color="auto" w:sz="4" w:space="0"/>
                    <w:righ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color w:val="auto"/>
                    </w:rPr>
                  </w:pPr>
                </w:p>
              </w:tc>
              <w:tc>
                <w:tcPr>
                  <w:tcW w:w="731" w:type="pct"/>
                  <w:tcBorders>
                    <w:top w:val="single" w:color="auto" w:sz="4" w:space="0"/>
                    <w:left w:val="single" w:color="000000" w:sz="8"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109.7</w:t>
                  </w:r>
                </w:p>
              </w:tc>
            </w:tr>
          </w:tbl>
          <w:p>
            <w:pPr>
              <w:pStyle w:val="19"/>
              <w:keepNext w:val="0"/>
              <w:keepLines w:val="0"/>
              <w:suppressLineNumbers w:val="0"/>
              <w:spacing w:before="0" w:beforeAutospacing="0" w:after="0" w:afterAutospacing="0"/>
              <w:ind w:left="0" w:right="0"/>
              <w:rPr>
                <w:rFonts w:hint="eastAsia"/>
                <w:lang w:eastAsia="zh-CN"/>
              </w:rPr>
            </w:pPr>
          </w:p>
          <w:p>
            <w:pPr>
              <w:keepNext w:val="0"/>
              <w:keepLines w:val="0"/>
              <w:suppressLineNumbers w:val="0"/>
              <w:bidi w:val="0"/>
              <w:spacing w:before="0" w:beforeAutospacing="0" w:after="0" w:afterAutospacing="0"/>
              <w:ind w:left="0" w:right="0"/>
              <w:rPr>
                <w:rFonts w:hint="default"/>
              </w:rPr>
            </w:pPr>
            <w:r>
              <w:rPr>
                <w:rFonts w:hint="default"/>
              </w:rPr>
              <w:t>项目运营过程中，设备噪声对厂界的贡献值均满足《工业企业厂界环境噪声排放标准》</w:t>
            </w:r>
            <w:r>
              <w:rPr>
                <w:rFonts w:hint="eastAsia"/>
                <w:lang w:eastAsia="zh-CN"/>
              </w:rPr>
              <w:t>(</w:t>
            </w:r>
            <w:r>
              <w:rPr>
                <w:rFonts w:hint="default"/>
              </w:rPr>
              <w:t>GB12348-2008</w:t>
            </w:r>
            <w:r>
              <w:rPr>
                <w:rFonts w:hint="eastAsia"/>
                <w:lang w:eastAsia="zh-CN"/>
              </w:rPr>
              <w:t>)</w:t>
            </w:r>
            <w:r>
              <w:rPr>
                <w:rFonts w:hint="default"/>
                <w:highlight w:val="none"/>
              </w:rPr>
              <w:t>中</w:t>
            </w:r>
            <w:r>
              <w:rPr>
                <w:rFonts w:hint="eastAsia"/>
                <w:highlight w:val="none"/>
                <w:lang w:val="en-US" w:eastAsia="zh-CN"/>
              </w:rPr>
              <w:t>2</w:t>
            </w:r>
            <w:r>
              <w:rPr>
                <w:rFonts w:hint="default"/>
                <w:highlight w:val="none"/>
              </w:rPr>
              <w:t>类标准，</w:t>
            </w:r>
            <w:r>
              <w:rPr>
                <w:rFonts w:hint="default"/>
              </w:rPr>
              <w:t>拟建项目的运行对周围声环境影响不大。</w:t>
            </w:r>
          </w:p>
          <w:p>
            <w:pPr>
              <w:keepNext w:val="0"/>
              <w:keepLines w:val="0"/>
              <w:suppressLineNumbers w:val="0"/>
              <w:bidi w:val="0"/>
              <w:spacing w:before="0" w:beforeAutospacing="0" w:after="0" w:afterAutospacing="0"/>
              <w:ind w:left="0" w:right="0"/>
              <w:rPr>
                <w:rFonts w:hint="default"/>
                <w:lang w:val="en-US" w:eastAsia="zh-CN"/>
              </w:rPr>
            </w:pPr>
          </w:p>
          <w:p>
            <w:pPr>
              <w:pStyle w:val="3"/>
              <w:pageBreakBefore w:val="0"/>
              <w:widowControl w:val="0"/>
              <w:suppressLineNumbers w:val="0"/>
              <w:kinsoku/>
              <w:wordWrap/>
              <w:overflowPunct/>
              <w:topLinePunct w:val="0"/>
              <w:autoSpaceDE/>
              <w:autoSpaceDN/>
              <w:bidi w:val="0"/>
              <w:spacing w:before="0" w:after="0" w:line="440" w:lineRule="exact"/>
              <w:ind w:right="0"/>
              <w:textAlignment w:val="auto"/>
              <w:rPr>
                <w:rFonts w:hint="default"/>
                <w:lang w:val="en-US" w:eastAsia="zh-CN"/>
              </w:rPr>
            </w:pPr>
            <w:r>
              <w:rPr>
                <w:rFonts w:hint="eastAsia"/>
                <w:lang w:val="en-US" w:eastAsia="zh-CN"/>
              </w:rPr>
              <w:t>防治措施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lang w:val="en-US" w:eastAsia="zh-CN"/>
              </w:rPr>
            </w:pPr>
            <w:r>
              <w:rPr>
                <w:rFonts w:hint="default"/>
                <w:lang w:val="en-US" w:eastAsia="zh-CN"/>
              </w:rPr>
              <w:t>项目对噪声的控制从设备选型上尽量选择噪声低的设备，对于达不到要求的高噪声设备，设计中采用消声器和隔音效果良好的机房隔声等防治措施，以降低机房外噪声值。项目几个主要高噪声源的具体治理措施如下：</w:t>
            </w:r>
          </w:p>
          <w:p>
            <w:pPr>
              <w:pStyle w:val="5"/>
              <w:pageBreakBefore w:val="0"/>
              <w:widowControl w:val="0"/>
              <w:numPr>
                <w:ilvl w:val="2"/>
                <w:numId w:val="13"/>
              </w:numPr>
              <w:suppressLineNumbers w:val="0"/>
              <w:kinsoku/>
              <w:wordWrap/>
              <w:overflowPunct/>
              <w:topLinePunct w:val="0"/>
              <w:autoSpaceDE/>
              <w:autoSpaceDN/>
              <w:bidi w:val="0"/>
              <w:spacing w:before="0" w:beforeAutospacing="0" w:after="0" w:afterAutospacing="0" w:line="440" w:lineRule="exact"/>
              <w:ind w:right="0"/>
              <w:textAlignment w:val="auto"/>
              <w:rPr>
                <w:rFonts w:hint="default"/>
                <w:lang w:val="en-US" w:eastAsia="zh-CN"/>
              </w:rPr>
            </w:pPr>
            <w:r>
              <w:rPr>
                <w:rFonts w:hint="default"/>
                <w:lang w:val="en-US" w:eastAsia="zh-CN"/>
              </w:rPr>
              <w:t>尽可能选用环保低噪型设备，车间内各设备进行合理布置，车间隔声且对设备作基础减震等防治措施。</w:t>
            </w:r>
          </w:p>
          <w:p>
            <w:pPr>
              <w:pStyle w:val="5"/>
              <w:pageBreakBefore w:val="0"/>
              <w:widowControl w:val="0"/>
              <w:numPr>
                <w:ilvl w:val="2"/>
                <w:numId w:val="12"/>
              </w:numPr>
              <w:suppressLineNumbers w:val="0"/>
              <w:kinsoku/>
              <w:wordWrap/>
              <w:overflowPunct/>
              <w:topLinePunct w:val="0"/>
              <w:autoSpaceDE/>
              <w:autoSpaceDN/>
              <w:bidi w:val="0"/>
              <w:spacing w:before="0" w:beforeAutospacing="0" w:after="0" w:afterAutospacing="0" w:line="440" w:lineRule="exact"/>
              <w:ind w:right="0"/>
              <w:textAlignment w:val="auto"/>
              <w:rPr>
                <w:rFonts w:hint="default"/>
                <w:lang w:val="en-US" w:eastAsia="zh-CN"/>
              </w:rPr>
            </w:pPr>
            <w:r>
              <w:rPr>
                <w:rFonts w:hint="default"/>
                <w:lang w:val="en-US" w:eastAsia="zh-CN"/>
              </w:rPr>
              <w:t>风机噪声包括排气噪声、输送管道噪声以及本机噪声，主要降噪措施有设置进风消声和静压腔进行消声处理；排气管路采用吸声材料和柔性材料包扎进行阻尼隔声处理；安装带排风消声的新型组合式隔声罩进行隔声处理；机房门、窗进行隔声、消声处理等。</w:t>
            </w:r>
          </w:p>
          <w:p>
            <w:pPr>
              <w:pStyle w:val="5"/>
              <w:pageBreakBefore w:val="0"/>
              <w:widowControl w:val="0"/>
              <w:numPr>
                <w:ilvl w:val="2"/>
                <w:numId w:val="12"/>
              </w:numPr>
              <w:suppressLineNumbers w:val="0"/>
              <w:kinsoku/>
              <w:wordWrap/>
              <w:overflowPunct/>
              <w:topLinePunct w:val="0"/>
              <w:autoSpaceDE/>
              <w:autoSpaceDN/>
              <w:bidi w:val="0"/>
              <w:spacing w:before="0" w:beforeAutospacing="0" w:after="0" w:afterAutospacing="0" w:line="440" w:lineRule="exact"/>
              <w:ind w:right="0"/>
              <w:textAlignment w:val="auto"/>
              <w:rPr>
                <w:rFonts w:hint="default"/>
                <w:lang w:val="en-US" w:eastAsia="zh-CN"/>
              </w:rPr>
            </w:pPr>
            <w:r>
              <w:rPr>
                <w:rFonts w:hint="default"/>
                <w:lang w:val="en-US" w:eastAsia="zh-CN"/>
              </w:rPr>
              <w:t>泵的噪声主要来源于泵电机冷却风扇噪声、泵轴液物料而产生的空化和气蚀噪声，泵内物料的波动而激发泵体轴射噪声，脉冲压力不稳定而产生的噪声以及机械噪声。采用内衬有吸声材料的电机隔声罩和泵基础减振垫，并在电机隔声进风口处装设消声器。</w:t>
            </w:r>
          </w:p>
          <w:p>
            <w:pPr>
              <w:pStyle w:val="5"/>
              <w:pageBreakBefore w:val="0"/>
              <w:widowControl w:val="0"/>
              <w:numPr>
                <w:ilvl w:val="2"/>
                <w:numId w:val="12"/>
              </w:numPr>
              <w:suppressLineNumbers w:val="0"/>
              <w:kinsoku/>
              <w:wordWrap/>
              <w:overflowPunct/>
              <w:topLinePunct w:val="0"/>
              <w:autoSpaceDE/>
              <w:autoSpaceDN/>
              <w:bidi w:val="0"/>
              <w:spacing w:before="0" w:beforeAutospacing="0" w:after="0" w:afterAutospacing="0" w:line="440" w:lineRule="exact"/>
              <w:ind w:right="0"/>
              <w:textAlignment w:val="auto"/>
              <w:rPr>
                <w:rFonts w:hint="default"/>
              </w:rPr>
            </w:pPr>
            <w:r>
              <w:rPr>
                <w:rFonts w:hint="default"/>
              </w:rPr>
              <w:t>在厂区内进行绿化，在发声车间周围和道路两侧植树可起吸声、隔声作用。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rPr>
            </w:pPr>
            <w:r>
              <w:rPr>
                <w:rFonts w:hint="eastAsia"/>
                <w:lang w:val="en-US" w:eastAsia="zh-CN"/>
              </w:rPr>
              <w:t>上述降噪治理措施为成熟应用措施，降噪效果良好，噪声经过措施治理、消减后厂界噪声可达到《工业企业厂界环境噪声排放标准》(GB12348-2008)中2类标准，治理措施可行。</w:t>
            </w:r>
          </w:p>
          <w:p>
            <w:pPr>
              <w:pStyle w:val="2"/>
              <w:pageBreakBefore w:val="0"/>
              <w:widowControl w:val="0"/>
              <w:suppressLineNumbers w:val="0"/>
              <w:kinsoku/>
              <w:wordWrap/>
              <w:overflowPunct/>
              <w:topLinePunct w:val="0"/>
              <w:autoSpaceDE/>
              <w:autoSpaceDN/>
              <w:bidi w:val="0"/>
              <w:spacing w:before="0" w:after="0" w:line="440" w:lineRule="exact"/>
              <w:ind w:right="0"/>
              <w:textAlignment w:val="auto"/>
              <w:rPr>
                <w:rFonts w:hint="default"/>
                <w:lang w:val="en-US"/>
              </w:rPr>
            </w:pPr>
            <w:r>
              <w:rPr>
                <w:rFonts w:hint="default"/>
              </w:rPr>
              <w:t>监测</w:t>
            </w:r>
            <w:r>
              <w:rPr>
                <w:rFonts w:hint="eastAsia"/>
                <w:lang w:val="en-US" w:eastAsia="zh-CN"/>
              </w:rPr>
              <w:t>监控计划</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lang w:eastAsia="zh-CN"/>
              </w:rPr>
            </w:pPr>
            <w:r>
              <w:rPr>
                <w:rFonts w:hint="default"/>
              </w:rPr>
              <w:t>监测和分析方法按国家有关规定进行，可委托第三方监测公司，定期进行环境监测，监测方</w:t>
            </w:r>
            <w:r>
              <w:rPr>
                <w:rFonts w:hint="default"/>
                <w:highlight w:val="none"/>
              </w:rPr>
              <w:t>法应严格按照《污染源统一监测分析方法》和《环境监测技术规范》要求执行。监测项目、监</w:t>
            </w:r>
            <w:r>
              <w:rPr>
                <w:rFonts w:hint="default"/>
              </w:rPr>
              <w:t>测点等具体见下表</w:t>
            </w:r>
            <w:r>
              <w:rPr>
                <w:rFonts w:hint="eastAsia"/>
                <w:lang w:eastAsia="zh-CN"/>
              </w:rPr>
              <w:t>。</w:t>
            </w:r>
          </w:p>
          <w:p>
            <w:pPr>
              <w:pStyle w:val="20"/>
              <w:keepNext w:val="0"/>
              <w:keepLines w:val="0"/>
              <w:suppressLineNumbers w:val="0"/>
              <w:spacing w:before="0" w:beforeLines="0" w:beforeAutospacing="0" w:after="0" w:afterLines="0" w:afterAutospacing="0"/>
              <w:ind w:left="0" w:right="0"/>
              <w:rPr>
                <w:rFonts w:hint="default"/>
                <w:color w:val="auto"/>
                <w:sz w:val="21"/>
              </w:rPr>
            </w:pPr>
            <w:r>
              <w:rPr>
                <w:rFonts w:hint="default" w:ascii="宋体"/>
                <w:color w:val="auto"/>
                <w:sz w:val="21"/>
              </w:rPr>
              <w:t>项目运营期环境监测计划</w:t>
            </w:r>
          </w:p>
          <w:tbl>
            <w:tblPr>
              <w:tblStyle w:val="15"/>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592"/>
              <w:gridCol w:w="319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tcBorders>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环境要素</w:t>
                  </w:r>
                </w:p>
              </w:tc>
              <w:tc>
                <w:tcPr>
                  <w:tcW w:w="1599" w:type="pct"/>
                  <w:tcBorders>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监测项目</w:t>
                  </w:r>
                </w:p>
              </w:tc>
              <w:tc>
                <w:tcPr>
                  <w:tcW w:w="1970" w:type="pct"/>
                  <w:tcBorders>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监测点</w:t>
                  </w:r>
                </w:p>
              </w:tc>
              <w:tc>
                <w:tcPr>
                  <w:tcW w:w="696" w:type="pct"/>
                  <w:tcBorders>
                    <w:left w:val="single" w:color="auto" w:sz="4" w:space="0"/>
                    <w:bottom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tcBorders>
                    <w:top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废水</w:t>
                  </w:r>
                </w:p>
              </w:tc>
              <w:tc>
                <w:tcPr>
                  <w:tcW w:w="15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COD、NH</w:t>
                  </w:r>
                  <w:r>
                    <w:rPr>
                      <w:rFonts w:hint="default"/>
                      <w:vertAlign w:val="subscript"/>
                    </w:rPr>
                    <w:t>3</w:t>
                  </w:r>
                  <w:r>
                    <w:rPr>
                      <w:rFonts w:hint="default"/>
                    </w:rPr>
                    <w:t>-N、BOD等</w:t>
                  </w:r>
                </w:p>
              </w:tc>
              <w:tc>
                <w:tcPr>
                  <w:tcW w:w="197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eastAsia"/>
                      <w:lang w:val="en-US" w:eastAsia="zh-CN"/>
                    </w:rPr>
                    <w:t>化粪池</w:t>
                  </w:r>
                  <w:r>
                    <w:rPr>
                      <w:rFonts w:hint="default"/>
                    </w:rPr>
                    <w:t>出口</w:t>
                  </w:r>
                </w:p>
              </w:tc>
              <w:tc>
                <w:tcPr>
                  <w:tcW w:w="696" w:type="pct"/>
                  <w:vMerge w:val="restart"/>
                  <w:tcBorders>
                    <w:top w:val="single" w:color="auto" w:sz="4" w:space="0"/>
                    <w:lef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1次/</w:t>
                  </w:r>
                  <w:r>
                    <w:rPr>
                      <w:rFonts w:hint="eastAsia"/>
                      <w:lang w:val="en-US"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pct"/>
                  <w:vMerge w:val="restart"/>
                  <w:tcBorders>
                    <w:top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废气</w:t>
                  </w:r>
                </w:p>
              </w:tc>
              <w:tc>
                <w:tcPr>
                  <w:tcW w:w="1599" w:type="pct"/>
                  <w:vMerge w:val="restart"/>
                  <w:tcBorders>
                    <w:top w:val="single" w:color="auto" w:sz="4" w:space="0"/>
                    <w:left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硫酸雾、NH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w:t>
                  </w:r>
                </w:p>
              </w:tc>
              <w:tc>
                <w:tcPr>
                  <w:tcW w:w="197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厂界</w:t>
                  </w:r>
                </w:p>
              </w:tc>
              <w:tc>
                <w:tcPr>
                  <w:tcW w:w="696" w:type="pct"/>
                  <w:vMerge w:val="continue"/>
                  <w:tcBorders>
                    <w:lef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pct"/>
                  <w:vMerge w:val="continue"/>
                  <w:tcBorders>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599" w:type="pct"/>
                  <w:vMerge w:val="continue"/>
                  <w:tcBorders>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p>
              </w:tc>
              <w:tc>
                <w:tcPr>
                  <w:tcW w:w="197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DA001排气筒</w:t>
                  </w:r>
                </w:p>
              </w:tc>
              <w:tc>
                <w:tcPr>
                  <w:tcW w:w="696" w:type="pct"/>
                  <w:vMerge w:val="continue"/>
                  <w:tcBorders>
                    <w:lef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vMerge w:val="continue"/>
                  <w:tcBorders>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c>
                <w:tcPr>
                  <w:tcW w:w="15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rPr>
                    <w:t>颗粒物、</w:t>
                  </w:r>
                  <w:r>
                    <w:rPr>
                      <w:rFonts w:hint="default"/>
                    </w:rPr>
                    <w:t>SO</w:t>
                  </w:r>
                  <w:r>
                    <w:rPr>
                      <w:rFonts w:hint="default"/>
                      <w:vertAlign w:val="subscript"/>
                    </w:rPr>
                    <w:t>2</w:t>
                  </w:r>
                  <w:r>
                    <w:rPr>
                      <w:rFonts w:hint="eastAsia"/>
                    </w:rPr>
                    <w:t>、NO</w:t>
                  </w:r>
                  <w:r>
                    <w:rPr>
                      <w:rFonts w:hint="default"/>
                      <w:vertAlign w:val="subscript"/>
                    </w:rPr>
                    <w:t>x</w:t>
                  </w:r>
                </w:p>
              </w:tc>
              <w:tc>
                <w:tcPr>
                  <w:tcW w:w="197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DA002排气筒</w:t>
                  </w:r>
                </w:p>
              </w:tc>
              <w:tc>
                <w:tcPr>
                  <w:tcW w:w="696" w:type="pct"/>
                  <w:vMerge w:val="continue"/>
                  <w:tcBorders>
                    <w:lef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pct"/>
                  <w:tcBorders>
                    <w:top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噪声</w:t>
                  </w:r>
                </w:p>
              </w:tc>
              <w:tc>
                <w:tcPr>
                  <w:tcW w:w="159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厂界噪声</w:t>
                  </w:r>
                </w:p>
              </w:tc>
              <w:tc>
                <w:tcPr>
                  <w:tcW w:w="197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厂界</w:t>
                  </w:r>
                </w:p>
              </w:tc>
              <w:tc>
                <w:tcPr>
                  <w:tcW w:w="696" w:type="pct"/>
                  <w:vMerge w:val="continue"/>
                  <w:tcBorders>
                    <w:lef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pct"/>
                  <w:tcBorders>
                    <w:top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eastAsia" w:eastAsia="宋体"/>
                      <w:lang w:val="en-US" w:eastAsia="zh-CN"/>
                    </w:rPr>
                  </w:pPr>
                  <w:r>
                    <w:rPr>
                      <w:rFonts w:hint="eastAsia"/>
                      <w:lang w:val="en-US" w:eastAsia="zh-CN"/>
                    </w:rPr>
                    <w:t>地下水</w:t>
                  </w:r>
                </w:p>
              </w:tc>
              <w:tc>
                <w:tcPr>
                  <w:tcW w:w="1599" w:type="pct"/>
                  <w:tcBorders>
                    <w:top w:val="single" w:color="auto" w:sz="4" w:space="0"/>
                    <w:left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eastAsia="宋体"/>
                      <w:lang w:val="en-US" w:eastAsia="zh-CN"/>
                    </w:rPr>
                  </w:pPr>
                  <w:r>
                    <w:rPr>
                      <w:rFonts w:hint="default"/>
                    </w:rPr>
                    <w:t>COD、NH</w:t>
                  </w:r>
                  <w:r>
                    <w:rPr>
                      <w:rFonts w:hint="default"/>
                      <w:vertAlign w:val="subscript"/>
                    </w:rPr>
                    <w:t>3</w:t>
                  </w:r>
                  <w:r>
                    <w:rPr>
                      <w:rFonts w:hint="default"/>
                    </w:rPr>
                    <w:t>-N、BOD</w:t>
                  </w:r>
                  <w:r>
                    <w:rPr>
                      <w:rFonts w:hint="eastAsia"/>
                      <w:lang w:eastAsia="zh-CN"/>
                    </w:rPr>
                    <w:t>、</w:t>
                  </w:r>
                  <w:r>
                    <w:rPr>
                      <w:rFonts w:hint="eastAsia"/>
                      <w:lang w:val="en-US" w:eastAsia="zh-CN"/>
                    </w:rPr>
                    <w:t>PH、硫酸盐等</w:t>
                  </w:r>
                </w:p>
              </w:tc>
              <w:tc>
                <w:tcPr>
                  <w:tcW w:w="1970" w:type="pct"/>
                  <w:tcBorders>
                    <w:top w:val="single" w:color="auto" w:sz="4" w:space="0"/>
                    <w:left w:val="single" w:color="auto" w:sz="4" w:space="0"/>
                    <w:righ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eastAsia="宋体"/>
                      <w:lang w:val="en-US" w:eastAsia="zh-CN"/>
                    </w:rPr>
                  </w:pPr>
                  <w:r>
                    <w:rPr>
                      <w:rFonts w:hint="eastAsia"/>
                      <w:highlight w:val="none"/>
                      <w:lang w:val="en-US" w:eastAsia="zh-CN"/>
                    </w:rPr>
                    <w:t>厂区下游按《地下水环境监测技术规范》(HJ164-2020)设计监测井</w:t>
                  </w:r>
                </w:p>
              </w:tc>
              <w:tc>
                <w:tcPr>
                  <w:tcW w:w="696" w:type="pct"/>
                  <w:vMerge w:val="continue"/>
                  <w:tcBorders>
                    <w:left w:val="single" w:color="auto" w:sz="4" w:space="0"/>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p>
              </w:tc>
            </w:tr>
          </w:tbl>
          <w:p>
            <w:pPr>
              <w:pStyle w:val="2"/>
              <w:pageBreakBefore w:val="0"/>
              <w:widowControl w:val="0"/>
              <w:suppressLineNumbers w:val="0"/>
              <w:kinsoku/>
              <w:wordWrap/>
              <w:overflowPunct/>
              <w:topLinePunct w:val="0"/>
              <w:autoSpaceDE/>
              <w:autoSpaceDN/>
              <w:bidi w:val="0"/>
              <w:adjustRightInd/>
              <w:snapToGrid/>
              <w:spacing w:before="0" w:after="0" w:line="440" w:lineRule="exact"/>
              <w:ind w:right="0"/>
              <w:textAlignment w:val="auto"/>
              <w:rPr>
                <w:rFonts w:hint="eastAsia"/>
                <w:lang w:val="zh-CN"/>
              </w:rPr>
            </w:pPr>
            <w:r>
              <w:rPr>
                <w:rFonts w:hint="eastAsia"/>
                <w:lang w:val="zh-CN"/>
              </w:rPr>
              <w:t>固体废物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lang w:val="zh-CN"/>
              </w:rPr>
            </w:pPr>
            <w:r>
              <w:rPr>
                <w:rFonts w:hint="eastAsia"/>
                <w:lang w:val="zh-CN"/>
              </w:rPr>
              <w:t>本项目固废主要为生活垃圾和氢氧化</w:t>
            </w:r>
            <w:r>
              <w:rPr>
                <w:rFonts w:hint="eastAsia"/>
                <w:lang w:val="en-US" w:eastAsia="zh-CN"/>
              </w:rPr>
              <w:t>钾</w:t>
            </w:r>
            <w:r>
              <w:rPr>
                <w:rFonts w:hint="eastAsia"/>
                <w:lang w:val="zh-CN"/>
              </w:rPr>
              <w:t>废包装物。</w:t>
            </w:r>
          </w:p>
          <w:p>
            <w:pPr>
              <w:pStyle w:val="3"/>
              <w:pageBreakBefore w:val="0"/>
              <w:widowControl w:val="0"/>
              <w:suppressLineNumbers w:val="0"/>
              <w:kinsoku/>
              <w:wordWrap/>
              <w:overflowPunct/>
              <w:topLinePunct w:val="0"/>
              <w:autoSpaceDE/>
              <w:autoSpaceDN/>
              <w:bidi w:val="0"/>
              <w:adjustRightInd/>
              <w:snapToGrid/>
              <w:spacing w:before="0" w:after="0" w:line="440" w:lineRule="exact"/>
              <w:ind w:right="0"/>
              <w:textAlignment w:val="auto"/>
              <w:rPr>
                <w:rFonts w:hint="eastAsia"/>
                <w:lang w:val="zh-CN"/>
              </w:rPr>
            </w:pPr>
            <w:r>
              <w:rPr>
                <w:rFonts w:hint="eastAsia"/>
                <w:lang w:val="zh-CN"/>
              </w:rPr>
              <w:t>生活垃圾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lang w:val="zh-CN"/>
              </w:rPr>
            </w:pPr>
            <w:r>
              <w:rPr>
                <w:rFonts w:hint="eastAsia"/>
                <w:lang w:val="en-US" w:eastAsia="zh-CN"/>
              </w:rPr>
              <w:t>本项目劳动定员15人，</w:t>
            </w:r>
            <w:r>
              <w:rPr>
                <w:rFonts w:hint="eastAsia"/>
                <w:lang w:val="zh-CN"/>
              </w:rPr>
              <w:t>职工生活垃圾产生量按每人每日产生</w:t>
            </w:r>
            <w:r>
              <w:rPr>
                <w:rFonts w:hint="eastAsia"/>
                <w:lang w:val="en-US" w:eastAsia="zh-CN"/>
              </w:rPr>
              <w:t>1</w:t>
            </w:r>
            <w:r>
              <w:rPr>
                <w:rFonts w:hint="eastAsia"/>
                <w:lang w:val="zh-CN"/>
              </w:rPr>
              <w:t>kg计，则产生量为</w:t>
            </w:r>
            <w:r>
              <w:rPr>
                <w:rFonts w:hint="eastAsia"/>
                <w:lang w:val="en-US" w:eastAsia="zh-CN"/>
              </w:rPr>
              <w:t>4.5</w:t>
            </w:r>
            <w:r>
              <w:rPr>
                <w:rFonts w:hint="eastAsia"/>
                <w:lang w:val="zh-CN"/>
              </w:rPr>
              <w:t>t/a。生活垃圾收集后由当地环卫部门统一处理，</w:t>
            </w:r>
            <w:r>
              <w:rPr>
                <w:rFonts w:hint="eastAsia"/>
                <w:lang w:val="en-US" w:eastAsia="zh-CN"/>
              </w:rPr>
              <w:t>可满足《一般工业固体废物贮存和填埋污染控制标准》(GB 18599-2020)中的相关规定</w:t>
            </w:r>
            <w:r>
              <w:rPr>
                <w:rFonts w:hint="eastAsia"/>
                <w:lang w:val="zh-CN"/>
              </w:rPr>
              <w:t>，对外环境影响较小</w:t>
            </w:r>
            <w:r>
              <w:rPr>
                <w:rFonts w:hint="eastAsia"/>
                <w:lang w:val="en-US" w:eastAsia="zh-CN"/>
              </w:rPr>
              <w:t>。</w:t>
            </w:r>
          </w:p>
          <w:p>
            <w:pPr>
              <w:pStyle w:val="3"/>
              <w:pageBreakBefore w:val="0"/>
              <w:widowControl w:val="0"/>
              <w:suppressLineNumbers w:val="0"/>
              <w:kinsoku/>
              <w:wordWrap/>
              <w:overflowPunct/>
              <w:topLinePunct w:val="0"/>
              <w:autoSpaceDE/>
              <w:autoSpaceDN/>
              <w:bidi w:val="0"/>
              <w:adjustRightInd/>
              <w:snapToGrid/>
              <w:spacing w:before="0" w:after="0" w:line="440" w:lineRule="exact"/>
              <w:ind w:right="0"/>
              <w:textAlignment w:val="auto"/>
              <w:rPr>
                <w:rFonts w:hint="eastAsia"/>
                <w:lang w:val="en-US" w:eastAsia="zh-CN"/>
              </w:rPr>
            </w:pPr>
            <w:r>
              <w:rPr>
                <w:rFonts w:hint="eastAsia"/>
                <w:lang w:val="en-US" w:eastAsia="zh-CN"/>
              </w:rPr>
              <w:t>氢氧化钾包装袋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lang w:val="en-US" w:eastAsia="zh-CN"/>
              </w:rPr>
            </w:pPr>
            <w:r>
              <w:rPr>
                <w:rFonts w:hint="eastAsia"/>
                <w:lang w:val="zh-CN"/>
              </w:rPr>
              <w:t>根据建设单位提供的资料，本项目采用塑料编织袋包装</w:t>
            </w:r>
            <w:r>
              <w:rPr>
                <w:rFonts w:hint="eastAsia"/>
                <w:lang w:val="en-US" w:eastAsia="zh-CN"/>
              </w:rPr>
              <w:t>氢氧化钾</w:t>
            </w:r>
            <w:r>
              <w:rPr>
                <w:rFonts w:hint="eastAsia"/>
                <w:lang w:val="zh-CN"/>
              </w:rPr>
              <w:t>，废包装袋产生量为</w:t>
            </w:r>
            <w:r>
              <w:rPr>
                <w:rFonts w:hint="eastAsia"/>
                <w:lang w:val="en-US" w:eastAsia="zh-CN"/>
              </w:rPr>
              <w:t>0.25t</w:t>
            </w:r>
            <w:r>
              <w:rPr>
                <w:rFonts w:hint="eastAsia"/>
                <w:lang w:val="zh-CN"/>
              </w:rPr>
              <w:t>/a。属于危险废物，编号HW49其他废物，废物代码 900-041-49。</w:t>
            </w:r>
            <w:r>
              <w:rPr>
                <w:rFonts w:hint="eastAsia"/>
                <w:lang w:val="en-US" w:eastAsia="zh-CN"/>
              </w:rPr>
              <w:t>详见下表。</w:t>
            </w:r>
          </w:p>
          <w:p>
            <w:pPr>
              <w:pStyle w:val="20"/>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本项目危废产生及处置情况一览表</w:t>
            </w:r>
          </w:p>
          <w:tbl>
            <w:tblPr>
              <w:tblStyle w:val="15"/>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587"/>
              <w:gridCol w:w="484"/>
              <w:gridCol w:w="1015"/>
              <w:gridCol w:w="726"/>
              <w:gridCol w:w="942"/>
              <w:gridCol w:w="624"/>
              <w:gridCol w:w="516"/>
              <w:gridCol w:w="475"/>
              <w:gridCol w:w="551"/>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33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类别</w:t>
                  </w:r>
                </w:p>
              </w:tc>
              <w:tc>
                <w:tcPr>
                  <w:tcW w:w="37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固废名称</w:t>
                  </w:r>
                </w:p>
              </w:tc>
              <w:tc>
                <w:tcPr>
                  <w:tcW w:w="305"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危废类别</w:t>
                  </w:r>
                </w:p>
              </w:tc>
              <w:tc>
                <w:tcPr>
                  <w:tcW w:w="639"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废物代码</w:t>
                  </w:r>
                </w:p>
              </w:tc>
              <w:tc>
                <w:tcPr>
                  <w:tcW w:w="4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产生量</w:t>
                  </w:r>
                </w:p>
              </w:tc>
              <w:tc>
                <w:tcPr>
                  <w:tcW w:w="5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产生工</w:t>
                  </w:r>
                </w:p>
                <w:p>
                  <w:pPr>
                    <w:pStyle w:val="19"/>
                    <w:keepNext w:val="0"/>
                    <w:keepLines w:val="0"/>
                    <w:suppressLineNumbers w:val="0"/>
                    <w:bidi w:val="0"/>
                    <w:spacing w:before="0" w:beforeAutospacing="0" w:after="0" w:afterAutospacing="0"/>
                    <w:ind w:left="0" w:right="0"/>
                    <w:rPr>
                      <w:rFonts w:hint="default"/>
                    </w:rPr>
                  </w:pPr>
                  <w:r>
                    <w:rPr>
                      <w:rFonts w:hint="default"/>
                    </w:rPr>
                    <w:t>序及装置</w:t>
                  </w:r>
                </w:p>
              </w:tc>
              <w:tc>
                <w:tcPr>
                  <w:tcW w:w="3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主要成分</w:t>
                  </w:r>
                </w:p>
              </w:tc>
              <w:tc>
                <w:tcPr>
                  <w:tcW w:w="325"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有害成分</w:t>
                  </w:r>
                </w:p>
              </w:tc>
              <w:tc>
                <w:tcPr>
                  <w:tcW w:w="299"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产废周期</w:t>
                  </w:r>
                </w:p>
              </w:tc>
              <w:tc>
                <w:tcPr>
                  <w:tcW w:w="34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危险特征</w:t>
                  </w:r>
                </w:p>
              </w:tc>
              <w:tc>
                <w:tcPr>
                  <w:tcW w:w="93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jc w:val="center"/>
              </w:trPr>
              <w:tc>
                <w:tcPr>
                  <w:tcW w:w="33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危险废物</w:t>
                  </w:r>
                </w:p>
              </w:tc>
              <w:tc>
                <w:tcPr>
                  <w:tcW w:w="37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废包装袋</w:t>
                  </w:r>
                </w:p>
              </w:tc>
              <w:tc>
                <w:tcPr>
                  <w:tcW w:w="305"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HW 49</w:t>
                  </w:r>
                </w:p>
              </w:tc>
              <w:tc>
                <w:tcPr>
                  <w:tcW w:w="639"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jc w:val="center"/>
                    <w:rPr>
                      <w:rFonts w:hint="default"/>
                    </w:rPr>
                  </w:pPr>
                  <w:r>
                    <w:rPr>
                      <w:rFonts w:hint="default"/>
                    </w:rPr>
                    <w:t>900-041-49</w:t>
                  </w:r>
                </w:p>
              </w:tc>
              <w:tc>
                <w:tcPr>
                  <w:tcW w:w="45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0.25</w:t>
                  </w:r>
                  <w:r>
                    <w:rPr>
                      <w:rFonts w:hint="default"/>
                    </w:rPr>
                    <w:t>t/a</w:t>
                  </w:r>
                </w:p>
              </w:tc>
              <w:tc>
                <w:tcPr>
                  <w:tcW w:w="5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废气处理</w:t>
                  </w:r>
                </w:p>
              </w:tc>
              <w:tc>
                <w:tcPr>
                  <w:tcW w:w="393"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塑料、</w:t>
                  </w:r>
                </w:p>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氢氧化</w:t>
                  </w:r>
                  <w:r>
                    <w:rPr>
                      <w:rFonts w:hint="eastAsia"/>
                      <w:lang w:val="en-US" w:eastAsia="zh-CN"/>
                    </w:rPr>
                    <w:t>钾</w:t>
                  </w:r>
                </w:p>
              </w:tc>
              <w:tc>
                <w:tcPr>
                  <w:tcW w:w="325"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eastAsia="zh-CN"/>
                    </w:rPr>
                  </w:pPr>
                  <w:r>
                    <w:rPr>
                      <w:rFonts w:hint="default"/>
                    </w:rPr>
                    <w:t>氢氧化</w:t>
                  </w:r>
                  <w:r>
                    <w:rPr>
                      <w:rFonts w:hint="eastAsia"/>
                      <w:lang w:val="en-US" w:eastAsia="zh-CN"/>
                    </w:rPr>
                    <w:t>钾</w:t>
                  </w:r>
                </w:p>
              </w:tc>
              <w:tc>
                <w:tcPr>
                  <w:tcW w:w="299"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3d</w:t>
                  </w:r>
                </w:p>
              </w:tc>
              <w:tc>
                <w:tcPr>
                  <w:tcW w:w="347"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T/In</w:t>
                  </w:r>
                </w:p>
              </w:tc>
              <w:tc>
                <w:tcPr>
                  <w:tcW w:w="930"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暂存于厂区</w:t>
                  </w:r>
                </w:p>
                <w:p>
                  <w:pPr>
                    <w:pStyle w:val="19"/>
                    <w:keepNext w:val="0"/>
                    <w:keepLines w:val="0"/>
                    <w:suppressLineNumbers w:val="0"/>
                    <w:bidi w:val="0"/>
                    <w:spacing w:before="0" w:beforeAutospacing="0" w:after="0" w:afterAutospacing="0"/>
                    <w:ind w:left="0" w:right="0"/>
                    <w:rPr>
                      <w:rFonts w:hint="default"/>
                    </w:rPr>
                  </w:pPr>
                  <w:r>
                    <w:rPr>
                      <w:rFonts w:hint="default"/>
                    </w:rPr>
                    <w:t>危险废物暂</w:t>
                  </w:r>
                </w:p>
                <w:p>
                  <w:pPr>
                    <w:pStyle w:val="19"/>
                    <w:keepNext w:val="0"/>
                    <w:keepLines w:val="0"/>
                    <w:suppressLineNumbers w:val="0"/>
                    <w:bidi w:val="0"/>
                    <w:spacing w:before="0" w:beforeAutospacing="0" w:after="0" w:afterAutospacing="0"/>
                    <w:ind w:left="0" w:right="0"/>
                    <w:rPr>
                      <w:rFonts w:hint="default"/>
                    </w:rPr>
                  </w:pPr>
                  <w:r>
                    <w:rPr>
                      <w:rFonts w:hint="default"/>
                    </w:rPr>
                    <w:t>存间，定期交</w:t>
                  </w:r>
                </w:p>
                <w:p>
                  <w:pPr>
                    <w:pStyle w:val="19"/>
                    <w:keepNext w:val="0"/>
                    <w:keepLines w:val="0"/>
                    <w:suppressLineNumbers w:val="0"/>
                    <w:bidi w:val="0"/>
                    <w:spacing w:before="0" w:beforeAutospacing="0" w:after="0" w:afterAutospacing="0"/>
                    <w:ind w:left="0" w:right="0"/>
                    <w:rPr>
                      <w:rFonts w:hint="default"/>
                    </w:rPr>
                  </w:pPr>
                  <w:r>
                    <w:rPr>
                      <w:rFonts w:hint="default"/>
                    </w:rPr>
                    <w:t>由有资质单</w:t>
                  </w:r>
                </w:p>
                <w:p>
                  <w:pPr>
                    <w:pStyle w:val="19"/>
                    <w:keepNext w:val="0"/>
                    <w:keepLines w:val="0"/>
                    <w:suppressLineNumbers w:val="0"/>
                    <w:bidi w:val="0"/>
                    <w:spacing w:before="0" w:beforeAutospacing="0" w:after="0" w:afterAutospacing="0"/>
                    <w:ind w:left="0" w:right="0"/>
                    <w:rPr>
                      <w:rFonts w:hint="default"/>
                    </w:rPr>
                  </w:pPr>
                  <w:r>
                    <w:rPr>
                      <w:rFonts w:hint="default"/>
                    </w:rPr>
                    <w:t>位处理</w:t>
                  </w:r>
                </w:p>
              </w:tc>
            </w:tr>
          </w:tbl>
          <w:p>
            <w:pPr>
              <w:keepNext w:val="0"/>
              <w:keepLines w:val="0"/>
              <w:suppressLineNumbers w:val="0"/>
              <w:adjustRightInd w:val="0"/>
              <w:snapToGrid w:val="0"/>
              <w:spacing w:before="0" w:beforeAutospacing="0" w:after="0" w:afterAutospacing="0" w:line="360" w:lineRule="auto"/>
              <w:ind w:left="0" w:right="0"/>
              <w:rPr>
                <w:rFonts w:hint="eastAsia"/>
                <w:lang w:val="zh-CN"/>
              </w:rPr>
            </w:pPr>
            <w:r>
              <w:rPr>
                <w:rFonts w:hint="default" w:ascii="Times New Roman" w:hAnsi="Times New Roman" w:eastAsia="仿宋_GB2312" w:cs="Times New Roman"/>
                <w:sz w:val="21"/>
                <w:szCs w:val="21"/>
                <w:u w:val="none" w:color="auto"/>
                <w:lang w:eastAsia="zh-CN"/>
              </w:rPr>
              <w:t>注：T毒性、In感染性。</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lang w:val="zh-CN"/>
              </w:rPr>
            </w:pPr>
            <w:r>
              <w:rPr>
                <w:rFonts w:hint="eastAsia"/>
                <w:lang w:val="en-US" w:eastAsia="zh-CN"/>
              </w:rPr>
              <w:t>厂区设1</w:t>
            </w:r>
            <w:r>
              <w:rPr>
                <w:rFonts w:hint="default"/>
                <w:lang w:val="en-US" w:eastAsia="zh-CN"/>
              </w:rPr>
              <w:t>5m</w:t>
            </w:r>
            <w:r>
              <w:rPr>
                <w:rFonts w:hint="default"/>
                <w:vertAlign w:val="superscript"/>
                <w:lang w:val="en-US" w:eastAsia="zh-CN"/>
              </w:rPr>
              <w:t>2</w:t>
            </w:r>
            <w:r>
              <w:rPr>
                <w:rFonts w:hint="eastAsia"/>
                <w:lang w:val="zh-CN"/>
              </w:rPr>
              <w:t>危废暂存间</w:t>
            </w:r>
            <w:r>
              <w:rPr>
                <w:rFonts w:hint="eastAsia"/>
                <w:lang w:val="en-US" w:eastAsia="zh-CN"/>
              </w:rPr>
              <w:t>1座，建设须符合《危险废物贮存污染控制标准》(GB18579-2001)及其修改单中的相关规定，</w:t>
            </w:r>
            <w:r>
              <w:rPr>
                <w:rFonts w:hint="eastAsia"/>
                <w:lang w:val="zh-CN"/>
              </w:rPr>
              <w:t>防治措施如下：</w:t>
            </w:r>
          </w:p>
          <w:p>
            <w:pPr>
              <w:pStyle w:val="6"/>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eastAsia"/>
                <w:lang w:val="zh-CN"/>
              </w:rPr>
            </w:pPr>
            <w:r>
              <w:rPr>
                <w:rFonts w:hint="eastAsia"/>
                <w:lang w:val="en-US" w:eastAsia="zh-CN"/>
              </w:rPr>
              <w:t>基础必须防渗，防渗层为至少1m厚黏土层(渗透系数</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-7</w:t>
            </w:r>
            <w:r>
              <w:rPr>
                <w:rFonts w:hint="eastAsia"/>
                <w:lang w:val="en-US" w:eastAsia="zh-CN"/>
              </w:rPr>
              <w:t>cm/s)，或2mm厚高密度聚乙烯，或至少2mm厚的其它人工材料，渗透系数</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-10</w:t>
            </w:r>
            <w:r>
              <w:rPr>
                <w:rFonts w:hint="eastAsia"/>
                <w:lang w:val="en-US" w:eastAsia="zh-CN"/>
              </w:rPr>
              <w:t>cm/s。</w:t>
            </w:r>
          </w:p>
          <w:p>
            <w:pPr>
              <w:pStyle w:val="6"/>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default"/>
                <w:lang w:val="en-US" w:eastAsia="zh-CN"/>
              </w:rPr>
            </w:pPr>
            <w:r>
              <w:rPr>
                <w:rFonts w:hint="eastAsia"/>
                <w:lang w:val="en-US" w:eastAsia="zh-CN"/>
              </w:rPr>
              <w:t>危险废物堆要防风、防雨、防晒，应设计建造径流疏导系统，保证能防止25年一遇的暴雨不会流到危险废物堆里，暂存间内设计雨水收集池，能收集25年一遇的暴雨24h降水量。</w:t>
            </w:r>
          </w:p>
          <w:p>
            <w:pPr>
              <w:pStyle w:val="6"/>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eastAsia"/>
                <w:lang w:val="zh-CN"/>
              </w:rPr>
            </w:pPr>
            <w:r>
              <w:rPr>
                <w:rFonts w:hint="eastAsia"/>
                <w:lang w:val="zh-CN"/>
              </w:rPr>
              <w:t>危险废物贮存设施都必须按GB15562.2的规定设置警示标志，周围应设置围墙或其它防护栅栏。危险废物贮存设施应配备通讯设备、照明设施、安全防护服装及工具，并设有应急防护设施。</w:t>
            </w:r>
          </w:p>
          <w:p>
            <w:pPr>
              <w:pStyle w:val="6"/>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eastAsia"/>
                <w:lang w:val="zh-CN"/>
              </w:rPr>
            </w:pPr>
            <w:r>
              <w:rPr>
                <w:rFonts w:hint="eastAsia"/>
                <w:lang w:val="zh-CN"/>
              </w:rPr>
              <w:t>建立台账并悬挂于危废间内，转入及转出需要填写数量、时间及负责人员姓名。</w:t>
            </w:r>
          </w:p>
          <w:p>
            <w:pPr>
              <w:pStyle w:val="6"/>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eastAsia"/>
                <w:lang w:val="zh-CN"/>
              </w:rPr>
            </w:pPr>
            <w:r>
              <w:rPr>
                <w:rFonts w:hint="eastAsia"/>
                <w:lang w:val="en-US" w:eastAsia="zh-CN"/>
              </w:rPr>
              <w:t>危废暂存间</w:t>
            </w:r>
            <w:r>
              <w:rPr>
                <w:rFonts w:hint="eastAsia"/>
              </w:rPr>
              <w:t>需按照“双人双锁”制度管理。</w:t>
            </w:r>
            <w:r>
              <w:rPr>
                <w:rFonts w:hint="eastAsia"/>
                <w:lang w:eastAsia="zh-CN"/>
              </w:rPr>
              <w:t>(</w:t>
            </w:r>
            <w:r>
              <w:rPr>
                <w:rFonts w:hint="eastAsia"/>
              </w:rPr>
              <w:t>两把钥匙分别由两个危废负责人管理，不得一人管理</w:t>
            </w:r>
            <w:r>
              <w:rPr>
                <w:rFonts w:hint="eastAsia"/>
                <w:lang w:eastAsia="zh-CN"/>
              </w:rPr>
              <w:t>)</w:t>
            </w:r>
            <w:r>
              <w:rPr>
                <w:rFonts w:hint="eastAsia"/>
              </w:rPr>
              <w:t>。</w:t>
            </w:r>
          </w:p>
          <w:p>
            <w:pPr>
              <w:pStyle w:val="6"/>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eastAsia"/>
                <w:lang w:val="zh-CN"/>
              </w:rPr>
            </w:pPr>
            <w:r>
              <w:rPr>
                <w:rFonts w:hint="eastAsia"/>
                <w:lang w:val="en-US" w:eastAsia="zh-CN"/>
              </w:rPr>
              <w:t>危废定期交由有资质的单位进行处理处置。</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default" w:eastAsia="宋体"/>
                <w:color w:val="auto"/>
                <w:lang w:val="en-US" w:eastAsia="zh-CN"/>
              </w:rPr>
            </w:pPr>
            <w:r>
              <w:rPr>
                <w:rFonts w:hint="eastAsia"/>
                <w:color w:val="auto"/>
                <w:lang w:val="zh-CN"/>
              </w:rPr>
              <w:t>综上所</w:t>
            </w:r>
            <w:r>
              <w:rPr>
                <w:rFonts w:hint="eastAsia"/>
                <w:color w:val="auto"/>
                <w:lang w:val="en-US" w:eastAsia="zh-CN"/>
              </w:rPr>
              <w:t>述</w:t>
            </w:r>
            <w:r>
              <w:rPr>
                <w:rFonts w:hint="eastAsia"/>
                <w:color w:val="auto"/>
                <w:lang w:val="zh-CN"/>
              </w:rPr>
              <w:t>，采取上述措施和管理方案，本项目所产固体废弃物去向明确、合理、安全，不会造成二次污染，处置措施可行，可实现“资源化、无害化”目标，</w:t>
            </w:r>
            <w:r>
              <w:rPr>
                <w:rFonts w:hint="eastAsia"/>
                <w:color w:val="auto"/>
                <w:lang w:val="en-US" w:eastAsia="zh-CN"/>
              </w:rPr>
              <w:t>对区域环境影响很小。</w:t>
            </w:r>
          </w:p>
          <w:p>
            <w:pPr>
              <w:pStyle w:val="2"/>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default"/>
              </w:rPr>
            </w:pPr>
            <w:r>
              <w:rPr>
                <w:rFonts w:hint="default"/>
              </w:rPr>
              <w:t>生态</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default"/>
              </w:rPr>
            </w:pPr>
            <w:r>
              <w:rPr>
                <w:rFonts w:hint="default"/>
              </w:rPr>
              <w:t>本项目位于新疆昌吉州呼图壁县大丰工业园区东侧，大丰镇以北约12.5km，本项目评价范围内无自然保护区、风景名胜区、水源地保护区等生态保护目标。生产用地不会对区域生态环境造成明显不利影响，项目运营后，厂区绿化小范围内植被覆盖度提高，有利于小范围内生态环境改善。</w:t>
            </w:r>
          </w:p>
          <w:p>
            <w:pPr>
              <w:pStyle w:val="2"/>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default"/>
              </w:rPr>
            </w:pPr>
            <w:r>
              <w:rPr>
                <w:rFonts w:hint="default"/>
              </w:rPr>
              <w:t>环境风险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default"/>
              </w:rPr>
            </w:pPr>
            <w:r>
              <w:rPr>
                <w:rFonts w:hint="default"/>
              </w:rPr>
              <w:t>采取有效风险防范和综合管理措施的前提下，所产生的环境风险可以控制在可接受风险水平之内。详细分析见附表1环境风险专项评价。</w:t>
            </w:r>
          </w:p>
          <w:p>
            <w:pPr>
              <w:pStyle w:val="2"/>
              <w:pageBreakBefore w:val="0"/>
              <w:widowControl w:val="0"/>
              <w:suppressLineNumbers w:val="0"/>
              <w:kinsoku/>
              <w:wordWrap/>
              <w:overflowPunct/>
              <w:topLinePunct w:val="0"/>
              <w:autoSpaceDE/>
              <w:autoSpaceDN/>
              <w:bidi w:val="0"/>
              <w:adjustRightInd/>
              <w:spacing w:before="0" w:after="0" w:line="440" w:lineRule="exact"/>
              <w:ind w:right="0"/>
              <w:textAlignment w:val="auto"/>
              <w:rPr>
                <w:rFonts w:hint="default"/>
                <w:lang w:val="en-US" w:eastAsia="zh-CN"/>
              </w:rPr>
            </w:pPr>
            <w:r>
              <w:rPr>
                <w:rFonts w:hint="eastAsia"/>
                <w:lang w:val="en-US" w:eastAsia="zh-CN"/>
              </w:rPr>
              <w:t>选址合理性分析</w:t>
            </w:r>
          </w:p>
          <w:p>
            <w:pPr>
              <w:pStyle w:val="6"/>
              <w:pageBreakBefore w:val="0"/>
              <w:widowControl w:val="0"/>
              <w:numPr>
                <w:numId w:val="0"/>
              </w:numPr>
              <w:suppressLineNumbers w:val="0"/>
              <w:kinsoku/>
              <w:wordWrap/>
              <w:overflowPunct/>
              <w:topLinePunct w:val="0"/>
              <w:autoSpaceDE/>
              <w:autoSpaceDN/>
              <w:bidi w:val="0"/>
              <w:adjustRightInd/>
              <w:spacing w:before="0" w:after="0" w:line="440" w:lineRule="exact"/>
              <w:ind w:leftChars="200" w:right="0" w:rightChars="0"/>
              <w:textAlignment w:val="auto"/>
              <w:rPr>
                <w:rFonts w:hint="default"/>
                <w:lang w:val="en-US" w:eastAsia="zh-CN"/>
              </w:rPr>
            </w:pPr>
            <w:r>
              <w:rPr>
                <w:rFonts w:hint="eastAsia"/>
                <w:lang w:val="en-US" w:eastAsia="zh-CN"/>
              </w:rPr>
              <w:t>（1）占地性质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lang w:val="en-US" w:eastAsia="zh-CN"/>
              </w:rPr>
            </w:pPr>
            <w:r>
              <w:rPr>
                <w:rFonts w:hint="eastAsia"/>
                <w:lang w:val="en-US" w:eastAsia="zh-CN"/>
              </w:rPr>
              <w:t>根据《新疆维吾尔自治区自然资源厅 农业农村厅关于加强和规范设施农业用地管理工作的通知(试行)》(新自然资规〔2020〕1号)要求：“设施农业用地是农业生产中直接用于作物种植和畜禽水产养殖的设施用地，包括生产设施用地和辅助设施用地。”，“辅助设施用地用于......建设与养殖生产直接关联的畜禽粪污处置(沼气池、化粪池、污水池、有机肥加工、病死畜无害化处理设施)。”同时，要求“农业设施建设尽量利用‘四荒地’(荒山、荒沟、荒丘、荒滩)、农村集体建设用地、工矿废弃地等存量建设用地和低效闲置土地，不占或少占耕地。”</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default"/>
                <w:lang w:val="en-US" w:eastAsia="zh-CN"/>
              </w:rPr>
            </w:pPr>
            <w:r>
              <w:rPr>
                <w:rFonts w:hint="default"/>
                <w:lang w:val="en-US" w:eastAsia="zh-CN"/>
              </w:rPr>
              <w:t>根据自然资源厅、农业农村厅农业用地管理要求，病死畜无害化处理设施用地为设施农业用地中的辅助设施用地类别。本项目根据农业用地管理要求，项目用地使用设施农业用地，符合设施农业用地要求。</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default"/>
                <w:lang w:val="en-US" w:eastAsia="zh-CN"/>
              </w:rPr>
            </w:pPr>
          </w:p>
          <w:p>
            <w:pPr>
              <w:pStyle w:val="6"/>
              <w:pageBreakBefore w:val="0"/>
              <w:widowControl w:val="0"/>
              <w:numPr>
                <w:numId w:val="0"/>
              </w:numPr>
              <w:suppressLineNumbers w:val="0"/>
              <w:kinsoku/>
              <w:wordWrap/>
              <w:overflowPunct/>
              <w:topLinePunct w:val="0"/>
              <w:autoSpaceDE/>
              <w:autoSpaceDN/>
              <w:bidi w:val="0"/>
              <w:adjustRightInd/>
              <w:spacing w:before="0" w:after="0" w:line="440" w:lineRule="exact"/>
              <w:ind w:right="0" w:rightChars="0" w:firstLine="240" w:firstLineChars="100"/>
              <w:textAlignment w:val="auto"/>
              <w:rPr>
                <w:rFonts w:hint="default"/>
                <w:lang w:val="en-US" w:eastAsia="zh-CN"/>
              </w:rPr>
            </w:pPr>
            <w:r>
              <w:rPr>
                <w:rFonts w:hint="eastAsia"/>
                <w:lang w:val="en-US" w:eastAsia="zh-CN"/>
              </w:rPr>
              <w:t>（2）选址要求</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lang w:val="en-US" w:eastAsia="zh-CN"/>
              </w:rPr>
            </w:pPr>
            <w:r>
              <w:rPr>
                <w:rFonts w:hint="default"/>
                <w:lang w:val="en-US" w:eastAsia="zh-CN"/>
              </w:rPr>
              <w:t>根据</w:t>
            </w:r>
            <w:r>
              <w:rPr>
                <w:rFonts w:hint="eastAsia"/>
                <w:lang w:val="en-US" w:eastAsia="zh-CN"/>
              </w:rPr>
              <w:t>《新疆维吾尔自治区自然资源厅 农业农村厅关于加强和规范设施农业用地管理工作的通知(试行)》中“四、规范设施农业用地取得程序”“依据国土空间规划、农业发展规划，按照设施农业用地建设方案，初步选定设施农业用地位置、范围。”</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lang w:val="en-US" w:eastAsia="zh-CN"/>
              </w:rPr>
            </w:pPr>
            <w:r>
              <w:rPr>
                <w:rFonts w:hint="eastAsia"/>
                <w:lang w:val="en-US" w:eastAsia="zh-CN"/>
              </w:rPr>
              <w:t>本项目用地经呼图壁县农业农村局审核并出具《关于昌吉州病死畜禽无害化集中处理中心项目用地预审和预选址意见的函》，呼图壁县农业农村局与发展和改革委员会、招商局、生态环境局、财政局、工业园区函询和实地查看，该项目符合国家产业政策和设施农业用地的政策。呼图壁县人民政府以《关于同意供应2021年第三批设施农用地的批复》（呼县政函【2021】108号）批复同意昌吉病死害畜禽无害化集中处理项目用地。</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default"/>
                <w:lang w:val="en-US" w:eastAsia="zh-CN"/>
              </w:rPr>
            </w:pPr>
            <w:r>
              <w:rPr>
                <w:rFonts w:hint="eastAsia"/>
                <w:lang w:val="en-US" w:eastAsia="zh-CN"/>
              </w:rPr>
              <w:t>（3）根据新疆维吾尔自治区畜牧兽医局《关于印发新疆“十四五”病死畜禽无害化处理体系布局方案的通知</w:t>
            </w:r>
            <w:r>
              <w:rPr>
                <w:rFonts w:hint="eastAsia"/>
                <w:lang w:val="en-US" w:eastAsia="zh-CN"/>
              </w:rPr>
              <w:t>》（新牧发【2021】10号）：“围绕</w:t>
            </w:r>
            <w:r>
              <w:rPr>
                <w:rFonts w:hint="default"/>
                <w:lang w:val="en-US" w:eastAsia="zh-CN"/>
              </w:rPr>
              <w:t>病死畜禽区域性集中无害化处理场建设，合理布局县级区域收集中心、乡</w:t>
            </w:r>
            <w:r>
              <w:rPr>
                <w:rFonts w:hint="eastAsia"/>
                <w:lang w:val="en-US" w:eastAsia="zh-CN"/>
              </w:rPr>
              <w:t>镇</w:t>
            </w:r>
            <w:r>
              <w:rPr>
                <w:rFonts w:hint="default"/>
                <w:lang w:val="en-US" w:eastAsia="zh-CN"/>
              </w:rPr>
              <w:t>级集中收贮站和规模养殖场收贮点，</w:t>
            </w:r>
            <w:r>
              <w:rPr>
                <w:rFonts w:hint="eastAsia"/>
                <w:lang w:val="en-US" w:eastAsia="zh-CN"/>
              </w:rPr>
              <w:t>建</w:t>
            </w:r>
            <w:r>
              <w:rPr>
                <w:rFonts w:hint="default"/>
                <w:lang w:val="en-US" w:eastAsia="zh-CN"/>
              </w:rPr>
              <w:t>成</w:t>
            </w:r>
            <w:r>
              <w:rPr>
                <w:rFonts w:hint="eastAsia"/>
                <w:lang w:val="en-US" w:eastAsia="zh-CN"/>
              </w:rPr>
              <w:t>病死畜禽收贮点、收贮站、收集中心、无害化处理场四级收贮转运处理网络</w:t>
            </w:r>
            <w:r>
              <w:rPr>
                <w:rFonts w:hint="eastAsia"/>
                <w:lang w:val="en-US" w:eastAsia="zh-CN"/>
              </w:rPr>
              <w:t>”......“</w:t>
            </w:r>
            <w:r>
              <w:rPr>
                <w:rFonts w:hint="default"/>
                <w:lang w:val="en-US" w:eastAsia="zh-CN"/>
              </w:rPr>
              <w:t>在全区布局建设20个</w:t>
            </w:r>
            <w:r>
              <w:rPr>
                <w:rFonts w:hint="eastAsia"/>
                <w:lang w:val="en-US" w:eastAsia="zh-CN"/>
              </w:rPr>
              <w:t>区域性</w:t>
            </w:r>
            <w:r>
              <w:rPr>
                <w:rFonts w:hint="default"/>
                <w:lang w:val="en-US" w:eastAsia="zh-CN"/>
              </w:rPr>
              <w:t>无害化处理场，分别位于喀什地区喀什市、麦盖提县、莎车县；阿克苏地区新和县、阿克苏市；巴州尉犁县；和田地区洛浦县、于田县；吐鲁番市高昌区；哈密市伊州区；乌鲁木齐市米东区；昌吉州呼图壁县、奇台县；伊犁州伊宁县、伊宁市；博州博乐市；塔城地区额敏县、沙湾市；阿勒泰地区布尔津县、富蕴县。</w:t>
            </w:r>
            <w:r>
              <w:rPr>
                <w:rFonts w:hint="eastAsia"/>
                <w:lang w:val="en-US" w:eastAsia="zh-CN"/>
              </w:rPr>
              <w:t>”呼图壁县为病死畜禽无害化处理场所在县（市），符合</w:t>
            </w:r>
            <w:r>
              <w:rPr>
                <w:rFonts w:hint="default"/>
                <w:lang w:val="en-US" w:eastAsia="zh-CN"/>
              </w:rPr>
              <w:t>病死畜禽无害化处理体系布局</w:t>
            </w:r>
            <w:r>
              <w:rPr>
                <w:rFonts w:hint="eastAsia"/>
                <w:lang w:val="en-US" w:eastAsia="zh-CN"/>
              </w:rPr>
              <w:t>要求。</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leftChars="0" w:right="0" w:firstLine="240" w:firstLineChars="100"/>
              <w:textAlignment w:val="auto"/>
              <w:rPr>
                <w:rFonts w:hint="default"/>
                <w:lang w:val="en-US" w:eastAsia="zh-CN"/>
              </w:rPr>
            </w:pPr>
            <w:r>
              <w:rPr>
                <w:rFonts w:hint="eastAsia"/>
                <w:lang w:val="en-US" w:eastAsia="zh-CN"/>
              </w:rPr>
              <w:t>（4）</w:t>
            </w:r>
            <w:r>
              <w:rPr>
                <w:rFonts w:hint="default"/>
                <w:lang w:val="en-US" w:eastAsia="zh-CN"/>
              </w:rPr>
              <w:t>项目区周围无文物、古迹、自然保护区、居民区等环境敏感点，</w:t>
            </w:r>
            <w:r>
              <w:rPr>
                <w:rFonts w:hint="eastAsia"/>
                <w:lang w:val="en-US" w:eastAsia="zh-CN"/>
              </w:rPr>
              <w:t>建设用地不占基本农田，敏感制约因素少。</w:t>
            </w:r>
          </w:p>
          <w:p>
            <w:pPr>
              <w:pStyle w:val="6"/>
              <w:pageBreakBefore w:val="0"/>
              <w:widowControl w:val="0"/>
              <w:numPr>
                <w:numId w:val="0"/>
              </w:numPr>
              <w:suppressLineNumbers w:val="0"/>
              <w:kinsoku/>
              <w:wordWrap/>
              <w:overflowPunct/>
              <w:topLinePunct w:val="0"/>
              <w:autoSpaceDE/>
              <w:autoSpaceDN/>
              <w:bidi w:val="0"/>
              <w:adjustRightInd/>
              <w:spacing w:before="0" w:after="0" w:line="440" w:lineRule="exact"/>
              <w:ind w:right="0" w:rightChars="0" w:firstLine="240" w:firstLineChars="100"/>
              <w:textAlignment w:val="auto"/>
              <w:rPr>
                <w:rFonts w:hint="default"/>
                <w:lang w:val="en-US" w:eastAsia="zh-CN"/>
              </w:rPr>
            </w:pPr>
            <w:r>
              <w:rPr>
                <w:rFonts w:hint="eastAsia"/>
                <w:lang w:val="en-US" w:eastAsia="zh-CN"/>
              </w:rPr>
              <w:t>（5）</w:t>
            </w:r>
            <w:r>
              <w:rPr>
                <w:rFonts w:hint="default"/>
                <w:lang w:val="en-US" w:eastAsia="zh-CN"/>
              </w:rPr>
              <w:t>本项目废水</w:t>
            </w:r>
            <w:r>
              <w:rPr>
                <w:rFonts w:hint="eastAsia"/>
                <w:lang w:val="en-US" w:eastAsia="zh-CN"/>
              </w:rPr>
              <w:t>经化粪池进入西侧大丰工业园区污水管网，达标排放</w:t>
            </w:r>
            <w:r>
              <w:rPr>
                <w:rFonts w:hint="default"/>
                <w:lang w:val="en-US" w:eastAsia="zh-CN"/>
              </w:rPr>
              <w:t>；废气经治理后达标排放，对大气污染较小；噪声经过治理后，厂界噪声达标，对声环境贡献值较小</w:t>
            </w:r>
            <w:r>
              <w:rPr>
                <w:rFonts w:hint="eastAsia"/>
                <w:lang w:val="en-US" w:eastAsia="zh-CN"/>
              </w:rPr>
              <w:t>；能够满足区域环境质量要求。</w:t>
            </w:r>
            <w:r>
              <w:rPr>
                <w:rFonts w:hint="default"/>
                <w:lang w:val="en-US" w:eastAsia="zh-CN"/>
              </w:rPr>
              <w:t>因此本项目在运行过程中严格运行环保设施的前提下，不会改变区域现有功能区划，</w:t>
            </w:r>
            <w:r>
              <w:rPr>
                <w:rFonts w:hint="eastAsia"/>
                <w:lang w:val="en-US" w:eastAsia="zh-CN"/>
              </w:rPr>
              <w:t>能够</w:t>
            </w:r>
            <w:r>
              <w:rPr>
                <w:rFonts w:hint="default"/>
                <w:lang w:val="en-US" w:eastAsia="zh-CN"/>
              </w:rPr>
              <w:t>满足相关环境功能区划要求。</w:t>
            </w:r>
          </w:p>
          <w:p>
            <w:pPr>
              <w:keepNext w:val="0"/>
              <w:keepLines w:val="0"/>
              <w:suppressLineNumbers w:val="0"/>
              <w:spacing w:before="0" w:beforeAutospacing="0" w:after="0" w:afterAutospacing="0"/>
              <w:ind w:left="0" w:right="0"/>
              <w:rPr>
                <w:rFonts w:hint="default"/>
                <w:lang w:val="en-US" w:eastAsia="zh-CN"/>
              </w:rPr>
            </w:pPr>
            <w:bookmarkStart w:id="3" w:name="_GoBack"/>
            <w:bookmarkEnd w:id="3"/>
            <w:r>
              <w:rPr>
                <w:rFonts w:hint="default"/>
                <w:lang w:val="en-US" w:eastAsia="zh-CN"/>
              </w:rPr>
              <w:t>综上所述，从用地性质、环境保护角度及周围环境概况等来看，本项目选址</w:t>
            </w:r>
            <w:r>
              <w:rPr>
                <w:rFonts w:hint="eastAsia"/>
                <w:lang w:val="en-US" w:eastAsia="zh-CN"/>
              </w:rPr>
              <w:t>可行</w:t>
            </w:r>
            <w:r>
              <w:rPr>
                <w:rFonts w:hint="default"/>
                <w:lang w:val="en-US" w:eastAsia="zh-CN"/>
              </w:rPr>
              <w:t>。</w:t>
            </w:r>
          </w:p>
          <w:p>
            <w:pPr>
              <w:pStyle w:val="2"/>
              <w:suppressLineNumbers w:val="0"/>
              <w:bidi w:val="0"/>
              <w:spacing w:before="0" w:after="0"/>
              <w:ind w:right="0"/>
              <w:rPr>
                <w:rFonts w:hint="default"/>
              </w:rPr>
            </w:pPr>
            <w:r>
              <w:rPr>
                <w:rFonts w:hint="eastAsia"/>
                <w:lang w:eastAsia="zh-CN"/>
              </w:rPr>
              <w:t>“</w:t>
            </w:r>
            <w:r>
              <w:rPr>
                <w:rFonts w:hint="default"/>
              </w:rPr>
              <w:t>三同时</w:t>
            </w:r>
            <w:r>
              <w:rPr>
                <w:rFonts w:hint="eastAsia"/>
                <w:lang w:eastAsia="zh-CN"/>
              </w:rPr>
              <w:t>”</w:t>
            </w:r>
            <w:r>
              <w:rPr>
                <w:rFonts w:hint="default"/>
              </w:rPr>
              <w:t>验收</w:t>
            </w:r>
          </w:p>
          <w:p>
            <w:pPr>
              <w:keepNext w:val="0"/>
              <w:keepLines w:val="0"/>
              <w:suppressLineNumbers w:val="0"/>
              <w:bidi w:val="0"/>
              <w:spacing w:before="0" w:beforeAutospacing="0" w:after="0" w:afterAutospacing="0"/>
              <w:ind w:left="0" w:right="0"/>
              <w:rPr>
                <w:rFonts w:hint="default"/>
              </w:rPr>
            </w:pPr>
            <w:r>
              <w:rPr>
                <w:rFonts w:hint="default"/>
              </w:rPr>
              <w:t>根据我国有关建设项目环境保护管理制度的规定，建设项目的污染治理设施必须与主体工程</w:t>
            </w:r>
            <w:r>
              <w:rPr>
                <w:rFonts w:hint="eastAsia"/>
                <w:lang w:eastAsia="zh-CN"/>
              </w:rPr>
              <w:t>“</w:t>
            </w:r>
            <w:r>
              <w:rPr>
                <w:rFonts w:hint="default"/>
              </w:rPr>
              <w:t>同时设计、同时施工、同时投入运行</w:t>
            </w:r>
            <w:r>
              <w:rPr>
                <w:rFonts w:hint="eastAsia"/>
                <w:lang w:eastAsia="zh-CN"/>
              </w:rPr>
              <w:t>”</w:t>
            </w:r>
            <w:r>
              <w:rPr>
                <w:rFonts w:hint="default"/>
              </w:rPr>
              <w:t>。因此，本项目的污染治理设施必须严格执行</w:t>
            </w:r>
            <w:r>
              <w:rPr>
                <w:rFonts w:hint="eastAsia"/>
                <w:lang w:eastAsia="zh-CN"/>
              </w:rPr>
              <w:t>“</w:t>
            </w:r>
            <w:r>
              <w:rPr>
                <w:rFonts w:hint="default"/>
              </w:rPr>
              <w:t>三同时</w:t>
            </w:r>
            <w:r>
              <w:rPr>
                <w:rFonts w:hint="eastAsia"/>
                <w:lang w:eastAsia="zh-CN"/>
              </w:rPr>
              <w:t>”</w:t>
            </w:r>
            <w:r>
              <w:rPr>
                <w:rFonts w:hint="default"/>
              </w:rPr>
              <w:t>制度，在各种污染治理设施未按要求完工之前，项目不得进行试生产，污染治理设施</w:t>
            </w:r>
            <w:r>
              <w:rPr>
                <w:rFonts w:hint="eastAsia"/>
                <w:lang w:val="en-US" w:eastAsia="zh-CN"/>
              </w:rPr>
              <w:t>须</w:t>
            </w:r>
            <w:r>
              <w:rPr>
                <w:rFonts w:hint="default"/>
              </w:rPr>
              <w:t>验收合格后方可投入正式运行。项目</w:t>
            </w:r>
            <w:r>
              <w:rPr>
                <w:rFonts w:hint="eastAsia"/>
                <w:lang w:eastAsia="zh-CN"/>
              </w:rPr>
              <w:t>“</w:t>
            </w:r>
            <w:r>
              <w:rPr>
                <w:rFonts w:hint="default"/>
              </w:rPr>
              <w:t>三同时</w:t>
            </w:r>
            <w:r>
              <w:rPr>
                <w:rFonts w:hint="eastAsia"/>
                <w:lang w:eastAsia="zh-CN"/>
              </w:rPr>
              <w:t>”</w:t>
            </w:r>
            <w:r>
              <w:rPr>
                <w:rFonts w:hint="default"/>
              </w:rPr>
              <w:t>验收一览表见</w:t>
            </w:r>
            <w:r>
              <w:rPr>
                <w:rFonts w:hint="eastAsia"/>
                <w:lang w:val="en-US" w:eastAsia="zh-CN"/>
              </w:rPr>
              <w:t>下表</w:t>
            </w:r>
            <w:r>
              <w:rPr>
                <w:rFonts w:hint="default"/>
              </w:rPr>
              <w:t>。</w:t>
            </w:r>
          </w:p>
          <w:p>
            <w:pPr>
              <w:pStyle w:val="20"/>
              <w:keepNext w:val="0"/>
              <w:keepLines w:val="0"/>
              <w:suppressLineNumbers w:val="0"/>
              <w:bidi w:val="0"/>
              <w:spacing w:before="0" w:beforeAutospacing="0" w:after="0" w:afterAutospacing="0"/>
              <w:ind w:left="0" w:right="0"/>
              <w:rPr>
                <w:rFonts w:hint="default"/>
              </w:rPr>
            </w:pPr>
            <w:r>
              <w:rPr>
                <w:rFonts w:hint="eastAsia"/>
                <w:lang w:eastAsia="zh-CN"/>
              </w:rPr>
              <w:t>“</w:t>
            </w:r>
            <w:r>
              <w:rPr>
                <w:rFonts w:hint="default"/>
              </w:rPr>
              <w:t>三同时</w:t>
            </w:r>
            <w:r>
              <w:rPr>
                <w:rFonts w:hint="eastAsia"/>
                <w:lang w:eastAsia="zh-CN"/>
              </w:rPr>
              <w:t>”</w:t>
            </w:r>
            <w:r>
              <w:rPr>
                <w:rFonts w:hint="default"/>
              </w:rPr>
              <w:t>验收一览表</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8"/>
              <w:gridCol w:w="599"/>
              <w:gridCol w:w="1020"/>
              <w:gridCol w:w="674"/>
              <w:gridCol w:w="2134"/>
              <w:gridCol w:w="28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6" w:hRule="atLeast"/>
                <w:jc w:val="center"/>
              </w:trPr>
              <w:tc>
                <w:tcPr>
                  <w:tcW w:w="774" w:type="pct"/>
                  <w:gridSpan w:val="2"/>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default"/>
                    </w:rPr>
                    <w:t>污染源分类</w:t>
                  </w:r>
                </w:p>
              </w:tc>
              <w:tc>
                <w:tcPr>
                  <w:tcW w:w="643"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eastAsia="zh-CN"/>
                    </w:rPr>
                    <w:t>验收监测内容</w:t>
                  </w: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排放形式</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default"/>
                    </w:rPr>
                    <w:t>环保措施</w:t>
                  </w:r>
                </w:p>
              </w:tc>
              <w:tc>
                <w:tcPr>
                  <w:tcW w:w="1809"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default"/>
                    </w:rPr>
                    <w:t>控制目标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71" w:hRule="atLeast"/>
                <w:jc w:val="center"/>
              </w:trPr>
              <w:tc>
                <w:tcPr>
                  <w:tcW w:w="396"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废气</w:t>
                  </w:r>
                </w:p>
              </w:tc>
              <w:tc>
                <w:tcPr>
                  <w:tcW w:w="3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锅炉</w:t>
                  </w:r>
                  <w:r>
                    <w:rPr>
                      <w:rFonts w:hint="default"/>
                      <w:lang w:eastAsia="zh-CN"/>
                    </w:rPr>
                    <w:t>烟气</w:t>
                  </w:r>
                </w:p>
              </w:tc>
              <w:tc>
                <w:tcPr>
                  <w:tcW w:w="643"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eastAsia" w:ascii="Times New Roman" w:hAnsi="Times New Roman" w:eastAsia="宋体" w:cstheme="minorBidi"/>
                      <w:kern w:val="2"/>
                      <w:sz w:val="21"/>
                      <w:szCs w:val="22"/>
                      <w:lang w:val="en-US" w:eastAsia="zh-CN" w:bidi="ar-SA"/>
                    </w:rPr>
                  </w:pPr>
                  <w:r>
                    <w:rPr>
                      <w:rFonts w:hint="default"/>
                    </w:rPr>
                    <w:t>SO</w:t>
                  </w:r>
                  <w:r>
                    <w:rPr>
                      <w:rFonts w:hint="default"/>
                      <w:vertAlign w:val="subscript"/>
                    </w:rPr>
                    <w:t>2</w:t>
                  </w:r>
                  <w:r>
                    <w:rPr>
                      <w:rFonts w:hint="default"/>
                    </w:rPr>
                    <w:t>、NO</w:t>
                  </w:r>
                  <w:r>
                    <w:rPr>
                      <w:rFonts w:hint="default"/>
                      <w:vertAlign w:val="subscript"/>
                    </w:rPr>
                    <w:t>x</w:t>
                  </w:r>
                  <w:r>
                    <w:rPr>
                      <w:rFonts w:hint="default"/>
                    </w:rPr>
                    <w:t>、</w:t>
                  </w:r>
                  <w:r>
                    <w:rPr>
                      <w:rFonts w:hint="default"/>
                      <w:lang w:eastAsia="zh-CN"/>
                    </w:rPr>
                    <w:t>颗粒物</w:t>
                  </w: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有组织</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rPr>
                  </w:pPr>
                  <w:r>
                    <w:rPr>
                      <w:rFonts w:hint="eastAsia"/>
                      <w:highlight w:val="none"/>
                      <w:lang w:val="en-US" w:eastAsia="zh-CN"/>
                    </w:rPr>
                    <w:t>燃料使用天然气</w:t>
                  </w:r>
                </w:p>
              </w:tc>
              <w:tc>
                <w:tcPr>
                  <w:tcW w:w="1809"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default"/>
                    </w:rPr>
                    <w:t>满足</w:t>
                  </w:r>
                  <w:r>
                    <w:rPr>
                      <w:rFonts w:hint="eastAsia"/>
                      <w:lang w:eastAsia="zh-CN"/>
                    </w:rPr>
                    <w:t>《锅炉大气污染物排放标准》(GB13271-2014)大气污染物</w:t>
                  </w:r>
                  <w:r>
                    <w:rPr>
                      <w:rFonts w:hint="eastAsia"/>
                      <w:lang w:val="en-US" w:eastAsia="zh-CN"/>
                    </w:rPr>
                    <w:t>特别</w:t>
                  </w:r>
                  <w:r>
                    <w:rPr>
                      <w:rFonts w:hint="eastAsia"/>
                      <w:lang w:eastAsia="zh-CN"/>
                    </w:rPr>
                    <w:t>排放限值</w:t>
                  </w:r>
                  <w:r>
                    <w:rPr>
                      <w:rFonts w:hint="eastAsia"/>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8" w:hRule="atLeast"/>
                <w:jc w:val="center"/>
              </w:trPr>
              <w:tc>
                <w:tcPr>
                  <w:tcW w:w="396"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p>
              </w:tc>
              <w:tc>
                <w:tcPr>
                  <w:tcW w:w="378"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default"/>
                      <w:lang w:eastAsia="zh-CN"/>
                    </w:rPr>
                    <w:t>生产废气</w:t>
                  </w:r>
                </w:p>
              </w:tc>
              <w:tc>
                <w:tcPr>
                  <w:tcW w:w="643" w:type="pct"/>
                  <w:vMerge w:val="restar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lang w:eastAsia="zh-CN"/>
                    </w:rPr>
                    <w:t>氨、硫化氢</w:t>
                  </w: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有组织</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碱液喷淋</w:t>
                  </w:r>
                  <w:r>
                    <w:rPr>
                      <w:rFonts w:hint="eastAsia"/>
                      <w:lang w:val="en-US" w:eastAsia="zh-CN"/>
                    </w:rPr>
                    <w:t>处理后排气筒排放</w:t>
                  </w:r>
                </w:p>
              </w:tc>
              <w:tc>
                <w:tcPr>
                  <w:tcW w:w="1809" w:type="pct"/>
                  <w:vMerge w:val="restar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zh-TW" w:eastAsia="zh-CN"/>
                    </w:rPr>
                    <w:t>满足《</w:t>
                  </w:r>
                  <w:r>
                    <w:rPr>
                      <w:rFonts w:hint="default"/>
                      <w:lang w:val="zh-TW" w:eastAsia="zh-TW"/>
                    </w:rPr>
                    <w:t>恶臭污染物排放标准》</w:t>
                  </w:r>
                  <w:r>
                    <w:rPr>
                      <w:rFonts w:hint="eastAsia"/>
                      <w:lang w:eastAsia="zh-CN"/>
                    </w:rPr>
                    <w:t>(</w:t>
                  </w:r>
                  <w:r>
                    <w:rPr>
                      <w:rFonts w:hint="default"/>
                      <w:lang w:eastAsia="zh-CN"/>
                    </w:rPr>
                    <w:t>GB</w:t>
                  </w:r>
                  <w:r>
                    <w:rPr>
                      <w:rFonts w:hint="default"/>
                    </w:rPr>
                    <w:t>14554-93</w:t>
                  </w:r>
                  <w:r>
                    <w:rPr>
                      <w:rFonts w:hint="eastAsia"/>
                      <w:lang w:eastAsia="zh-CN"/>
                    </w:rPr>
                    <w:t>)</w:t>
                  </w:r>
                  <w:r>
                    <w:rPr>
                      <w:rFonts w:hint="default"/>
                      <w:lang w:val="zh-TW" w:eastAsia="zh-TW"/>
                    </w:rPr>
                    <w:t>中标准</w:t>
                  </w:r>
                  <w:r>
                    <w:rPr>
                      <w:rFonts w:hint="eastAsia"/>
                      <w:lang w:val="en-US" w:eastAsia="zh-CN"/>
                    </w:rPr>
                    <w:t>限</w:t>
                  </w:r>
                  <w:r>
                    <w:rPr>
                      <w:rFonts w:hint="default"/>
                      <w:lang w:val="zh-TW" w:eastAsia="zh-CN"/>
                    </w:rPr>
                    <w:t>值</w:t>
                  </w:r>
                  <w:r>
                    <w:rPr>
                      <w:rFonts w:hint="eastAsia"/>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8" w:hRule="atLeast"/>
                <w:jc w:val="center"/>
              </w:trPr>
              <w:tc>
                <w:tcPr>
                  <w:tcW w:w="396"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p>
              </w:tc>
              <w:tc>
                <w:tcPr>
                  <w:tcW w:w="378"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p>
              </w:tc>
              <w:tc>
                <w:tcPr>
                  <w:tcW w:w="643" w:type="pct"/>
                  <w:vMerge w:val="continue"/>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lang w:eastAsia="zh-CN"/>
                    </w:rPr>
                  </w:pP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无组织</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加强对生产的监控力度，</w:t>
                  </w:r>
                  <w:r>
                    <w:rPr>
                      <w:rFonts w:hint="eastAsia"/>
                      <w:lang w:val="en-US" w:eastAsia="zh-CN"/>
                    </w:rPr>
                    <w:t>封闭作业</w:t>
                  </w:r>
                </w:p>
              </w:tc>
              <w:tc>
                <w:tcPr>
                  <w:tcW w:w="1809" w:type="pct"/>
                  <w:vMerge w:val="continue"/>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zh-TW"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20" w:hRule="atLeast"/>
                <w:jc w:val="center"/>
              </w:trPr>
              <w:tc>
                <w:tcPr>
                  <w:tcW w:w="396"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p>
              </w:tc>
              <w:tc>
                <w:tcPr>
                  <w:tcW w:w="378"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p>
              </w:tc>
              <w:tc>
                <w:tcPr>
                  <w:tcW w:w="643" w:type="pct"/>
                  <w:vMerge w:val="restar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eastAsia="zh-CN"/>
                    </w:rPr>
                    <w:t>硫酸雾</w:t>
                  </w: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有组织</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eastAsia"/>
                      <w:lang w:eastAsia="zh-CN"/>
                    </w:rPr>
                    <w:t>碱液喷淋</w:t>
                  </w:r>
                  <w:r>
                    <w:rPr>
                      <w:rFonts w:hint="eastAsia"/>
                      <w:lang w:val="en-US" w:eastAsia="zh-CN"/>
                    </w:rPr>
                    <w:t>处理后排气筒排放</w:t>
                  </w:r>
                </w:p>
              </w:tc>
              <w:tc>
                <w:tcPr>
                  <w:tcW w:w="1809" w:type="pct"/>
                  <w:vMerge w:val="restar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eastAsia="zh-CN"/>
                    </w:rPr>
                    <w:t>满足《大气污染物综合排放标准》</w:t>
                  </w:r>
                  <w:r>
                    <w:rPr>
                      <w:rFonts w:hint="eastAsia"/>
                      <w:lang w:eastAsia="zh-CN"/>
                    </w:rPr>
                    <w:t>(</w:t>
                  </w:r>
                  <w:r>
                    <w:rPr>
                      <w:rFonts w:hint="default"/>
                      <w:lang w:eastAsia="zh-CN"/>
                    </w:rPr>
                    <w:t>GB 16297-1996</w:t>
                  </w:r>
                  <w:r>
                    <w:rPr>
                      <w:rFonts w:hint="eastAsia"/>
                      <w:lang w:eastAsia="zh-CN"/>
                    </w:rPr>
                    <w:t>)</w:t>
                  </w:r>
                  <w:r>
                    <w:rPr>
                      <w:rFonts w:hint="default"/>
                      <w:lang w:eastAsia="zh-CN"/>
                    </w:rPr>
                    <w:t>表2</w:t>
                  </w:r>
                  <w:r>
                    <w:rPr>
                      <w:rFonts w:hint="eastAsia"/>
                      <w:lang w:val="en-US" w:eastAsia="zh-CN"/>
                    </w:rPr>
                    <w:t>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9" w:hRule="atLeast"/>
                <w:jc w:val="center"/>
              </w:trPr>
              <w:tc>
                <w:tcPr>
                  <w:tcW w:w="396"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p>
              </w:tc>
              <w:tc>
                <w:tcPr>
                  <w:tcW w:w="378"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lang w:eastAsia="zh-CN"/>
                    </w:rPr>
                  </w:pPr>
                </w:p>
              </w:tc>
              <w:tc>
                <w:tcPr>
                  <w:tcW w:w="643" w:type="pct"/>
                  <w:vMerge w:val="continue"/>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无组织</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eastAsia="zh-CN"/>
                    </w:rPr>
                    <w:t>加强对生产的监控力度，</w:t>
                  </w:r>
                  <w:r>
                    <w:rPr>
                      <w:rFonts w:hint="eastAsia"/>
                      <w:lang w:val="en-US" w:eastAsia="zh-CN"/>
                    </w:rPr>
                    <w:t>封闭作业</w:t>
                  </w:r>
                </w:p>
              </w:tc>
              <w:tc>
                <w:tcPr>
                  <w:tcW w:w="1809" w:type="pct"/>
                  <w:vMerge w:val="continue"/>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396"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废水</w:t>
                  </w:r>
                </w:p>
              </w:tc>
              <w:tc>
                <w:tcPr>
                  <w:tcW w:w="3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生产废水</w:t>
                  </w:r>
                </w:p>
              </w:tc>
              <w:tc>
                <w:tcPr>
                  <w:tcW w:w="643" w:type="pct"/>
                  <w:vMerge w:val="restar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COD</w:t>
                  </w:r>
                </w:p>
                <w:p>
                  <w:pPr>
                    <w:pStyle w:val="19"/>
                    <w:keepNext w:val="0"/>
                    <w:keepLines w:val="0"/>
                    <w:suppressLineNumbers w:val="0"/>
                    <w:bidi w:val="0"/>
                    <w:spacing w:before="0" w:beforeAutospacing="0" w:after="0" w:afterAutospacing="0"/>
                    <w:ind w:left="0" w:right="0"/>
                    <w:rPr>
                      <w:rFonts w:hint="default"/>
                      <w:vertAlign w:val="subscript"/>
                      <w:lang w:val="en-US" w:eastAsia="zh-CN"/>
                    </w:rPr>
                  </w:pPr>
                  <w:r>
                    <w:rPr>
                      <w:rFonts w:hint="default"/>
                      <w:lang w:val="en-US" w:eastAsia="zh-CN"/>
                    </w:rPr>
                    <w:t>BOD</w:t>
                  </w:r>
                  <w:r>
                    <w:rPr>
                      <w:rFonts w:hint="default"/>
                      <w:vertAlign w:val="subscript"/>
                      <w:lang w:val="en-US" w:eastAsia="zh-CN"/>
                    </w:rPr>
                    <w:t>5</w:t>
                  </w:r>
                </w:p>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SS</w:t>
                  </w:r>
                </w:p>
                <w:p>
                  <w:pPr>
                    <w:pStyle w:val="19"/>
                    <w:keepNext w:val="0"/>
                    <w:keepLines w:val="0"/>
                    <w:suppressLineNumbers w:val="0"/>
                    <w:bidi w:val="0"/>
                    <w:spacing w:before="0" w:beforeAutospacing="0" w:after="0" w:afterAutospacing="0"/>
                    <w:ind w:left="0" w:right="0"/>
                    <w:jc w:val="center"/>
                    <w:rPr>
                      <w:rFonts w:hint="default" w:eastAsia="宋体"/>
                      <w:lang w:val="en-US" w:eastAsia="zh-CN"/>
                    </w:rPr>
                  </w:pPr>
                  <w:r>
                    <w:rPr>
                      <w:rFonts w:hint="default"/>
                      <w:lang w:val="en-US" w:eastAsia="zh-CN"/>
                    </w:rPr>
                    <w:t>NH</w:t>
                  </w:r>
                  <w:r>
                    <w:rPr>
                      <w:rFonts w:hint="default"/>
                      <w:vertAlign w:val="subscript"/>
                      <w:lang w:val="en-US" w:eastAsia="zh-CN"/>
                    </w:rPr>
                    <w:t>3</w:t>
                  </w:r>
                  <w:r>
                    <w:rPr>
                      <w:rFonts w:hint="default"/>
                      <w:lang w:val="en-US" w:eastAsia="zh-CN"/>
                    </w:rPr>
                    <w:t>-N</w:t>
                  </w: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回用于酸解液配置过程，最终全部进入产品</w:t>
                  </w:r>
                </w:p>
              </w:tc>
              <w:tc>
                <w:tcPr>
                  <w:tcW w:w="1809"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396"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3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生活废水</w:t>
                  </w:r>
                </w:p>
              </w:tc>
              <w:tc>
                <w:tcPr>
                  <w:tcW w:w="643" w:type="pct"/>
                  <w:vMerge w:val="continue"/>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jc w:val="center"/>
                    <w:rPr>
                      <w:rFonts w:hint="default" w:eastAsia="宋体"/>
                      <w:lang w:val="en-US" w:eastAsia="zh-CN"/>
                    </w:rPr>
                  </w:pP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间接排放</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default"/>
                    </w:rPr>
                    <w:t>进入化粪池处理后排入西侧大丰工业园区污水处理厂</w:t>
                  </w:r>
                </w:p>
              </w:tc>
              <w:tc>
                <w:tcPr>
                  <w:tcW w:w="1809"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eastAsia"/>
                    </w:rPr>
                    <w:t>《污水综合排放标准》</w:t>
                  </w:r>
                  <w:r>
                    <w:rPr>
                      <w:rFonts w:hint="eastAsia"/>
                      <w:lang w:eastAsia="zh-CN"/>
                    </w:rPr>
                    <w:t>(</w:t>
                  </w:r>
                  <w:r>
                    <w:rPr>
                      <w:rFonts w:hint="eastAsia"/>
                    </w:rPr>
                    <w:t>GB8978-1996</w:t>
                  </w:r>
                  <w:r>
                    <w:rPr>
                      <w:rFonts w:hint="eastAsia"/>
                      <w:lang w:eastAsia="zh-CN"/>
                    </w:rPr>
                    <w:t>)</w:t>
                  </w:r>
                  <w:r>
                    <w:rPr>
                      <w:rFonts w:hint="eastAsia"/>
                      <w:lang w:val="en-US" w:eastAsia="zh-CN"/>
                    </w:rPr>
                    <w:t>三</w:t>
                  </w:r>
                  <w:r>
                    <w:rPr>
                      <w:rFonts w:hint="eastAsia"/>
                    </w:rPr>
                    <w:t>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1" w:hRule="atLeast"/>
                <w:jc w:val="center"/>
              </w:trPr>
              <w:tc>
                <w:tcPr>
                  <w:tcW w:w="396"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噪声</w:t>
                  </w:r>
                </w:p>
              </w:tc>
              <w:tc>
                <w:tcPr>
                  <w:tcW w:w="378" w:type="pc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生产设备</w:t>
                  </w:r>
                </w:p>
              </w:tc>
              <w:tc>
                <w:tcPr>
                  <w:tcW w:w="643"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设备噪声源、场界噪声</w:t>
                  </w: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zh-TW" w:eastAsia="zh-TW"/>
                    </w:rPr>
                    <w:t>选用低噪声设备，并采取</w:t>
                  </w:r>
                  <w:r>
                    <w:rPr>
                      <w:rFonts w:hint="default"/>
                      <w:lang w:val="zh-TW"/>
                    </w:rPr>
                    <w:t>基础</w:t>
                  </w:r>
                  <w:r>
                    <w:rPr>
                      <w:rFonts w:hint="default"/>
                      <w:lang w:val="zh-TW" w:eastAsia="zh-TW"/>
                    </w:rPr>
                    <w:t>减振</w:t>
                  </w:r>
                  <w:r>
                    <w:rPr>
                      <w:rFonts w:hint="default"/>
                      <w:lang w:val="zh-TW" w:eastAsia="zh-CN"/>
                    </w:rPr>
                    <w:t>，隔音间</w:t>
                  </w:r>
                </w:p>
              </w:tc>
              <w:tc>
                <w:tcPr>
                  <w:tcW w:w="1809"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zh-CN"/>
                    </w:rPr>
                    <w:t>《工业企业厂界环境噪声排放标准》</w:t>
                  </w:r>
                  <w:r>
                    <w:rPr>
                      <w:rFonts w:hint="eastAsia"/>
                      <w:lang w:val="zh-CN"/>
                    </w:rPr>
                    <w:t>(</w:t>
                  </w:r>
                  <w:r>
                    <w:rPr>
                      <w:rFonts w:hint="default"/>
                    </w:rPr>
                    <w:t>GB12348-2008</w:t>
                  </w:r>
                  <w:r>
                    <w:rPr>
                      <w:rFonts w:hint="eastAsia"/>
                      <w:lang w:val="zh-CN"/>
                    </w:rPr>
                    <w:t>)</w:t>
                  </w:r>
                  <w:r>
                    <w:rPr>
                      <w:rFonts w:hint="eastAsia"/>
                      <w:lang w:val="en-US" w:eastAsia="zh-CN"/>
                    </w:rPr>
                    <w:t>2</w:t>
                  </w:r>
                  <w:r>
                    <w:rPr>
                      <w:rFonts w:hint="default"/>
                    </w:rPr>
                    <w:t>类</w:t>
                  </w:r>
                  <w:r>
                    <w:rPr>
                      <w:rFonts w:hint="default"/>
                      <w:lang w:eastAsia="zh-CN"/>
                    </w:rPr>
                    <w:t>区</w:t>
                  </w:r>
                  <w:r>
                    <w:rPr>
                      <w:rFonts w:hint="default"/>
                    </w:rPr>
                    <w:t>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0" w:hRule="atLeast"/>
                <w:jc w:val="center"/>
              </w:trPr>
              <w:tc>
                <w:tcPr>
                  <w:tcW w:w="396" w:type="pct"/>
                  <w:vMerge w:val="restart"/>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r>
                    <w:rPr>
                      <w:rFonts w:hint="default"/>
                    </w:rPr>
                    <w:t>固体废物</w:t>
                  </w:r>
                </w:p>
              </w:tc>
              <w:tc>
                <w:tcPr>
                  <w:tcW w:w="378"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default"/>
                      <w:lang w:eastAsia="zh-CN"/>
                    </w:rPr>
                    <w:t>生活垃圾</w:t>
                  </w:r>
                </w:p>
              </w:tc>
              <w:tc>
                <w:tcPr>
                  <w:tcW w:w="643" w:type="pct"/>
                  <w:vMerge w:val="restar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废物及垃圾贮存、处置</w:t>
                  </w: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rPr>
                  </w:pPr>
                  <w:r>
                    <w:rPr>
                      <w:rFonts w:hint="default"/>
                    </w:rPr>
                    <w:t>由当地环卫部门统一处理</w:t>
                  </w:r>
                </w:p>
              </w:tc>
              <w:tc>
                <w:tcPr>
                  <w:tcW w:w="1809" w:type="pct"/>
                  <w:vMerge w:val="restar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default"/>
                      <w:lang w:eastAsia="zh-CN"/>
                    </w:rPr>
                    <w:t>不产生二次污染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7" w:hRule="atLeast"/>
                <w:jc w:val="center"/>
              </w:trPr>
              <w:tc>
                <w:tcPr>
                  <w:tcW w:w="396" w:type="pct"/>
                  <w:vMerge w:val="continue"/>
                  <w:tcBorders>
                    <w:tl2br w:val="nil"/>
                    <w:tr2bl w:val="nil"/>
                  </w:tcBorders>
                  <w:noWrap w:val="0"/>
                  <w:vAlign w:val="center"/>
                </w:tcPr>
                <w:p>
                  <w:pPr>
                    <w:pStyle w:val="19"/>
                    <w:keepNext w:val="0"/>
                    <w:keepLines w:val="0"/>
                    <w:suppressLineNumbers w:val="0"/>
                    <w:bidi w:val="0"/>
                    <w:spacing w:before="0" w:beforeAutospacing="0" w:after="0" w:afterAutospacing="0"/>
                    <w:ind w:left="0" w:right="0"/>
                    <w:rPr>
                      <w:rFonts w:hint="default"/>
                    </w:rPr>
                  </w:pPr>
                </w:p>
              </w:tc>
              <w:tc>
                <w:tcPr>
                  <w:tcW w:w="378"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eastAsia"/>
                      <w:lang w:eastAsia="zh-CN"/>
                    </w:rPr>
                    <w:t>废包装袋</w:t>
                  </w:r>
                </w:p>
              </w:tc>
              <w:tc>
                <w:tcPr>
                  <w:tcW w:w="643" w:type="pct"/>
                  <w:vMerge w:val="continue"/>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p>
              </w:tc>
              <w:tc>
                <w:tcPr>
                  <w:tcW w:w="425"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r>
                    <w:rPr>
                      <w:rFonts w:hint="default"/>
                      <w:lang w:val="en-US" w:eastAsia="zh-CN"/>
                    </w:rPr>
                    <w:t>统一收集后由</w:t>
                  </w:r>
                  <w:r>
                    <w:rPr>
                      <w:rFonts w:hint="eastAsia"/>
                      <w:lang w:val="en-US" w:eastAsia="zh-CN"/>
                    </w:rPr>
                    <w:t>有资质单位处置</w:t>
                  </w:r>
                </w:p>
              </w:tc>
              <w:tc>
                <w:tcPr>
                  <w:tcW w:w="1809" w:type="pct"/>
                  <w:vMerge w:val="continue"/>
                  <w:tcBorders>
                    <w:tl2br w:val="nil"/>
                    <w:tr2bl w:val="nil"/>
                  </w:tcBorders>
                  <w:noWrap w:val="0"/>
                  <w:tcMar>
                    <w:top w:w="0" w:type="dxa"/>
                    <w:left w:w="68" w:type="dxa"/>
                    <w:bottom w:w="0" w:type="dxa"/>
                    <w:right w:w="68" w:type="dxa"/>
                  </w:tcMar>
                  <w:vAlign w:val="center"/>
                </w:tcPr>
                <w:p>
                  <w:pPr>
                    <w:pStyle w:val="19"/>
                    <w:keepNext w:val="0"/>
                    <w:keepLines w:val="0"/>
                    <w:suppressLineNumbers w:val="0"/>
                    <w:bidi w:val="0"/>
                    <w:spacing w:before="0" w:beforeAutospacing="0" w:after="0" w:afterAutospacing="0"/>
                    <w:ind w:left="0" w:right="0"/>
                    <w:rPr>
                      <w:rFonts w:hint="default"/>
                      <w:lang w:eastAsia="zh-CN"/>
                    </w:rPr>
                  </w:pPr>
                </w:p>
              </w:tc>
            </w:tr>
          </w:tbl>
          <w:p>
            <w:pPr>
              <w:keepNext w:val="0"/>
              <w:keepLines w:val="0"/>
              <w:suppressLineNumbers w:val="0"/>
              <w:spacing w:before="0" w:beforeAutospacing="0" w:after="0" w:afterAutospacing="0"/>
              <w:ind w:left="0" w:right="0"/>
              <w:rPr>
                <w:rFonts w:hint="default"/>
                <w:lang w:val="en-US" w:eastAsia="zh-CN"/>
              </w:rPr>
            </w:pPr>
          </w:p>
        </w:tc>
      </w:tr>
    </w:tbl>
    <w:p>
      <w:pPr>
        <w:adjustRightInd w:val="0"/>
        <w:snapToGrid w:val="0"/>
        <w:spacing w:line="360" w:lineRule="auto"/>
        <w:rPr>
          <w:rFonts w:hint="eastAsia" w:ascii="宋体" w:hAnsi="Times New Roman" w:eastAsia="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hint="eastAsia" w:ascii="黑体" w:hAnsi="黑体" w:eastAsia="黑体" w:cs="Times New Roman"/>
          <w:snapToGrid w:val="0"/>
          <w:kern w:val="0"/>
          <w:sz w:val="30"/>
          <w:szCs w:val="30"/>
        </w:rPr>
        <w:t>五、</w:t>
      </w:r>
      <w:bookmarkStart w:id="1" w:name="_Hlk54167917"/>
      <w:r>
        <w:rPr>
          <w:rFonts w:hint="eastAsia" w:ascii="黑体" w:hAnsi="黑体" w:eastAsia="黑体" w:cs="Times New Roman"/>
          <w:snapToGrid w:val="0"/>
          <w:kern w:val="0"/>
          <w:sz w:val="30"/>
          <w:szCs w:val="30"/>
        </w:rPr>
        <w:t>环境保护措施监督检查清单</w:t>
      </w:r>
      <w:bookmarkEnd w:id="1"/>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864"/>
        <w:gridCol w:w="1038"/>
        <w:gridCol w:w="2221"/>
        <w:gridCol w:w="2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87" w:type="dxa"/>
            <w:tcBorders>
              <w:tl2br w:val="single" w:color="auto" w:sz="4" w:space="0"/>
            </w:tcBorders>
          </w:tcPr>
          <w:p>
            <w:pPr>
              <w:pStyle w:val="19"/>
              <w:keepNext w:val="0"/>
              <w:keepLines w:val="0"/>
              <w:suppressLineNumbers w:val="0"/>
              <w:bidi w:val="0"/>
              <w:spacing w:before="0" w:beforeAutospacing="0" w:after="0" w:afterAutospacing="0"/>
              <w:ind w:left="0" w:right="0"/>
              <w:rPr>
                <w:rFonts w:hint="eastAsia"/>
              </w:rPr>
            </w:pPr>
            <w:r>
              <w:rPr>
                <w:rFonts w:hint="eastAsia"/>
              </w:rPr>
              <w:t>内容</w:t>
            </w:r>
          </w:p>
          <w:p>
            <w:pPr>
              <w:pStyle w:val="19"/>
              <w:keepNext w:val="0"/>
              <w:keepLines w:val="0"/>
              <w:suppressLineNumbers w:val="0"/>
              <w:bidi w:val="0"/>
              <w:spacing w:before="0" w:beforeAutospacing="0" w:after="0" w:afterAutospacing="0"/>
              <w:ind w:left="0" w:right="0"/>
              <w:rPr>
                <w:rFonts w:hint="eastAsia"/>
              </w:rPr>
            </w:pPr>
          </w:p>
          <w:p>
            <w:pPr>
              <w:pStyle w:val="19"/>
              <w:keepNext w:val="0"/>
              <w:keepLines w:val="0"/>
              <w:suppressLineNumbers w:val="0"/>
              <w:bidi w:val="0"/>
              <w:spacing w:before="0" w:beforeAutospacing="0" w:after="0" w:afterAutospacing="0"/>
              <w:ind w:left="0" w:right="0"/>
              <w:rPr>
                <w:rFonts w:hint="eastAsia"/>
              </w:rPr>
            </w:pPr>
          </w:p>
          <w:p>
            <w:pPr>
              <w:pStyle w:val="19"/>
              <w:keepNext w:val="0"/>
              <w:keepLines w:val="0"/>
              <w:suppressLineNumbers w:val="0"/>
              <w:bidi w:val="0"/>
              <w:spacing w:before="0" w:beforeAutospacing="0" w:after="0" w:afterAutospacing="0"/>
              <w:ind w:left="0" w:right="0"/>
              <w:rPr>
                <w:rFonts w:hint="eastAsia"/>
              </w:rPr>
            </w:pPr>
            <w:r>
              <w:rPr>
                <w:rFonts w:hint="eastAsia"/>
              </w:rPr>
              <w:t>要素</w:t>
            </w:r>
          </w:p>
        </w:tc>
        <w:tc>
          <w:tcPr>
            <w:tcW w:w="1864"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排放口(编号、</w:t>
            </w:r>
          </w:p>
          <w:p>
            <w:pPr>
              <w:pStyle w:val="19"/>
              <w:keepNext w:val="0"/>
              <w:keepLines w:val="0"/>
              <w:suppressLineNumbers w:val="0"/>
              <w:bidi w:val="0"/>
              <w:spacing w:before="0" w:beforeAutospacing="0" w:after="0" w:afterAutospacing="0"/>
              <w:ind w:left="0" w:right="0"/>
              <w:rPr>
                <w:rFonts w:hint="eastAsia"/>
              </w:rPr>
            </w:pPr>
            <w:r>
              <w:rPr>
                <w:rFonts w:hint="eastAsia"/>
              </w:rPr>
              <w:t>名称</w:t>
            </w:r>
            <w:r>
              <w:rPr>
                <w:rFonts w:hint="eastAsia"/>
                <w:lang w:eastAsia="zh-CN"/>
              </w:rPr>
              <w:t>)</w:t>
            </w:r>
            <w:r>
              <w:rPr>
                <w:rFonts w:hint="eastAsia"/>
              </w:rPr>
              <w:t>/污染源</w:t>
            </w:r>
          </w:p>
        </w:tc>
        <w:tc>
          <w:tcPr>
            <w:tcW w:w="1038"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污染物项目</w:t>
            </w:r>
          </w:p>
        </w:tc>
        <w:tc>
          <w:tcPr>
            <w:tcW w:w="2221"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环境保护措施</w:t>
            </w:r>
          </w:p>
        </w:tc>
        <w:tc>
          <w:tcPr>
            <w:tcW w:w="2190"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87" w:type="dxa"/>
            <w:vMerge w:val="restart"/>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大气环境</w:t>
            </w:r>
          </w:p>
        </w:tc>
        <w:tc>
          <w:tcPr>
            <w:tcW w:w="1864" w:type="dxa"/>
            <w:vMerge w:val="restar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DA001(生产废气)</w:t>
            </w:r>
          </w:p>
        </w:tc>
        <w:tc>
          <w:tcPr>
            <w:tcW w:w="1038" w:type="dxa"/>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H</w:t>
            </w:r>
            <w:r>
              <w:rPr>
                <w:rFonts w:hint="eastAsia"/>
                <w:vertAlign w:val="subscript"/>
                <w:lang w:val="en-US" w:eastAsia="zh-CN"/>
              </w:rPr>
              <w:t>2</w:t>
            </w:r>
            <w:r>
              <w:rPr>
                <w:rFonts w:hint="eastAsia"/>
                <w:lang w:val="en-US" w:eastAsia="zh-CN"/>
              </w:rPr>
              <w:t>S</w:t>
            </w:r>
          </w:p>
          <w:p>
            <w:pPr>
              <w:pStyle w:val="19"/>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NH</w:t>
            </w:r>
            <w:r>
              <w:rPr>
                <w:rFonts w:hint="eastAsia"/>
                <w:vertAlign w:val="subscript"/>
                <w:lang w:val="en-US" w:eastAsia="zh-CN"/>
              </w:rPr>
              <w:t>3</w:t>
            </w:r>
          </w:p>
        </w:tc>
        <w:tc>
          <w:tcPr>
            <w:tcW w:w="2221" w:type="dxa"/>
            <w:vMerge w:val="restart"/>
            <w:vAlign w:val="center"/>
          </w:tcPr>
          <w:p>
            <w:pPr>
              <w:pStyle w:val="19"/>
              <w:keepNext w:val="0"/>
              <w:keepLines w:val="0"/>
              <w:suppressLineNumbers w:val="0"/>
              <w:bidi w:val="0"/>
              <w:spacing w:before="0" w:beforeAutospacing="0" w:after="0" w:afterAutospacing="0"/>
              <w:ind w:left="0" w:right="0"/>
              <w:rPr>
                <w:rFonts w:hint="eastAsia"/>
              </w:rPr>
            </w:pPr>
            <w:r>
              <w:rPr>
                <w:rFonts w:hint="eastAsia"/>
                <w:lang w:val="en-US" w:eastAsia="zh-CN"/>
              </w:rPr>
              <w:t>过滤、酸解</w:t>
            </w:r>
            <w:r>
              <w:rPr>
                <w:rFonts w:hint="eastAsia"/>
              </w:rPr>
              <w:t>废气经</w:t>
            </w:r>
            <w:r>
              <w:rPr>
                <w:rFonts w:hint="eastAsia"/>
                <w:lang w:val="en-US" w:eastAsia="zh-CN"/>
              </w:rPr>
              <w:t>管道负压收集，与经集气罩收集的粉碎废气一并</w:t>
            </w:r>
            <w:r>
              <w:rPr>
                <w:rFonts w:hint="eastAsia"/>
              </w:rPr>
              <w:t>引至碱液喷淋塔吸收处理</w:t>
            </w:r>
            <w:r>
              <w:rPr>
                <w:rFonts w:hint="eastAsia"/>
                <w:lang w:val="en-US" w:eastAsia="zh-CN"/>
              </w:rPr>
              <w:t>后</w:t>
            </w:r>
            <w:r>
              <w:rPr>
                <w:rFonts w:hint="eastAsia"/>
              </w:rPr>
              <w:t>排放</w:t>
            </w:r>
          </w:p>
        </w:tc>
        <w:tc>
          <w:tcPr>
            <w:tcW w:w="2190" w:type="dxa"/>
            <w:vAlign w:val="center"/>
          </w:tcPr>
          <w:p>
            <w:pPr>
              <w:pStyle w:val="19"/>
              <w:keepNext w:val="0"/>
              <w:keepLines w:val="0"/>
              <w:suppressLineNumbers w:val="0"/>
              <w:bidi w:val="0"/>
              <w:spacing w:before="0" w:beforeAutospacing="0" w:after="0" w:afterAutospacing="0"/>
              <w:ind w:left="0" w:right="0"/>
              <w:rPr>
                <w:rFonts w:hint="eastAsia"/>
              </w:rPr>
            </w:pPr>
            <w:r>
              <w:rPr>
                <w:rFonts w:hint="default"/>
                <w:lang w:val="zh-TW" w:eastAsia="zh-CN"/>
              </w:rPr>
              <w:t>《</w:t>
            </w:r>
            <w:r>
              <w:rPr>
                <w:rFonts w:hint="default"/>
                <w:lang w:val="zh-TW" w:eastAsia="zh-TW"/>
              </w:rPr>
              <w:t>恶臭污染物排放标准》</w:t>
            </w:r>
            <w:r>
              <w:rPr>
                <w:rFonts w:hint="eastAsia"/>
                <w:lang w:val="en-US" w:eastAsia="zh-CN"/>
              </w:rPr>
              <w:t>(</w:t>
            </w:r>
            <w:r>
              <w:rPr>
                <w:rFonts w:hint="default"/>
                <w:lang w:val="en-US" w:eastAsia="zh-CN"/>
              </w:rPr>
              <w:t>GB14554-93</w:t>
            </w:r>
            <w:r>
              <w:rPr>
                <w:rFonts w:hint="eastAsia"/>
                <w:lang w:val="en-US" w:eastAsia="zh-CN"/>
              </w:rPr>
              <w:t>)</w:t>
            </w:r>
            <w:r>
              <w:rPr>
                <w:rFonts w:hint="default"/>
                <w:lang w:val="zh-TW" w:eastAsia="zh-TW"/>
              </w:rPr>
              <w:t>恶臭污染物</w:t>
            </w:r>
            <w:r>
              <w:rPr>
                <w:rFonts w:hint="default"/>
                <w:lang w:val="zh-TW" w:eastAsia="zh-CN"/>
              </w:rPr>
              <w:t>排放</w:t>
            </w:r>
            <w:r>
              <w:rPr>
                <w:rFonts w:hint="default"/>
                <w:lang w:val="zh-TW" w:eastAsia="zh-TW"/>
              </w:rPr>
              <w:t>标准</w:t>
            </w:r>
            <w:r>
              <w:rPr>
                <w:rFonts w:hint="default"/>
                <w:lang w:val="zh-TW" w:eastAsia="zh-CN"/>
              </w:rPr>
              <w:t>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87" w:type="dxa"/>
            <w:vMerge w:val="continue"/>
            <w:vAlign w:val="center"/>
          </w:tcPr>
          <w:p>
            <w:pPr>
              <w:pStyle w:val="19"/>
              <w:keepNext w:val="0"/>
              <w:keepLines w:val="0"/>
              <w:suppressLineNumbers w:val="0"/>
              <w:bidi w:val="0"/>
              <w:spacing w:before="0" w:beforeAutospacing="0" w:after="0" w:afterAutospacing="0"/>
              <w:ind w:left="0" w:right="0"/>
              <w:rPr>
                <w:rFonts w:hint="default"/>
              </w:rPr>
            </w:pPr>
          </w:p>
        </w:tc>
        <w:tc>
          <w:tcPr>
            <w:tcW w:w="1864" w:type="dxa"/>
            <w:vMerge w:val="continue"/>
            <w:vAlign w:val="center"/>
          </w:tcPr>
          <w:p>
            <w:pPr>
              <w:pStyle w:val="19"/>
              <w:keepNext w:val="0"/>
              <w:keepLines w:val="0"/>
              <w:suppressLineNumbers w:val="0"/>
              <w:bidi w:val="0"/>
              <w:spacing w:before="0" w:beforeAutospacing="0" w:after="0" w:afterAutospacing="0"/>
              <w:ind w:left="0" w:right="0"/>
              <w:rPr>
                <w:rFonts w:hint="default"/>
              </w:rPr>
            </w:pPr>
          </w:p>
        </w:tc>
        <w:tc>
          <w:tcPr>
            <w:tcW w:w="1038" w:type="dxa"/>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硫酸雾</w:t>
            </w:r>
          </w:p>
        </w:tc>
        <w:tc>
          <w:tcPr>
            <w:tcW w:w="2221" w:type="dxa"/>
            <w:vMerge w:val="continue"/>
            <w:vAlign w:val="center"/>
          </w:tcPr>
          <w:p>
            <w:pPr>
              <w:pStyle w:val="19"/>
              <w:keepNext w:val="0"/>
              <w:keepLines w:val="0"/>
              <w:suppressLineNumbers w:val="0"/>
              <w:bidi w:val="0"/>
              <w:spacing w:before="0" w:beforeAutospacing="0" w:after="0" w:afterAutospacing="0"/>
              <w:ind w:left="0" w:right="0"/>
              <w:rPr>
                <w:rFonts w:hint="eastAsia"/>
                <w:lang w:val="en-US" w:eastAsia="zh-CN"/>
              </w:rPr>
            </w:pPr>
          </w:p>
        </w:tc>
        <w:tc>
          <w:tcPr>
            <w:tcW w:w="2190" w:type="dxa"/>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《大气污染物综合排放标准》(GB 16297-1996)二级标准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87" w:type="dxa"/>
            <w:vMerge w:val="continue"/>
            <w:vAlign w:val="center"/>
          </w:tcPr>
          <w:p>
            <w:pPr>
              <w:pStyle w:val="19"/>
              <w:keepNext w:val="0"/>
              <w:keepLines w:val="0"/>
              <w:suppressLineNumbers w:val="0"/>
              <w:bidi w:val="0"/>
              <w:spacing w:before="0" w:beforeAutospacing="0" w:after="0" w:afterAutospacing="0"/>
              <w:ind w:left="0" w:right="0"/>
              <w:rPr>
                <w:rFonts w:hint="default"/>
              </w:rPr>
            </w:pPr>
          </w:p>
        </w:tc>
        <w:tc>
          <w:tcPr>
            <w:tcW w:w="1864"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DA002(燃气锅炉烟气)</w:t>
            </w:r>
          </w:p>
        </w:tc>
        <w:tc>
          <w:tcPr>
            <w:tcW w:w="1038" w:type="dxa"/>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SO</w:t>
            </w:r>
            <w:r>
              <w:rPr>
                <w:rFonts w:hint="eastAsia"/>
                <w:vertAlign w:val="subscript"/>
                <w:lang w:val="en-US" w:eastAsia="zh-CN"/>
              </w:rPr>
              <w:t>2</w:t>
            </w:r>
          </w:p>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颗粒物</w:t>
            </w:r>
          </w:p>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NO</w:t>
            </w:r>
            <w:r>
              <w:rPr>
                <w:rFonts w:hint="eastAsia"/>
                <w:vertAlign w:val="subscript"/>
                <w:lang w:val="en-US" w:eastAsia="zh-CN"/>
              </w:rPr>
              <w:t>x</w:t>
            </w:r>
          </w:p>
        </w:tc>
        <w:tc>
          <w:tcPr>
            <w:tcW w:w="2221"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燃料使用天然气</w:t>
            </w:r>
          </w:p>
        </w:tc>
        <w:tc>
          <w:tcPr>
            <w:tcW w:w="2190" w:type="dxa"/>
            <w:vAlign w:val="center"/>
          </w:tcPr>
          <w:p>
            <w:pPr>
              <w:pStyle w:val="22"/>
              <w:keepNext w:val="0"/>
              <w:keepLines w:val="0"/>
              <w:suppressLineNumbers w:val="0"/>
              <w:bidi w:val="0"/>
              <w:spacing w:before="0" w:beforeAutospacing="0" w:after="0" w:afterAutospacing="0"/>
              <w:rPr>
                <w:rFonts w:hint="eastAsia"/>
                <w:lang w:val="en-US" w:eastAsia="zh-CN"/>
              </w:rPr>
            </w:pPr>
            <w:r>
              <w:rPr>
                <w:rFonts w:hint="eastAsia" w:ascii="Times New Roman" w:hAnsi="Times New Roman" w:eastAsia="宋体" w:cstheme="minorBidi"/>
                <w:kern w:val="2"/>
                <w:sz w:val="21"/>
                <w:szCs w:val="22"/>
                <w:lang w:val="en-US" w:eastAsia="zh-CN" w:bidi="ar-SA"/>
              </w:rPr>
              <w:t>《锅炉大气污染物排放标准》(GB13271-2014)大气污染物特别排放限值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87" w:type="dxa"/>
            <w:vMerge w:val="restart"/>
            <w:vAlign w:val="center"/>
          </w:tcPr>
          <w:p>
            <w:pPr>
              <w:pStyle w:val="19"/>
              <w:keepNext w:val="0"/>
              <w:keepLines w:val="0"/>
              <w:suppressLineNumbers w:val="0"/>
              <w:bidi w:val="0"/>
              <w:spacing w:before="0" w:beforeAutospacing="0" w:after="0" w:afterAutospacing="0"/>
              <w:ind w:left="0" w:right="0"/>
              <w:rPr>
                <w:rFonts w:hint="eastAsia"/>
              </w:rPr>
            </w:pPr>
            <w:r>
              <w:rPr>
                <w:rFonts w:hint="eastAsia"/>
                <w:lang w:val="en-US" w:eastAsia="zh-CN"/>
              </w:rPr>
              <w:t>水环境</w:t>
            </w:r>
          </w:p>
        </w:tc>
        <w:tc>
          <w:tcPr>
            <w:tcW w:w="1864"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生产废水</w:t>
            </w:r>
          </w:p>
        </w:tc>
        <w:tc>
          <w:tcPr>
            <w:tcW w:w="1038" w:type="dxa"/>
            <w:vMerge w:val="restart"/>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COD</w:t>
            </w:r>
          </w:p>
          <w:p>
            <w:pPr>
              <w:pStyle w:val="19"/>
              <w:keepNext w:val="0"/>
              <w:keepLines w:val="0"/>
              <w:suppressLineNumbers w:val="0"/>
              <w:bidi w:val="0"/>
              <w:spacing w:before="0" w:beforeAutospacing="0" w:after="0" w:afterAutospacing="0"/>
              <w:ind w:left="0" w:right="0"/>
              <w:rPr>
                <w:rFonts w:hint="default"/>
                <w:vertAlign w:val="subscript"/>
                <w:lang w:val="en-US" w:eastAsia="zh-CN"/>
              </w:rPr>
            </w:pPr>
            <w:r>
              <w:rPr>
                <w:rFonts w:hint="default"/>
                <w:lang w:val="en-US" w:eastAsia="zh-CN"/>
              </w:rPr>
              <w:t>BOD</w:t>
            </w:r>
            <w:r>
              <w:rPr>
                <w:rFonts w:hint="default"/>
                <w:vertAlign w:val="subscript"/>
                <w:lang w:val="en-US" w:eastAsia="zh-CN"/>
              </w:rPr>
              <w:t>5</w:t>
            </w:r>
          </w:p>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SS</w:t>
            </w:r>
          </w:p>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NH</w:t>
            </w:r>
            <w:r>
              <w:rPr>
                <w:rFonts w:hint="default"/>
                <w:vertAlign w:val="subscript"/>
                <w:lang w:val="en-US" w:eastAsia="zh-CN"/>
              </w:rPr>
              <w:t>3</w:t>
            </w:r>
            <w:r>
              <w:rPr>
                <w:rFonts w:hint="default"/>
                <w:lang w:val="en-US" w:eastAsia="zh-CN"/>
              </w:rPr>
              <w:t>-N</w:t>
            </w:r>
          </w:p>
        </w:tc>
        <w:tc>
          <w:tcPr>
            <w:tcW w:w="2221"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生产废水回用配置酸解液，不外排</w:t>
            </w:r>
          </w:p>
        </w:tc>
        <w:tc>
          <w:tcPr>
            <w:tcW w:w="2190"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87" w:type="dxa"/>
            <w:vMerge w:val="continue"/>
            <w:vAlign w:val="center"/>
          </w:tcPr>
          <w:p>
            <w:pPr>
              <w:pStyle w:val="19"/>
              <w:keepNext w:val="0"/>
              <w:keepLines w:val="0"/>
              <w:suppressLineNumbers w:val="0"/>
              <w:bidi w:val="0"/>
              <w:spacing w:before="0" w:beforeAutospacing="0" w:after="0" w:afterAutospacing="0"/>
              <w:ind w:left="0" w:right="0"/>
              <w:rPr>
                <w:rFonts w:hint="default"/>
              </w:rPr>
            </w:pPr>
          </w:p>
        </w:tc>
        <w:tc>
          <w:tcPr>
            <w:tcW w:w="1864"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DW001(生活污水)</w:t>
            </w:r>
          </w:p>
        </w:tc>
        <w:tc>
          <w:tcPr>
            <w:tcW w:w="1038" w:type="dxa"/>
            <w:vMerge w:val="continue"/>
            <w:vAlign w:val="center"/>
          </w:tcPr>
          <w:p>
            <w:pPr>
              <w:pStyle w:val="19"/>
              <w:keepNext w:val="0"/>
              <w:keepLines w:val="0"/>
              <w:suppressLineNumbers w:val="0"/>
              <w:bidi w:val="0"/>
              <w:spacing w:before="0" w:beforeAutospacing="0" w:after="0" w:afterAutospacing="0"/>
              <w:ind w:left="0" w:right="0"/>
              <w:rPr>
                <w:rFonts w:hint="default"/>
                <w:lang w:val="en-US" w:eastAsia="zh-CN"/>
              </w:rPr>
            </w:pPr>
          </w:p>
        </w:tc>
        <w:tc>
          <w:tcPr>
            <w:tcW w:w="2221"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经化粪池处理后进入园区污水处理厂</w:t>
            </w:r>
          </w:p>
        </w:tc>
        <w:tc>
          <w:tcPr>
            <w:tcW w:w="2190"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《污水综合排放标准》(GB8978-1996</w:t>
            </w:r>
            <w:r>
              <w:rPr>
                <w:rFonts w:hint="eastAsia"/>
                <w:lang w:val="en-US" w:eastAsia="zh-CN"/>
              </w:rPr>
              <w:t>)三</w:t>
            </w:r>
            <w:r>
              <w:rPr>
                <w:rFonts w:hint="default"/>
                <w:lang w:val="en-US" w:eastAsia="zh-CN"/>
              </w:rPr>
              <w:t>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87"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声环境</w:t>
            </w:r>
          </w:p>
        </w:tc>
        <w:tc>
          <w:tcPr>
            <w:tcW w:w="1864"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038" w:type="dxa"/>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噪声</w:t>
            </w:r>
          </w:p>
        </w:tc>
        <w:tc>
          <w:tcPr>
            <w:tcW w:w="2221"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通过采用低噪声设备，对基础做减震处理，车间做封闭隔音处理等措施；对高噪声设备设独立间，同时在设备安装时作基础减震处理</w:t>
            </w:r>
          </w:p>
        </w:tc>
        <w:tc>
          <w:tcPr>
            <w:tcW w:w="2190"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《工业企业厂界环境噪声排放标准》</w:t>
            </w:r>
            <w:r>
              <w:rPr>
                <w:rFonts w:hint="eastAsia"/>
                <w:lang w:eastAsia="zh-CN"/>
              </w:rPr>
              <w:t>(</w:t>
            </w:r>
            <w:r>
              <w:rPr>
                <w:rFonts w:hint="eastAsia"/>
              </w:rPr>
              <w:t>GB12348-2008</w:t>
            </w:r>
            <w:r>
              <w:rPr>
                <w:rFonts w:hint="eastAsia"/>
                <w:lang w:eastAsia="zh-CN"/>
              </w:rPr>
              <w:t>)</w:t>
            </w:r>
            <w:r>
              <w:rPr>
                <w:rFonts w:hint="eastAsia"/>
              </w:rPr>
              <w:t>中的</w:t>
            </w:r>
            <w:r>
              <w:rPr>
                <w:rFonts w:hint="eastAsia"/>
                <w:lang w:val="en-US" w:eastAsia="zh-CN"/>
              </w:rPr>
              <w:t>2</w:t>
            </w:r>
            <w:r>
              <w:rPr>
                <w:rFonts w:hint="eastAsia"/>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87"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电磁辐射</w:t>
            </w:r>
          </w:p>
        </w:tc>
        <w:tc>
          <w:tcPr>
            <w:tcW w:w="1864" w:type="dxa"/>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038" w:type="dxa"/>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221" w:type="dxa"/>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190" w:type="dxa"/>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1487"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固体废物</w:t>
            </w:r>
          </w:p>
        </w:tc>
        <w:tc>
          <w:tcPr>
            <w:tcW w:w="7313" w:type="dxa"/>
            <w:gridSpan w:val="4"/>
            <w:vAlign w:val="center"/>
          </w:tcPr>
          <w:p>
            <w:pPr>
              <w:pStyle w:val="19"/>
              <w:keepNext w:val="0"/>
              <w:keepLines w:val="0"/>
              <w:suppressLineNumbers w:val="0"/>
              <w:bidi w:val="0"/>
              <w:spacing w:before="0" w:beforeAutospacing="0" w:after="0" w:afterAutospacing="0" w:line="360" w:lineRule="auto"/>
              <w:ind w:left="0" w:right="0"/>
              <w:jc w:val="left"/>
              <w:rPr>
                <w:rFonts w:hint="eastAsia"/>
                <w:lang w:val="en-US" w:eastAsia="zh-CN"/>
              </w:rPr>
            </w:pPr>
            <w:r>
              <w:rPr>
                <w:rFonts w:hint="eastAsia" w:eastAsia="宋体"/>
                <w:lang w:val="en-US" w:eastAsia="zh-CN"/>
              </w:rPr>
              <w:t>职工生活垃圾收集后由当地环卫部门统一处理</w:t>
            </w:r>
            <w:r>
              <w:rPr>
                <w:rFonts w:hint="eastAsia"/>
                <w:lang w:val="en-US" w:eastAsia="zh-CN"/>
              </w:rPr>
              <w:t>。对于项目产生的危废，建设单位拟设置专门的危废暂存间用来暂存危险废物，之后定期委托有资质单位进行处置。</w:t>
            </w:r>
          </w:p>
          <w:p>
            <w:pPr>
              <w:pStyle w:val="19"/>
              <w:keepNext w:val="0"/>
              <w:keepLines w:val="0"/>
              <w:suppressLineNumbers w:val="0"/>
              <w:bidi w:val="0"/>
              <w:spacing w:before="0" w:beforeAutospacing="0" w:after="0" w:afterAutospacing="0" w:line="360" w:lineRule="auto"/>
              <w:ind w:left="0" w:right="0"/>
              <w:jc w:val="left"/>
              <w:rPr>
                <w:rFonts w:hint="eastAsia"/>
                <w:lang w:val="en-US" w:eastAsia="zh-CN"/>
              </w:rPr>
            </w:pPr>
            <w:r>
              <w:rPr>
                <w:rFonts w:hint="eastAsia"/>
                <w:lang w:val="en-US" w:eastAsia="zh-CN"/>
              </w:rPr>
              <w:t>一般固体废弃物执行《一般工业固体废物贮存和填埋污染控制标准》(GB 18599-2020)中的相关规定。</w:t>
            </w:r>
          </w:p>
          <w:p>
            <w:pPr>
              <w:pStyle w:val="19"/>
              <w:keepNext w:val="0"/>
              <w:keepLines w:val="0"/>
              <w:suppressLineNumbers w:val="0"/>
              <w:bidi w:val="0"/>
              <w:spacing w:before="0" w:beforeAutospacing="0" w:after="0" w:afterAutospacing="0" w:line="360" w:lineRule="auto"/>
              <w:ind w:left="0" w:right="0"/>
              <w:jc w:val="left"/>
              <w:rPr>
                <w:rFonts w:hint="eastAsia"/>
                <w:lang w:val="en-US" w:eastAsia="zh-CN"/>
              </w:rPr>
            </w:pPr>
            <w:r>
              <w:rPr>
                <w:rFonts w:hint="eastAsia"/>
                <w:lang w:val="en-US" w:eastAsia="zh-CN"/>
              </w:rPr>
              <w:t>危险废物执行《危险废物贮存污染控制标准》(GB18579-2001)及其修改单中的相关规定。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487"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土壤及地下水</w:t>
            </w:r>
          </w:p>
          <w:p>
            <w:pPr>
              <w:pStyle w:val="19"/>
              <w:keepNext w:val="0"/>
              <w:keepLines w:val="0"/>
              <w:suppressLineNumbers w:val="0"/>
              <w:bidi w:val="0"/>
              <w:spacing w:before="0" w:beforeAutospacing="0" w:after="0" w:afterAutospacing="0"/>
              <w:ind w:left="0" w:right="0"/>
              <w:rPr>
                <w:rFonts w:hint="eastAsia"/>
              </w:rPr>
            </w:pPr>
            <w:r>
              <w:rPr>
                <w:rFonts w:hint="eastAsia"/>
              </w:rPr>
              <w:t>污染防治措施</w:t>
            </w:r>
          </w:p>
        </w:tc>
        <w:tc>
          <w:tcPr>
            <w:tcW w:w="7313" w:type="dxa"/>
            <w:gridSpan w:val="4"/>
            <w:vAlign w:val="center"/>
          </w:tcPr>
          <w:p>
            <w:pPr>
              <w:pStyle w:val="19"/>
              <w:keepNext w:val="0"/>
              <w:keepLines w:val="0"/>
              <w:suppressLineNumbers w:val="0"/>
              <w:bidi w:val="0"/>
              <w:spacing w:before="0" w:beforeAutospacing="0" w:after="0" w:afterAutospacing="0" w:line="360" w:lineRule="auto"/>
              <w:ind w:left="0" w:right="0"/>
              <w:jc w:val="both"/>
              <w:rPr>
                <w:rFonts w:hint="default" w:eastAsia="宋体"/>
                <w:lang w:val="en-US" w:eastAsia="zh-CN"/>
              </w:rPr>
            </w:pPr>
            <w:r>
              <w:rPr>
                <w:rFonts w:hint="eastAsia"/>
                <w:highlight w:val="none"/>
                <w:lang w:val="en-US" w:eastAsia="zh-CN"/>
              </w:rPr>
              <w:t>硫酸储罐进行防腐措施处理，罐区、危废暂存间、生产车间和事故池进行分区防渗处理(见图8)，防止对土壤及地下水造成污染。在厂区下游按《地下水环境监测技术规范》(HJ164-2020)设计监测井，定期开展例行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487"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生态保护措施</w:t>
            </w:r>
          </w:p>
        </w:tc>
        <w:tc>
          <w:tcPr>
            <w:tcW w:w="7313" w:type="dxa"/>
            <w:gridSpan w:val="4"/>
            <w:vAlign w:val="center"/>
          </w:tcPr>
          <w:p>
            <w:pPr>
              <w:pStyle w:val="19"/>
              <w:keepNext w:val="0"/>
              <w:keepLines w:val="0"/>
              <w:suppressLineNumbers w:val="0"/>
              <w:bidi w:val="0"/>
              <w:spacing w:before="0" w:beforeAutospacing="0" w:after="0" w:afterAutospacing="0" w:line="360" w:lineRule="auto"/>
              <w:ind w:left="0" w:right="0"/>
              <w:jc w:val="left"/>
              <w:rPr>
                <w:rFonts w:hint="eastAsia" w:eastAsia="宋体"/>
                <w:lang w:val="en-US" w:eastAsia="zh-CN"/>
              </w:rPr>
            </w:pPr>
            <w:r>
              <w:rPr>
                <w:rFonts w:hint="eastAsia" w:eastAsia="宋体"/>
                <w:lang w:val="en-US" w:eastAsia="zh-CN"/>
              </w:rPr>
              <w:t>生产用地不会对区域生态环境造成明显不利影响，项目运营后，厂区绿化小范围内植被覆盖度提高，有利于小范围内生态环境改善。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487"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环境风险</w:t>
            </w:r>
          </w:p>
          <w:p>
            <w:pPr>
              <w:pStyle w:val="19"/>
              <w:keepNext w:val="0"/>
              <w:keepLines w:val="0"/>
              <w:suppressLineNumbers w:val="0"/>
              <w:bidi w:val="0"/>
              <w:spacing w:before="0" w:beforeAutospacing="0" w:after="0" w:afterAutospacing="0"/>
              <w:ind w:left="0" w:right="0"/>
              <w:rPr>
                <w:rFonts w:hint="eastAsia"/>
              </w:rPr>
            </w:pPr>
            <w:r>
              <w:rPr>
                <w:rFonts w:hint="eastAsia"/>
              </w:rPr>
              <w:t>防范措施</w:t>
            </w:r>
          </w:p>
        </w:tc>
        <w:tc>
          <w:tcPr>
            <w:tcW w:w="7313" w:type="dxa"/>
            <w:gridSpan w:val="4"/>
            <w:vAlign w:val="center"/>
          </w:tcPr>
          <w:p>
            <w:pPr>
              <w:pStyle w:val="19"/>
              <w:keepNext w:val="0"/>
              <w:keepLines w:val="0"/>
              <w:suppressLineNumbers w:val="0"/>
              <w:bidi w:val="0"/>
              <w:spacing w:before="0" w:beforeAutospacing="0" w:after="0" w:afterAutospacing="0"/>
              <w:ind w:left="0" w:right="0"/>
              <w:jc w:val="left"/>
              <w:rPr>
                <w:rFonts w:hint="eastAsia"/>
              </w:rPr>
            </w:pPr>
            <w:r>
              <w:rPr>
                <w:rFonts w:hint="eastAsia" w:eastAsia="宋体"/>
                <w:lang w:val="en-US" w:eastAsia="zh-CN"/>
              </w:rPr>
              <w:t>见环境风险专项评价中风险防范措施内容。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8" w:hRule="atLeast"/>
          <w:jc w:val="center"/>
        </w:trPr>
        <w:tc>
          <w:tcPr>
            <w:tcW w:w="1487" w:type="dxa"/>
            <w:vAlign w:val="center"/>
          </w:tcPr>
          <w:p>
            <w:pPr>
              <w:pStyle w:val="19"/>
              <w:keepNext w:val="0"/>
              <w:keepLines w:val="0"/>
              <w:suppressLineNumbers w:val="0"/>
              <w:bidi w:val="0"/>
              <w:spacing w:before="0" w:beforeAutospacing="0" w:after="0" w:afterAutospacing="0"/>
              <w:ind w:left="0" w:right="0"/>
              <w:rPr>
                <w:rFonts w:hint="eastAsia"/>
              </w:rPr>
            </w:pPr>
            <w:r>
              <w:rPr>
                <w:rFonts w:hint="eastAsia"/>
              </w:rPr>
              <w:t>其他环境</w:t>
            </w:r>
          </w:p>
          <w:p>
            <w:pPr>
              <w:pStyle w:val="19"/>
              <w:keepNext w:val="0"/>
              <w:keepLines w:val="0"/>
              <w:suppressLineNumbers w:val="0"/>
              <w:bidi w:val="0"/>
              <w:spacing w:before="0" w:beforeAutospacing="0" w:after="0" w:afterAutospacing="0"/>
              <w:ind w:left="0" w:right="0"/>
              <w:rPr>
                <w:rFonts w:hint="eastAsia"/>
              </w:rPr>
            </w:pPr>
            <w:r>
              <w:rPr>
                <w:rFonts w:hint="eastAsia"/>
              </w:rPr>
              <w:t>管理要求</w:t>
            </w:r>
          </w:p>
        </w:tc>
        <w:tc>
          <w:tcPr>
            <w:tcW w:w="7313" w:type="dxa"/>
            <w:gridSpan w:val="4"/>
            <w:vAlign w:val="center"/>
          </w:tcPr>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项目应建立环境管理机构，配备环保管理人员1~2人，负责本厂的环境管理工作，并负责与政府环保主管部门的联系与协调工作。</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项目环境管理内容如下：</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①完善污染源档案管理等制度；</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②对项目各种环保设施的运行设备进行维护和监督管理；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③保持项目环保设施的正常运行，做好污染预防，按国家有关法律、法规做好企业的环保工作；</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④企业配合地方环境监测站对项目污染源进行例行监测；</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⑤定期对固废进行清运和处置；搞好项目区内环境卫生管理工作；</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⑥项目严格执行“三同时”制度，保证污染物达标排放。</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lang w:val="en-US" w:eastAsia="zh-CN"/>
              </w:rPr>
              <w:t>环境监测与监控：</w:t>
            </w:r>
            <w:r>
              <w:rPr>
                <w:rFonts w:hint="eastAsia" w:eastAsia="宋体"/>
                <w:lang w:val="en-US" w:eastAsia="zh-CN"/>
              </w:rPr>
              <w:t>监测和分析方法按国家有关规定进行，可委托第三方监测公司，至少进行</w:t>
            </w:r>
            <w:r>
              <w:rPr>
                <w:rFonts w:hint="eastAsia"/>
                <w:lang w:val="en-US" w:eastAsia="zh-CN"/>
              </w:rPr>
              <w:t>半年</w:t>
            </w:r>
            <w:r>
              <w:rPr>
                <w:rFonts w:hint="eastAsia" w:eastAsia="宋体"/>
                <w:lang w:val="en-US" w:eastAsia="zh-CN"/>
              </w:rPr>
              <w:t>一次环境监测，包括</w:t>
            </w:r>
            <w:r>
              <w:rPr>
                <w:rFonts w:hint="eastAsia"/>
                <w:lang w:val="en-US" w:eastAsia="zh-CN"/>
              </w:rPr>
              <w:t>硫酸雾、NH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w:t>
            </w:r>
            <w:r>
              <w:rPr>
                <w:rFonts w:hint="eastAsia" w:eastAsia="宋体"/>
                <w:lang w:val="en-US" w:eastAsia="zh-CN"/>
              </w:rPr>
              <w:t>、COD、NH</w:t>
            </w:r>
            <w:r>
              <w:rPr>
                <w:rFonts w:hint="eastAsia" w:eastAsia="宋体"/>
                <w:vertAlign w:val="subscript"/>
                <w:lang w:val="en-US" w:eastAsia="zh-CN"/>
              </w:rPr>
              <w:t>3</w:t>
            </w:r>
            <w:r>
              <w:rPr>
                <w:rFonts w:hint="eastAsia" w:eastAsia="宋体"/>
                <w:lang w:val="en-US" w:eastAsia="zh-CN"/>
              </w:rPr>
              <w:t>-N、BOD、噪声等。</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lang w:val="en-US" w:eastAsia="zh-CN"/>
              </w:rPr>
              <w:t>排污许可管理要求：排污单位应当在名录规定的时限内持证排污，禁止无证排污或不按证排污。排污单位应当严格执行《国务院办公厅关于印发控制污染物排放许可制实施方案的通知》(国办发〔2016〕81号)和《排污许可管理办法(试行)》(环部令 第48号)中排污许可的相关规定。</w:t>
            </w:r>
          </w:p>
        </w:tc>
      </w:tr>
    </w:tbl>
    <w:p>
      <w:pPr>
        <w:widowControl/>
        <w:spacing w:before="100" w:beforeAutospacing="1" w:after="100" w:afterAutospacing="1"/>
        <w:jc w:val="center"/>
        <w:outlineLvl w:val="0"/>
        <w:rPr>
          <w:rFonts w:ascii="黑体" w:hAnsi="黑体" w:eastAsia="黑体" w:cs="Times New Roman"/>
          <w:snapToGrid w:val="0"/>
          <w:kern w:val="0"/>
          <w:sz w:val="30"/>
          <w:szCs w:val="30"/>
        </w:rPr>
      </w:pPr>
      <w:r>
        <w:rPr>
          <w:rFonts w:ascii="宋体" w:hAnsi="宋体" w:eastAsia="宋体" w:cs="Times New Roman"/>
          <w:snapToGrid w:val="0"/>
          <w:kern w:val="0"/>
          <w:sz w:val="24"/>
          <w:szCs w:val="20"/>
        </w:rPr>
        <w:br w:type="page"/>
      </w:r>
      <w:r>
        <w:rPr>
          <w:rFonts w:hint="eastAsia" w:ascii="黑体" w:hAnsi="黑体" w:eastAsia="黑体" w:cs="Times New Roman"/>
          <w:snapToGrid w:val="0"/>
          <w:kern w:val="0"/>
          <w:sz w:val="30"/>
          <w:szCs w:val="30"/>
        </w:rPr>
        <w:t>六、结论</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pPr>
              <w:keepNext w:val="0"/>
              <w:keepLines w:val="0"/>
              <w:widowControl w:val="0"/>
              <w:numPr>
                <w:ilvl w:val="0"/>
                <w:numId w:val="0"/>
              </w:numPr>
              <w:suppressLineNumbers w:val="0"/>
              <w:tabs>
                <w:tab w:val="left" w:pos="0"/>
              </w:tabs>
              <w:spacing w:before="0" w:beforeAutospacing="0" w:after="0" w:afterAutospacing="0" w:line="360" w:lineRule="auto"/>
              <w:ind w:left="480" w:leftChars="200" w:right="0" w:rightChars="0"/>
              <w:jc w:val="both"/>
              <w:rPr>
                <w:rFonts w:hint="default" w:ascii="Times New Roman" w:hAnsi="Times New Roman" w:eastAsia="宋体"/>
                <w:bCs/>
                <w:kern w:val="0"/>
                <w:sz w:val="24"/>
                <w:szCs w:val="24"/>
                <w:lang w:val="en-US" w:eastAsia="zh-CN" w:bidi="en-US"/>
              </w:rPr>
            </w:pPr>
            <w:r>
              <w:rPr>
                <w:rFonts w:hint="eastAsia" w:ascii="宋体" w:hAnsi="宋体" w:eastAsia="宋体" w:cs="宋体"/>
                <w:kern w:val="2"/>
                <w:sz w:val="24"/>
                <w:szCs w:val="24"/>
                <w:lang w:val="en-US" w:eastAsia="zh-CN" w:bidi="ar"/>
              </w:rPr>
              <w:t>综上所述，</w:t>
            </w:r>
            <w:r>
              <w:rPr>
                <w:rFonts w:hint="default" w:ascii="宋体" w:hAnsi="宋体" w:eastAsia="宋体" w:cs="宋体"/>
                <w:kern w:val="2"/>
                <w:sz w:val="24"/>
                <w:szCs w:val="24"/>
                <w:lang w:val="en-US" w:eastAsia="zh-CN" w:bidi="ar"/>
              </w:rPr>
              <w:t>本项目</w:t>
            </w:r>
            <w:r>
              <w:rPr>
                <w:rFonts w:hint="eastAsia" w:ascii="宋体" w:hAnsi="宋体" w:eastAsia="宋体" w:cs="宋体"/>
                <w:kern w:val="2"/>
                <w:sz w:val="24"/>
                <w:szCs w:val="24"/>
                <w:lang w:val="en-US" w:eastAsia="zh-CN" w:bidi="ar"/>
              </w:rPr>
              <w:t>建设</w:t>
            </w:r>
            <w:r>
              <w:rPr>
                <w:rFonts w:hint="default" w:ascii="宋体" w:hAnsi="宋体" w:eastAsia="宋体" w:cs="宋体"/>
                <w:kern w:val="2"/>
                <w:sz w:val="24"/>
                <w:szCs w:val="24"/>
                <w:lang w:val="en-US" w:eastAsia="zh-CN" w:bidi="ar"/>
              </w:rPr>
              <w:t>符合国家和产业政策</w:t>
            </w:r>
            <w:r>
              <w:rPr>
                <w:rFonts w:hint="eastAsia" w:ascii="宋体" w:hAnsi="宋体" w:eastAsia="宋体" w:cs="宋体"/>
                <w:kern w:val="2"/>
                <w:sz w:val="24"/>
                <w:szCs w:val="24"/>
                <w:lang w:val="en-US" w:eastAsia="zh-CN" w:bidi="ar"/>
              </w:rPr>
              <w:t>要求</w:t>
            </w:r>
            <w:r>
              <w:rPr>
                <w:rFonts w:hint="default" w:ascii="宋体" w:hAnsi="宋体" w:eastAsia="宋体" w:cs="宋体"/>
                <w:kern w:val="2"/>
                <w:sz w:val="24"/>
                <w:szCs w:val="24"/>
                <w:lang w:val="en-US" w:eastAsia="zh-CN" w:bidi="ar"/>
              </w:rPr>
              <w:t>，选址合理可行；</w:t>
            </w:r>
            <w:r>
              <w:rPr>
                <w:rFonts w:hint="default" w:ascii="Times New Roman" w:hAnsi="Times New Roman" w:eastAsia="宋体"/>
                <w:bCs/>
                <w:kern w:val="0"/>
                <w:sz w:val="24"/>
                <w:szCs w:val="24"/>
                <w:lang w:val="en-US" w:eastAsia="zh-CN" w:bidi="en-US"/>
              </w:rPr>
              <w:t>项目的建设</w:t>
            </w:r>
          </w:p>
          <w:p>
            <w:pPr>
              <w:keepNext w:val="0"/>
              <w:keepLines w:val="0"/>
              <w:widowControl w:val="0"/>
              <w:numPr>
                <w:ilvl w:val="0"/>
                <w:numId w:val="0"/>
              </w:numPr>
              <w:suppressLineNumbers w:val="0"/>
              <w:tabs>
                <w:tab w:val="left" w:pos="0"/>
              </w:tabs>
              <w:spacing w:before="0" w:beforeAutospacing="0" w:after="0" w:afterAutospacing="0" w:line="360" w:lineRule="auto"/>
              <w:ind w:left="0" w:right="0" w:rightChars="0"/>
              <w:jc w:val="both"/>
              <w:rPr>
                <w:rFonts w:hint="default" w:ascii="宋体" w:hAnsi="宋体" w:eastAsia="宋体" w:cs="宋体"/>
                <w:kern w:val="2"/>
                <w:sz w:val="24"/>
                <w:szCs w:val="24"/>
                <w:lang w:val="en-US" w:eastAsia="zh-CN" w:bidi="ar"/>
              </w:rPr>
            </w:pPr>
            <w:r>
              <w:rPr>
                <w:rFonts w:hint="default" w:ascii="Times New Roman" w:hAnsi="Times New Roman" w:eastAsia="宋体"/>
                <w:bCs/>
                <w:kern w:val="0"/>
                <w:sz w:val="24"/>
                <w:szCs w:val="24"/>
                <w:lang w:val="en-US" w:eastAsia="zh-CN" w:bidi="en-US"/>
              </w:rPr>
              <w:t>及运营将造成生态、声、水、环境空气等环境影响</w:t>
            </w:r>
            <w:r>
              <w:rPr>
                <w:rFonts w:hint="eastAsia" w:eastAsia="宋体"/>
                <w:bCs/>
                <w:kern w:val="0"/>
                <w:sz w:val="24"/>
                <w:szCs w:val="24"/>
                <w:lang w:val="en-US" w:eastAsia="zh-CN" w:bidi="en-US"/>
              </w:rPr>
              <w:t>，</w:t>
            </w:r>
            <w:r>
              <w:rPr>
                <w:rFonts w:hint="default" w:ascii="宋体" w:hAnsi="宋体" w:eastAsia="宋体" w:cs="宋体"/>
                <w:kern w:val="2"/>
                <w:sz w:val="24"/>
                <w:szCs w:val="24"/>
                <w:lang w:val="en-US" w:eastAsia="zh-CN" w:bidi="ar"/>
              </w:rPr>
              <w:t>在严格按照</w:t>
            </w:r>
            <w:r>
              <w:rPr>
                <w:rFonts w:hint="eastAsia" w:ascii="宋体" w:hAnsi="宋体" w:eastAsia="宋体" w:cs="宋体"/>
                <w:kern w:val="2"/>
                <w:sz w:val="24"/>
                <w:szCs w:val="24"/>
                <w:lang w:val="en-US" w:eastAsia="zh-CN" w:bidi="ar"/>
              </w:rPr>
              <w:t>“</w:t>
            </w:r>
            <w:r>
              <w:rPr>
                <w:rFonts w:hint="default" w:ascii="宋体" w:hAnsi="宋体" w:eastAsia="宋体" w:cs="宋体"/>
                <w:kern w:val="2"/>
                <w:sz w:val="24"/>
                <w:szCs w:val="24"/>
                <w:lang w:val="en-US" w:eastAsia="zh-CN" w:bidi="ar"/>
              </w:rPr>
              <w:t>三同时</w:t>
            </w:r>
            <w:r>
              <w:rPr>
                <w:rFonts w:hint="eastAsia" w:ascii="宋体" w:hAnsi="宋体" w:eastAsia="宋体" w:cs="宋体"/>
                <w:kern w:val="2"/>
                <w:sz w:val="24"/>
                <w:szCs w:val="24"/>
                <w:lang w:val="en-US" w:eastAsia="zh-CN" w:bidi="ar"/>
              </w:rPr>
              <w:t>”</w:t>
            </w:r>
            <w:r>
              <w:rPr>
                <w:rFonts w:hint="default" w:ascii="宋体" w:hAnsi="宋体" w:eastAsia="宋体" w:cs="宋体"/>
                <w:kern w:val="2"/>
                <w:sz w:val="24"/>
                <w:szCs w:val="24"/>
                <w:lang w:val="en-US" w:eastAsia="zh-CN" w:bidi="ar"/>
              </w:rPr>
              <w:t>制度进行项目建设和管理、落实本报告提出的各项污染控制措施后，可保证废气、污水、噪声达标排放，固体废物合理处置</w:t>
            </w:r>
            <w:r>
              <w:rPr>
                <w:rFonts w:hint="eastAsia" w:ascii="宋体" w:hAnsi="宋体" w:eastAsia="宋体" w:cs="宋体"/>
                <w:kern w:val="2"/>
                <w:sz w:val="24"/>
                <w:szCs w:val="24"/>
                <w:lang w:val="en-US" w:eastAsia="zh-CN" w:bidi="ar"/>
              </w:rPr>
              <w:t>。</w:t>
            </w:r>
            <w:r>
              <w:rPr>
                <w:rFonts w:hint="default" w:ascii="宋体" w:hAnsi="宋体" w:eastAsia="宋体" w:cs="宋体"/>
                <w:kern w:val="2"/>
                <w:sz w:val="24"/>
                <w:szCs w:val="24"/>
                <w:lang w:val="en-US" w:eastAsia="zh-CN" w:bidi="ar"/>
              </w:rPr>
              <w:t>在此前提下，该项目的建设对环境的影响较小。</w:t>
            </w:r>
          </w:p>
          <w:p>
            <w:pPr>
              <w:keepNext w:val="0"/>
              <w:keepLines w:val="0"/>
              <w:widowControl w:val="0"/>
              <w:numPr>
                <w:ilvl w:val="0"/>
                <w:numId w:val="0"/>
              </w:numPr>
              <w:suppressLineNumbers w:val="0"/>
              <w:tabs>
                <w:tab w:val="left" w:pos="0"/>
              </w:tabs>
              <w:spacing w:before="0" w:beforeAutospacing="0" w:after="0" w:afterAutospacing="0" w:line="360" w:lineRule="auto"/>
              <w:ind w:left="480" w:leftChars="200" w:right="0" w:rightChars="0"/>
              <w:jc w:val="both"/>
              <w:rPr>
                <w:rFonts w:hint="default" w:ascii="宋体" w:hAnsi="Times New Roman" w:eastAsia="宋体" w:cs="宋体"/>
                <w:sz w:val="24"/>
                <w:szCs w:val="24"/>
              </w:rPr>
            </w:pPr>
            <w:r>
              <w:rPr>
                <w:rFonts w:hint="default" w:ascii="宋体" w:hAnsi="宋体" w:eastAsia="宋体" w:cs="宋体"/>
                <w:kern w:val="2"/>
                <w:sz w:val="24"/>
                <w:szCs w:val="24"/>
                <w:lang w:val="en-US" w:eastAsia="zh-CN" w:bidi="ar"/>
              </w:rPr>
              <w:t>从环境保护角度分析，</w:t>
            </w:r>
            <w:r>
              <w:rPr>
                <w:rFonts w:hint="eastAsia" w:ascii="宋体" w:hAnsi="宋体" w:eastAsia="宋体" w:cs="宋体"/>
                <w:kern w:val="2"/>
                <w:sz w:val="24"/>
                <w:szCs w:val="24"/>
                <w:lang w:val="en-US" w:eastAsia="zh-CN" w:bidi="ar"/>
              </w:rPr>
              <w:t>该项目的建设</w:t>
            </w:r>
            <w:r>
              <w:rPr>
                <w:rFonts w:hint="default" w:ascii="宋体" w:hAnsi="宋体" w:eastAsia="宋体" w:cs="宋体"/>
                <w:kern w:val="2"/>
                <w:sz w:val="24"/>
                <w:szCs w:val="24"/>
                <w:lang w:val="en-US" w:eastAsia="zh-CN" w:bidi="ar"/>
              </w:rPr>
              <w:t>是可行的。</w:t>
            </w:r>
          </w:p>
        </w:tc>
      </w:tr>
    </w:tbl>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rPr>
        <w:t>附表</w:t>
      </w:r>
      <w:r>
        <w:rPr>
          <w:rFonts w:hint="eastAsia" w:ascii="黑体" w:hAnsi="黑体" w:eastAsia="黑体" w:cs="Times New Roman"/>
          <w:snapToGrid w:val="0"/>
          <w:kern w:val="0"/>
          <w:sz w:val="32"/>
          <w:szCs w:val="32"/>
          <w:lang w:val="en-US" w:eastAsia="zh-CN"/>
        </w:rPr>
        <w:t>1</w:t>
      </w:r>
    </w:p>
    <w:p>
      <w:pPr>
        <w:pStyle w:val="24"/>
      </w:pPr>
      <w:r>
        <w:rPr>
          <w:rFonts w:hint="eastAsia" w:ascii="黑体" w:hAnsi="黑体" w:eastAsia="黑体" w:cs="Times New Roman"/>
          <w:snapToGrid w:val="0"/>
          <w:kern w:val="0"/>
          <w:sz w:val="30"/>
          <w:szCs w:val="30"/>
          <w:lang w:val="en-US" w:eastAsia="zh-CN"/>
        </w:rPr>
        <w:t>环境风险专项评价</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根据《建设项目环境风险评价技术导则》</w:t>
            </w:r>
            <w:r>
              <w:rPr>
                <w:rFonts w:hint="eastAsia" w:eastAsia="宋体"/>
                <w:color w:val="auto"/>
                <w:lang w:eastAsia="zh-CN"/>
              </w:rPr>
              <w:t>(</w:t>
            </w:r>
            <w:r>
              <w:rPr>
                <w:rFonts w:hint="default"/>
                <w:color w:val="auto"/>
              </w:rPr>
              <w:t>HJ169-2018</w:t>
            </w:r>
            <w:r>
              <w:rPr>
                <w:rFonts w:hint="eastAsia" w:eastAsia="宋体"/>
                <w:color w:val="auto"/>
                <w:lang w:eastAsia="zh-CN"/>
              </w:rPr>
              <w:t>)</w:t>
            </w:r>
            <w:r>
              <w:rPr>
                <w:rFonts w:hint="default"/>
                <w:color w:val="auto"/>
              </w:rPr>
              <w:t>，分析建设项目涉及的物质及工艺系统危险性和所在地的环境敏感性，由此确定环境风险潜势，再根据环境风险潜势的大小将环境风险评价工作划分为一级、二级、三级。</w:t>
            </w:r>
          </w:p>
          <w:p>
            <w:pPr>
              <w:pStyle w:val="2"/>
              <w:numPr>
                <w:ilvl w:val="0"/>
                <w:numId w:val="14"/>
              </w:numPr>
              <w:suppressLineNumbers w:val="0"/>
              <w:bidi w:val="0"/>
              <w:spacing w:before="0" w:after="0"/>
              <w:ind w:right="0"/>
              <w:rPr>
                <w:rFonts w:hint="default"/>
              </w:rPr>
            </w:pPr>
            <w:r>
              <w:rPr>
                <w:rFonts w:hint="eastAsia"/>
                <w:lang w:val="en-US" w:eastAsia="zh-CN"/>
              </w:rPr>
              <w:t>评价依据</w:t>
            </w:r>
          </w:p>
          <w:p>
            <w:pPr>
              <w:pStyle w:val="3"/>
              <w:numPr>
                <w:ilvl w:val="1"/>
                <w:numId w:val="15"/>
              </w:numPr>
              <w:suppressLineNumbers w:val="0"/>
              <w:tabs>
                <w:tab w:val="left" w:pos="420"/>
              </w:tabs>
              <w:bidi w:val="0"/>
              <w:spacing w:before="0" w:after="0"/>
              <w:ind w:right="0"/>
              <w:rPr>
                <w:rFonts w:hint="default"/>
              </w:rPr>
            </w:pPr>
            <w:r>
              <w:rPr>
                <w:rFonts w:hint="default"/>
              </w:rPr>
              <w:t>风险调查</w:t>
            </w:r>
          </w:p>
          <w:p>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本项目在运输、储存、生产过程中使用</w:t>
            </w:r>
            <w:r>
              <w:rPr>
                <w:rFonts w:hint="eastAsia"/>
                <w:color w:val="auto"/>
                <w:lang w:val="en-US" w:eastAsia="zh-CN"/>
              </w:rPr>
              <w:t>的硫酸</w:t>
            </w:r>
            <w:r>
              <w:rPr>
                <w:rFonts w:hint="default"/>
                <w:color w:val="auto"/>
              </w:rPr>
              <w:t>属于危险化学品，在生产过程中存在</w:t>
            </w:r>
            <w:r>
              <w:rPr>
                <w:rFonts w:hint="eastAsia"/>
                <w:color w:val="auto"/>
                <w:lang w:val="en-US" w:eastAsia="zh-CN"/>
              </w:rPr>
              <w:t>泄露、</w:t>
            </w:r>
            <w:r>
              <w:rPr>
                <w:rFonts w:hint="default"/>
                <w:color w:val="auto"/>
              </w:rPr>
              <w:t>火灾、爆炸</w:t>
            </w:r>
            <w:r>
              <w:rPr>
                <w:rFonts w:hint="eastAsia"/>
                <w:color w:val="auto"/>
                <w:lang w:val="en-US" w:eastAsia="zh-CN"/>
              </w:rPr>
              <w:t>等</w:t>
            </w:r>
            <w:r>
              <w:rPr>
                <w:rFonts w:hint="default"/>
                <w:color w:val="auto"/>
              </w:rPr>
              <w:t>危险，由《建设项目环境风险评价技术导则》</w:t>
            </w:r>
            <w:r>
              <w:rPr>
                <w:rFonts w:hint="eastAsia" w:eastAsia="宋体"/>
                <w:color w:val="auto"/>
                <w:lang w:eastAsia="zh-CN"/>
              </w:rPr>
              <w:t>(</w:t>
            </w:r>
            <w:r>
              <w:rPr>
                <w:rFonts w:hint="default"/>
                <w:color w:val="auto"/>
              </w:rPr>
              <w:t>HJ 169-2018</w:t>
            </w:r>
            <w:r>
              <w:rPr>
                <w:rFonts w:hint="eastAsia" w:eastAsia="宋体"/>
                <w:color w:val="auto"/>
                <w:lang w:eastAsia="zh-CN"/>
              </w:rPr>
              <w:t>)</w:t>
            </w:r>
            <w:r>
              <w:rPr>
                <w:rFonts w:hint="default"/>
                <w:color w:val="auto"/>
              </w:rPr>
              <w:t>附录B中重点关注的危险物质及临界量确定本项目环境风险物质为</w:t>
            </w:r>
            <w:r>
              <w:rPr>
                <w:rFonts w:hint="eastAsia"/>
                <w:color w:val="auto"/>
                <w:lang w:val="en-US" w:eastAsia="zh-CN"/>
              </w:rPr>
              <w:t>硫酸</w:t>
            </w:r>
            <w:r>
              <w:rPr>
                <w:rFonts w:hint="default"/>
                <w:color w:val="auto"/>
              </w:rPr>
              <w:t>。</w:t>
            </w:r>
          </w:p>
          <w:p>
            <w:pPr>
              <w:pStyle w:val="3"/>
              <w:numPr>
                <w:ilvl w:val="1"/>
                <w:numId w:val="15"/>
              </w:numPr>
              <w:suppressLineNumbers w:val="0"/>
              <w:tabs>
                <w:tab w:val="left" w:pos="420"/>
              </w:tabs>
              <w:bidi w:val="0"/>
              <w:spacing w:before="0" w:after="0"/>
              <w:ind w:right="0"/>
              <w:rPr>
                <w:rFonts w:hint="default"/>
              </w:rPr>
            </w:pPr>
            <w:r>
              <w:rPr>
                <w:rFonts w:hint="default"/>
              </w:rPr>
              <w:t>评价工作等级</w:t>
            </w:r>
          </w:p>
          <w:p>
            <w:pPr>
              <w:pStyle w:val="5"/>
              <w:numPr>
                <w:ilvl w:val="2"/>
                <w:numId w:val="16"/>
              </w:numPr>
              <w:suppressLineNumbers w:val="0"/>
              <w:bidi w:val="0"/>
              <w:spacing w:before="0" w:beforeAutospacing="0" w:after="0" w:afterAutospacing="0"/>
              <w:ind w:right="0"/>
              <w:rPr>
                <w:rFonts w:hint="eastAsia"/>
                <w:lang w:val="en-US" w:eastAsia="zh-CN"/>
              </w:rPr>
            </w:pPr>
            <w:r>
              <w:rPr>
                <w:rFonts w:hint="default"/>
              </w:rPr>
              <w:t>危险物质</w:t>
            </w:r>
            <w:r>
              <w:rPr>
                <w:rFonts w:hint="eastAsia"/>
                <w:lang w:val="en-US" w:eastAsia="zh-CN"/>
              </w:rPr>
              <w:t>临界量</w:t>
            </w:r>
          </w:p>
          <w:p>
            <w:pPr>
              <w:keepNext w:val="0"/>
              <w:keepLines w:val="0"/>
              <w:suppressLineNumbers w:val="0"/>
              <w:bidi w:val="0"/>
              <w:spacing w:before="0" w:beforeAutospacing="0" w:after="0" w:afterAutospacing="0"/>
              <w:ind w:left="0" w:right="0"/>
              <w:rPr>
                <w:rFonts w:hint="default"/>
                <w:color w:val="auto"/>
              </w:rPr>
            </w:pPr>
            <w:r>
              <w:rPr>
                <w:rFonts w:hint="default"/>
              </w:rPr>
              <w:t>根据《建设项目环境风险评价技术导则》</w:t>
            </w:r>
            <w:r>
              <w:rPr>
                <w:rFonts w:hint="eastAsia"/>
                <w:lang w:eastAsia="zh-CN"/>
              </w:rPr>
              <w:t>(</w:t>
            </w:r>
            <w:r>
              <w:rPr>
                <w:rFonts w:hint="default"/>
              </w:rPr>
              <w:t>HJ169-2018</w:t>
            </w:r>
            <w:r>
              <w:rPr>
                <w:rFonts w:hint="eastAsia"/>
                <w:lang w:eastAsia="zh-CN"/>
              </w:rPr>
              <w:t>)</w:t>
            </w:r>
            <w:r>
              <w:rPr>
                <w:rFonts w:hint="default"/>
              </w:rPr>
              <w:t>及《危险化学品重大危险源辨识》</w:t>
            </w:r>
            <w:r>
              <w:rPr>
                <w:rFonts w:hint="eastAsia"/>
                <w:lang w:eastAsia="zh-CN"/>
              </w:rPr>
              <w:t>(</w:t>
            </w:r>
            <w:r>
              <w:rPr>
                <w:rFonts w:hint="default"/>
              </w:rPr>
              <w:t>GB18218-2018</w:t>
            </w:r>
            <w:r>
              <w:rPr>
                <w:rFonts w:hint="eastAsia"/>
                <w:lang w:eastAsia="zh-CN"/>
              </w:rPr>
              <w:t>)</w:t>
            </w:r>
            <w:r>
              <w:rPr>
                <w:rFonts w:hint="default"/>
              </w:rPr>
              <w:t>，本项目突发环境事件风险物质的临界量</w:t>
            </w:r>
            <w:r>
              <w:rPr>
                <w:rFonts w:hint="default"/>
                <w:color w:val="auto"/>
              </w:rPr>
              <w:t>详见</w:t>
            </w:r>
            <w:r>
              <w:rPr>
                <w:rFonts w:hint="eastAsia"/>
                <w:color w:val="auto"/>
                <w:lang w:val="en-US" w:eastAsia="zh-CN"/>
              </w:rPr>
              <w:t>下表</w:t>
            </w:r>
            <w:r>
              <w:rPr>
                <w:rFonts w:hint="default"/>
                <w:color w:val="auto"/>
              </w:rPr>
              <w:t>。</w:t>
            </w:r>
          </w:p>
          <w:p>
            <w:pPr>
              <w:pStyle w:val="20"/>
              <w:keepNext w:val="0"/>
              <w:keepLines w:val="0"/>
              <w:numPr>
                <w:ilvl w:val="0"/>
                <w:numId w:val="17"/>
              </w:numPr>
              <w:suppressLineNumbers w:val="0"/>
              <w:bidi w:val="0"/>
              <w:spacing w:before="0" w:beforeAutospacing="0" w:after="0" w:afterAutospacing="0"/>
              <w:ind w:right="0"/>
              <w:rPr>
                <w:rFonts w:hint="eastAsia"/>
              </w:rPr>
            </w:pPr>
            <w:r>
              <w:rPr>
                <w:rFonts w:hint="eastAsia"/>
                <w:lang w:val="en-US" w:eastAsia="zh-CN"/>
              </w:rPr>
              <w:t>本项目突发环境事件风险物质及临界量一览表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8"/>
              <w:gridCol w:w="407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1578" w:type="dxa"/>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序号</w:t>
                  </w:r>
                </w:p>
              </w:tc>
              <w:tc>
                <w:tcPr>
                  <w:tcW w:w="4079" w:type="dxa"/>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风险物质</w:t>
                  </w:r>
                </w:p>
              </w:tc>
              <w:tc>
                <w:tcPr>
                  <w:tcW w:w="2982" w:type="dxa"/>
                  <w:tcBorders>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临界量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1578"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w:t>
                  </w:r>
                </w:p>
              </w:tc>
              <w:tc>
                <w:tcPr>
                  <w:tcW w:w="4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硫酸</w:t>
                  </w:r>
                </w:p>
              </w:tc>
              <w:tc>
                <w:tcPr>
                  <w:tcW w:w="2982" w:type="dxa"/>
                  <w:tcBorders>
                    <w:top w:val="single" w:color="auto" w:sz="4" w:space="0"/>
                    <w:left w:val="single" w:color="auto" w:sz="4" w:space="0"/>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10</w:t>
                  </w:r>
                  <w:r>
                    <w:rPr>
                      <w:rFonts w:hint="default"/>
                      <w:color w:val="auto"/>
                      <w:lang w:val="en-US" w:eastAsia="zh-CN"/>
                    </w:rPr>
                    <w:t>t</w:t>
                  </w:r>
                </w:p>
              </w:tc>
            </w:tr>
          </w:tbl>
          <w:p>
            <w:pPr>
              <w:keepNext w:val="0"/>
              <w:keepLines w:val="0"/>
              <w:suppressLineNumbers w:val="0"/>
              <w:bidi w:val="0"/>
              <w:spacing w:before="0" w:beforeAutospacing="0" w:after="0" w:afterAutospacing="0"/>
              <w:ind w:left="0" w:leftChars="0" w:right="0" w:firstLine="0" w:firstLineChars="0"/>
              <w:rPr>
                <w:rFonts w:hint="default"/>
              </w:rPr>
            </w:pPr>
          </w:p>
          <w:p>
            <w:pPr>
              <w:pStyle w:val="5"/>
              <w:numPr>
                <w:ilvl w:val="2"/>
                <w:numId w:val="16"/>
              </w:numPr>
              <w:suppressLineNumbers w:val="0"/>
              <w:bidi w:val="0"/>
              <w:spacing w:before="0" w:beforeAutospacing="0" w:after="0" w:afterAutospacing="0"/>
              <w:ind w:right="0"/>
              <w:rPr>
                <w:rFonts w:hint="default"/>
              </w:rPr>
            </w:pPr>
            <w:r>
              <w:rPr>
                <w:rFonts w:hint="default"/>
              </w:rPr>
              <w:t>危险物质及工艺系统危险性P的分级</w:t>
            </w:r>
          </w:p>
          <w:p>
            <w:pPr>
              <w:pStyle w:val="6"/>
              <w:numPr>
                <w:ilvl w:val="3"/>
                <w:numId w:val="16"/>
              </w:numPr>
              <w:suppressLineNumbers w:val="0"/>
              <w:bidi w:val="0"/>
              <w:spacing w:before="0" w:after="0"/>
              <w:ind w:right="0"/>
              <w:rPr>
                <w:rFonts w:hint="eastAsia"/>
                <w:lang w:eastAsia="zh-CN"/>
              </w:rPr>
            </w:pPr>
            <w:r>
              <w:rPr>
                <w:rFonts w:hint="default"/>
              </w:rPr>
              <w:t>危险物质数量与临界量比值</w:t>
            </w:r>
            <w:r>
              <w:rPr>
                <w:rFonts w:hint="eastAsia"/>
                <w:lang w:eastAsia="zh-CN"/>
              </w:rPr>
              <w:t>(</w:t>
            </w:r>
            <w:r>
              <w:rPr>
                <w:rFonts w:hint="default"/>
              </w:rPr>
              <w:t>Q</w:t>
            </w:r>
            <w:r>
              <w:rPr>
                <w:rFonts w:hint="eastAsia"/>
                <w:lang w:eastAsia="zh-CN"/>
              </w:rPr>
              <w:t>)</w:t>
            </w:r>
          </w:p>
          <w:p>
            <w:pPr>
              <w:keepNext w:val="0"/>
              <w:keepLines w:val="0"/>
              <w:suppressLineNumbers w:val="0"/>
              <w:bidi w:val="0"/>
              <w:spacing w:before="0" w:beforeAutospacing="0" w:after="0" w:afterAutospacing="0"/>
              <w:ind w:left="0" w:right="0"/>
              <w:rPr>
                <w:rFonts w:hint="default"/>
              </w:rPr>
            </w:pPr>
            <w:r>
              <w:rPr>
                <w:rFonts w:hint="default"/>
              </w:rPr>
              <w:t>根据《建设项目环境风险评价技术导则》</w:t>
            </w:r>
            <w:r>
              <w:rPr>
                <w:rFonts w:hint="eastAsia"/>
                <w:lang w:eastAsia="zh-CN"/>
              </w:rPr>
              <w:t>(</w:t>
            </w:r>
            <w:r>
              <w:rPr>
                <w:rFonts w:hint="default"/>
              </w:rPr>
              <w:t>HJ/T169-2018</w:t>
            </w:r>
            <w:r>
              <w:rPr>
                <w:rFonts w:hint="eastAsia"/>
                <w:lang w:eastAsia="zh-CN"/>
              </w:rPr>
              <w:t>)</w:t>
            </w:r>
            <w:r>
              <w:rPr>
                <w:rFonts w:hint="default"/>
              </w:rPr>
              <w:t>，依据建设项目涉及的物质及工艺系统危险性和所在的环境敏感性确定环境风险潜势。计算建设项目所涉及每种风险物质在厂界内的最大存在总量与其在《建设项目环境风险评价技术导则》</w:t>
            </w:r>
            <w:r>
              <w:rPr>
                <w:rFonts w:hint="eastAsia"/>
                <w:lang w:eastAsia="zh-CN"/>
              </w:rPr>
              <w:t>(</w:t>
            </w:r>
            <w:r>
              <w:rPr>
                <w:rFonts w:hint="default"/>
              </w:rPr>
              <w:t>HJ/T169-2018</w:t>
            </w:r>
            <w:r>
              <w:rPr>
                <w:rFonts w:hint="eastAsia"/>
                <w:lang w:eastAsia="zh-CN"/>
              </w:rPr>
              <w:t>)</w:t>
            </w:r>
            <w:r>
              <w:rPr>
                <w:rFonts w:hint="default"/>
              </w:rPr>
              <w:t>附录B中对应的临界量的比值Q。在不同厂区的同一种物质，按其在厂界内的最大存在总量计算。当企业只涉及一种危险物质时，计算该物质的总量与其临界量的比值，即为Q；当存在多种危险物质时，按公式计算物质总量与其临界量的比值，即为</w:t>
            </w:r>
            <w:r>
              <w:rPr>
                <w:rFonts w:hint="eastAsia"/>
                <w:lang w:eastAsia="zh-CN"/>
              </w:rPr>
              <w:t>(</w:t>
            </w:r>
            <w:r>
              <w:rPr>
                <w:rFonts w:hint="default"/>
              </w:rPr>
              <w:t>Q</w:t>
            </w:r>
            <w:r>
              <w:rPr>
                <w:rFonts w:hint="eastAsia"/>
                <w:lang w:eastAsia="zh-CN"/>
              </w:rPr>
              <w:t>)：</w:t>
            </w:r>
          </w:p>
          <w:p>
            <w:pPr>
              <w:keepNext w:val="0"/>
              <w:keepLines w:val="0"/>
              <w:suppressLineNumbers w:val="0"/>
              <w:bidi w:val="0"/>
              <w:spacing w:before="0" w:beforeAutospacing="0" w:after="0" w:afterAutospacing="0"/>
              <w:ind w:left="0" w:right="0"/>
              <w:jc w:val="center"/>
              <w:rPr>
                <w:rFonts w:hint="default"/>
                <w:color w:val="auto"/>
              </w:rPr>
            </w:pPr>
            <w:r>
              <w:rPr>
                <w:rFonts w:hint="default"/>
                <w:color w:val="auto"/>
              </w:rPr>
              <w:t>q</w:t>
            </w:r>
            <w:r>
              <w:rPr>
                <w:rFonts w:hint="default"/>
                <w:color w:val="auto"/>
                <w:vertAlign w:val="subscript"/>
              </w:rPr>
              <w:t>1</w:t>
            </w:r>
            <w:r>
              <w:rPr>
                <w:rFonts w:hint="default"/>
                <w:color w:val="auto"/>
              </w:rPr>
              <w:t>/Q</w:t>
            </w:r>
            <w:r>
              <w:rPr>
                <w:rFonts w:hint="default"/>
                <w:color w:val="auto"/>
                <w:vertAlign w:val="subscript"/>
              </w:rPr>
              <w:t>1</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n</w:t>
            </w:r>
            <w:r>
              <w:rPr>
                <w:rFonts w:hint="default"/>
                <w:color w:val="auto"/>
              </w:rPr>
              <w:t>/Q</w:t>
            </w:r>
            <w:r>
              <w:rPr>
                <w:rFonts w:hint="default"/>
                <w:color w:val="auto"/>
                <w:vertAlign w:val="subscript"/>
              </w:rPr>
              <w:t>n</w:t>
            </w:r>
            <w:r>
              <w:rPr>
                <w:rFonts w:hint="default"/>
                <w:color w:val="auto"/>
              </w:rPr>
              <w:t>≥1</w:t>
            </w:r>
          </w:p>
          <w:p>
            <w:pPr>
              <w:keepNext w:val="0"/>
              <w:keepLines w:val="0"/>
              <w:suppressLineNumbers w:val="0"/>
              <w:bidi w:val="0"/>
              <w:spacing w:before="0" w:beforeAutospacing="0" w:after="0" w:afterAutospacing="0"/>
              <w:ind w:left="0" w:right="0"/>
              <w:rPr>
                <w:rFonts w:hint="default"/>
                <w:color w:val="auto"/>
              </w:rPr>
            </w:pPr>
            <w:r>
              <w:rPr>
                <w:rFonts w:hint="default"/>
                <w:color w:val="auto"/>
              </w:rPr>
              <w:t>式中：q</w:t>
            </w:r>
            <w:r>
              <w:rPr>
                <w:rFonts w:hint="default"/>
                <w:color w:val="auto"/>
                <w:vertAlign w:val="subscript"/>
              </w:rPr>
              <w:t>1</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n</w:t>
            </w:r>
            <w:r>
              <w:rPr>
                <w:rFonts w:hint="default"/>
                <w:color w:val="auto"/>
              </w:rPr>
              <w:t>为每种危险物质最大存在量，t；</w:t>
            </w:r>
          </w:p>
          <w:p>
            <w:pPr>
              <w:keepNext w:val="0"/>
              <w:keepLines w:val="0"/>
              <w:suppressLineNumbers w:val="0"/>
              <w:bidi w:val="0"/>
              <w:spacing w:before="0" w:beforeAutospacing="0" w:after="0" w:afterAutospacing="0"/>
              <w:ind w:left="0" w:right="0"/>
              <w:rPr>
                <w:rFonts w:hint="default"/>
                <w:color w:val="auto"/>
              </w:rPr>
            </w:pPr>
            <w:r>
              <w:rPr>
                <w:rFonts w:hint="default"/>
                <w:color w:val="auto"/>
              </w:rPr>
              <w:t>Q</w:t>
            </w:r>
            <w:r>
              <w:rPr>
                <w:rFonts w:hint="default"/>
                <w:color w:val="auto"/>
                <w:vertAlign w:val="subscript"/>
              </w:rPr>
              <w:t>1</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n</w:t>
            </w:r>
            <w:r>
              <w:rPr>
                <w:rFonts w:hint="default"/>
                <w:color w:val="auto"/>
              </w:rPr>
              <w:t>为与各危险物质相对应的生产场所或贮存区的临界量，t。</w:t>
            </w:r>
          </w:p>
          <w:p>
            <w:pPr>
              <w:keepNext w:val="0"/>
              <w:keepLines w:val="0"/>
              <w:suppressLineNumbers w:val="0"/>
              <w:bidi w:val="0"/>
              <w:spacing w:before="0" w:beforeAutospacing="0" w:after="0" w:afterAutospacing="0"/>
              <w:ind w:left="0" w:right="0"/>
              <w:rPr>
                <w:rFonts w:hint="default"/>
                <w:color w:val="auto"/>
              </w:rPr>
            </w:pPr>
            <w:r>
              <w:rPr>
                <w:rFonts w:hint="default"/>
                <w:color w:val="auto"/>
              </w:rPr>
              <w:t>当Q&lt;1时，该项目环境风险潜势为Ⅰ。</w:t>
            </w:r>
          </w:p>
          <w:p>
            <w:pPr>
              <w:keepNext w:val="0"/>
              <w:keepLines w:val="0"/>
              <w:suppressLineNumbers w:val="0"/>
              <w:bidi w:val="0"/>
              <w:spacing w:before="0" w:beforeAutospacing="0" w:after="0" w:afterAutospacing="0"/>
              <w:ind w:left="0" w:right="0"/>
              <w:rPr>
                <w:rFonts w:hint="default"/>
                <w:color w:val="auto"/>
              </w:rPr>
            </w:pPr>
            <w:r>
              <w:rPr>
                <w:rFonts w:hint="default"/>
                <w:color w:val="auto"/>
              </w:rPr>
              <w:t>当Q≥1，将Q值分为：1≤Q&lt;10；10≤Q&lt;100；Q≥100。</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shd w:val="clear" w:color="FFFFFF" w:fill="D9D9D9"/>
                <w:lang w:val="en-US" w:eastAsia="zh-CN" w:bidi="ar-SA"/>
              </w:rPr>
            </w:pPr>
            <w:r>
              <w:rPr>
                <w:rFonts w:hint="eastAsia" w:ascii="Times New Roman" w:hAnsi="Times New Roman" w:eastAsia="宋体" w:cstheme="minorBidi"/>
                <w:b/>
                <w:color w:val="auto"/>
                <w:kern w:val="2"/>
                <w:sz w:val="21"/>
                <w:szCs w:val="22"/>
                <w:shd w:val="clear" w:color="auto" w:fill="auto"/>
                <w:lang w:val="en-US" w:eastAsia="zh-CN" w:bidi="ar-SA"/>
              </w:rPr>
              <w:t>项目危险物质临界量</w:t>
            </w:r>
          </w:p>
          <w:tbl>
            <w:tblPr>
              <w:tblStyle w:val="15"/>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340"/>
              <w:gridCol w:w="1341"/>
              <w:gridCol w:w="1982"/>
              <w:gridCol w:w="197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934" w:type="pct"/>
                  <w:tcBorders>
                    <w:bottom w:val="single" w:color="000000" w:sz="4" w:space="0"/>
                    <w:righ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名称</w:t>
                  </w:r>
                </w:p>
              </w:tc>
              <w:tc>
                <w:tcPr>
                  <w:tcW w:w="776" w:type="pct"/>
                  <w:tcBorders>
                    <w:left w:val="single" w:color="000000" w:sz="4" w:space="0"/>
                    <w:bottom w:val="single" w:color="000000" w:sz="4" w:space="0"/>
                    <w:righ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数量</w:t>
                  </w:r>
                  <w:r>
                    <w:rPr>
                      <w:rFonts w:hint="eastAsia"/>
                      <w:color w:val="auto"/>
                      <w:lang w:val="en-US" w:eastAsia="zh-CN"/>
                    </w:rPr>
                    <w:t>(</w:t>
                  </w:r>
                  <w:r>
                    <w:rPr>
                      <w:rFonts w:hint="default"/>
                      <w:color w:val="auto"/>
                      <w:lang w:val="en-US" w:eastAsia="zh-CN"/>
                    </w:rPr>
                    <w:t>t</w:t>
                  </w:r>
                  <w:r>
                    <w:rPr>
                      <w:rFonts w:hint="eastAsia"/>
                      <w:color w:val="auto"/>
                      <w:lang w:val="en-US" w:eastAsia="zh-CN"/>
                    </w:rPr>
                    <w:t>)</w:t>
                  </w:r>
                </w:p>
              </w:tc>
              <w:tc>
                <w:tcPr>
                  <w:tcW w:w="1146" w:type="pct"/>
                  <w:tcBorders>
                    <w:left w:val="single" w:color="000000" w:sz="4" w:space="0"/>
                    <w:bottom w:val="single" w:color="000000" w:sz="4" w:space="0"/>
                    <w:righ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临界量</w:t>
                  </w:r>
                  <w:r>
                    <w:rPr>
                      <w:rFonts w:hint="eastAsia"/>
                      <w:color w:val="auto"/>
                      <w:lang w:val="en-US" w:eastAsia="zh-CN"/>
                    </w:rPr>
                    <w:t>(</w:t>
                  </w:r>
                  <w:r>
                    <w:rPr>
                      <w:rFonts w:hint="default"/>
                      <w:color w:val="auto"/>
                      <w:lang w:val="en-US" w:eastAsia="zh-CN"/>
                    </w:rPr>
                    <w:t>t</w:t>
                  </w:r>
                  <w:r>
                    <w:rPr>
                      <w:rFonts w:hint="eastAsia"/>
                      <w:color w:val="auto"/>
                      <w:lang w:val="en-US" w:eastAsia="zh-CN"/>
                    </w:rPr>
                    <w:t>)</w:t>
                  </w:r>
                </w:p>
              </w:tc>
              <w:tc>
                <w:tcPr>
                  <w:tcW w:w="1142" w:type="pct"/>
                  <w:tcBorders>
                    <w:left w:val="single" w:color="000000" w:sz="4" w:space="0"/>
                    <w:bottom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比值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4" w:type="pct"/>
                  <w:tcBorders>
                    <w:top w:val="single" w:color="000000" w:sz="4" w:space="0"/>
                    <w:bottom w:val="single" w:color="000000" w:sz="4" w:space="0"/>
                    <w:righ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硫酸</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lang w:val="en-US"/>
                    </w:rPr>
                  </w:pPr>
                  <w:r>
                    <w:rPr>
                      <w:rFonts w:hint="eastAsia"/>
                      <w:color w:val="auto"/>
                      <w:lang w:val="en-US" w:eastAsia="zh-CN"/>
                    </w:rPr>
                    <w:t>27.6</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10</w:t>
                  </w:r>
                </w:p>
              </w:tc>
              <w:tc>
                <w:tcPr>
                  <w:tcW w:w="1142" w:type="pct"/>
                  <w:tcBorders>
                    <w:top w:val="single" w:color="000000" w:sz="4" w:space="0"/>
                    <w:left w:val="single" w:color="000000" w:sz="4" w:space="0"/>
                    <w:bottom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2.76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3857" w:type="pct"/>
                  <w:gridSpan w:val="3"/>
                  <w:tcBorders>
                    <w:top w:val="single" w:color="000000" w:sz="4" w:space="0"/>
                    <w:righ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合计</w:t>
                  </w:r>
                </w:p>
              </w:tc>
              <w:tc>
                <w:tcPr>
                  <w:tcW w:w="1142" w:type="pct"/>
                  <w:tcBorders>
                    <w:top w:val="single" w:color="000000" w:sz="4" w:space="0"/>
                    <w:left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2.76</w:t>
                  </w:r>
                </w:p>
              </w:tc>
            </w:tr>
          </w:tbl>
          <w:p>
            <w:pPr>
              <w:keepNext w:val="0"/>
              <w:keepLines w:val="0"/>
              <w:suppressLineNumbers w:val="0"/>
              <w:bidi w:val="0"/>
              <w:spacing w:before="0" w:beforeAutospacing="0" w:after="0" w:afterAutospacing="0"/>
              <w:ind w:left="0" w:right="0"/>
              <w:rPr>
                <w:rFonts w:hint="default"/>
                <w:color w:val="auto"/>
                <w:shd w:val="clear" w:color="FFFFFF" w:fill="D9D9D9"/>
              </w:rPr>
            </w:pPr>
            <w:r>
              <w:rPr>
                <w:rFonts w:hint="default"/>
                <w:color w:val="auto"/>
              </w:rPr>
              <w:t>由表可知，</w:t>
            </w:r>
            <w:r>
              <w:rPr>
                <w:rFonts w:hint="default"/>
                <w:color w:val="auto"/>
                <w:shd w:val="clear" w:color="auto" w:fill="auto"/>
              </w:rPr>
              <w:t>本项目Q属于1≤Q&lt;10。</w:t>
            </w:r>
          </w:p>
          <w:p>
            <w:pPr>
              <w:pStyle w:val="6"/>
              <w:numPr>
                <w:ilvl w:val="3"/>
                <w:numId w:val="16"/>
              </w:numPr>
              <w:suppressLineNumbers w:val="0"/>
              <w:bidi w:val="0"/>
              <w:spacing w:before="0" w:after="0"/>
              <w:ind w:right="0"/>
              <w:rPr>
                <w:rFonts w:hint="eastAsia" w:ascii="Times New Roman" w:hAnsi="Times New Roman" w:eastAsia="宋体" w:cs="Times New Roman"/>
                <w:color w:val="auto"/>
                <w:kern w:val="2"/>
                <w:sz w:val="24"/>
                <w:szCs w:val="24"/>
                <w:lang w:eastAsia="zh-CN"/>
              </w:rPr>
            </w:pPr>
            <w:r>
              <w:rPr>
                <w:rFonts w:hint="eastAsia" w:ascii="宋体" w:hAnsi="宋体" w:eastAsia="宋体" w:cs="宋体"/>
                <w:color w:val="auto"/>
                <w:kern w:val="2"/>
                <w:sz w:val="24"/>
                <w:szCs w:val="24"/>
              </w:rPr>
              <w:t>行业及生产工艺</w:t>
            </w:r>
            <w:r>
              <w:rPr>
                <w:rFonts w:hint="eastAsia" w:ascii="宋体" w:hAnsi="宋体" w:cs="宋体"/>
                <w:color w:val="auto"/>
                <w:kern w:val="2"/>
                <w:sz w:val="24"/>
                <w:szCs w:val="24"/>
                <w:lang w:eastAsia="zh-CN"/>
              </w:rPr>
              <w:t>(</w:t>
            </w:r>
            <w:r>
              <w:rPr>
                <w:rFonts w:hint="default" w:ascii="Times New Roman" w:hAnsi="Times New Roman" w:cs="Times New Roman"/>
                <w:color w:val="auto"/>
                <w:kern w:val="2"/>
                <w:sz w:val="24"/>
                <w:szCs w:val="24"/>
              </w:rPr>
              <w:t>M</w:t>
            </w:r>
            <w:r>
              <w:rPr>
                <w:rFonts w:hint="eastAsia" w:ascii="宋体" w:hAnsi="宋体" w:cs="宋体"/>
                <w:color w:val="auto"/>
                <w:kern w:val="2"/>
                <w:sz w:val="24"/>
                <w:szCs w:val="24"/>
                <w:lang w:eastAsia="zh-CN"/>
              </w:rPr>
              <w:t>)</w:t>
            </w:r>
          </w:p>
          <w:p>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cs="Times New Roman"/>
                <w:color w:val="auto"/>
                <w:kern w:val="2"/>
                <w:sz w:val="21"/>
                <w:szCs w:val="21"/>
              </w:rPr>
            </w:pPr>
            <w:r>
              <w:rPr>
                <w:rFonts w:hint="eastAsia" w:ascii="宋体" w:hAnsi="宋体" w:eastAsia="宋体" w:cs="宋体"/>
                <w:color w:val="auto"/>
                <w:kern w:val="2"/>
                <w:sz w:val="24"/>
                <w:szCs w:val="24"/>
                <w:lang w:val="en-US" w:eastAsia="zh-CN" w:bidi="ar"/>
              </w:rPr>
              <w:t>根据《建设项目环境风险评价技术导则》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规定，分析项目所属行业及生产工艺特点，按照评估生产工艺情况。具有多套工艺单元的项目，对每套生产工艺分别评分并求和。将</w:t>
            </w:r>
            <w:r>
              <w:rPr>
                <w:rFonts w:hint="default" w:ascii="Times New Roman" w:hAnsi="Times New Roman" w:eastAsia="宋体" w:cs="Times New Roman"/>
                <w:color w:val="auto"/>
                <w:kern w:val="2"/>
                <w:sz w:val="24"/>
                <w:szCs w:val="24"/>
                <w:lang w:val="en-US" w:eastAsia="zh-CN" w:bidi="ar"/>
              </w:rPr>
              <w:t>M</w:t>
            </w:r>
            <w:r>
              <w:rPr>
                <w:rFonts w:hint="eastAsia" w:ascii="宋体" w:hAnsi="宋体" w:eastAsia="宋体" w:cs="宋体"/>
                <w:color w:val="auto"/>
                <w:kern w:val="2"/>
                <w:sz w:val="24"/>
                <w:szCs w:val="24"/>
                <w:lang w:val="en-US" w:eastAsia="zh-CN" w:bidi="ar"/>
              </w:rPr>
              <w:t>划分为</w:t>
            </w:r>
            <w:r>
              <w:rPr>
                <w:rFonts w:hint="default" w:ascii="Times New Roman" w:hAnsi="Times New Roman" w:eastAsia="宋体" w:cs="Times New Roman"/>
                <w:color w:val="auto"/>
                <w:kern w:val="2"/>
                <w:sz w:val="24"/>
                <w:szCs w:val="24"/>
                <w:lang w:val="en-US" w:eastAsia="zh-CN" w:bidi="ar"/>
              </w:rPr>
              <w:t>M&gt;20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10&lt;M≤ 20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5&lt;M≤10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M=5</w:t>
            </w:r>
            <w:r>
              <w:rPr>
                <w:rFonts w:hint="eastAsia" w:ascii="宋体" w:hAnsi="宋体" w:eastAsia="宋体" w:cs="宋体"/>
                <w:color w:val="auto"/>
                <w:kern w:val="2"/>
                <w:sz w:val="24"/>
                <w:szCs w:val="24"/>
                <w:lang w:val="en-US" w:eastAsia="zh-CN" w:bidi="ar"/>
              </w:rPr>
              <w:t>，分别以</w:t>
            </w:r>
            <w:r>
              <w:rPr>
                <w:rFonts w:hint="default" w:ascii="Times New Roman" w:hAnsi="Times New Roman" w:eastAsia="宋体" w:cs="Times New Roman"/>
                <w:color w:val="auto"/>
                <w:kern w:val="2"/>
                <w:sz w:val="24"/>
                <w:szCs w:val="24"/>
                <w:lang w:val="en-US" w:eastAsia="zh-CN" w:bidi="ar"/>
              </w:rPr>
              <w:t>M1</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M2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M3</w:t>
            </w:r>
            <w:r>
              <w:rPr>
                <w:rFonts w:hint="eastAsia" w:ascii="宋体" w:hAnsi="宋体" w:eastAsia="宋体" w:cs="宋体"/>
                <w:color w:val="auto"/>
                <w:kern w:val="2"/>
                <w:sz w:val="24"/>
                <w:szCs w:val="24"/>
                <w:lang w:val="en-US" w:eastAsia="zh-CN" w:bidi="ar"/>
              </w:rPr>
              <w:t>和</w:t>
            </w:r>
            <w:r>
              <w:rPr>
                <w:rFonts w:hint="default" w:ascii="Times New Roman" w:hAnsi="Times New Roman" w:eastAsia="宋体" w:cs="Times New Roman"/>
                <w:color w:val="auto"/>
                <w:kern w:val="2"/>
                <w:sz w:val="24"/>
                <w:szCs w:val="24"/>
                <w:lang w:val="en-US" w:eastAsia="zh-CN" w:bidi="ar"/>
              </w:rPr>
              <w:t>M4</w:t>
            </w:r>
            <w:r>
              <w:rPr>
                <w:rFonts w:hint="eastAsia" w:ascii="宋体" w:hAnsi="宋体" w:eastAsia="宋体" w:cs="宋体"/>
                <w:color w:val="auto"/>
                <w:kern w:val="2"/>
                <w:sz w:val="24"/>
                <w:szCs w:val="24"/>
                <w:lang w:val="en-US" w:eastAsia="zh-CN" w:bidi="ar"/>
              </w:rPr>
              <w:t>表示。</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shd w:val="clear" w:color="auto" w:fill="auto"/>
                <w:lang w:val="en-US" w:eastAsia="zh-CN" w:bidi="ar-SA"/>
              </w:rPr>
            </w:pPr>
            <w:r>
              <w:rPr>
                <w:rFonts w:hint="eastAsia" w:ascii="Times New Roman" w:hAnsi="Times New Roman" w:eastAsia="宋体" w:cstheme="minorBidi"/>
                <w:b/>
                <w:color w:val="auto"/>
                <w:kern w:val="2"/>
                <w:sz w:val="21"/>
                <w:szCs w:val="22"/>
                <w:shd w:val="clear" w:color="auto" w:fill="auto"/>
                <w:lang w:val="en-US" w:eastAsia="zh-CN" w:bidi="ar-SA"/>
              </w:rPr>
              <w:t>行业及生产工艺(M)</w:t>
            </w:r>
          </w:p>
          <w:tbl>
            <w:tblPr>
              <w:tblStyle w:val="1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37"/>
              <w:gridCol w:w="5340"/>
              <w:gridCol w:w="1057"/>
              <w:gridCol w:w="10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716" w:type="pct"/>
                  <w:tcBorders>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行业</w:t>
                  </w:r>
                </w:p>
              </w:tc>
              <w:tc>
                <w:tcPr>
                  <w:tcW w:w="3091" w:type="pct"/>
                  <w:tcBorders>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评估依据</w:t>
                  </w:r>
                </w:p>
              </w:tc>
              <w:tc>
                <w:tcPr>
                  <w:tcW w:w="611" w:type="pct"/>
                  <w:tcBorders>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分值</w:t>
                  </w:r>
                </w:p>
              </w:tc>
              <w:tc>
                <w:tcPr>
                  <w:tcW w:w="580" w:type="pct"/>
                  <w:tcBorders>
                    <w:left w:val="single" w:color="000000" w:sz="4" w:space="0"/>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本项目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jc w:val="center"/>
              </w:trPr>
              <w:tc>
                <w:tcPr>
                  <w:tcW w:w="716" w:type="pct"/>
                  <w:vMerge w:val="restar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石化、化工、医药、轻工、化纤、有色冶炼等</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涉及光气及光气化工艺、电解工艺</w:t>
                  </w:r>
                  <w:r>
                    <w:rPr>
                      <w:rFonts w:hint="eastAsia"/>
                      <w:color w:val="auto"/>
                      <w:lang w:val="en-US" w:eastAsia="zh-CN"/>
                    </w:rPr>
                    <w:t>(</w:t>
                  </w:r>
                  <w:r>
                    <w:rPr>
                      <w:rFonts w:hint="default"/>
                      <w:color w:val="auto"/>
                      <w:lang w:val="en-US" w:eastAsia="zh-CN"/>
                    </w:rPr>
                    <w:t>氯碱</w:t>
                  </w:r>
                  <w:r>
                    <w:rPr>
                      <w:rFonts w:hint="eastAsia"/>
                      <w:color w:val="auto"/>
                      <w:lang w:val="en-US" w:eastAsia="zh-CN"/>
                    </w:rPr>
                    <w:t>)</w:t>
                  </w:r>
                  <w:r>
                    <w:rPr>
                      <w:rFonts w:hint="default"/>
                      <w:color w:val="auto"/>
                      <w:lang w:val="en-US" w:eastAsia="zh-CN"/>
                    </w:rPr>
                    <w:t>、氯化工艺、硝化工艺、合成氨工艺、裂解工艺、氟化工艺、加氢工艺、重氮化工艺、氧化工艺、过氧化工艺、胺基化工艺、磺化工艺、聚合工艺、烷基化工艺、新型煤化工工艺、电石生产工艺、偶氮化工艺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10/</w:t>
                  </w:r>
                  <w:r>
                    <w:rPr>
                      <w:rFonts w:hint="eastAsia"/>
                      <w:color w:val="auto"/>
                      <w:lang w:val="en-US" w:eastAsia="zh-CN"/>
                    </w:rPr>
                    <w:t>套</w:t>
                  </w:r>
                </w:p>
              </w:tc>
              <w:tc>
                <w:tcPr>
                  <w:tcW w:w="580" w:type="pct"/>
                  <w:tcBorders>
                    <w:top w:val="single" w:color="000000" w:sz="4" w:space="0"/>
                    <w:left w:val="single" w:color="000000" w:sz="4" w:space="0"/>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jc w:val="center"/>
              </w:trPr>
              <w:tc>
                <w:tcPr>
                  <w:tcW w:w="716" w:type="pct"/>
                  <w:vMerge w:val="continue"/>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无机酸制酸工艺、焦化工艺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r>
                    <w:rPr>
                      <w:rFonts w:hint="eastAsia"/>
                      <w:color w:val="auto"/>
                      <w:lang w:val="en-US" w:eastAsia="zh-CN"/>
                    </w:rPr>
                    <w:t>套</w:t>
                  </w:r>
                </w:p>
              </w:tc>
              <w:tc>
                <w:tcPr>
                  <w:tcW w:w="580" w:type="pct"/>
                  <w:tcBorders>
                    <w:top w:val="single" w:color="000000" w:sz="4" w:space="0"/>
                    <w:left w:val="single" w:color="000000" w:sz="4" w:space="0"/>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716" w:type="pct"/>
                  <w:vMerge w:val="continue"/>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其他高温或高压，且涉及危险物质的工艺过程，危险物质贮存罐区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r>
                    <w:rPr>
                      <w:rFonts w:hint="eastAsia"/>
                      <w:color w:val="auto"/>
                      <w:lang w:val="en-US" w:eastAsia="zh-CN"/>
                    </w:rPr>
                    <w:t>套(罐区)</w:t>
                  </w:r>
                </w:p>
              </w:tc>
              <w:tc>
                <w:tcPr>
                  <w:tcW w:w="580" w:type="pct"/>
                  <w:tcBorders>
                    <w:top w:val="single" w:color="000000" w:sz="4" w:space="0"/>
                    <w:left w:val="single" w:color="000000" w:sz="4" w:space="0"/>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716"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管道、港口/</w:t>
                  </w:r>
                  <w:r>
                    <w:rPr>
                      <w:rFonts w:hint="eastAsia"/>
                      <w:color w:val="auto"/>
                      <w:lang w:val="en-US" w:eastAsia="zh-CN"/>
                    </w:rPr>
                    <w:t>码头等</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涉及危险物质管道运输项目、港口/</w:t>
                  </w:r>
                  <w:r>
                    <w:rPr>
                      <w:rFonts w:hint="eastAsia"/>
                      <w:color w:val="auto"/>
                      <w:lang w:val="en-US" w:eastAsia="zh-CN"/>
                    </w:rPr>
                    <w:t>码头等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10</w:t>
                  </w:r>
                </w:p>
              </w:tc>
              <w:tc>
                <w:tcPr>
                  <w:tcW w:w="580" w:type="pct"/>
                  <w:tcBorders>
                    <w:top w:val="single" w:color="000000" w:sz="4" w:space="0"/>
                    <w:left w:val="single" w:color="000000" w:sz="4" w:space="0"/>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jc w:val="center"/>
              </w:trPr>
              <w:tc>
                <w:tcPr>
                  <w:tcW w:w="716"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石油天然气</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石油、天然气、页岩气开采</w:t>
                  </w:r>
                  <w:r>
                    <w:rPr>
                      <w:rFonts w:hint="eastAsia"/>
                      <w:color w:val="auto"/>
                      <w:lang w:val="en-US" w:eastAsia="zh-CN"/>
                    </w:rPr>
                    <w:t>(</w:t>
                  </w:r>
                  <w:r>
                    <w:rPr>
                      <w:rFonts w:hint="default"/>
                      <w:color w:val="auto"/>
                      <w:lang w:val="en-US" w:eastAsia="zh-CN"/>
                    </w:rPr>
                    <w:t>含净化</w:t>
                  </w:r>
                  <w:r>
                    <w:rPr>
                      <w:rFonts w:hint="eastAsia"/>
                      <w:color w:val="auto"/>
                      <w:lang w:val="en-US" w:eastAsia="zh-CN"/>
                    </w:rPr>
                    <w:t>)</w:t>
                  </w:r>
                  <w:r>
                    <w:rPr>
                      <w:rFonts w:hint="default"/>
                      <w:color w:val="auto"/>
                      <w:lang w:val="en-US" w:eastAsia="zh-CN"/>
                    </w:rPr>
                    <w:t>，气库</w:t>
                  </w:r>
                  <w:r>
                    <w:rPr>
                      <w:rFonts w:hint="eastAsia"/>
                      <w:color w:val="auto"/>
                      <w:lang w:val="en-US" w:eastAsia="zh-CN"/>
                    </w:rPr>
                    <w:t>(</w:t>
                  </w:r>
                  <w:r>
                    <w:rPr>
                      <w:rFonts w:hint="default"/>
                      <w:color w:val="auto"/>
                      <w:lang w:val="en-US" w:eastAsia="zh-CN"/>
                    </w:rPr>
                    <w:t>不含加气站的气库</w:t>
                  </w:r>
                  <w:r>
                    <w:rPr>
                      <w:rFonts w:hint="eastAsia"/>
                      <w:color w:val="auto"/>
                      <w:lang w:val="en-US" w:eastAsia="zh-CN"/>
                    </w:rPr>
                    <w:t>)</w:t>
                  </w:r>
                  <w:r>
                    <w:rPr>
                      <w:rFonts w:hint="default"/>
                      <w:color w:val="auto"/>
                      <w:lang w:val="en-US" w:eastAsia="zh-CN"/>
                    </w:rPr>
                    <w:t>，油库</w:t>
                  </w:r>
                  <w:r>
                    <w:rPr>
                      <w:rFonts w:hint="eastAsia"/>
                      <w:color w:val="auto"/>
                      <w:lang w:val="en-US" w:eastAsia="zh-CN"/>
                    </w:rPr>
                    <w:t>(</w:t>
                  </w:r>
                  <w:r>
                    <w:rPr>
                      <w:rFonts w:hint="default"/>
                      <w:color w:val="auto"/>
                      <w:lang w:val="en-US" w:eastAsia="zh-CN"/>
                    </w:rPr>
                    <w:t>不含加油站的油库</w:t>
                  </w:r>
                  <w:r>
                    <w:rPr>
                      <w:rFonts w:hint="eastAsia"/>
                      <w:color w:val="auto"/>
                      <w:lang w:val="en-US" w:eastAsia="zh-CN"/>
                    </w:rPr>
                    <w:t>)</w:t>
                  </w:r>
                  <w:r>
                    <w:rPr>
                      <w:rFonts w:hint="default"/>
                      <w:color w:val="auto"/>
                      <w:lang w:val="en-US" w:eastAsia="zh-CN"/>
                    </w:rPr>
                    <w:t>、油气管线</w:t>
                  </w:r>
                  <w:r>
                    <w:rPr>
                      <w:rFonts w:hint="eastAsia"/>
                      <w:color w:val="auto"/>
                      <w:lang w:val="en-US" w:eastAsia="zh-CN"/>
                    </w:rPr>
                    <w:t>(</w:t>
                  </w:r>
                  <w:r>
                    <w:rPr>
                      <w:rFonts w:hint="default"/>
                      <w:color w:val="auto"/>
                      <w:lang w:val="en-US" w:eastAsia="zh-CN"/>
                    </w:rPr>
                    <w:t>不含城镇燃气管线</w:t>
                  </w:r>
                  <w:r>
                    <w:rPr>
                      <w:rFonts w:hint="eastAsia"/>
                      <w:color w:val="auto"/>
                      <w:lang w:val="en-US" w:eastAsia="zh-CN"/>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10</w:t>
                  </w:r>
                </w:p>
              </w:tc>
              <w:tc>
                <w:tcPr>
                  <w:tcW w:w="580" w:type="pct"/>
                  <w:tcBorders>
                    <w:top w:val="single" w:color="000000" w:sz="4" w:space="0"/>
                    <w:left w:val="single" w:color="000000" w:sz="4" w:space="0"/>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jc w:val="center"/>
              </w:trPr>
              <w:tc>
                <w:tcPr>
                  <w:tcW w:w="716"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其他</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设计危险物质使用、贮存的项目</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p>
              </w:tc>
              <w:tc>
                <w:tcPr>
                  <w:tcW w:w="580" w:type="pct"/>
                  <w:tcBorders>
                    <w:top w:val="single" w:color="000000" w:sz="4" w:space="0"/>
                    <w:left w:val="single" w:color="000000" w:sz="4" w:space="0"/>
                    <w:bottom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4419" w:type="pct"/>
                  <w:gridSpan w:val="3"/>
                  <w:tcBorders>
                    <w:top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合计</w:t>
                  </w:r>
                </w:p>
              </w:tc>
              <w:tc>
                <w:tcPr>
                  <w:tcW w:w="580" w:type="pct"/>
                  <w:tcBorders>
                    <w:top w:val="single" w:color="000000" w:sz="4" w:space="0"/>
                    <w:lef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5(</w:t>
                  </w:r>
                  <w:r>
                    <w:rPr>
                      <w:rFonts w:hint="default"/>
                      <w:color w:val="auto"/>
                      <w:lang w:val="en-US" w:eastAsia="zh-CN"/>
                    </w:rPr>
                    <w:t>M</w:t>
                  </w:r>
                  <w:r>
                    <w:rPr>
                      <w:rFonts w:hint="eastAsia"/>
                      <w:color w:val="auto"/>
                      <w:lang w:val="en-US" w:eastAsia="zh-CN"/>
                    </w:rPr>
                    <w:t>4)</w:t>
                  </w:r>
                </w:p>
              </w:tc>
            </w:tr>
          </w:tbl>
          <w:p>
            <w:pPr>
              <w:keepNext w:val="0"/>
              <w:keepLines w:val="0"/>
              <w:widowControl w:val="0"/>
              <w:suppressLineNumbers w:val="0"/>
              <w:autoSpaceDE w:val="0"/>
              <w:autoSpaceDN/>
              <w:spacing w:before="0" w:beforeAutospacing="0" w:after="0" w:afterAutospacing="0" w:line="360" w:lineRule="auto"/>
              <w:ind w:left="0" w:right="0" w:firstLine="482"/>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由上表可知，本项目</w:t>
            </w:r>
            <w:r>
              <w:rPr>
                <w:rFonts w:hint="default" w:ascii="Times New Roman" w:hAnsi="Times New Roman" w:eastAsia="宋体" w:cs="Times New Roman"/>
                <w:color w:val="auto"/>
                <w:kern w:val="2"/>
                <w:sz w:val="24"/>
                <w:szCs w:val="24"/>
                <w:lang w:val="en-US" w:eastAsia="zh-CN" w:bidi="ar"/>
              </w:rPr>
              <w:t>M=</w:t>
            </w:r>
            <w:r>
              <w:rPr>
                <w:rFonts w:hint="eastAsia"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，表示为</w:t>
            </w:r>
            <w:r>
              <w:rPr>
                <w:rFonts w:hint="default" w:ascii="Times New Roman" w:hAnsi="Times New Roman" w:eastAsia="宋体" w:cs="Times New Roman"/>
                <w:color w:val="auto"/>
                <w:kern w:val="2"/>
                <w:sz w:val="24"/>
                <w:szCs w:val="24"/>
                <w:lang w:val="en-US" w:eastAsia="zh-CN" w:bidi="ar"/>
              </w:rPr>
              <w:t>M</w:t>
            </w:r>
            <w:r>
              <w:rPr>
                <w:rFonts w:hint="eastAsia"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w:t>
            </w:r>
          </w:p>
          <w:p>
            <w:pPr>
              <w:pStyle w:val="6"/>
              <w:numPr>
                <w:ilvl w:val="3"/>
                <w:numId w:val="16"/>
              </w:numPr>
              <w:suppressLineNumbers w:val="0"/>
              <w:bidi w:val="0"/>
              <w:spacing w:before="0" w:after="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危险物质及工艺系统危险性</w:t>
            </w:r>
            <w:r>
              <w:rPr>
                <w:rFonts w:hint="default" w:ascii="Times New Roman" w:hAnsi="Times New Roman" w:cs="Times New Roman"/>
                <w:color w:val="auto"/>
                <w:kern w:val="2"/>
                <w:sz w:val="24"/>
                <w:szCs w:val="24"/>
              </w:rPr>
              <w:t>P</w:t>
            </w:r>
            <w:r>
              <w:rPr>
                <w:rFonts w:hint="eastAsia" w:ascii="宋体" w:hAnsi="宋体" w:eastAsia="宋体" w:cs="宋体"/>
                <w:color w:val="auto"/>
                <w:kern w:val="2"/>
                <w:sz w:val="24"/>
                <w:szCs w:val="24"/>
              </w:rPr>
              <w:t>分级</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危险物质及工艺系统危险性</w:t>
            </w:r>
            <w:r>
              <w:rPr>
                <w:rFonts w:hint="default" w:ascii="Times New Roman" w:hAnsi="Times New Roman" w:eastAsia="宋体" w:cs="Times New Roman"/>
                <w:color w:val="auto"/>
                <w:kern w:val="2"/>
                <w:sz w:val="24"/>
                <w:szCs w:val="24"/>
                <w:lang w:val="en-US" w:eastAsia="zh-CN" w:bidi="ar"/>
              </w:rPr>
              <w:t>P</w:t>
            </w:r>
            <w:r>
              <w:rPr>
                <w:rFonts w:hint="eastAsia" w:ascii="宋体" w:hAnsi="宋体" w:eastAsia="宋体" w:cs="宋体"/>
                <w:color w:val="auto"/>
                <w:kern w:val="2"/>
                <w:sz w:val="24"/>
                <w:szCs w:val="24"/>
                <w:lang w:val="en-US" w:eastAsia="zh-CN" w:bidi="ar"/>
              </w:rPr>
              <w:t>分级判断见</w:t>
            </w:r>
            <w:r>
              <w:rPr>
                <w:rFonts w:hint="eastAsia" w:ascii="宋体" w:hAnsi="宋体" w:cs="宋体"/>
                <w:color w:val="auto"/>
                <w:kern w:val="2"/>
                <w:sz w:val="24"/>
                <w:szCs w:val="24"/>
                <w:lang w:val="en-US" w:eastAsia="zh-CN" w:bidi="ar"/>
              </w:rPr>
              <w:t>下</w:t>
            </w:r>
            <w:r>
              <w:rPr>
                <w:rFonts w:hint="eastAsia" w:ascii="宋体" w:hAnsi="宋体" w:eastAsia="宋体" w:cs="宋体"/>
                <w:color w:val="auto"/>
                <w:kern w:val="2"/>
                <w:sz w:val="24"/>
                <w:szCs w:val="24"/>
                <w:lang w:val="en-US" w:eastAsia="zh-CN" w:bidi="ar"/>
              </w:rPr>
              <w:t>表。</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default" w:ascii="宋体" w:hAnsi="宋体" w:eastAsia="宋体" w:cs="宋体"/>
                <w:color w:val="auto"/>
                <w:kern w:val="2"/>
                <w:sz w:val="24"/>
                <w:szCs w:val="24"/>
                <w:lang w:val="en-US" w:eastAsia="zh-CN" w:bidi="ar"/>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imes New Roman"/>
                <w:b/>
                <w:color w:val="auto"/>
                <w:kern w:val="2"/>
                <w:sz w:val="21"/>
                <w:szCs w:val="21"/>
                <w:lang w:val="en-US" w:eastAsia="zh-CN" w:bidi="ar-SA"/>
              </w:rPr>
            </w:pPr>
            <w:r>
              <w:rPr>
                <w:rFonts w:hint="eastAsia" w:ascii="宋体" w:hAnsi="宋体" w:eastAsia="宋体" w:cs="宋体"/>
                <w:b/>
                <w:color w:val="auto"/>
                <w:kern w:val="2"/>
                <w:sz w:val="21"/>
                <w:szCs w:val="21"/>
                <w:lang w:val="en-US" w:eastAsia="zh-CN" w:bidi="ar"/>
              </w:rPr>
              <w:t>危险物质及工艺系统危险性等级判断(</w:t>
            </w:r>
            <w:r>
              <w:rPr>
                <w:rFonts w:hint="default" w:ascii="Times New Roman" w:hAnsi="Times New Roman" w:eastAsia="宋体" w:cs="Times New Roman"/>
                <w:b/>
                <w:color w:val="auto"/>
                <w:kern w:val="2"/>
                <w:sz w:val="21"/>
                <w:szCs w:val="21"/>
                <w:lang w:val="en-US" w:eastAsia="zh-CN" w:bidi="ar"/>
              </w:rPr>
              <w:t>P</w:t>
            </w:r>
            <w:r>
              <w:rPr>
                <w:rFonts w:hint="eastAsia" w:ascii="宋体" w:hAnsi="宋体" w:eastAsia="宋体" w:cs="宋体"/>
                <w:b/>
                <w:color w:val="auto"/>
                <w:kern w:val="2"/>
                <w:sz w:val="21"/>
                <w:szCs w:val="21"/>
                <w:lang w:val="en-US" w:eastAsia="zh-CN" w:bidi="ar"/>
              </w:rPr>
              <w:t>)</w:t>
            </w:r>
          </w:p>
          <w:tbl>
            <w:tblPr>
              <w:tblStyle w:val="15"/>
              <w:tblW w:w="4999"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43"/>
              <w:gridCol w:w="1204"/>
              <w:gridCol w:w="1451"/>
              <w:gridCol w:w="1374"/>
              <w:gridCol w:w="146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vMerge w:val="restar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危险物质数量与临界量比值</w:t>
                  </w:r>
                  <w:r>
                    <w:rPr>
                      <w:rFonts w:hint="eastAsia"/>
                      <w:color w:val="auto"/>
                      <w:lang w:val="en-US" w:eastAsia="zh-CN"/>
                    </w:rPr>
                    <w:t>(</w:t>
                  </w:r>
                  <w:r>
                    <w:rPr>
                      <w:rFonts w:hint="default"/>
                      <w:color w:val="auto"/>
                      <w:lang w:val="en-US" w:eastAsia="zh-CN"/>
                    </w:rPr>
                    <w:t>Q</w:t>
                  </w:r>
                  <w:r>
                    <w:rPr>
                      <w:rFonts w:hint="eastAsia"/>
                      <w:color w:val="auto"/>
                      <w:lang w:val="en-US" w:eastAsia="zh-CN"/>
                    </w:rPr>
                    <w:t>)</w:t>
                  </w:r>
                </w:p>
              </w:tc>
              <w:tc>
                <w:tcPr>
                  <w:tcW w:w="3180" w:type="pct"/>
                  <w:gridSpan w:val="4"/>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行业及生产工艺</w:t>
                  </w:r>
                  <w:r>
                    <w:rPr>
                      <w:rFonts w:hint="eastAsia"/>
                      <w:color w:val="auto"/>
                      <w:lang w:val="en-US" w:eastAsia="zh-CN"/>
                    </w:rPr>
                    <w:t>(</w:t>
                  </w:r>
                  <w:r>
                    <w:rPr>
                      <w:rFonts w:hint="default"/>
                      <w:color w:val="auto"/>
                      <w:lang w:val="en-US" w:eastAsia="zh-CN"/>
                    </w:rPr>
                    <w:t>M</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vMerge w:val="continue"/>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p>
              </w:tc>
              <w:tc>
                <w:tcPr>
                  <w:tcW w:w="69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M1</w:t>
                  </w:r>
                </w:p>
              </w:tc>
              <w:tc>
                <w:tcPr>
                  <w:tcW w:w="84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M2</w:t>
                  </w:r>
                </w:p>
              </w:tc>
              <w:tc>
                <w:tcPr>
                  <w:tcW w:w="7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M3</w:t>
                  </w:r>
                </w:p>
              </w:tc>
              <w:tc>
                <w:tcPr>
                  <w:tcW w:w="84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Q≥100</w:t>
                  </w:r>
                </w:p>
              </w:tc>
              <w:tc>
                <w:tcPr>
                  <w:tcW w:w="69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P1</w:t>
                  </w:r>
                </w:p>
              </w:tc>
              <w:tc>
                <w:tcPr>
                  <w:tcW w:w="84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P1</w:t>
                  </w:r>
                </w:p>
              </w:tc>
              <w:tc>
                <w:tcPr>
                  <w:tcW w:w="7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P2</w:t>
                  </w:r>
                </w:p>
              </w:tc>
              <w:tc>
                <w:tcPr>
                  <w:tcW w:w="84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10≤Q&lt;100</w:t>
                  </w:r>
                </w:p>
              </w:tc>
              <w:tc>
                <w:tcPr>
                  <w:tcW w:w="69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P1</w:t>
                  </w:r>
                </w:p>
              </w:tc>
              <w:tc>
                <w:tcPr>
                  <w:tcW w:w="84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P2</w:t>
                  </w:r>
                </w:p>
              </w:tc>
              <w:tc>
                <w:tcPr>
                  <w:tcW w:w="7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P3</w:t>
                  </w:r>
                </w:p>
              </w:tc>
              <w:tc>
                <w:tcPr>
                  <w:tcW w:w="84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1≤Q&lt;10</w:t>
                  </w:r>
                </w:p>
              </w:tc>
              <w:tc>
                <w:tcPr>
                  <w:tcW w:w="69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P2</w:t>
                  </w:r>
                </w:p>
              </w:tc>
              <w:tc>
                <w:tcPr>
                  <w:tcW w:w="840"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P3</w:t>
                  </w:r>
                </w:p>
              </w:tc>
              <w:tc>
                <w:tcPr>
                  <w:tcW w:w="795"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P4</w:t>
                  </w:r>
                </w:p>
              </w:tc>
              <w:tc>
                <w:tcPr>
                  <w:tcW w:w="847" w:type="pct"/>
                  <w:tcBorders>
                    <w:tl2br w:val="nil"/>
                    <w:tr2bl w:val="nil"/>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P4</w:t>
                  </w:r>
                </w:p>
              </w:tc>
            </w:tr>
          </w:tbl>
          <w:p>
            <w:pPr>
              <w:keepNext w:val="0"/>
              <w:keepLines w:val="0"/>
              <w:widowControl w:val="0"/>
              <w:suppressLineNumbers w:val="0"/>
              <w:autoSpaceDE w:val="0"/>
              <w:autoSpaceDN/>
              <w:spacing w:before="0" w:beforeAutospacing="0" w:after="0" w:afterAutospacing="0" w:line="360" w:lineRule="auto"/>
              <w:ind w:left="0" w:right="0" w:firstLine="482"/>
              <w:jc w:val="both"/>
              <w:rPr>
                <w:rFonts w:hint="default" w:ascii="Times New Roman" w:hAnsi="Times New Roman" w:cs="Times New Roman"/>
                <w:b/>
                <w:color w:val="auto"/>
                <w:kern w:val="2"/>
                <w:sz w:val="21"/>
                <w:szCs w:val="21"/>
              </w:rPr>
            </w:pPr>
            <w:r>
              <w:rPr>
                <w:rFonts w:hint="eastAsia" w:ascii="宋体" w:hAnsi="宋体" w:eastAsia="宋体" w:cs="宋体"/>
                <w:color w:val="auto"/>
                <w:kern w:val="2"/>
                <w:sz w:val="24"/>
                <w:szCs w:val="24"/>
                <w:lang w:val="en-US" w:eastAsia="zh-CN" w:bidi="ar"/>
              </w:rPr>
              <w:t>根据</w:t>
            </w:r>
            <w:r>
              <w:rPr>
                <w:rFonts w:hint="eastAsia" w:ascii="宋体" w:hAnsi="宋体" w:cs="宋体"/>
                <w:color w:val="auto"/>
                <w:kern w:val="2"/>
                <w:sz w:val="24"/>
                <w:szCs w:val="24"/>
                <w:lang w:val="en-US" w:eastAsia="zh-CN" w:bidi="ar"/>
              </w:rPr>
              <w:t>上表</w:t>
            </w:r>
            <w:r>
              <w:rPr>
                <w:rFonts w:hint="eastAsia" w:ascii="宋体" w:hAnsi="宋体" w:eastAsia="宋体" w:cs="宋体"/>
                <w:color w:val="auto"/>
                <w:kern w:val="2"/>
                <w:sz w:val="24"/>
                <w:szCs w:val="24"/>
                <w:lang w:val="en-US" w:eastAsia="zh-CN" w:bidi="ar"/>
              </w:rPr>
              <w:t>，本项目危险物质及工艺系统危险性为</w:t>
            </w:r>
            <w:r>
              <w:rPr>
                <w:rFonts w:hint="default" w:ascii="Times New Roman" w:hAnsi="Times New Roman" w:eastAsia="宋体" w:cs="Times New Roman"/>
                <w:color w:val="auto"/>
                <w:kern w:val="2"/>
                <w:sz w:val="24"/>
                <w:szCs w:val="24"/>
                <w:lang w:val="en-US" w:eastAsia="zh-CN" w:bidi="ar"/>
              </w:rPr>
              <w:t>P</w:t>
            </w:r>
            <w:r>
              <w:rPr>
                <w:rFonts w:hint="eastAsia"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w:t>
            </w:r>
          </w:p>
          <w:p>
            <w:pPr>
              <w:pStyle w:val="5"/>
              <w:numPr>
                <w:ilvl w:val="2"/>
                <w:numId w:val="16"/>
              </w:numPr>
              <w:suppressLineNumbers w:val="0"/>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环境敏感度</w:t>
            </w:r>
            <w:r>
              <w:rPr>
                <w:rFonts w:hint="default" w:ascii="Times New Roman" w:hAnsi="Times New Roman" w:cs="Times New Roman"/>
                <w:color w:val="auto"/>
                <w:kern w:val="2"/>
                <w:sz w:val="24"/>
                <w:szCs w:val="24"/>
              </w:rPr>
              <w:t>E</w:t>
            </w:r>
            <w:r>
              <w:rPr>
                <w:rFonts w:hint="eastAsia" w:ascii="宋体" w:hAnsi="宋体" w:eastAsia="宋体" w:cs="宋体"/>
                <w:color w:val="auto"/>
                <w:kern w:val="2"/>
                <w:sz w:val="24"/>
                <w:szCs w:val="24"/>
              </w:rPr>
              <w:t>的分级</w:t>
            </w:r>
          </w:p>
          <w:p>
            <w:pPr>
              <w:pStyle w:val="6"/>
              <w:numPr>
                <w:ilvl w:val="3"/>
                <w:numId w:val="16"/>
              </w:numPr>
              <w:suppressLineNumbers w:val="0"/>
              <w:bidi w:val="0"/>
              <w:spacing w:before="0" w:after="0"/>
              <w:ind w:right="0"/>
              <w:rPr>
                <w:rFonts w:hint="default"/>
              </w:rPr>
            </w:pPr>
            <w:r>
              <w:rPr>
                <w:rFonts w:hint="eastAsia"/>
                <w:lang w:val="en-US" w:eastAsia="zh-CN"/>
              </w:rPr>
              <w:t>大气环境敏感程度分级</w:t>
            </w:r>
          </w:p>
          <w:p>
            <w:pPr>
              <w:keepNext w:val="0"/>
              <w:keepLines w:val="0"/>
              <w:widowControl w:val="0"/>
              <w:suppressLineNumbers w:val="0"/>
              <w:spacing w:before="0" w:beforeAutospacing="0" w:after="0" w:afterAutospacing="0" w:line="360" w:lineRule="auto"/>
              <w:ind w:left="0" w:right="0" w:firstLine="480"/>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根据《建设项目环境风险评价技术导则》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规定，大气环境敏感程度依据环境敏感性及人口密度划分环境风险受体的敏感性，具体分级原则</w:t>
            </w:r>
            <w:r>
              <w:rPr>
                <w:rFonts w:hint="eastAsia" w:ascii="宋体" w:hAnsi="宋体" w:cs="宋体"/>
                <w:color w:val="auto"/>
                <w:kern w:val="2"/>
                <w:sz w:val="24"/>
                <w:szCs w:val="24"/>
                <w:lang w:val="en-US" w:eastAsia="zh-CN" w:bidi="ar"/>
              </w:rPr>
              <w:t>见下表</w:t>
            </w:r>
            <w:r>
              <w:rPr>
                <w:rFonts w:hint="eastAsia" w:ascii="宋体" w:hAnsi="宋体" w:eastAsia="宋体" w:cs="宋体"/>
                <w:color w:val="auto"/>
                <w:kern w:val="2"/>
                <w:sz w:val="24"/>
                <w:szCs w:val="24"/>
                <w:lang w:val="en-US" w:eastAsia="zh-CN" w:bidi="ar"/>
              </w:rPr>
              <w:t>。</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大气环境敏感程度分级</w:t>
            </w:r>
          </w:p>
          <w:tbl>
            <w:tblPr>
              <w:tblStyle w:val="15"/>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71"/>
              <w:gridCol w:w="756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jc w:val="center"/>
              </w:trPr>
              <w:tc>
                <w:tcPr>
                  <w:tcW w:w="620" w:type="pct"/>
                  <w:tcBorders>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分级</w:t>
                  </w:r>
                </w:p>
              </w:tc>
              <w:tc>
                <w:tcPr>
                  <w:tcW w:w="4379" w:type="pct"/>
                  <w:tcBorders>
                    <w:left w:val="nil"/>
                    <w:bottom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大气环境敏感性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620"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E1</w:t>
                  </w:r>
                </w:p>
              </w:tc>
              <w:tc>
                <w:tcPr>
                  <w:tcW w:w="4379" w:type="pct"/>
                  <w:tcBorders>
                    <w:top w:val="single" w:color="000000" w:sz="4" w:space="0"/>
                    <w:left w:val="nil"/>
                    <w:bottom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周边5km范围内居住区、医疗卫生、文化教育、可研、行政办公等机构人口总数大于5万人，或其他需要特殊保护区域；或周边500m</w:t>
                  </w:r>
                  <w:r>
                    <w:rPr>
                      <w:rFonts w:hint="eastAsia"/>
                      <w:color w:val="auto"/>
                      <w:lang w:val="en-US" w:eastAsia="zh-CN"/>
                    </w:rPr>
                    <w:t>范围内人口总数大于</w:t>
                  </w:r>
                  <w:r>
                    <w:rPr>
                      <w:rFonts w:hint="default"/>
                      <w:color w:val="auto"/>
                      <w:lang w:val="en-US" w:eastAsia="zh-CN"/>
                    </w:rPr>
                    <w:t>1000</w:t>
                  </w:r>
                  <w:r>
                    <w:rPr>
                      <w:rFonts w:hint="eastAsia"/>
                      <w:color w:val="auto"/>
                      <w:lang w:val="en-US" w:eastAsia="zh-CN"/>
                    </w:rPr>
                    <w:t>人；油气、化学品输送管线管段周边</w:t>
                  </w:r>
                  <w:r>
                    <w:rPr>
                      <w:rFonts w:hint="default"/>
                      <w:color w:val="auto"/>
                      <w:lang w:val="en-US" w:eastAsia="zh-CN"/>
                    </w:rPr>
                    <w:t>200m</w:t>
                  </w:r>
                  <w:r>
                    <w:rPr>
                      <w:rFonts w:hint="eastAsia"/>
                      <w:color w:val="auto"/>
                      <w:lang w:val="en-US" w:eastAsia="zh-CN"/>
                    </w:rPr>
                    <w:t>范围内，每千米管段人口数大于</w:t>
                  </w:r>
                  <w:r>
                    <w:rPr>
                      <w:rFonts w:hint="default"/>
                      <w:color w:val="auto"/>
                      <w:lang w:val="en-US" w:eastAsia="zh-CN"/>
                    </w:rPr>
                    <w:t>200</w:t>
                  </w:r>
                  <w:r>
                    <w:rPr>
                      <w:rFonts w:hint="eastAsia"/>
                      <w:color w:val="auto"/>
                      <w:lang w:val="en-US" w:eastAsia="zh-CN"/>
                    </w:rPr>
                    <w:t>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620" w:type="pct"/>
                  <w:tcBorders>
                    <w:top w:val="single" w:color="000000" w:sz="4" w:space="0"/>
                    <w:bottom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E2</w:t>
                  </w:r>
                </w:p>
              </w:tc>
              <w:tc>
                <w:tcPr>
                  <w:tcW w:w="4379" w:type="pct"/>
                  <w:tcBorders>
                    <w:top w:val="single" w:color="000000" w:sz="4" w:space="0"/>
                    <w:left w:val="nil"/>
                    <w:bottom w:val="single" w:color="000000"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周边5km</w:t>
                  </w:r>
                  <w:r>
                    <w:rPr>
                      <w:rFonts w:hint="eastAsia"/>
                      <w:color w:val="auto"/>
                      <w:lang w:val="en-US" w:eastAsia="zh-CN"/>
                    </w:rPr>
                    <w:t>范围内居住区、医疗卫生、文化教育、可研、行政办公等机构人口总数大于</w:t>
                  </w:r>
                  <w:r>
                    <w:rPr>
                      <w:rFonts w:hint="default"/>
                      <w:color w:val="auto"/>
                      <w:lang w:val="en-US" w:eastAsia="zh-CN"/>
                    </w:rPr>
                    <w:t>1</w:t>
                  </w:r>
                  <w:r>
                    <w:rPr>
                      <w:rFonts w:hint="eastAsia"/>
                      <w:color w:val="auto"/>
                      <w:lang w:val="en-US" w:eastAsia="zh-CN"/>
                    </w:rPr>
                    <w:t>万人，小于</w:t>
                  </w:r>
                  <w:r>
                    <w:rPr>
                      <w:rFonts w:hint="default"/>
                      <w:color w:val="auto"/>
                      <w:lang w:val="en-US" w:eastAsia="zh-CN"/>
                    </w:rPr>
                    <w:t>5</w:t>
                  </w:r>
                  <w:r>
                    <w:rPr>
                      <w:rFonts w:hint="eastAsia"/>
                      <w:color w:val="auto"/>
                      <w:lang w:val="en-US" w:eastAsia="zh-CN"/>
                    </w:rPr>
                    <w:t>万人；或周边</w:t>
                  </w:r>
                  <w:r>
                    <w:rPr>
                      <w:rFonts w:hint="default"/>
                      <w:color w:val="auto"/>
                      <w:lang w:val="en-US" w:eastAsia="zh-CN"/>
                    </w:rPr>
                    <w:t>500m</w:t>
                  </w:r>
                  <w:r>
                    <w:rPr>
                      <w:rFonts w:hint="eastAsia"/>
                      <w:color w:val="auto"/>
                      <w:lang w:val="en-US" w:eastAsia="zh-CN"/>
                    </w:rPr>
                    <w:t>范围内人口总数大于</w:t>
                  </w:r>
                  <w:r>
                    <w:rPr>
                      <w:rFonts w:hint="default"/>
                      <w:color w:val="auto"/>
                      <w:lang w:val="en-US" w:eastAsia="zh-CN"/>
                    </w:rPr>
                    <w:t>500</w:t>
                  </w:r>
                  <w:r>
                    <w:rPr>
                      <w:rFonts w:hint="eastAsia"/>
                      <w:color w:val="auto"/>
                      <w:lang w:val="en-US" w:eastAsia="zh-CN"/>
                    </w:rPr>
                    <w:t>人，小于</w:t>
                  </w:r>
                  <w:r>
                    <w:rPr>
                      <w:rFonts w:hint="default"/>
                      <w:color w:val="auto"/>
                      <w:lang w:val="en-US" w:eastAsia="zh-CN"/>
                    </w:rPr>
                    <w:t>1000</w:t>
                  </w:r>
                  <w:r>
                    <w:rPr>
                      <w:rFonts w:hint="eastAsia"/>
                      <w:color w:val="auto"/>
                      <w:lang w:val="en-US" w:eastAsia="zh-CN"/>
                    </w:rPr>
                    <w:t>人； 油气、化学品输送管线管段周边</w:t>
                  </w:r>
                  <w:r>
                    <w:rPr>
                      <w:rFonts w:hint="default"/>
                      <w:color w:val="auto"/>
                      <w:lang w:val="en-US" w:eastAsia="zh-CN"/>
                    </w:rPr>
                    <w:t>200m</w:t>
                  </w:r>
                  <w:r>
                    <w:rPr>
                      <w:rFonts w:hint="eastAsia"/>
                      <w:color w:val="auto"/>
                      <w:lang w:val="en-US" w:eastAsia="zh-CN"/>
                    </w:rPr>
                    <w:t>范围内，每千米管段人口数大于</w:t>
                  </w:r>
                  <w:r>
                    <w:rPr>
                      <w:rFonts w:hint="default"/>
                      <w:color w:val="auto"/>
                      <w:lang w:val="en-US" w:eastAsia="zh-CN"/>
                    </w:rPr>
                    <w:t>100</w:t>
                  </w:r>
                  <w:r>
                    <w:rPr>
                      <w:rFonts w:hint="eastAsia"/>
                      <w:color w:val="auto"/>
                      <w:lang w:val="en-US" w:eastAsia="zh-CN"/>
                    </w:rPr>
                    <w:t>人，小于</w:t>
                  </w:r>
                  <w:r>
                    <w:rPr>
                      <w:rFonts w:hint="default"/>
                      <w:color w:val="auto"/>
                      <w:lang w:val="en-US" w:eastAsia="zh-CN"/>
                    </w:rPr>
                    <w:t>200</w:t>
                  </w:r>
                  <w:r>
                    <w:rPr>
                      <w:rFonts w:hint="eastAsia"/>
                      <w:color w:val="auto"/>
                      <w:lang w:val="en-US" w:eastAsia="zh-CN"/>
                    </w:rPr>
                    <w:t>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0" w:hRule="atLeast"/>
                <w:jc w:val="center"/>
              </w:trPr>
              <w:tc>
                <w:tcPr>
                  <w:tcW w:w="620" w:type="pct"/>
                  <w:tcBorders>
                    <w:top w:val="single" w:color="000000" w:sz="4" w:space="0"/>
                    <w:right w:val="single" w:color="000000"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E3</w:t>
                  </w:r>
                </w:p>
              </w:tc>
              <w:tc>
                <w:tcPr>
                  <w:tcW w:w="4379" w:type="pct"/>
                  <w:tcBorders>
                    <w:top w:val="single" w:color="000000" w:sz="4" w:space="0"/>
                    <w:left w:val="nil"/>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周边5km</w:t>
                  </w:r>
                  <w:r>
                    <w:rPr>
                      <w:rFonts w:hint="eastAsia"/>
                      <w:color w:val="auto"/>
                      <w:lang w:val="en-US" w:eastAsia="zh-CN"/>
                    </w:rPr>
                    <w:t>范围内居住区、医疗卫生、文化教育、可研、行政办公等机构人口总数小于</w:t>
                  </w:r>
                  <w:r>
                    <w:rPr>
                      <w:rFonts w:hint="default"/>
                      <w:color w:val="auto"/>
                      <w:lang w:val="en-US" w:eastAsia="zh-CN"/>
                    </w:rPr>
                    <w:t>1</w:t>
                  </w:r>
                  <w:r>
                    <w:rPr>
                      <w:rFonts w:hint="eastAsia"/>
                      <w:color w:val="auto"/>
                      <w:lang w:val="en-US" w:eastAsia="zh-CN"/>
                    </w:rPr>
                    <w:t>万人，或周边</w:t>
                  </w:r>
                  <w:r>
                    <w:rPr>
                      <w:rFonts w:hint="default"/>
                      <w:color w:val="auto"/>
                      <w:lang w:val="en-US" w:eastAsia="zh-CN"/>
                    </w:rPr>
                    <w:t>500m</w:t>
                  </w:r>
                  <w:r>
                    <w:rPr>
                      <w:rFonts w:hint="eastAsia"/>
                      <w:color w:val="auto"/>
                      <w:lang w:val="en-US" w:eastAsia="zh-CN"/>
                    </w:rPr>
                    <w:t>范围内人口总数小于</w:t>
                  </w:r>
                  <w:r>
                    <w:rPr>
                      <w:rFonts w:hint="default"/>
                      <w:color w:val="auto"/>
                      <w:lang w:val="en-US" w:eastAsia="zh-CN"/>
                    </w:rPr>
                    <w:t>500</w:t>
                  </w:r>
                  <w:r>
                    <w:rPr>
                      <w:rFonts w:hint="eastAsia"/>
                      <w:color w:val="auto"/>
                      <w:lang w:val="en-US" w:eastAsia="zh-CN"/>
                    </w:rPr>
                    <w:t>人；油气、化学品输送管线管段周边</w:t>
                  </w:r>
                  <w:r>
                    <w:rPr>
                      <w:rFonts w:hint="default"/>
                      <w:color w:val="auto"/>
                      <w:lang w:val="en-US" w:eastAsia="zh-CN"/>
                    </w:rPr>
                    <w:t>200m</w:t>
                  </w:r>
                  <w:r>
                    <w:rPr>
                      <w:rFonts w:hint="eastAsia"/>
                      <w:color w:val="auto"/>
                      <w:lang w:val="en-US" w:eastAsia="zh-CN"/>
                    </w:rPr>
                    <w:t>范围内，每千米管段人口数小于</w:t>
                  </w:r>
                  <w:r>
                    <w:rPr>
                      <w:rFonts w:hint="default"/>
                      <w:color w:val="auto"/>
                      <w:lang w:val="en-US" w:eastAsia="zh-CN"/>
                    </w:rPr>
                    <w:t>100</w:t>
                  </w:r>
                  <w:r>
                    <w:rPr>
                      <w:rFonts w:hint="eastAsia"/>
                      <w:color w:val="auto"/>
                      <w:lang w:val="en-US" w:eastAsia="zh-CN"/>
                    </w:rPr>
                    <w:t>人</w:t>
                  </w:r>
                </w:p>
              </w:tc>
            </w:tr>
          </w:tbl>
          <w:p>
            <w:pPr>
              <w:keepNext w:val="0"/>
              <w:keepLines w:val="0"/>
              <w:widowControl w:val="0"/>
              <w:suppressLineNumbers w:val="0"/>
              <w:spacing w:before="60" w:beforeAutospacing="0" w:after="0" w:afterAutospacing="0" w:line="360" w:lineRule="auto"/>
              <w:ind w:left="0" w:right="0" w:firstLine="482"/>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根据现场调查，本项目区周边</w:t>
            </w:r>
            <w:r>
              <w:rPr>
                <w:rFonts w:hint="default" w:ascii="Times New Roman" w:hAnsi="Times New Roman" w:eastAsia="宋体" w:cs="Times New Roman"/>
                <w:color w:val="auto"/>
                <w:kern w:val="2"/>
                <w:sz w:val="24"/>
                <w:szCs w:val="24"/>
                <w:lang w:val="en-US" w:eastAsia="zh-CN" w:bidi="ar"/>
              </w:rPr>
              <w:t>500m</w:t>
            </w:r>
            <w:r>
              <w:rPr>
                <w:rFonts w:hint="eastAsia" w:ascii="宋体" w:hAnsi="宋体" w:eastAsia="宋体" w:cs="宋体"/>
                <w:color w:val="auto"/>
                <w:kern w:val="2"/>
                <w:sz w:val="24"/>
                <w:szCs w:val="24"/>
                <w:lang w:val="en-US" w:eastAsia="zh-CN" w:bidi="ar"/>
              </w:rPr>
              <w:t>范围内人口总数小于</w:t>
            </w:r>
            <w:r>
              <w:rPr>
                <w:rFonts w:hint="default" w:ascii="Times New Roman" w:hAnsi="Times New Roman" w:eastAsia="宋体" w:cs="Times New Roman"/>
                <w:color w:val="auto"/>
                <w:kern w:val="2"/>
                <w:sz w:val="24"/>
                <w:szCs w:val="24"/>
                <w:lang w:val="en-US" w:eastAsia="zh-CN" w:bidi="ar"/>
              </w:rPr>
              <w:t>500</w:t>
            </w:r>
            <w:r>
              <w:rPr>
                <w:rFonts w:hint="eastAsia" w:ascii="宋体" w:hAnsi="宋体" w:eastAsia="宋体" w:cs="宋体"/>
                <w:color w:val="auto"/>
                <w:kern w:val="2"/>
                <w:sz w:val="24"/>
                <w:szCs w:val="24"/>
                <w:lang w:val="en-US" w:eastAsia="zh-CN" w:bidi="ar"/>
              </w:rPr>
              <w:t>人，大气环境敏感程度为</w:t>
            </w:r>
            <w:r>
              <w:rPr>
                <w:rFonts w:hint="default" w:ascii="Times New Roman" w:hAnsi="Times New Roman" w:eastAsia="宋体" w:cs="Times New Roman"/>
                <w:color w:val="auto"/>
                <w:kern w:val="2"/>
                <w:sz w:val="24"/>
                <w:szCs w:val="24"/>
                <w:lang w:val="en-US" w:eastAsia="zh-CN" w:bidi="ar"/>
              </w:rPr>
              <w:t>E3</w:t>
            </w:r>
            <w:r>
              <w:rPr>
                <w:rFonts w:hint="eastAsia" w:ascii="宋体" w:hAnsi="宋体" w:eastAsia="宋体" w:cs="宋体"/>
                <w:color w:val="auto"/>
                <w:kern w:val="2"/>
                <w:sz w:val="24"/>
                <w:szCs w:val="24"/>
                <w:lang w:val="en-US" w:eastAsia="zh-CN" w:bidi="ar"/>
              </w:rPr>
              <w:t>。</w:t>
            </w:r>
          </w:p>
          <w:p>
            <w:pPr>
              <w:pStyle w:val="6"/>
              <w:numPr>
                <w:ilvl w:val="3"/>
                <w:numId w:val="16"/>
              </w:numPr>
              <w:suppressLineNumbers w:val="0"/>
              <w:bidi w:val="0"/>
              <w:spacing w:before="0" w:after="0"/>
              <w:ind w:right="0"/>
              <w:rPr>
                <w:rFonts w:hint="eastAsia"/>
              </w:rPr>
            </w:pPr>
            <w:r>
              <w:rPr>
                <w:rFonts w:hint="eastAsia"/>
              </w:rPr>
              <w:t>地下水环境敏感程度分级</w:t>
            </w:r>
          </w:p>
          <w:p>
            <w:pPr>
              <w:keepNext w:val="0"/>
              <w:keepLines w:val="0"/>
              <w:widowControl/>
              <w:suppressLineNumbers w:val="0"/>
              <w:spacing w:before="0" w:beforeAutospacing="0" w:after="0" w:afterAutospacing="0" w:line="360" w:lineRule="auto"/>
              <w:ind w:left="0" w:right="0" w:firstLine="480"/>
              <w:jc w:val="left"/>
              <w:rPr>
                <w:rFonts w:hint="default" w:ascii="宋体" w:hAnsi="宋体" w:eastAsia="宋体" w:cs="宋体"/>
                <w:color w:val="auto"/>
                <w:kern w:val="2"/>
                <w:sz w:val="24"/>
                <w:szCs w:val="24"/>
              </w:rPr>
            </w:pPr>
            <w:r>
              <w:rPr>
                <w:rFonts w:hint="eastAsia" w:ascii="宋体" w:hAnsi="宋体" w:eastAsia="宋体" w:cs="宋体"/>
                <w:color w:val="auto"/>
                <w:kern w:val="2"/>
                <w:sz w:val="24"/>
                <w:szCs w:val="24"/>
              </w:rPr>
              <w:t>根据《建设项目环境风险评价技术导则》</w:t>
            </w:r>
            <w:r>
              <w:rPr>
                <w:rFonts w:hint="eastAsia" w:ascii="宋体" w:hAnsi="宋体" w:cs="宋体"/>
                <w:color w:val="auto"/>
                <w:kern w:val="2"/>
                <w:sz w:val="24"/>
                <w:szCs w:val="24"/>
                <w:lang w:eastAsia="zh-CN"/>
              </w:rPr>
              <w:t>(</w:t>
            </w:r>
            <w:r>
              <w:rPr>
                <w:rFonts w:hint="default" w:ascii="Times New Roman" w:hAnsi="Times New Roman" w:cs="Times New Roman"/>
                <w:color w:val="auto"/>
                <w:kern w:val="2"/>
                <w:sz w:val="24"/>
                <w:szCs w:val="24"/>
              </w:rPr>
              <w:t>HJ169-2018</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规定，地下水环境敏感程度依据地下水功能敏感性与包气带防污性能，具体分级原则见</w:t>
            </w:r>
            <w:r>
              <w:rPr>
                <w:rFonts w:hint="eastAsia" w:ascii="宋体" w:hAnsi="宋体" w:cs="宋体"/>
                <w:color w:val="auto"/>
                <w:kern w:val="2"/>
                <w:sz w:val="24"/>
                <w:szCs w:val="24"/>
                <w:lang w:val="en-US" w:eastAsia="zh-CN"/>
              </w:rPr>
              <w:t>下表</w:t>
            </w:r>
            <w:r>
              <w:rPr>
                <w:rFonts w:hint="eastAsia" w:ascii="宋体" w:hAnsi="宋体" w:eastAsia="宋体" w:cs="宋体"/>
                <w:color w:val="auto"/>
                <w:kern w:val="2"/>
                <w:sz w:val="24"/>
                <w:szCs w:val="24"/>
              </w:rPr>
              <w:t>。</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地下水环境敏感程度分级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75"/>
              <w:gridCol w:w="2076"/>
              <w:gridCol w:w="207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vMerge w:val="restart"/>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包气带防污性能</w:t>
                  </w:r>
                </w:p>
              </w:tc>
              <w:tc>
                <w:tcPr>
                  <w:tcW w:w="6228" w:type="dxa"/>
                  <w:gridSpan w:val="3"/>
                  <w:tcBorders>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地下水功能敏感性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vMerge w:val="continue"/>
                  <w:tcBorders>
                    <w:top w:val="single" w:color="auto" w:sz="12"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G1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G2</w:t>
                  </w:r>
                </w:p>
              </w:tc>
              <w:tc>
                <w:tcPr>
                  <w:tcW w:w="2076" w:type="dxa"/>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E1</w:t>
                  </w:r>
                </w:p>
              </w:tc>
              <w:tc>
                <w:tcPr>
                  <w:tcW w:w="2076" w:type="dxa"/>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D2</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E2</w:t>
                  </w:r>
                </w:p>
              </w:tc>
              <w:tc>
                <w:tcPr>
                  <w:tcW w:w="2076" w:type="dxa"/>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tcBorders>
                    <w:top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D3</w:t>
                  </w:r>
                </w:p>
              </w:tc>
              <w:tc>
                <w:tcPr>
                  <w:tcW w:w="2076" w:type="dxa"/>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E2</w:t>
                  </w:r>
                </w:p>
              </w:tc>
              <w:tc>
                <w:tcPr>
                  <w:tcW w:w="2076" w:type="dxa"/>
                  <w:tcBorders>
                    <w:top w:val="single" w:color="auto" w:sz="4" w:space="0"/>
                    <w:left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E3</w:t>
                  </w:r>
                </w:p>
              </w:tc>
              <w:tc>
                <w:tcPr>
                  <w:tcW w:w="2076" w:type="dxa"/>
                  <w:tcBorders>
                    <w:top w:val="single" w:color="auto" w:sz="4" w:space="0"/>
                    <w:lef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E3</w:t>
                  </w:r>
                </w:p>
              </w:tc>
            </w:tr>
          </w:tbl>
          <w:p>
            <w:pPr>
              <w:keepNext w:val="0"/>
              <w:keepLines w:val="0"/>
              <w:suppressLineNumbers w:val="0"/>
              <w:spacing w:before="0" w:beforeAutospacing="0" w:after="0" w:afterAutospacing="0"/>
              <w:ind w:left="0" w:leftChars="0" w:right="0" w:firstLine="0" w:firstLineChars="0"/>
              <w:rPr>
                <w:rFonts w:hint="eastAsia" w:eastAsia="宋体"/>
                <w:color w:val="auto"/>
                <w:lang w:eastAsia="zh-CN"/>
              </w:rPr>
            </w:pPr>
          </w:p>
          <w:p>
            <w:pPr>
              <w:keepNext w:val="0"/>
              <w:keepLines w:val="0"/>
              <w:suppressLineNumbers w:val="0"/>
              <w:spacing w:before="0" w:beforeAutospacing="0" w:after="0" w:afterAutospacing="0"/>
              <w:ind w:left="0" w:leftChars="0" w:right="0" w:firstLine="0" w:firstLineChars="0"/>
              <w:rPr>
                <w:rFonts w:hint="eastAsia" w:eastAsia="宋体"/>
                <w:color w:val="auto"/>
                <w:lang w:eastAsia="zh-CN"/>
              </w:rPr>
            </w:pPr>
          </w:p>
          <w:p>
            <w:pPr>
              <w:keepNext w:val="0"/>
              <w:keepLines w:val="0"/>
              <w:suppressLineNumbers w:val="0"/>
              <w:spacing w:before="0" w:beforeAutospacing="0" w:after="0" w:afterAutospacing="0"/>
              <w:ind w:left="0" w:leftChars="0" w:right="0" w:firstLine="0" w:firstLineChars="0"/>
              <w:rPr>
                <w:rFonts w:hint="eastAsia" w:eastAsia="宋体"/>
                <w:color w:val="auto"/>
                <w:lang w:eastAsia="zh-CN"/>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地下水功能敏感性分区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7"/>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17" w:type="dxa"/>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敏感性</w:t>
                  </w:r>
                </w:p>
              </w:tc>
              <w:tc>
                <w:tcPr>
                  <w:tcW w:w="6766" w:type="dxa"/>
                  <w:tcBorders>
                    <w:left w:val="single" w:color="auto" w:sz="4" w:space="0"/>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地下水环境敏感特征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17"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敏感</w:t>
                  </w:r>
                  <w:r>
                    <w:rPr>
                      <w:rFonts w:hint="default"/>
                      <w:color w:val="auto"/>
                      <w:lang w:val="en-US" w:eastAsia="zh-CN"/>
                    </w:rPr>
                    <w:t>G1</w:t>
                  </w:r>
                </w:p>
              </w:tc>
              <w:tc>
                <w:tcPr>
                  <w:tcW w:w="6766" w:type="dxa"/>
                  <w:tcBorders>
                    <w:top w:val="single" w:color="auto" w:sz="4" w:space="0"/>
                    <w:left w:val="single" w:color="auto" w:sz="4" w:space="0"/>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集中式饮用水源(包括已建成的在用、备用、应急水源，在建和规划的饮用水水源)准保护区；除集中式饮用水源以外的国家或地方政府设定的与地下水环境相关的其他保护区，如热水、矿泉水、温泉等特殊地下水资源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17"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较敏感</w:t>
                  </w:r>
                  <w:r>
                    <w:rPr>
                      <w:rFonts w:hint="default"/>
                      <w:color w:val="auto"/>
                      <w:lang w:val="en-US" w:eastAsia="zh-CN"/>
                    </w:rPr>
                    <w:t>G2</w:t>
                  </w:r>
                </w:p>
              </w:tc>
              <w:tc>
                <w:tcPr>
                  <w:tcW w:w="6766" w:type="dxa"/>
                  <w:tcBorders>
                    <w:top w:val="single" w:color="auto" w:sz="4" w:space="0"/>
                    <w:left w:val="single" w:color="auto" w:sz="4" w:space="0"/>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集中式饮用水源(包括已建成的在用、备用、应急水源，在建和规划的饮用水水源)准保护区以外的补给径流区；未划定准保护区的集中式饮用水水源，其保护区以外的补给径流区；分散式饮用水水源地；特殊地下水资源(如热水、矿泉水、温泉等)保护区以外的分布区等其他未列入上述敏感分级的环境敏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不敏感</w:t>
                  </w:r>
                  <w:r>
                    <w:rPr>
                      <w:rFonts w:hint="default"/>
                      <w:color w:val="auto"/>
                      <w:lang w:val="en-US" w:eastAsia="zh-CN"/>
                    </w:rPr>
                    <w:t>G3</w:t>
                  </w:r>
                </w:p>
              </w:tc>
              <w:tc>
                <w:tcPr>
                  <w:tcW w:w="6766" w:type="dxa"/>
                  <w:tcBorders>
                    <w:top w:val="single" w:color="auto" w:sz="4" w:space="0"/>
                    <w:left w:val="single" w:color="auto" w:sz="4" w:space="0"/>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上述地区之外的其他地区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gridSpan w:val="2"/>
                  <w:tcBorders>
                    <w:top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default"/>
                      <w:color w:val="auto"/>
                    </w:rPr>
                  </w:pPr>
                  <w:r>
                    <w:rPr>
                      <w:rFonts w:hint="eastAsia"/>
                      <w:color w:val="auto"/>
                      <w:lang w:val="en-US" w:eastAsia="zh-CN"/>
                    </w:rPr>
                    <w:t>“环境敏感区”是指《建设项目环境影响评价分类管理名录》中所界定的涉及地下水的环境敏感区</w:t>
                  </w:r>
                </w:p>
              </w:tc>
            </w:tr>
          </w:tbl>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包气带防污性能分级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69"/>
              <w:gridCol w:w="6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分级</w:t>
                  </w:r>
                </w:p>
              </w:tc>
              <w:tc>
                <w:tcPr>
                  <w:tcW w:w="6334" w:type="dxa"/>
                  <w:tcBorders>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包气带岩土的渗透性能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D3</w:t>
                  </w:r>
                </w:p>
              </w:tc>
              <w:tc>
                <w:tcPr>
                  <w:tcW w:w="6334" w:type="dxa"/>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ascii="Times New Roman" w:hAnsi="Times New Roman" w:cs="Times New Roman"/>
                      <w:color w:val="auto"/>
                      <w:lang w:val="en-US" w:eastAsia="zh-CN"/>
                    </w:rPr>
                    <w:t>Mb：≥1.0m</w:t>
                  </w:r>
                  <w:r>
                    <w:rPr>
                      <w:rFonts w:hint="eastAsia"/>
                      <w:color w:val="auto"/>
                      <w:lang w:val="en-US" w:eastAsia="zh-CN"/>
                    </w:rPr>
                    <w:t>，</w:t>
                  </w:r>
                  <w:r>
                    <w:rPr>
                      <w:rFonts w:hint="default"/>
                      <w:color w:val="auto"/>
                      <w:lang w:val="en-US" w:eastAsia="zh-CN"/>
                    </w:rPr>
                    <w:t>K</w:t>
                  </w:r>
                  <w:r>
                    <w:rPr>
                      <w:rFonts w:hint="default" w:ascii="Times New Roman" w:hAnsi="Times New Roman" w:cs="Times New Roman"/>
                      <w:color w:val="auto"/>
                      <w:lang w:val="en-US" w:eastAsia="zh-CN"/>
                    </w:rPr>
                    <w:t>≤</w:t>
                  </w:r>
                  <w:r>
                    <w:rPr>
                      <w:rFonts w:hint="default"/>
                      <w:color w:val="auto"/>
                      <w:lang w:val="en-US" w:eastAsia="zh-CN"/>
                    </w:rPr>
                    <w:t>1.0</w:t>
                  </w:r>
                  <w:r>
                    <w:rPr>
                      <w:rFonts w:hint="default" w:ascii="Times New Roman" w:hAnsi="Times New Roman" w:cs="Times New Roman"/>
                      <w:color w:val="auto"/>
                      <w:lang w:val="en-US" w:eastAsia="zh-CN"/>
                    </w:rPr>
                    <w:t>×</w:t>
                  </w:r>
                  <w:r>
                    <w:rPr>
                      <w:rFonts w:hint="default"/>
                      <w:color w:val="auto"/>
                      <w:lang w:val="en-US" w:eastAsia="zh-CN"/>
                    </w:rPr>
                    <w:t>10</w:t>
                  </w:r>
                  <w:r>
                    <w:rPr>
                      <w:rFonts w:hint="eastAsia"/>
                      <w:color w:val="auto"/>
                      <w:vertAlign w:val="superscript"/>
                      <w:lang w:val="en-US" w:eastAsia="zh-CN"/>
                    </w:rPr>
                    <w:t>-6</w:t>
                  </w:r>
                  <w:r>
                    <w:rPr>
                      <w:rFonts w:hint="eastAsia"/>
                      <w:color w:val="auto"/>
                      <w:lang w:val="en-US" w:eastAsia="zh-CN"/>
                    </w:rPr>
                    <w:t>cm/s，且分布持续、稳定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D2</w:t>
                  </w:r>
                </w:p>
              </w:tc>
              <w:tc>
                <w:tcPr>
                  <w:tcW w:w="6334" w:type="dxa"/>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0.5m</w:t>
                  </w:r>
                  <w:r>
                    <w:rPr>
                      <w:rFonts w:hint="default" w:ascii="Times New Roman" w:hAnsi="Times New Roman" w:cs="Times New Roman"/>
                      <w:color w:val="auto"/>
                      <w:lang w:val="en-US" w:eastAsia="zh-CN"/>
                    </w:rPr>
                    <w:t>≤</w:t>
                  </w:r>
                  <w:r>
                    <w:rPr>
                      <w:rFonts w:hint="default"/>
                      <w:color w:val="auto"/>
                      <w:lang w:val="en-US" w:eastAsia="zh-CN"/>
                    </w:rPr>
                    <w:t>Mb</w:t>
                  </w:r>
                  <w:r>
                    <w:rPr>
                      <w:rFonts w:hint="eastAsia" w:ascii="Times New Roman" w:hAnsi="Times New Roman" w:cs="Times New Roman"/>
                      <w:color w:val="auto"/>
                      <w:lang w:val="en-US" w:eastAsia="zh-CN"/>
                    </w:rPr>
                    <w:t>&lt;</w:t>
                  </w:r>
                  <w:r>
                    <w:rPr>
                      <w:rFonts w:hint="default" w:ascii="Times New Roman" w:hAnsi="Times New Roman" w:cs="Times New Roman"/>
                      <w:color w:val="auto"/>
                      <w:lang w:val="en-US" w:eastAsia="zh-CN"/>
                    </w:rPr>
                    <w:t>1.0m，K≤1.0×</w:t>
                  </w:r>
                  <w:r>
                    <w:rPr>
                      <w:rFonts w:hint="default"/>
                      <w:color w:val="auto"/>
                      <w:lang w:val="en-US" w:eastAsia="zh-CN"/>
                    </w:rPr>
                    <w:t>10</w:t>
                  </w:r>
                  <w:r>
                    <w:rPr>
                      <w:rFonts w:hint="eastAsia"/>
                      <w:color w:val="auto"/>
                      <w:vertAlign w:val="superscript"/>
                      <w:lang w:val="en-US" w:eastAsia="zh-CN"/>
                    </w:rPr>
                    <w:t>-6</w:t>
                  </w:r>
                  <w:r>
                    <w:rPr>
                      <w:rFonts w:hint="eastAsia"/>
                      <w:color w:val="auto"/>
                      <w:lang w:val="en-US" w:eastAsia="zh-CN"/>
                    </w:rPr>
                    <w:t>cm/s，且分布持续、稳定</w:t>
                  </w:r>
                </w:p>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Mb：</w:t>
                  </w:r>
                  <w:r>
                    <w:rPr>
                      <w:rFonts w:hint="default" w:ascii="Times New Roman" w:hAnsi="Times New Roman" w:cs="Times New Roman"/>
                      <w:color w:val="auto"/>
                      <w:lang w:val="en-US" w:eastAsia="zh-CN"/>
                    </w:rPr>
                    <w:t>≥1.0m，1.0×</w:t>
                  </w:r>
                  <w:r>
                    <w:rPr>
                      <w:rFonts w:hint="default"/>
                      <w:color w:val="auto"/>
                      <w:lang w:val="en-US" w:eastAsia="zh-CN"/>
                    </w:rPr>
                    <w:t>10</w:t>
                  </w:r>
                  <w:r>
                    <w:rPr>
                      <w:rFonts w:hint="eastAsia"/>
                      <w:color w:val="auto"/>
                      <w:vertAlign w:val="superscript"/>
                      <w:lang w:val="en-US" w:eastAsia="zh-CN"/>
                    </w:rPr>
                    <w:t>-6</w:t>
                  </w:r>
                  <w:r>
                    <w:rPr>
                      <w:rFonts w:hint="eastAsia"/>
                      <w:color w:val="auto"/>
                      <w:lang w:val="en-US" w:eastAsia="zh-CN"/>
                    </w:rPr>
                    <w:t>cm/s</w:t>
                  </w:r>
                  <w:r>
                    <w:rPr>
                      <w:rFonts w:hint="eastAsia" w:ascii="Times New Roman" w:hAnsi="Times New Roman" w:cs="Times New Roman"/>
                      <w:color w:val="auto"/>
                      <w:lang w:val="en-US" w:eastAsia="zh-CN"/>
                    </w:rPr>
                    <w:t>&lt;</w:t>
                  </w:r>
                  <w:r>
                    <w:rPr>
                      <w:rFonts w:hint="default" w:ascii="Times New Roman" w:hAnsi="Times New Roman" w:cs="Times New Roman"/>
                      <w:color w:val="auto"/>
                      <w:lang w:val="en-US" w:eastAsia="zh-CN"/>
                    </w:rPr>
                    <w:t>K≤1.0×</w:t>
                  </w:r>
                  <w:r>
                    <w:rPr>
                      <w:rFonts w:hint="default"/>
                      <w:color w:val="auto"/>
                      <w:lang w:val="en-US" w:eastAsia="zh-CN"/>
                    </w:rPr>
                    <w:t>10</w:t>
                  </w:r>
                  <w:r>
                    <w:rPr>
                      <w:rFonts w:hint="eastAsia"/>
                      <w:color w:val="auto"/>
                      <w:vertAlign w:val="superscript"/>
                      <w:lang w:val="en-US" w:eastAsia="zh-CN"/>
                    </w:rPr>
                    <w:t>-4</w:t>
                  </w:r>
                  <w:r>
                    <w:rPr>
                      <w:rFonts w:hint="eastAsia"/>
                      <w:color w:val="auto"/>
                      <w:lang w:val="en-US" w:eastAsia="zh-CN"/>
                    </w:rPr>
                    <w:t>cm/s，且分布持续、稳定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D1</w:t>
                  </w:r>
                </w:p>
              </w:tc>
              <w:tc>
                <w:tcPr>
                  <w:tcW w:w="6334" w:type="dxa"/>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岩(土)层不满足上述“</w:t>
                  </w:r>
                  <w:r>
                    <w:rPr>
                      <w:rFonts w:hint="default"/>
                      <w:color w:val="auto"/>
                      <w:lang w:val="en-US" w:eastAsia="zh-CN"/>
                    </w:rPr>
                    <w:t>D2</w:t>
                  </w:r>
                  <w:r>
                    <w:rPr>
                      <w:rFonts w:hint="eastAsia"/>
                      <w:color w:val="auto"/>
                      <w:lang w:val="en-US" w:eastAsia="zh-CN"/>
                    </w:rPr>
                    <w:t>”和“</w:t>
                  </w:r>
                  <w:r>
                    <w:rPr>
                      <w:rFonts w:hint="default"/>
                      <w:color w:val="auto"/>
                      <w:lang w:val="en-US" w:eastAsia="zh-CN"/>
                    </w:rPr>
                    <w:t>D3</w:t>
                  </w:r>
                  <w:r>
                    <w:rPr>
                      <w:rFonts w:hint="eastAsia"/>
                      <w:color w:val="auto"/>
                      <w:lang w:val="en-US" w:eastAsia="zh-CN"/>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8303" w:type="dxa"/>
                  <w:gridSpan w:val="2"/>
                  <w:tcBorders>
                    <w:top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eastAsia"/>
                      <w:color w:val="auto"/>
                    </w:rPr>
                  </w:pPr>
                  <w:r>
                    <w:rPr>
                      <w:rFonts w:hint="eastAsia"/>
                      <w:color w:val="auto"/>
                      <w:lang w:val="en-US" w:eastAsia="zh-CN"/>
                    </w:rPr>
                    <w:t>Mb：岩土层单层厚度。</w:t>
                  </w:r>
                </w:p>
                <w:p>
                  <w:pPr>
                    <w:pStyle w:val="19"/>
                    <w:keepNext w:val="0"/>
                    <w:keepLines w:val="0"/>
                    <w:suppressLineNumbers w:val="0"/>
                    <w:bidi w:val="0"/>
                    <w:spacing w:before="0" w:beforeAutospacing="0" w:after="0" w:afterAutospacing="0"/>
                    <w:ind w:left="0" w:right="0"/>
                    <w:jc w:val="both"/>
                    <w:rPr>
                      <w:rFonts w:hint="default"/>
                      <w:color w:val="auto"/>
                    </w:rPr>
                  </w:pPr>
                  <w:r>
                    <w:rPr>
                      <w:rFonts w:hint="eastAsia"/>
                      <w:color w:val="auto"/>
                      <w:lang w:val="en-US" w:eastAsia="zh-CN"/>
                    </w:rPr>
                    <w:t>K：渗透系数。</w:t>
                  </w:r>
                </w:p>
              </w:tc>
            </w:tr>
          </w:tbl>
          <w:p>
            <w:pPr>
              <w:keepNext w:val="0"/>
              <w:keepLines w:val="0"/>
              <w:widowControl w:val="0"/>
              <w:suppressLineNumbers w:val="0"/>
              <w:autoSpaceDE w:val="0"/>
              <w:autoSpaceDN/>
              <w:spacing w:before="60" w:beforeAutospacing="0" w:after="0" w:afterAutospacing="0" w:line="360" w:lineRule="auto"/>
              <w:ind w:left="0" w:leftChars="0" w:right="0" w:firstLine="480" w:firstLineChars="200"/>
              <w:jc w:val="left"/>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根据现场调查及建设单位提供资料，本项目区属不敏感</w:t>
            </w:r>
            <w:r>
              <w:rPr>
                <w:rFonts w:hint="eastAsia" w:ascii="Times New Roman" w:hAnsi="Times New Roman" w:eastAsia="宋体" w:cs="宋体"/>
                <w:color w:val="auto"/>
                <w:kern w:val="2"/>
                <w:sz w:val="24"/>
                <w:szCs w:val="24"/>
              </w:rPr>
              <w:t>G3</w:t>
            </w:r>
            <w:r>
              <w:rPr>
                <w:rFonts w:hint="eastAsia" w:ascii="宋体" w:hAnsi="宋体" w:eastAsia="宋体" w:cs="宋体"/>
                <w:color w:val="auto"/>
                <w:kern w:val="2"/>
                <w:sz w:val="24"/>
                <w:szCs w:val="24"/>
              </w:rPr>
              <w:t>，包气带防污性能为</w:t>
            </w:r>
            <w:r>
              <w:rPr>
                <w:rFonts w:hint="eastAsia" w:ascii="Times New Roman" w:hAnsi="Times New Roman" w:eastAsia="宋体" w:cs="宋体"/>
                <w:color w:val="auto"/>
                <w:kern w:val="2"/>
                <w:sz w:val="24"/>
                <w:szCs w:val="24"/>
              </w:rPr>
              <w:t>D2</w:t>
            </w:r>
            <w:r>
              <w:rPr>
                <w:rFonts w:hint="eastAsia" w:ascii="宋体" w:hAnsi="宋体" w:eastAsia="宋体" w:cs="宋体"/>
                <w:color w:val="auto"/>
                <w:kern w:val="2"/>
                <w:sz w:val="24"/>
                <w:szCs w:val="24"/>
              </w:rPr>
              <w:t>，故地下水环境敏感程度为</w:t>
            </w:r>
            <w:r>
              <w:rPr>
                <w:rFonts w:hint="default" w:ascii="Times New Roman" w:hAnsi="Times New Roman" w:cs="Times New Roman"/>
                <w:color w:val="auto"/>
                <w:kern w:val="2"/>
                <w:sz w:val="24"/>
                <w:szCs w:val="24"/>
              </w:rPr>
              <w:t>E3</w:t>
            </w:r>
            <w:r>
              <w:rPr>
                <w:rFonts w:hint="eastAsia" w:ascii="宋体" w:hAnsi="宋体" w:eastAsia="宋体" w:cs="宋体"/>
                <w:color w:val="auto"/>
                <w:kern w:val="2"/>
                <w:sz w:val="24"/>
                <w:szCs w:val="24"/>
              </w:rPr>
              <w:t>。</w:t>
            </w:r>
          </w:p>
          <w:p>
            <w:pPr>
              <w:pStyle w:val="5"/>
              <w:numPr>
                <w:ilvl w:val="2"/>
                <w:numId w:val="16"/>
              </w:numPr>
              <w:suppressLineNumbers w:val="0"/>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环境风险潜势划分</w:t>
            </w:r>
          </w:p>
          <w:p>
            <w:pPr>
              <w:keepNext w:val="0"/>
              <w:keepLines w:val="0"/>
              <w:widowControl w:val="0"/>
              <w:suppressLineNumbers w:val="0"/>
              <w:spacing w:before="0" w:beforeAutospacing="0" w:after="0" w:afterAutospacing="0" w:line="360" w:lineRule="auto"/>
              <w:ind w:left="0" w:right="0" w:firstLine="480"/>
              <w:jc w:val="both"/>
              <w:rPr>
                <w:rFonts w:hint="eastAsia" w:ascii="Times New Roman" w:hAnsi="Times New Roman"/>
                <w:color w:val="auto"/>
              </w:rPr>
            </w:pPr>
            <w:r>
              <w:rPr>
                <w:rFonts w:hint="eastAsia" w:ascii="宋体" w:hAnsi="宋体" w:eastAsia="宋体" w:cs="宋体"/>
                <w:color w:val="auto"/>
                <w:kern w:val="2"/>
                <w:sz w:val="24"/>
                <w:szCs w:val="24"/>
                <w:lang w:val="en-US" w:eastAsia="zh-CN" w:bidi="ar"/>
              </w:rPr>
              <w:t>按照《建设项目环境风险评价技术导则》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，建设项目环境风险潜势划分为</w:t>
            </w:r>
            <w:r>
              <w:rPr>
                <w:rFonts w:hint="default" w:ascii="Times New Roman" w:hAnsi="Times New Roman" w:eastAsia="宋体" w:cs="Times New Roman"/>
                <w:color w:val="auto"/>
                <w:kern w:val="2"/>
                <w:sz w:val="24"/>
                <w:szCs w:val="24"/>
                <w:lang w:val="en-US" w:eastAsia="zh-CN" w:bidi="ar"/>
              </w:rPr>
              <w:t>Ⅰ</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Ⅱ</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Ⅲ</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Ⅳ/Ⅳ+</w:t>
            </w:r>
            <w:r>
              <w:rPr>
                <w:rFonts w:hint="eastAsia" w:ascii="宋体" w:hAnsi="宋体" w:eastAsia="宋体" w:cs="宋体"/>
                <w:color w:val="auto"/>
                <w:kern w:val="2"/>
                <w:sz w:val="24"/>
                <w:szCs w:val="24"/>
                <w:lang w:val="en-US" w:eastAsia="zh-CN" w:bidi="ar"/>
              </w:rPr>
              <w:t>级。建设项目环境风险潜势划分依据，见</w:t>
            </w:r>
            <w:r>
              <w:rPr>
                <w:rFonts w:hint="eastAsia" w:ascii="宋体" w:hAnsi="宋体" w:cs="宋体"/>
                <w:color w:val="auto"/>
                <w:kern w:val="2"/>
                <w:sz w:val="24"/>
                <w:szCs w:val="24"/>
                <w:lang w:val="en-US" w:eastAsia="zh-CN" w:bidi="ar"/>
              </w:rPr>
              <w:t>下表</w:t>
            </w:r>
            <w:r>
              <w:rPr>
                <w:rFonts w:hint="eastAsia" w:ascii="宋体" w:hAnsi="宋体" w:eastAsia="宋体" w:cs="宋体"/>
                <w:color w:val="auto"/>
                <w:kern w:val="2"/>
                <w:sz w:val="24"/>
                <w:szCs w:val="24"/>
                <w:lang w:val="en-US" w:eastAsia="zh-CN" w:bidi="ar"/>
              </w:rPr>
              <w:t>。</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环境风险潜势划分</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16"/>
              <w:gridCol w:w="1677"/>
              <w:gridCol w:w="1600"/>
              <w:gridCol w:w="15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1283" w:type="pct"/>
                  <w:vMerge w:val="restart"/>
                  <w:tcBorders>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环境敏感程度</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w:t>
                  </w:r>
                  <w:r>
                    <w:rPr>
                      <w:rFonts w:hint="eastAsia" w:ascii="宋体" w:hAnsi="宋体" w:cs="宋体"/>
                      <w:color w:val="auto"/>
                      <w:kern w:val="2"/>
                      <w:sz w:val="21"/>
                      <w:szCs w:val="21"/>
                      <w:lang w:val="en-US" w:eastAsia="zh-CN" w:bidi="ar"/>
                    </w:rPr>
                    <w:t>)</w:t>
                  </w:r>
                </w:p>
              </w:tc>
              <w:tc>
                <w:tcPr>
                  <w:tcW w:w="3715" w:type="pct"/>
                  <w:gridSpan w:val="4"/>
                  <w:tcBorders>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危险物质及工艺系统危险性</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w:t>
                  </w:r>
                  <w:r>
                    <w:rPr>
                      <w:rFonts w:hint="eastAsia" w:ascii="宋体" w:hAnsi="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283" w:type="pct"/>
                  <w:vMerge w:val="continue"/>
                  <w:tcBorders>
                    <w:top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极高危害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P1</w:t>
                  </w:r>
                  <w:r>
                    <w:rPr>
                      <w:rFonts w:hint="eastAsia" w:ascii="宋体" w:hAnsi="宋体" w:cs="宋体"/>
                      <w:color w:val="auto"/>
                      <w:kern w:val="2"/>
                      <w:sz w:val="21"/>
                      <w:szCs w:val="21"/>
                      <w:lang w:val="en-US" w:eastAsia="zh-CN" w:bidi="ar"/>
                    </w:rPr>
                    <w:t>)</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高度危害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P2</w:t>
                  </w:r>
                  <w:r>
                    <w:rPr>
                      <w:rFonts w:hint="eastAsia" w:ascii="宋体" w:hAnsi="宋体" w:cs="宋体"/>
                      <w:color w:val="auto"/>
                      <w:kern w:val="2"/>
                      <w:sz w:val="21"/>
                      <w:szCs w:val="21"/>
                      <w:lang w:val="en-US" w:eastAsia="zh-CN" w:bidi="ar"/>
                    </w:rPr>
                    <w:t>)</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中度危害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P3</w:t>
                  </w:r>
                  <w:r>
                    <w:rPr>
                      <w:rFonts w:hint="eastAsia" w:ascii="宋体" w:hAnsi="宋体" w:cs="宋体"/>
                      <w:color w:val="auto"/>
                      <w:kern w:val="2"/>
                      <w:sz w:val="21"/>
                      <w:szCs w:val="21"/>
                      <w:lang w:val="en-US" w:eastAsia="zh-CN" w:bidi="ar"/>
                    </w:rPr>
                    <w:t>)</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轻度危害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P4</w:t>
                  </w:r>
                  <w:r>
                    <w:rPr>
                      <w:rFonts w:hint="eastAsia" w:ascii="宋体" w:hAnsi="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jc w:val="center"/>
              </w:trPr>
              <w:tc>
                <w:tcPr>
                  <w:tcW w:w="1283" w:type="pct"/>
                  <w:tcBorders>
                    <w:top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环境高度敏感区</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E1</w:t>
                  </w:r>
                  <w:r>
                    <w:rPr>
                      <w:rFonts w:hint="eastAsia" w:ascii="宋体" w:hAnsi="宋体" w:cs="宋体"/>
                      <w:color w:val="auto"/>
                      <w:kern w:val="2"/>
                      <w:sz w:val="21"/>
                      <w:szCs w:val="21"/>
                      <w:lang w:val="en-US" w:eastAsia="zh-CN" w:bidi="ar"/>
                    </w:rPr>
                    <w:t>)</w:t>
                  </w: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vertAlign w:val="superscript"/>
                    </w:rPr>
                  </w:pPr>
                  <w:r>
                    <w:rPr>
                      <w:rFonts w:hint="default" w:ascii="Times New Roman" w:hAnsi="Times New Roman" w:cs="Times New Roman"/>
                      <w:color w:val="auto"/>
                      <w:kern w:val="2"/>
                      <w:sz w:val="21"/>
                      <w:szCs w:val="21"/>
                      <w:lang w:val="en-US" w:eastAsia="zh-CN" w:bidi="ar"/>
                    </w:rPr>
                    <w:t>IV+</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color w:val="auto"/>
                    </w:rPr>
                  </w:pPr>
                  <w:r>
                    <w:rPr>
                      <w:rFonts w:hint="default" w:ascii="Times New Roman" w:hAnsi="Times New Roman" w:cs="Times New Roman"/>
                      <w:color w:val="auto"/>
                      <w:kern w:val="2"/>
                      <w:sz w:val="21"/>
                      <w:szCs w:val="21"/>
                      <w:lang w:val="en-US" w:eastAsia="zh-CN" w:bidi="ar"/>
                    </w:rPr>
                    <w:t>IV</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1283" w:type="pct"/>
                  <w:tcBorders>
                    <w:top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环境中度敏感区</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E2</w:t>
                  </w:r>
                  <w:r>
                    <w:rPr>
                      <w:rFonts w:hint="eastAsia" w:ascii="宋体" w:hAnsi="宋体" w:cs="宋体"/>
                      <w:color w:val="auto"/>
                      <w:kern w:val="2"/>
                      <w:sz w:val="21"/>
                      <w:szCs w:val="21"/>
                      <w:lang w:val="en-US" w:eastAsia="zh-CN" w:bidi="ar"/>
                    </w:rPr>
                    <w:t>)</w:t>
                  </w: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IV</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jc w:val="center"/>
              </w:trPr>
              <w:tc>
                <w:tcPr>
                  <w:tcW w:w="1283" w:type="pct"/>
                  <w:tcBorders>
                    <w:top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环境低度敏感区</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E3</w:t>
                  </w:r>
                  <w:r>
                    <w:rPr>
                      <w:rFonts w:hint="eastAsia" w:ascii="宋体" w:hAnsi="宋体" w:cs="宋体"/>
                      <w:color w:val="auto"/>
                      <w:kern w:val="2"/>
                      <w:sz w:val="21"/>
                      <w:szCs w:val="21"/>
                      <w:lang w:val="en-US" w:eastAsia="zh-CN" w:bidi="ar"/>
                    </w:rPr>
                    <w:t>)</w:t>
                  </w: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color w:val="auto"/>
                    </w:rPr>
                  </w:pPr>
                  <w:r>
                    <w:rPr>
                      <w:rFonts w:hint="default" w:ascii="Times New Roman" w:hAnsi="Times New Roman" w:cs="Times New Roman"/>
                      <w:color w:val="auto"/>
                      <w:kern w:val="2"/>
                      <w:sz w:val="21"/>
                      <w:szCs w:val="21"/>
                      <w:lang w:val="en-US" w:eastAsia="zh-CN" w:bidi="ar"/>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 w:hRule="atLeast"/>
                <w:jc w:val="center"/>
              </w:trPr>
              <w:tc>
                <w:tcPr>
                  <w:tcW w:w="5000" w:type="pct"/>
                  <w:gridSpan w:val="5"/>
                  <w:tcBorders>
                    <w:top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left"/>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注：IV+为极高环境风险</w:t>
                  </w:r>
                </w:p>
              </w:tc>
            </w:tr>
          </w:tbl>
          <w:p>
            <w:pPr>
              <w:keepNext w:val="0"/>
              <w:keepLines w:val="0"/>
              <w:widowControl w:val="0"/>
              <w:suppressLineNumbers w:val="0"/>
              <w:spacing w:before="60" w:beforeAutospacing="0" w:after="0" w:afterAutospacing="0" w:line="360" w:lineRule="auto"/>
              <w:ind w:left="0" w:right="0" w:firstLine="482"/>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本项目危险物质和工艺系统的危险性</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P</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w:t>
            </w:r>
            <w:r>
              <w:rPr>
                <w:rFonts w:hint="default" w:ascii="Times New Roman" w:hAnsi="Times New Roman" w:eastAsia="宋体" w:cs="Times New Roman"/>
                <w:color w:val="auto"/>
                <w:kern w:val="2"/>
                <w:sz w:val="24"/>
                <w:szCs w:val="24"/>
                <w:lang w:val="en-US" w:eastAsia="zh-CN" w:bidi="ar"/>
              </w:rPr>
              <w:t>P</w:t>
            </w:r>
            <w:r>
              <w:rPr>
                <w:rFonts w:hint="eastAsia"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，环境敏感程度均为</w:t>
            </w:r>
            <w:r>
              <w:rPr>
                <w:rFonts w:hint="default" w:ascii="Times New Roman" w:hAnsi="Times New Roman" w:eastAsia="宋体" w:cs="Times New Roman"/>
                <w:color w:val="auto"/>
                <w:kern w:val="2"/>
                <w:sz w:val="24"/>
                <w:szCs w:val="24"/>
                <w:lang w:val="en-US" w:eastAsia="zh-CN" w:bidi="ar"/>
              </w:rPr>
              <w:t>E3</w:t>
            </w:r>
            <w:r>
              <w:rPr>
                <w:rFonts w:hint="eastAsia" w:ascii="宋体" w:hAnsi="宋体" w:eastAsia="宋体" w:cs="宋体"/>
                <w:color w:val="auto"/>
                <w:kern w:val="2"/>
                <w:sz w:val="24"/>
                <w:szCs w:val="24"/>
                <w:lang w:val="en-US" w:eastAsia="zh-CN" w:bidi="ar"/>
              </w:rPr>
              <w:t>，根据上表可知，且本项目大气环境敏感程度与地下水环境敏感程度均为</w:t>
            </w:r>
            <w:r>
              <w:rPr>
                <w:rFonts w:hint="eastAsia" w:ascii="Times New Roman" w:hAnsi="Times New Roman" w:eastAsia="宋体" w:cs="宋体"/>
                <w:color w:val="auto"/>
                <w:kern w:val="2"/>
                <w:sz w:val="24"/>
                <w:szCs w:val="24"/>
                <w:lang w:val="en-US" w:eastAsia="zh-CN" w:bidi="ar"/>
              </w:rPr>
              <w:t>E3</w:t>
            </w:r>
            <w:r>
              <w:rPr>
                <w:rFonts w:hint="eastAsia" w:ascii="宋体" w:hAnsi="宋体" w:eastAsia="宋体" w:cs="宋体"/>
                <w:color w:val="auto"/>
                <w:kern w:val="2"/>
                <w:sz w:val="24"/>
                <w:szCs w:val="24"/>
                <w:lang w:val="en-US" w:eastAsia="zh-CN" w:bidi="ar"/>
              </w:rPr>
              <w:t>，根据《建设项目环境风险评价技术导则》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要求，建设项目环境风险潜势综合等级取各要素等级的相对高值，故本项目环境风险潜势为</w:t>
            </w:r>
            <w:r>
              <w:rPr>
                <w:rFonts w:hint="default" w:ascii="Times New Roman" w:hAnsi="Times New Roman" w:cs="Times New Roman"/>
                <w:color w:val="auto"/>
                <w:kern w:val="2"/>
                <w:sz w:val="21"/>
                <w:szCs w:val="21"/>
                <w:lang w:val="en-US" w:eastAsia="zh-CN" w:bidi="ar"/>
              </w:rPr>
              <w:t>I</w:t>
            </w:r>
            <w:r>
              <w:rPr>
                <w:rFonts w:hint="eastAsia" w:ascii="宋体" w:hAnsi="宋体" w:eastAsia="宋体" w:cs="宋体"/>
                <w:color w:val="auto"/>
                <w:kern w:val="2"/>
                <w:sz w:val="24"/>
                <w:szCs w:val="24"/>
                <w:lang w:val="en-US" w:eastAsia="zh-CN" w:bidi="ar"/>
              </w:rPr>
              <w:t>级。</w:t>
            </w:r>
          </w:p>
          <w:p>
            <w:pPr>
              <w:pStyle w:val="5"/>
              <w:numPr>
                <w:ilvl w:val="2"/>
                <w:numId w:val="16"/>
              </w:numPr>
              <w:suppressLineNumbers w:val="0"/>
              <w:bidi w:val="0"/>
              <w:spacing w:before="0" w:beforeAutospacing="0" w:after="0" w:afterAutospacing="0"/>
              <w:ind w:right="0"/>
              <w:rPr>
                <w:rFonts w:hint="default"/>
              </w:rPr>
            </w:pPr>
            <w:r>
              <w:rPr>
                <w:rFonts w:hint="eastAsia"/>
              </w:rPr>
              <w:t>评价工作等级划分</w:t>
            </w:r>
          </w:p>
          <w:p>
            <w:pPr>
              <w:keepNext w:val="0"/>
              <w:keepLines w:val="0"/>
              <w:suppressLineNumbers w:val="0"/>
              <w:bidi w:val="0"/>
              <w:spacing w:before="0" w:beforeAutospacing="0" w:after="0" w:afterAutospacing="0"/>
              <w:ind w:left="0" w:right="0"/>
              <w:rPr>
                <w:rFonts w:hint="eastAsia"/>
                <w:color w:val="auto"/>
              </w:rPr>
            </w:pPr>
            <w:r>
              <w:rPr>
                <w:rFonts w:hint="eastAsia" w:ascii="Times New Roman" w:eastAsia="宋体"/>
                <w:color w:val="auto"/>
                <w:lang w:val="en-US" w:eastAsia="zh-CN"/>
              </w:rPr>
              <w:t>《建设项目环境风险评价技术导则》(</w:t>
            </w:r>
            <w:r>
              <w:rPr>
                <w:rFonts w:hint="default"/>
                <w:color w:val="auto"/>
                <w:lang w:val="en-US" w:eastAsia="zh-CN"/>
              </w:rPr>
              <w:t>HJ169-2018</w:t>
            </w:r>
            <w:r>
              <w:rPr>
                <w:rFonts w:hint="eastAsia" w:ascii="Times New Roman" w:eastAsia="宋体"/>
                <w:color w:val="auto"/>
                <w:lang w:val="en-US" w:eastAsia="zh-CN"/>
              </w:rPr>
              <w:t>)将环境风险评价工作划分为一级、二级、三级。根据建设项目涉及的物质及工艺系统危险性和所在地的环境敏感性确定环境风险潜势，按照下表确定评价工作等级。风险潜势为</w:t>
            </w:r>
            <w:r>
              <w:rPr>
                <w:rFonts w:hint="default"/>
                <w:color w:val="auto"/>
                <w:lang w:val="en-US" w:eastAsia="zh-CN"/>
              </w:rPr>
              <w:t>Ⅳ</w:t>
            </w:r>
            <w:r>
              <w:rPr>
                <w:rFonts w:hint="eastAsia" w:ascii="Times New Roman" w:eastAsia="宋体"/>
                <w:color w:val="auto"/>
                <w:lang w:val="en-US" w:eastAsia="zh-CN"/>
              </w:rPr>
              <w:t>及以上，进行一级评价；风险潜势为</w:t>
            </w:r>
            <w:r>
              <w:rPr>
                <w:rFonts w:hint="default"/>
                <w:color w:val="auto"/>
                <w:lang w:val="en-US" w:eastAsia="zh-CN"/>
              </w:rPr>
              <w:t>Ⅲ</w:t>
            </w:r>
            <w:r>
              <w:rPr>
                <w:rFonts w:hint="eastAsia" w:ascii="Times New Roman" w:eastAsia="宋体"/>
                <w:color w:val="auto"/>
                <w:lang w:val="en-US" w:eastAsia="zh-CN"/>
              </w:rPr>
              <w:t>，进行二级评价；风险潜势为</w:t>
            </w:r>
            <w:r>
              <w:rPr>
                <w:rFonts w:hint="default"/>
                <w:color w:val="auto"/>
                <w:lang w:val="en-US" w:eastAsia="zh-CN"/>
              </w:rPr>
              <w:t>Ⅱ</w:t>
            </w:r>
            <w:r>
              <w:rPr>
                <w:rFonts w:hint="eastAsia" w:ascii="Times New Roman" w:eastAsia="宋体"/>
                <w:color w:val="auto"/>
                <w:lang w:val="en-US" w:eastAsia="zh-CN"/>
              </w:rPr>
              <w:t>，进行三级评价；风险潜势为</w:t>
            </w:r>
            <w:r>
              <w:rPr>
                <w:rFonts w:hint="default"/>
                <w:color w:val="auto"/>
                <w:lang w:val="en-US" w:eastAsia="zh-CN"/>
              </w:rPr>
              <w:t>Ⅰ</w:t>
            </w:r>
            <w:r>
              <w:rPr>
                <w:rFonts w:hint="eastAsia" w:ascii="Times New Roman" w:eastAsia="宋体"/>
                <w:color w:val="auto"/>
                <w:lang w:val="en-US" w:eastAsia="zh-CN"/>
              </w:rPr>
              <w:t>，可开展简单分析。</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评价工作等级划分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40"/>
              <w:gridCol w:w="1739"/>
              <w:gridCol w:w="1741"/>
              <w:gridCol w:w="174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740" w:type="dxa"/>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环境风险潜势</w:t>
                  </w:r>
                </w:p>
              </w:tc>
              <w:tc>
                <w:tcPr>
                  <w:tcW w:w="1739" w:type="dxa"/>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Ⅳ</w:t>
                  </w:r>
                  <w:r>
                    <w:rPr>
                      <w:rFonts w:hint="eastAsia"/>
                      <w:color w:val="auto"/>
                      <w:lang w:val="en-US" w:eastAsia="zh-CN"/>
                    </w:rPr>
                    <w:t>、</w:t>
                  </w:r>
                  <w:r>
                    <w:rPr>
                      <w:rFonts w:hint="default"/>
                      <w:color w:val="auto"/>
                      <w:lang w:val="en-US" w:eastAsia="zh-CN"/>
                    </w:rPr>
                    <w:t>Ⅳ+</w:t>
                  </w:r>
                </w:p>
              </w:tc>
              <w:tc>
                <w:tcPr>
                  <w:tcW w:w="1741" w:type="dxa"/>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Ⅲ</w:t>
                  </w:r>
                </w:p>
              </w:tc>
              <w:tc>
                <w:tcPr>
                  <w:tcW w:w="1740" w:type="dxa"/>
                  <w:tcBorders>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Ⅱ</w:t>
                  </w:r>
                </w:p>
              </w:tc>
              <w:tc>
                <w:tcPr>
                  <w:tcW w:w="1742" w:type="dxa"/>
                  <w:tcBorders>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评价工作等级</w:t>
                  </w:r>
                </w:p>
              </w:tc>
              <w:tc>
                <w:tcPr>
                  <w:tcW w:w="17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一</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二</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三</w:t>
                  </w:r>
                </w:p>
              </w:tc>
              <w:tc>
                <w:tcPr>
                  <w:tcW w:w="1742" w:type="dxa"/>
                  <w:tcBorders>
                    <w:top w:val="single" w:color="auto" w:sz="4" w:space="0"/>
                    <w:left w:val="single" w:color="auto" w:sz="4" w:space="0"/>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lang w:val="en-US"/>
                    </w:rPr>
                  </w:pPr>
                  <w:bookmarkStart w:id="2" w:name="OLE_LINK1"/>
                  <w:r>
                    <w:rPr>
                      <w:rFonts w:hint="default"/>
                      <w:color w:val="auto"/>
                      <w:lang w:val="en-US" w:eastAsia="zh-CN"/>
                    </w:rPr>
                    <w:t>简单分析</w:t>
                  </w:r>
                  <w:bookmarkEnd w:id="2"/>
                  <w:r>
                    <w:rPr>
                      <w:rFonts w:hint="eastAsia"/>
                      <w:color w:val="auto"/>
                      <w:vertAlign w:val="superscript"/>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2" w:type="dxa"/>
                  <w:gridSpan w:val="5"/>
                  <w:tcBorders>
                    <w:top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a</w:t>
                  </w:r>
                  <w:r>
                    <w:rPr>
                      <w:rFonts w:hint="eastAsia"/>
                      <w:color w:val="auto"/>
                      <w:lang w:val="en-US" w:eastAsia="zh-CN"/>
                    </w:rPr>
                    <w:t>是相对于详细评价工作内容而言，在描述危险物质、环境影响途径、环境危害后果、风险防范措施等方面给出定性的说明。</w:t>
                  </w:r>
                </w:p>
              </w:tc>
            </w:tr>
          </w:tbl>
          <w:p>
            <w:pPr>
              <w:keepNext w:val="0"/>
              <w:keepLines w:val="0"/>
              <w:widowControl/>
              <w:suppressLineNumbers w:val="0"/>
              <w:spacing w:before="60" w:beforeAutospacing="0" w:after="0" w:afterAutospacing="0" w:line="360" w:lineRule="auto"/>
              <w:ind w:left="0" w:right="0" w:firstLine="48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本项目环境风险潜势为</w:t>
            </w:r>
            <w:r>
              <w:rPr>
                <w:rFonts w:hint="default"/>
                <w:color w:val="auto"/>
                <w:lang w:val="en-US" w:eastAsia="zh-CN"/>
              </w:rPr>
              <w:t>Ⅰ</w:t>
            </w:r>
            <w:r>
              <w:rPr>
                <w:rFonts w:hint="eastAsia" w:ascii="宋体" w:hAnsi="宋体" w:eastAsia="宋体" w:cs="宋体"/>
                <w:color w:val="auto"/>
                <w:kern w:val="2"/>
                <w:sz w:val="24"/>
                <w:szCs w:val="24"/>
              </w:rPr>
              <w:t>，因此本项目评价</w:t>
            </w:r>
            <w:r>
              <w:rPr>
                <w:rFonts w:hint="eastAsia" w:ascii="宋体" w:hAnsi="宋体" w:cs="宋体"/>
                <w:color w:val="auto"/>
                <w:kern w:val="2"/>
                <w:sz w:val="24"/>
                <w:szCs w:val="24"/>
                <w:lang w:val="en-US" w:eastAsia="zh-CN"/>
              </w:rPr>
              <w:t>可开展简单分析</w:t>
            </w:r>
            <w:r>
              <w:rPr>
                <w:rFonts w:hint="eastAsia" w:ascii="宋体" w:hAnsi="宋体" w:eastAsia="宋体" w:cs="宋体"/>
                <w:color w:val="auto"/>
                <w:kern w:val="2"/>
                <w:sz w:val="24"/>
                <w:szCs w:val="24"/>
              </w:rPr>
              <w:t>。</w:t>
            </w:r>
          </w:p>
          <w:p>
            <w:pPr>
              <w:pStyle w:val="2"/>
              <w:numPr>
                <w:ilvl w:val="0"/>
                <w:numId w:val="16"/>
              </w:numPr>
              <w:suppressLineNumbers w:val="0"/>
              <w:bidi w:val="0"/>
              <w:spacing w:before="0" w:after="0"/>
              <w:ind w:right="0"/>
              <w:rPr>
                <w:rFonts w:hint="default"/>
              </w:rPr>
            </w:pPr>
            <w:r>
              <w:rPr>
                <w:rFonts w:hint="eastAsia"/>
              </w:rPr>
              <w:t>环境敏感目标概况</w:t>
            </w:r>
          </w:p>
          <w:p>
            <w:pPr>
              <w:keepNext w:val="0"/>
              <w:keepLines w:val="0"/>
              <w:widowControl w:val="0"/>
              <w:suppressLineNumbers w:val="0"/>
              <w:spacing w:before="0" w:beforeAutospacing="0" w:after="0" w:afterAutospacing="0" w:line="360" w:lineRule="auto"/>
              <w:ind w:left="0" w:right="0" w:firstLine="480"/>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本项目不属于自然保护区、风景名胜区、基本农田保护区等区域，项目区周边</w:t>
            </w:r>
            <w:r>
              <w:rPr>
                <w:rFonts w:hint="default" w:ascii="Times New Roman" w:hAnsi="Times New Roman" w:eastAsia="宋体" w:cs="Times New Roman"/>
                <w:color w:val="auto"/>
                <w:kern w:val="2"/>
                <w:sz w:val="24"/>
                <w:szCs w:val="24"/>
                <w:lang w:val="en-US" w:eastAsia="zh-CN" w:bidi="ar"/>
              </w:rPr>
              <w:t>3km</w:t>
            </w:r>
            <w:r>
              <w:rPr>
                <w:rFonts w:hint="eastAsia" w:ascii="宋体" w:hAnsi="宋体" w:eastAsia="宋体" w:cs="宋体"/>
                <w:color w:val="auto"/>
                <w:kern w:val="2"/>
                <w:sz w:val="24"/>
                <w:szCs w:val="24"/>
                <w:lang w:val="en-US" w:eastAsia="zh-CN" w:bidi="ar"/>
              </w:rPr>
              <w:t>内无居民区等环境敏感目标。</w:t>
            </w:r>
          </w:p>
          <w:p>
            <w:pPr>
              <w:pStyle w:val="2"/>
              <w:numPr>
                <w:ilvl w:val="0"/>
                <w:numId w:val="16"/>
              </w:numPr>
              <w:suppressLineNumbers w:val="0"/>
              <w:bidi w:val="0"/>
              <w:spacing w:before="0" w:after="0"/>
              <w:ind w:right="0"/>
              <w:rPr>
                <w:rFonts w:hint="default"/>
              </w:rPr>
            </w:pPr>
            <w:r>
              <w:rPr>
                <w:rFonts w:hint="eastAsia"/>
              </w:rPr>
              <w:t>环境风险识别</w:t>
            </w:r>
          </w:p>
          <w:p>
            <w:pPr>
              <w:keepNext w:val="0"/>
              <w:keepLines w:val="0"/>
              <w:suppressLineNumbers w:val="0"/>
              <w:bidi w:val="0"/>
              <w:spacing w:before="0" w:beforeAutospacing="0" w:after="0" w:afterAutospacing="0"/>
              <w:ind w:left="0" w:right="0"/>
              <w:rPr>
                <w:rFonts w:hint="default"/>
              </w:rPr>
            </w:pPr>
            <w:r>
              <w:rPr>
                <w:rFonts w:hint="default"/>
              </w:rPr>
              <w:t>风险识别范围包括生产设施风险识别和生产过程所涉及的物质风险识别。生产设施风险识别范围包括主要生产装置、</w:t>
            </w:r>
            <w:r>
              <w:rPr>
                <w:rFonts w:hint="eastAsia"/>
                <w:lang w:val="en-US" w:eastAsia="zh-CN"/>
              </w:rPr>
              <w:t>储运工程</w:t>
            </w:r>
            <w:r>
              <w:rPr>
                <w:rFonts w:hint="default"/>
              </w:rPr>
              <w:t>、公用工程、环保设施及辅助生产设施等；物质风险识别范围包括主要原材料及辅助材料、燃料、最终产品以及生产过程排放的</w:t>
            </w:r>
            <w:r>
              <w:rPr>
                <w:rFonts w:hint="eastAsia"/>
                <w:lang w:eastAsia="zh-CN"/>
              </w:rPr>
              <w:t>“</w:t>
            </w:r>
            <w:r>
              <w:rPr>
                <w:rFonts w:hint="default"/>
              </w:rPr>
              <w:t>三废</w:t>
            </w:r>
            <w:r>
              <w:rPr>
                <w:rFonts w:hint="eastAsia"/>
                <w:lang w:eastAsia="zh-CN"/>
              </w:rPr>
              <w:t>”</w:t>
            </w:r>
            <w:r>
              <w:rPr>
                <w:rFonts w:hint="default"/>
              </w:rPr>
              <w:t>污染物等。</w:t>
            </w:r>
          </w:p>
          <w:p>
            <w:pPr>
              <w:keepNext w:val="0"/>
              <w:keepLines w:val="0"/>
              <w:numPr>
                <w:ilvl w:val="1"/>
                <w:numId w:val="18"/>
              </w:numPr>
              <w:suppressLineNumbers w:val="0"/>
              <w:tabs>
                <w:tab w:val="left" w:pos="420"/>
              </w:tabs>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物质</w:t>
            </w:r>
            <w:r>
              <w:rPr>
                <w:rFonts w:hint="eastAsia" w:ascii="宋体" w:hAnsi="宋体" w:cs="宋体"/>
                <w:color w:val="auto"/>
                <w:kern w:val="2"/>
                <w:sz w:val="24"/>
                <w:szCs w:val="24"/>
                <w:lang w:val="en-US" w:eastAsia="zh-CN"/>
              </w:rPr>
              <w:t>危险性</w:t>
            </w:r>
            <w:r>
              <w:rPr>
                <w:rFonts w:hint="eastAsia" w:ascii="宋体" w:hAnsi="宋体" w:eastAsia="宋体" w:cs="宋体"/>
                <w:color w:val="auto"/>
                <w:kern w:val="2"/>
                <w:sz w:val="24"/>
                <w:szCs w:val="24"/>
              </w:rPr>
              <w:t>识别</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根据《建设项目环境风险评价技术导则》(HJ169-2018)(附录 B)确定本项目涉及的主要危险物质有：硫酸。</w:t>
            </w:r>
          </w:p>
          <w:p>
            <w:pPr>
              <w:keepNext w:val="0"/>
              <w:keepLines w:val="0"/>
              <w:suppressLineNumbers w:val="0"/>
              <w:bidi w:val="0"/>
              <w:spacing w:before="0" w:beforeAutospacing="0" w:after="0" w:afterAutospacing="0"/>
              <w:ind w:left="0" w:right="0"/>
              <w:rPr>
                <w:rFonts w:hint="default"/>
                <w:color w:val="auto"/>
                <w:sz w:val="24"/>
              </w:rPr>
            </w:pPr>
            <w:r>
              <w:rPr>
                <w:rFonts w:hint="eastAsia"/>
                <w:color w:val="auto"/>
                <w:sz w:val="24"/>
                <w:lang w:val="en-US" w:eastAsia="zh-CN"/>
              </w:rPr>
              <w:t>根据《危险化学品名录(2015 版)》和《危险货物品名表》(GB12268-2012)规定，硫酸</w:t>
            </w:r>
            <w:r>
              <w:rPr>
                <w:rFonts w:hint="default"/>
                <w:color w:val="auto"/>
                <w:sz w:val="24"/>
              </w:rPr>
              <w:t>的物理化学特性见表</w:t>
            </w:r>
            <w:r>
              <w:rPr>
                <w:rFonts w:hint="eastAsia" w:ascii="Times New Roman" w:eastAsia="宋体"/>
                <w:color w:val="auto"/>
                <w:sz w:val="24"/>
                <w:lang w:val="en-US" w:eastAsia="zh-CN"/>
              </w:rPr>
              <w:t>11</w:t>
            </w:r>
            <w:r>
              <w:rPr>
                <w:rFonts w:hint="default"/>
                <w:color w:val="auto"/>
                <w:sz w:val="24"/>
              </w:rPr>
              <w:t>。</w:t>
            </w:r>
          </w:p>
          <w:p>
            <w:pPr>
              <w:keepNext w:val="0"/>
              <w:keepLines w:val="0"/>
              <w:suppressLineNumbers w:val="0"/>
              <w:bidi w:val="0"/>
              <w:spacing w:before="0" w:beforeAutospacing="0" w:after="0" w:afterAutospacing="0"/>
              <w:ind w:left="0" w:right="0"/>
              <w:rPr>
                <w:rFonts w:hint="default"/>
                <w:color w:val="auto"/>
                <w:sz w:val="24"/>
              </w:rPr>
            </w:pPr>
          </w:p>
          <w:p>
            <w:pPr>
              <w:keepNext w:val="0"/>
              <w:keepLines w:val="0"/>
              <w:suppressLineNumbers w:val="0"/>
              <w:bidi w:val="0"/>
              <w:spacing w:before="0" w:beforeAutospacing="0" w:after="0" w:afterAutospacing="0"/>
              <w:ind w:left="0" w:right="0"/>
              <w:rPr>
                <w:rFonts w:hint="default"/>
                <w:color w:val="auto"/>
                <w:sz w:val="24"/>
              </w:rPr>
            </w:pPr>
          </w:p>
          <w:p>
            <w:pPr>
              <w:keepNext w:val="0"/>
              <w:keepLines w:val="0"/>
              <w:suppressLineNumbers w:val="0"/>
              <w:bidi w:val="0"/>
              <w:spacing w:before="0" w:beforeAutospacing="0" w:after="0" w:afterAutospacing="0"/>
              <w:ind w:left="0" w:right="0"/>
              <w:rPr>
                <w:rFonts w:hint="default"/>
                <w:color w:val="auto"/>
                <w:sz w:val="24"/>
              </w:rPr>
            </w:pPr>
          </w:p>
          <w:p>
            <w:pPr>
              <w:keepNext w:val="0"/>
              <w:keepLines w:val="0"/>
              <w:suppressLineNumbers w:val="0"/>
              <w:bidi w:val="0"/>
              <w:spacing w:before="0" w:beforeAutospacing="0" w:after="0" w:afterAutospacing="0"/>
              <w:ind w:left="0" w:right="0"/>
              <w:rPr>
                <w:rFonts w:hint="default"/>
                <w:color w:val="auto"/>
                <w:sz w:val="24"/>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硫酸理化特性</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5"/>
              <w:gridCol w:w="3200"/>
              <w:gridCol w:w="2832"/>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restart"/>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标识</w:t>
                  </w:r>
                </w:p>
              </w:tc>
              <w:tc>
                <w:tcPr>
                  <w:tcW w:w="1852" w:type="pct"/>
                  <w:tcBorders>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中文名：</w:t>
                  </w:r>
                  <w:r>
                    <w:rPr>
                      <w:rFonts w:hint="eastAsia"/>
                      <w:lang w:val="en-US" w:eastAsia="zh-CN"/>
                    </w:rPr>
                    <w:t>硫酸</w:t>
                  </w:r>
                </w:p>
              </w:tc>
              <w:tc>
                <w:tcPr>
                  <w:tcW w:w="2685" w:type="pct"/>
                  <w:gridSpan w:val="2"/>
                  <w:tcBorders>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英文名：</w:t>
                  </w:r>
                  <w:r>
                    <w:rPr>
                      <w:rFonts w:hint="default"/>
                    </w:rPr>
                    <w:t>Sulfuric acid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single" w:color="auto" w:sz="12"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eastAsia" w:eastAsia="宋体"/>
                      <w:lang w:val="en-US" w:eastAsia="zh-CN"/>
                    </w:rPr>
                  </w:pPr>
                  <w:r>
                    <w:rPr>
                      <w:rFonts w:hint="default"/>
                      <w:lang w:val="en-US" w:eastAsia="zh-CN"/>
                    </w:rPr>
                    <w:t>分子式：</w:t>
                  </w:r>
                  <w:r>
                    <w:rPr>
                      <w:rFonts w:hint="default"/>
                    </w:rPr>
                    <w:t>H</w:t>
                  </w:r>
                  <w:r>
                    <w:rPr>
                      <w:rFonts w:hint="eastAsia"/>
                      <w:vertAlign w:val="subscript"/>
                      <w:lang w:val="en-US" w:eastAsia="zh-CN"/>
                    </w:rPr>
                    <w:t>2</w:t>
                  </w:r>
                  <w:r>
                    <w:rPr>
                      <w:rFonts w:hint="default"/>
                    </w:rPr>
                    <w:t>SO</w:t>
                  </w:r>
                  <w:r>
                    <w:rPr>
                      <w:rFonts w:hint="eastAsia"/>
                      <w:vertAlign w:val="subscript"/>
                      <w:lang w:val="en-US" w:eastAsia="zh-CN"/>
                    </w:rPr>
                    <w:t>4</w:t>
                  </w:r>
                </w:p>
              </w:tc>
              <w:tc>
                <w:tcPr>
                  <w:tcW w:w="1639"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分子量：</w:t>
                  </w:r>
                  <w:r>
                    <w:rPr>
                      <w:rFonts w:hint="eastAsia"/>
                      <w:lang w:val="en-US" w:eastAsia="zh-CN"/>
                    </w:rPr>
                    <w:t>98.078</w:t>
                  </w:r>
                </w:p>
              </w:tc>
              <w:tc>
                <w:tcPr>
                  <w:tcW w:w="1046" w:type="pct"/>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 xml:space="preserve">UN </w:t>
                  </w:r>
                  <w:r>
                    <w:rPr>
                      <w:rFonts w:hint="eastAsia"/>
                      <w:lang w:val="en-US" w:eastAsia="zh-CN"/>
                    </w:rPr>
                    <w:t>编号：1830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single" w:color="auto" w:sz="12"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危规号：</w:t>
                  </w:r>
                  <w:r>
                    <w:rPr>
                      <w:rFonts w:hint="eastAsia"/>
                      <w:lang w:val="en-US" w:eastAsia="zh-CN"/>
                    </w:rPr>
                    <w:t>81007</w:t>
                  </w:r>
                </w:p>
              </w:tc>
              <w:tc>
                <w:tcPr>
                  <w:tcW w:w="1639"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 xml:space="preserve">RTECS </w:t>
                  </w:r>
                  <w:r>
                    <w:rPr>
                      <w:rFonts w:hint="eastAsia"/>
                      <w:lang w:val="en-US" w:eastAsia="zh-CN"/>
                    </w:rPr>
                    <w:t>号：无资料</w:t>
                  </w:r>
                </w:p>
              </w:tc>
              <w:tc>
                <w:tcPr>
                  <w:tcW w:w="1046" w:type="pct"/>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CAS</w:t>
                  </w:r>
                  <w:r>
                    <w:rPr>
                      <w:rFonts w:hint="eastAsia"/>
                      <w:lang w:val="en-US" w:eastAsia="zh-CN"/>
                    </w:rPr>
                    <w:t>：7664-93-9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single" w:color="auto" w:sz="12"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物质危险性类别</w:t>
                  </w:r>
                </w:p>
              </w:tc>
              <w:tc>
                <w:tcPr>
                  <w:tcW w:w="2685" w:type="pct"/>
                  <w:gridSpan w:val="2"/>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第8.1类酸性腐蚀品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restart"/>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理化</w:t>
                  </w:r>
                </w:p>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性质</w:t>
                  </w:r>
                </w:p>
              </w:tc>
              <w:tc>
                <w:tcPr>
                  <w:tcW w:w="4538" w:type="pct"/>
                  <w:gridSpan w:val="3"/>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left"/>
                    <w:rPr>
                      <w:rFonts w:hint="default"/>
                      <w:lang w:val="en-US"/>
                    </w:rPr>
                  </w:pPr>
                  <w:r>
                    <w:rPr>
                      <w:rFonts w:hint="default"/>
                      <w:lang w:val="en-US" w:eastAsia="zh-CN"/>
                    </w:rPr>
                    <w:t>性状：无水硫酸为无色油状液体</w:t>
                  </w:r>
                  <w:r>
                    <w:rPr>
                      <w:rFonts w:hint="eastAsia"/>
                      <w:lang w:val="en-US" w:eastAsia="zh-CN"/>
                    </w:rPr>
                    <w:t>，具有强腐蚀性、强刺激性，可致人体灼伤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熔点</w:t>
                  </w:r>
                  <w:r>
                    <w:rPr>
                      <w:rFonts w:hint="eastAsia"/>
                      <w:lang w:val="en-US" w:eastAsia="zh-CN"/>
                    </w:rPr>
                    <w:t>(</w:t>
                  </w:r>
                  <w:r>
                    <w:rPr>
                      <w:rFonts w:hint="default"/>
                      <w:lang w:val="en-US" w:eastAsia="zh-CN"/>
                    </w:rPr>
                    <w:t>℃</w:t>
                  </w:r>
                  <w:r>
                    <w:rPr>
                      <w:rFonts w:hint="eastAsia"/>
                      <w:lang w:val="en-US" w:eastAsia="zh-CN"/>
                    </w:rPr>
                    <w:t>)：10.5</w:t>
                  </w:r>
                </w:p>
              </w:tc>
              <w:tc>
                <w:tcPr>
                  <w:tcW w:w="2685" w:type="pct"/>
                  <w:gridSpan w:val="2"/>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溶解性：</w:t>
                  </w:r>
                  <w:r>
                    <w:rPr>
                      <w:rFonts w:hint="eastAsia"/>
                      <w:lang w:val="en-US" w:eastAsia="zh-CN"/>
                    </w:rPr>
                    <w:t>与水混溶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61" w:type="pct"/>
                  <w:vMerge w:val="continue"/>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沸点</w:t>
                  </w:r>
                  <w:r>
                    <w:rPr>
                      <w:rFonts w:hint="eastAsia"/>
                      <w:lang w:val="en-US" w:eastAsia="zh-CN"/>
                    </w:rPr>
                    <w:t>(</w:t>
                  </w:r>
                  <w:r>
                    <w:rPr>
                      <w:rFonts w:hint="default"/>
                      <w:lang w:val="en-US" w:eastAsia="zh-CN"/>
                    </w:rPr>
                    <w:t>℃</w:t>
                  </w:r>
                  <w:r>
                    <w:rPr>
                      <w:rFonts w:hint="eastAsia"/>
                      <w:lang w:val="en-US" w:eastAsia="zh-CN"/>
                    </w:rPr>
                    <w:t>)：330.0</w:t>
                  </w:r>
                </w:p>
              </w:tc>
              <w:tc>
                <w:tcPr>
                  <w:tcW w:w="2685" w:type="pct"/>
                  <w:gridSpan w:val="2"/>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default"/>
                      <w:lang w:val="en-US" w:eastAsia="zh-CN"/>
                    </w:rPr>
                    <w:t>相对密度</w:t>
                  </w:r>
                  <w:r>
                    <w:rPr>
                      <w:rFonts w:hint="eastAsia"/>
                      <w:lang w:val="en-US" w:eastAsia="zh-CN"/>
                    </w:rPr>
                    <w:t>(</w:t>
                  </w:r>
                  <w:r>
                    <w:rPr>
                      <w:rFonts w:hint="default"/>
                      <w:lang w:val="en-US" w:eastAsia="zh-CN"/>
                    </w:rPr>
                    <w:t>水=1</w:t>
                  </w:r>
                  <w:r>
                    <w:rPr>
                      <w:rFonts w:hint="eastAsia"/>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restart"/>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燃烧爆炸危险性</w:t>
                  </w:r>
                </w:p>
              </w:tc>
              <w:tc>
                <w:tcPr>
                  <w:tcW w:w="4538" w:type="pct"/>
                  <w:gridSpan w:val="3"/>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left"/>
                    <w:rPr>
                      <w:rFonts w:hint="default"/>
                    </w:rPr>
                  </w:pPr>
                  <w:r>
                    <w:rPr>
                      <w:rFonts w:hint="default"/>
                      <w:lang w:val="en-US" w:eastAsia="zh-CN"/>
                    </w:rPr>
                    <w:t>燃烧性：</w:t>
                  </w:r>
                  <w:r>
                    <w:rPr>
                      <w:rFonts w:hint="eastAsia"/>
                      <w:lang w:val="en-US" w:eastAsia="zh-CN"/>
                    </w:rPr>
                    <w:t>助燃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禁忌物：</w:t>
                  </w:r>
                  <w:r>
                    <w:rPr>
                      <w:rFonts w:hint="eastAsia"/>
                      <w:lang w:val="en-US" w:eastAsia="zh-CN"/>
                    </w:rPr>
                    <w:t>碱类、碱金属、水、强还原剂、易燃或可燃物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危险特性：</w:t>
                  </w:r>
                  <w:r>
                    <w:rPr>
                      <w:rFonts w:hint="eastAsia"/>
                      <w:lang w:val="en-US" w:eastAsia="zh-CN"/>
                    </w:rPr>
                    <w:t>遇水大量放热，可发生沸溅。与易燃物(如苯)和可燃物(如糖、纤维素等)接触会发生剧烈反应，甚至引起燃烧。遇电石、高氯酸盐、雷酸盐、硝酸盐、苦味酸盐、金属粉末等猛烈反应，发生爆炸或燃烧。有强烈的腐蚀性和吸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eastAsia"/>
                      <w:lang w:val="en-US" w:eastAsia="zh-CN"/>
                    </w:rPr>
                  </w:pPr>
                  <w:r>
                    <w:rPr>
                      <w:rFonts w:hint="default"/>
                      <w:lang w:val="en-US" w:eastAsia="zh-CN"/>
                    </w:rPr>
                    <w:t>灭火方法：</w:t>
                  </w:r>
                  <w:r>
                    <w:rPr>
                      <w:rFonts w:hint="eastAsia"/>
                      <w:lang w:val="en-US" w:eastAsia="zh-CN"/>
                    </w:rPr>
                    <w:t>消防人员必须穿全身耐酸碱消防服。</w:t>
                  </w:r>
                </w:p>
                <w:p>
                  <w:pPr>
                    <w:pStyle w:val="19"/>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灭火剂：干粉、二氧化碳、砂土。避免水流冲击物品，以免遇水会放出大量热量发生喷溅而灼伤皮肤。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restart"/>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毒性</w:t>
                  </w: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毒理学资料</w:t>
                  </w:r>
                </w:p>
              </w:tc>
              <w:tc>
                <w:tcPr>
                  <w:tcW w:w="2685" w:type="pct"/>
                  <w:gridSpan w:val="2"/>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eastAsia"/>
                      <w:lang w:val="en-US" w:eastAsia="zh-CN"/>
                    </w:rPr>
                  </w:pPr>
                  <w:r>
                    <w:rPr>
                      <w:rFonts w:hint="default"/>
                      <w:lang w:val="en-US" w:eastAsia="zh-CN"/>
                    </w:rPr>
                    <w:t>LD50</w:t>
                  </w:r>
                  <w:r>
                    <w:rPr>
                      <w:rFonts w:hint="eastAsia"/>
                      <w:lang w:val="en-US" w:eastAsia="zh-CN"/>
                    </w:rPr>
                    <w:t>：2140mg/kg(大鼠经口)</w:t>
                  </w:r>
                </w:p>
                <w:p>
                  <w:pPr>
                    <w:pStyle w:val="19"/>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L</w:t>
                  </w:r>
                  <w:r>
                    <w:rPr>
                      <w:rFonts w:hint="eastAsia"/>
                      <w:lang w:val="en-US" w:eastAsia="zh-CN"/>
                    </w:rPr>
                    <w:t>C</w:t>
                  </w:r>
                  <w:r>
                    <w:rPr>
                      <w:rFonts w:hint="default"/>
                      <w:lang w:val="en-US" w:eastAsia="zh-CN"/>
                    </w:rPr>
                    <w:t>50：</w:t>
                  </w:r>
                  <w:r>
                    <w:rPr>
                      <w:rFonts w:hint="eastAsia"/>
                      <w:lang w:val="en-US" w:eastAsia="zh-CN"/>
                    </w:rPr>
                    <w:t>510</w:t>
                  </w:r>
                  <w:r>
                    <w:rPr>
                      <w:rFonts w:hint="default"/>
                      <w:lang w:val="en-US" w:eastAsia="zh-CN"/>
                    </w:rPr>
                    <w:t>mg/</w:t>
                  </w:r>
                  <w:r>
                    <w:rPr>
                      <w:rFonts w:hint="eastAsia"/>
                      <w:lang w:val="en-US" w:eastAsia="zh-CN"/>
                    </w:rPr>
                    <w:t>m</w:t>
                  </w:r>
                  <w:r>
                    <w:rPr>
                      <w:rFonts w:hint="eastAsia"/>
                      <w:vertAlign w:val="superscript"/>
                      <w:lang w:val="en-US" w:eastAsia="zh-CN"/>
                    </w:rPr>
                    <w:t>3</w:t>
                  </w:r>
                  <w:r>
                    <w:rPr>
                      <w:rFonts w:hint="eastAsia"/>
                      <w:lang w:val="en-US" w:eastAsia="zh-CN"/>
                    </w:rPr>
                    <w:t>，2小时(</w:t>
                  </w:r>
                  <w:r>
                    <w:rPr>
                      <w:rFonts w:hint="default"/>
                      <w:lang w:val="en-US" w:eastAsia="zh-CN"/>
                    </w:rPr>
                    <w:t>大鼠</w:t>
                  </w:r>
                  <w:r>
                    <w:rPr>
                      <w:rFonts w:hint="eastAsia"/>
                      <w:lang w:val="en-US" w:eastAsia="zh-CN"/>
                    </w:rPr>
                    <w:t>吸入)；320</w:t>
                  </w:r>
                  <w:r>
                    <w:rPr>
                      <w:rFonts w:hint="default"/>
                      <w:lang w:val="en-US" w:eastAsia="zh-CN"/>
                    </w:rPr>
                    <w:t>mg/</w:t>
                  </w:r>
                  <w:r>
                    <w:rPr>
                      <w:rFonts w:hint="eastAsia"/>
                      <w:lang w:val="en-US" w:eastAsia="zh-CN"/>
                    </w:rPr>
                    <w:t>m</w:t>
                  </w:r>
                  <w:r>
                    <w:rPr>
                      <w:rFonts w:hint="eastAsia"/>
                      <w:vertAlign w:val="superscript"/>
                      <w:lang w:val="en-US" w:eastAsia="zh-CN"/>
                    </w:rPr>
                    <w:t>3</w:t>
                  </w:r>
                  <w:r>
                    <w:rPr>
                      <w:rFonts w:hint="eastAsia"/>
                      <w:lang w:val="en-US" w:eastAsia="zh-CN"/>
                    </w:rPr>
                    <w:t>，2小时(小</w:t>
                  </w:r>
                  <w:r>
                    <w:rPr>
                      <w:rFonts w:hint="default"/>
                      <w:lang w:val="en-US" w:eastAsia="zh-CN"/>
                    </w:rPr>
                    <w:t>鼠</w:t>
                  </w:r>
                  <w:r>
                    <w:rPr>
                      <w:rFonts w:hint="eastAsia"/>
                      <w:lang w:val="en-US" w:eastAsia="zh-CN"/>
                    </w:rPr>
                    <w:t>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default"/>
                      <w:lang w:val="en-US"/>
                    </w:rPr>
                  </w:pPr>
                  <w:r>
                    <w:rPr>
                      <w:rFonts w:hint="eastAsia"/>
                      <w:lang w:val="en-US" w:eastAsia="zh-CN"/>
                    </w:rPr>
                    <w:t>刺激性：家兔经眼：1380</w:t>
                  </w:r>
                  <w:r>
                    <w:rPr>
                      <w:rFonts w:hint="default"/>
                      <w:lang w:val="en-US" w:eastAsia="zh-CN"/>
                    </w:rPr>
                    <w:t>μ</w:t>
                  </w:r>
                  <w:r>
                    <w:rPr>
                      <w:rFonts w:hint="eastAsia"/>
                      <w:lang w:val="en-US" w:eastAsia="zh-CN"/>
                    </w:rPr>
                    <w:t>g，重度刺激。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对人体危害</w:t>
                  </w:r>
                </w:p>
              </w:tc>
              <w:tc>
                <w:tcPr>
                  <w:tcW w:w="4538" w:type="pct"/>
                  <w:gridSpan w:val="3"/>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rPr>
                  </w:pPr>
                  <w:r>
                    <w:rPr>
                      <w:rFonts w:hint="default"/>
                    </w:rPr>
                    <w:t>对皮肤、粘膜等组织有强烈的刺激和腐蚀作用。蒸气或雾可引起结膜炎、结膜水肿、角膜混浊，以致失明；引起呼吸道刺激，重者发生呼吸困难和肺水肿；高浓度引起喉痉挛或声门水肿而窒息死亡。口服后引起消化道烧伤以致溃疡形成；严重者可能有胃穿孔、腹膜炎、肾损害、休克等。皮肤灼伤轻者出现红斑、重者形成溃疡，愈后癍痕收缩影响功能。溅入眼内可造成灼伤，甚至角膜穿孔、全眼炎以至失明。慢性影响：牙齿酸蚀症、慢性支气管炎、肺气肿和肺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461"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急救</w:t>
                  </w:r>
                </w:p>
              </w:tc>
              <w:tc>
                <w:tcPr>
                  <w:tcW w:w="4538" w:type="pct"/>
                  <w:gridSpan w:val="3"/>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rPr>
                  </w:pPr>
                  <w:r>
                    <w:rPr>
                      <w:rFonts w:hint="default"/>
                      <w:lang w:val="en-US" w:eastAsia="zh-CN"/>
                    </w:rPr>
                    <w:t>皮肤接触：立即脱去污染的衣着，用大量流动清水冲洗至少15分钟。就医。</w:t>
                  </w:r>
                </w:p>
                <w:p>
                  <w:pPr>
                    <w:pStyle w:val="19"/>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眼睛接触：</w:t>
                  </w:r>
                  <w:r>
                    <w:rPr>
                      <w:rFonts w:hint="eastAsia"/>
                      <w:lang w:val="en-US" w:eastAsia="zh-CN"/>
                    </w:rPr>
                    <w:t>立即提起眼睑，用大量流动清水或生理盐水彻底冲洗至少15min。就医。</w:t>
                  </w:r>
                </w:p>
                <w:p>
                  <w:pPr>
                    <w:pStyle w:val="19"/>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吸入：</w:t>
                  </w:r>
                  <w:r>
                    <w:rPr>
                      <w:rFonts w:hint="eastAsia"/>
                      <w:lang w:val="en-US" w:eastAsia="zh-CN"/>
                    </w:rPr>
                    <w:t>迅速脱离现场至空气新鲜处。保持呼吸道畅通。如呼吸困难，输氧，如呼吸停止，立即进行人工呼吸。就医。</w:t>
                  </w:r>
                </w:p>
                <w:p>
                  <w:pPr>
                    <w:pStyle w:val="19"/>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食入：</w:t>
                  </w:r>
                  <w:r>
                    <w:rPr>
                      <w:rFonts w:hint="eastAsia"/>
                      <w:lang w:val="en-US" w:eastAsia="zh-CN"/>
                    </w:rPr>
                    <w:t>用水漱口，给饮牛奶或蛋清。就医。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泄漏</w:t>
                  </w:r>
                </w:p>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处理</w:t>
                  </w:r>
                </w:p>
              </w:tc>
              <w:tc>
                <w:tcPr>
                  <w:tcW w:w="4538" w:type="pct"/>
                  <w:gridSpan w:val="3"/>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泄漏处理：</w:t>
                  </w:r>
                  <w:r>
                    <w:rPr>
                      <w:rFonts w:hint="eastAsia"/>
                      <w:lang w:val="en-US" w:eastAsia="zh-CN"/>
                    </w:rPr>
                    <w:t>迅速撤离泄露污染区人员至安全区，并进行隔离，严格限制出入。建议应急处理人员戴自给正压式呼吸器，穿防酸碱工作服。不要直接接触泄漏物。尽可能切断泄露源。防止流入下水道、排洪沟等限制性空间。</w:t>
                  </w:r>
                </w:p>
                <w:p>
                  <w:pPr>
                    <w:pStyle w:val="19"/>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小量泄漏：</w:t>
                  </w:r>
                  <w:r>
                    <w:rPr>
                      <w:rFonts w:hint="eastAsia"/>
                      <w:lang w:val="en-US" w:eastAsia="zh-CN"/>
                    </w:rPr>
                    <w:t>用砂土、干燥石灰或苏打灰混合。也可以用大量水冲洗，洗水稀释后放入废水系统。</w:t>
                  </w:r>
                </w:p>
                <w:p>
                  <w:pPr>
                    <w:pStyle w:val="19"/>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消防措施：</w:t>
                  </w:r>
                  <w:r>
                    <w:rPr>
                      <w:rFonts w:hint="eastAsia"/>
                      <w:lang w:val="en-US" w:eastAsia="zh-CN"/>
                    </w:rPr>
                    <w:t>构筑围堤或挖坑收容。用泵转移至槽车或专用收集器内，回收或运至废物处理场所处置。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tcBorders>
                    <w:top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储运</w:t>
                  </w:r>
                </w:p>
              </w:tc>
              <w:tc>
                <w:tcPr>
                  <w:tcW w:w="4538" w:type="pct"/>
                  <w:gridSpan w:val="3"/>
                  <w:tcBorders>
                    <w:top w:val="single" w:color="auto" w:sz="4" w:space="0"/>
                    <w:left w:val="nil"/>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储存于阴凉、通风的库房。库温不超过35℃，相对湿度不超过85%。保持容器密封。应与易(可)燃物、还原剂、碱类、碱金属、食用化学品分开存放，切忌混储。储区应备有泄露应急处理设备和适合的收容材料。</w:t>
                  </w:r>
                </w:p>
              </w:tc>
            </w:tr>
          </w:tbl>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1"/>
                <w:numId w:val="19"/>
              </w:numPr>
              <w:suppressLineNumbers w:val="0"/>
              <w:tabs>
                <w:tab w:val="left" w:pos="420"/>
              </w:tabs>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cs="宋体"/>
                <w:color w:val="auto"/>
                <w:kern w:val="2"/>
                <w:sz w:val="24"/>
                <w:szCs w:val="24"/>
                <w:lang w:val="en-US" w:eastAsia="zh-CN" w:bidi="ar"/>
              </w:rPr>
              <w:t>储运过程中的</w:t>
            </w:r>
            <w:r>
              <w:rPr>
                <w:rFonts w:hint="eastAsia" w:ascii="宋体" w:hAnsi="宋体" w:eastAsia="宋体" w:cs="宋体"/>
                <w:color w:val="auto"/>
                <w:kern w:val="2"/>
                <w:sz w:val="24"/>
                <w:szCs w:val="24"/>
                <w:lang w:val="en-US" w:eastAsia="zh-CN" w:bidi="ar"/>
              </w:rPr>
              <w:t>风险识别</w:t>
            </w:r>
          </w:p>
          <w:p>
            <w:pPr>
              <w:keepNext w:val="0"/>
              <w:keepLines w:val="0"/>
              <w:suppressLineNumbers w:val="0"/>
              <w:bidi w:val="0"/>
              <w:spacing w:before="0" w:beforeAutospacing="0" w:after="0" w:afterAutospacing="0"/>
              <w:ind w:left="0" w:right="0"/>
              <w:rPr>
                <w:rFonts w:hint="default"/>
                <w:lang w:val="en-US" w:eastAsia="zh-CN"/>
              </w:rPr>
            </w:pPr>
            <w:r>
              <w:rPr>
                <w:rFonts w:hint="eastAsia"/>
                <w:color w:val="auto"/>
                <w:lang w:val="en-US" w:eastAsia="zh-CN"/>
              </w:rPr>
              <w:t>本项目运入的物料(指危险物料)为硫酸、天然气和氢氧化钾，</w:t>
            </w:r>
            <w:r>
              <w:rPr>
                <w:rFonts w:hint="eastAsia"/>
                <w:lang w:val="en-US" w:eastAsia="zh-CN"/>
              </w:rPr>
              <w:t>本项目危险物料运输过程中存在的主要危险因素见下表。</w:t>
            </w:r>
          </w:p>
          <w:p>
            <w:pPr>
              <w:pStyle w:val="20"/>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项目危险物料储运过程中存在的主要危险因素一览表</w:t>
            </w:r>
          </w:p>
          <w:tbl>
            <w:tblPr>
              <w:tblStyle w:val="15"/>
              <w:tblpPr w:leftFromText="180" w:rightFromText="180" w:vertAnchor="text" w:horzAnchor="page" w:tblpXSpec="center" w:tblpY="11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09"/>
              <w:gridCol w:w="809"/>
              <w:gridCol w:w="1049"/>
              <w:gridCol w:w="2865"/>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1" w:hRule="atLeast"/>
                <w:jc w:val="center"/>
              </w:trPr>
              <w:tc>
                <w:tcPr>
                  <w:tcW w:w="642" w:type="pct"/>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物质名称</w:t>
                  </w:r>
                </w:p>
              </w:tc>
              <w:tc>
                <w:tcPr>
                  <w:tcW w:w="468" w:type="pct"/>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用途</w:t>
                  </w:r>
                </w:p>
              </w:tc>
              <w:tc>
                <w:tcPr>
                  <w:tcW w:w="607"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rPr>
                  </w:pPr>
                  <w:r>
                    <w:rPr>
                      <w:rFonts w:hint="eastAsia"/>
                      <w:lang w:val="en-US" w:eastAsia="zh-CN"/>
                    </w:rPr>
                    <w:t>风险类型</w:t>
                  </w:r>
                </w:p>
              </w:tc>
              <w:tc>
                <w:tcPr>
                  <w:tcW w:w="1658"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风险内容</w:t>
                  </w:r>
                </w:p>
              </w:tc>
              <w:tc>
                <w:tcPr>
                  <w:tcW w:w="1623"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2" w:type="pct"/>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硫酸</w:t>
                  </w:r>
                </w:p>
              </w:tc>
              <w:tc>
                <w:tcPr>
                  <w:tcW w:w="468" w:type="pct"/>
                  <w:shd w:val="clear" w:color="auto" w:fill="auto"/>
                  <w:vAlign w:val="center"/>
                </w:tcPr>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原料</w:t>
                  </w:r>
                </w:p>
              </w:tc>
              <w:tc>
                <w:tcPr>
                  <w:tcW w:w="607" w:type="pct"/>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泄露</w:t>
                  </w:r>
                </w:p>
              </w:tc>
              <w:tc>
                <w:tcPr>
                  <w:tcW w:w="1658"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浓硫酸储存罐由于受损或人员违规操作等原因导致硫酸泄露。</w:t>
                  </w:r>
                </w:p>
              </w:tc>
              <w:tc>
                <w:tcPr>
                  <w:tcW w:w="1623"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造成大量硫酸雾排放，危及周围人群的健康和生命安全；影响环境空气质量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2"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天然气</w:t>
                  </w:r>
                </w:p>
              </w:tc>
              <w:tc>
                <w:tcPr>
                  <w:tcW w:w="468" w:type="pct"/>
                  <w:shd w:val="clear" w:color="auto" w:fill="auto"/>
                  <w:vAlign w:val="center"/>
                </w:tcPr>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锅炉</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燃料</w:t>
                  </w:r>
                </w:p>
              </w:tc>
              <w:tc>
                <w:tcPr>
                  <w:tcW w:w="607"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泄露</w:t>
                  </w:r>
                </w:p>
              </w:tc>
              <w:tc>
                <w:tcPr>
                  <w:tcW w:w="1658"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园区管网运输至厂区由于管道受损或人员违规操作等因素导致天然气泄露。</w:t>
                  </w:r>
                </w:p>
              </w:tc>
              <w:tc>
                <w:tcPr>
                  <w:tcW w:w="1623"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造成天然气大量泄露，有火灾、爆炸的风险，危及周围人群的健康和生命安全；影响环境空气质量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2"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氢氧化钾</w:t>
                  </w:r>
                </w:p>
              </w:tc>
              <w:tc>
                <w:tcPr>
                  <w:tcW w:w="468"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配置喷淋碱液</w:t>
                  </w:r>
                </w:p>
              </w:tc>
              <w:tc>
                <w:tcPr>
                  <w:tcW w:w="607"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泄露</w:t>
                  </w:r>
                </w:p>
              </w:tc>
              <w:tc>
                <w:tcPr>
                  <w:tcW w:w="1658"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包装袋破损或人员违规操作导致氢氧化钾泄露</w:t>
                  </w:r>
                </w:p>
              </w:tc>
              <w:tc>
                <w:tcPr>
                  <w:tcW w:w="1623" w:type="pct"/>
                  <w:shd w:val="clear" w:color="auto" w:fill="auto"/>
                  <w:vAlign w:val="center"/>
                </w:tcPr>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造成氢氧化钾泄露，危及周围人群的健康和安全</w:t>
                  </w:r>
                </w:p>
              </w:tc>
            </w:tr>
          </w:tbl>
          <w:p>
            <w:pPr>
              <w:keepNext w:val="0"/>
              <w:keepLines w:val="0"/>
              <w:numPr>
                <w:ilvl w:val="1"/>
                <w:numId w:val="19"/>
              </w:numPr>
              <w:suppressLineNumbers w:val="0"/>
              <w:tabs>
                <w:tab w:val="left" w:pos="420"/>
              </w:tabs>
              <w:bidi w:val="0"/>
              <w:spacing w:before="0" w:beforeAutospacing="0" w:after="0" w:afterAutospacing="0"/>
              <w:ind w:right="0"/>
              <w:rPr>
                <w:rFonts w:hint="default"/>
                <w:lang w:val="en-US" w:eastAsia="zh-CN"/>
              </w:rPr>
            </w:pPr>
            <w:r>
              <w:rPr>
                <w:rFonts w:hint="eastAsia"/>
                <w:lang w:val="en-US" w:eastAsia="zh-CN"/>
              </w:rPr>
              <w:t>生产过程中的风险识别</w:t>
            </w:r>
          </w:p>
          <w:p>
            <w:pPr>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在生产过程中，硫酸主要在反应釜及硫酸调配系统中使用，如果工艺设备出现泄漏或操作不慎，硫酸泄漏，易导致车间工人因接触或吸入硫酸而发生灼伤或中毒，为主要事故隐患。</w:t>
            </w:r>
            <w:r>
              <w:rPr>
                <w:rFonts w:hint="default" w:ascii="Times New Roman" w:hAnsi="Times New Roman" w:eastAsia="宋体" w:cs="Times New Roman"/>
                <w:color w:val="auto"/>
                <w:sz w:val="24"/>
                <w:szCs w:val="24"/>
                <w:highlight w:val="none"/>
              </w:rPr>
              <w:t>本项目各装置生产过程中主要事故及易发场所，见</w:t>
            </w:r>
            <w:r>
              <w:rPr>
                <w:rFonts w:hint="eastAsia" w:eastAsia="宋体" w:cs="Times New Roman"/>
                <w:color w:val="auto"/>
                <w:sz w:val="24"/>
                <w:szCs w:val="24"/>
                <w:highlight w:val="none"/>
                <w:lang w:val="en-US" w:eastAsia="zh-CN"/>
              </w:rPr>
              <w:t>下</w:t>
            </w:r>
            <w:r>
              <w:rPr>
                <w:rFonts w:hint="default" w:ascii="Times New Roman" w:hAnsi="Times New Roman" w:eastAsia="宋体" w:cs="Times New Roman"/>
                <w:color w:val="auto"/>
                <w:sz w:val="24"/>
                <w:szCs w:val="24"/>
                <w:highlight w:val="none"/>
              </w:rPr>
              <w:t>表</w:t>
            </w:r>
            <w:r>
              <w:rPr>
                <w:rFonts w:hint="eastAsia" w:eastAsia="宋体" w:cs="Times New Roman"/>
                <w:color w:val="auto"/>
                <w:sz w:val="24"/>
                <w:szCs w:val="24"/>
                <w:highlight w:val="none"/>
                <w:lang w:eastAsia="zh-CN"/>
              </w:rPr>
              <w:t>。</w:t>
            </w:r>
          </w:p>
          <w:p>
            <w:pPr>
              <w:pStyle w:val="20"/>
              <w:keepNext w:val="0"/>
              <w:keepLines w:val="0"/>
              <w:suppressLineNumbers w:val="0"/>
              <w:bidi w:val="0"/>
              <w:spacing w:before="0" w:beforeAutospacing="0" w:after="0" w:afterAutospacing="0"/>
              <w:ind w:left="0" w:right="0"/>
              <w:rPr>
                <w:rFonts w:hint="default"/>
              </w:rPr>
            </w:pPr>
            <w:r>
              <w:rPr>
                <w:rFonts w:hint="default"/>
              </w:rPr>
              <w:t>本项目主要事故因素及易发场所</w:t>
            </w:r>
          </w:p>
          <w:tbl>
            <w:tblPr>
              <w:tblStyle w:val="15"/>
              <w:tblW w:w="49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48"/>
              <w:gridCol w:w="4165"/>
              <w:gridCol w:w="372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3" w:hRule="atLeast"/>
                <w:jc w:val="center"/>
              </w:trPr>
              <w:tc>
                <w:tcPr>
                  <w:tcW w:w="433" w:type="pct"/>
                  <w:tcBorders>
                    <w:bottom w:val="single" w:color="000000" w:sz="6" w:space="0"/>
                    <w:right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default"/>
                    </w:rPr>
                    <w:t>序号</w:t>
                  </w:r>
                </w:p>
              </w:tc>
              <w:tc>
                <w:tcPr>
                  <w:tcW w:w="2411" w:type="pct"/>
                  <w:tcBorders>
                    <w:left w:val="single" w:color="000000" w:sz="6" w:space="0"/>
                    <w:bottom w:val="single" w:color="000000" w:sz="6" w:space="0"/>
                    <w:right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default"/>
                    </w:rPr>
                    <w:t>主要事故部位</w:t>
                  </w:r>
                </w:p>
              </w:tc>
              <w:tc>
                <w:tcPr>
                  <w:tcW w:w="2155" w:type="pct"/>
                  <w:tcBorders>
                    <w:left w:val="single" w:color="000000" w:sz="6" w:space="0"/>
                    <w:bottom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default"/>
                    </w:rPr>
                    <w:t>事故类型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3" w:hRule="atLeast"/>
                <w:jc w:val="center"/>
              </w:trPr>
              <w:tc>
                <w:tcPr>
                  <w:tcW w:w="433" w:type="pct"/>
                  <w:tcBorders>
                    <w:top w:val="single" w:color="000000" w:sz="6" w:space="0"/>
                    <w:bottom w:val="single" w:color="000000" w:sz="6" w:space="0"/>
                    <w:right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default"/>
                    </w:rPr>
                    <w:t>1</w:t>
                  </w:r>
                </w:p>
              </w:tc>
              <w:tc>
                <w:tcPr>
                  <w:tcW w:w="2411" w:type="pct"/>
                  <w:tcBorders>
                    <w:top w:val="single" w:color="000000" w:sz="6" w:space="0"/>
                    <w:left w:val="single" w:color="000000" w:sz="6" w:space="0"/>
                    <w:bottom w:val="single" w:color="000000" w:sz="6" w:space="0"/>
                    <w:right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自动配酸系统</w:t>
                  </w:r>
                </w:p>
              </w:tc>
              <w:tc>
                <w:tcPr>
                  <w:tcW w:w="2155" w:type="pct"/>
                  <w:tcBorders>
                    <w:top w:val="single" w:color="000000" w:sz="6" w:space="0"/>
                    <w:left w:val="single" w:color="000000" w:sz="6" w:space="0"/>
                    <w:bottom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default"/>
                    </w:rPr>
                    <w:t>污染、化学灼伤、中毒</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3" w:hRule="atLeast"/>
                <w:jc w:val="center"/>
              </w:trPr>
              <w:tc>
                <w:tcPr>
                  <w:tcW w:w="433" w:type="pct"/>
                  <w:tcBorders>
                    <w:top w:val="single" w:color="000000" w:sz="6" w:space="0"/>
                    <w:bottom w:val="single" w:color="000000" w:sz="6" w:space="0"/>
                    <w:right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default"/>
                    </w:rPr>
                    <w:t>2</w:t>
                  </w:r>
                </w:p>
              </w:tc>
              <w:tc>
                <w:tcPr>
                  <w:tcW w:w="2411" w:type="pct"/>
                  <w:tcBorders>
                    <w:top w:val="single" w:color="000000" w:sz="6" w:space="0"/>
                    <w:left w:val="single" w:color="000000" w:sz="6" w:space="0"/>
                    <w:bottom w:val="single" w:color="000000" w:sz="6" w:space="0"/>
                    <w:right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eastAsia"/>
                      <w:lang w:val="en-US" w:eastAsia="zh-CN"/>
                    </w:rPr>
                    <w:t>酸解反应釜</w:t>
                  </w:r>
                </w:p>
              </w:tc>
              <w:tc>
                <w:tcPr>
                  <w:tcW w:w="2155" w:type="pct"/>
                  <w:tcBorders>
                    <w:top w:val="single" w:color="000000" w:sz="6" w:space="0"/>
                    <w:left w:val="single" w:color="000000" w:sz="6" w:space="0"/>
                    <w:bottom w:val="single" w:color="000000" w:sz="6" w:space="0"/>
                  </w:tcBorders>
                  <w:vAlign w:val="center"/>
                </w:tcPr>
                <w:p>
                  <w:pPr>
                    <w:pStyle w:val="19"/>
                    <w:keepNext w:val="0"/>
                    <w:keepLines w:val="0"/>
                    <w:suppressLineNumbers w:val="0"/>
                    <w:bidi w:val="0"/>
                    <w:spacing w:before="0" w:beforeAutospacing="0" w:after="0" w:afterAutospacing="0"/>
                    <w:ind w:left="0" w:right="0"/>
                    <w:rPr>
                      <w:rFonts w:hint="default"/>
                    </w:rPr>
                  </w:pPr>
                  <w:r>
                    <w:rPr>
                      <w:rFonts w:hint="default"/>
                    </w:rPr>
                    <w:t>污染、化学灼伤、中毒</w:t>
                  </w:r>
                </w:p>
              </w:tc>
            </w:tr>
          </w:tbl>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default"/>
                <w:lang w:val="en-US" w:eastAsia="zh-CN"/>
              </w:rPr>
              <w:t>环保措施运行过程中的风险识别</w:t>
            </w:r>
          </w:p>
          <w:p>
            <w:pPr>
              <w:keepNext w:val="0"/>
              <w:keepLines w:val="0"/>
              <w:suppressLineNumbers w:val="0"/>
              <w:bidi w:val="0"/>
              <w:spacing w:before="0" w:beforeAutospacing="0" w:after="0" w:afterAutospacing="0"/>
              <w:ind w:left="0" w:right="0"/>
              <w:rPr>
                <w:rFonts w:hint="default"/>
              </w:rPr>
            </w:pPr>
            <w:r>
              <w:rPr>
                <w:rFonts w:hint="default"/>
                <w:lang w:val="en-US" w:eastAsia="zh-CN"/>
              </w:rPr>
              <w:t>废气污染事故性排放的风险</w:t>
            </w:r>
            <w:r>
              <w:rPr>
                <w:rFonts w:hint="eastAsia"/>
                <w:lang w:val="en-US" w:eastAsia="zh-CN"/>
              </w:rPr>
              <w:t>：</w:t>
            </w:r>
            <w:r>
              <w:rPr>
                <w:rFonts w:hint="default"/>
                <w:lang w:val="en-US" w:eastAsia="zh-CN"/>
              </w:rPr>
              <w:t>项目废气处理设施失效，如风机故障，酸雾腐蚀风管导致泄漏等，当废气处理设施发生故障时，大量未经处理的废气将随风扩散，将对周围的环境空气质量造成不良影响。</w:t>
            </w:r>
          </w:p>
          <w:p>
            <w:pPr>
              <w:pStyle w:val="2"/>
              <w:numPr>
                <w:ilvl w:val="0"/>
                <w:numId w:val="16"/>
              </w:numPr>
              <w:suppressLineNumbers w:val="0"/>
              <w:bidi w:val="0"/>
              <w:spacing w:before="0" w:after="0"/>
              <w:ind w:right="0"/>
              <w:rPr>
                <w:rFonts w:hint="default"/>
              </w:rPr>
            </w:pPr>
            <w:r>
              <w:rPr>
                <w:rFonts w:hint="eastAsia"/>
                <w:lang w:val="en-US" w:eastAsia="zh-CN"/>
              </w:rPr>
              <w:t>环境</w:t>
            </w:r>
            <w:r>
              <w:rPr>
                <w:rFonts w:hint="default"/>
              </w:rPr>
              <w:t>风险</w:t>
            </w:r>
            <w:r>
              <w:rPr>
                <w:rFonts w:hint="eastAsia"/>
                <w:lang w:val="en-US" w:eastAsia="zh-CN"/>
              </w:rPr>
              <w:t>分析</w:t>
            </w:r>
          </w:p>
          <w:p>
            <w:pPr>
              <w:keepNext w:val="0"/>
              <w:keepLines w:val="0"/>
              <w:numPr>
                <w:ilvl w:val="1"/>
                <w:numId w:val="20"/>
              </w:numPr>
              <w:suppressLineNumbers w:val="0"/>
              <w:tabs>
                <w:tab w:val="left" w:pos="420"/>
              </w:tabs>
              <w:bidi w:val="0"/>
              <w:spacing w:before="0" w:beforeAutospacing="0" w:after="0" w:afterAutospacing="0"/>
              <w:ind w:right="0"/>
              <w:rPr>
                <w:rFonts w:hint="default"/>
              </w:rPr>
            </w:pPr>
            <w:r>
              <w:rPr>
                <w:rFonts w:hint="default"/>
              </w:rPr>
              <w:t>在生产过程中，由于硫酸具有腐蚀性，如果发生泄露事故，会对建构筑物、设备、管道、仪表、电气设施造成腐蚀性破坏，影响生产安全。</w:t>
            </w:r>
          </w:p>
          <w:p>
            <w:pPr>
              <w:keepNext w:val="0"/>
              <w:keepLines w:val="0"/>
              <w:numPr>
                <w:ilvl w:val="1"/>
                <w:numId w:val="20"/>
              </w:numPr>
              <w:suppressLineNumbers w:val="0"/>
              <w:tabs>
                <w:tab w:val="left" w:pos="420"/>
              </w:tabs>
              <w:bidi w:val="0"/>
              <w:spacing w:before="0" w:beforeAutospacing="0" w:after="0" w:afterAutospacing="0"/>
              <w:ind w:right="0"/>
              <w:rPr>
                <w:rFonts w:hint="default"/>
              </w:rPr>
            </w:pPr>
            <w:r>
              <w:rPr>
                <w:rFonts w:hint="default"/>
              </w:rPr>
              <w:t>由于</w:t>
            </w:r>
            <w:r>
              <w:rPr>
                <w:rFonts w:hint="eastAsia"/>
                <w:lang w:val="en-US" w:eastAsia="zh-CN"/>
              </w:rPr>
              <w:t>设备</w:t>
            </w:r>
            <w:r>
              <w:rPr>
                <w:rFonts w:hint="default"/>
              </w:rPr>
              <w:t>部件密封不严，设备老化，或工作人员操作失误等，造成硫酸</w:t>
            </w:r>
            <w:r>
              <w:rPr>
                <w:rFonts w:hint="eastAsia"/>
                <w:lang w:eastAsia="zh-CN"/>
              </w:rPr>
              <w:t>、</w:t>
            </w:r>
            <w:r>
              <w:rPr>
                <w:rFonts w:hint="eastAsia"/>
                <w:lang w:val="en-US" w:eastAsia="zh-CN"/>
              </w:rPr>
              <w:t>天然气和氢氧化钾</w:t>
            </w:r>
            <w:r>
              <w:rPr>
                <w:rFonts w:hint="default"/>
              </w:rPr>
              <w:t>等泄漏或逸散，致使沿途环境遭受污染，周围人群受到危害。</w:t>
            </w:r>
          </w:p>
          <w:p>
            <w:pPr>
              <w:keepNext w:val="0"/>
              <w:keepLines w:val="0"/>
              <w:numPr>
                <w:ilvl w:val="1"/>
                <w:numId w:val="20"/>
              </w:numPr>
              <w:suppressLineNumbers w:val="0"/>
              <w:tabs>
                <w:tab w:val="left" w:pos="420"/>
              </w:tabs>
              <w:bidi w:val="0"/>
              <w:spacing w:before="0" w:beforeAutospacing="0" w:after="0" w:afterAutospacing="0"/>
              <w:ind w:right="0"/>
              <w:rPr>
                <w:rFonts w:hint="default"/>
              </w:rPr>
            </w:pPr>
            <w:r>
              <w:rPr>
                <w:rFonts w:hint="default"/>
              </w:rPr>
              <w:t>物料</w:t>
            </w:r>
            <w:r>
              <w:rPr>
                <w:rFonts w:hint="eastAsia"/>
                <w:lang w:val="en-US" w:eastAsia="zh-CN"/>
              </w:rPr>
              <w:t>储存设施</w:t>
            </w:r>
            <w:r>
              <w:rPr>
                <w:rFonts w:hint="default"/>
              </w:rPr>
              <w:t>在缺乏完善和必要的防护措施情况下，因环境恶劣(如高温、雷击、静电等)导致物料泄漏或爆炸的危险。</w:t>
            </w:r>
          </w:p>
          <w:p>
            <w:pPr>
              <w:pStyle w:val="2"/>
              <w:numPr>
                <w:ilvl w:val="0"/>
                <w:numId w:val="16"/>
              </w:numPr>
              <w:suppressLineNumbers w:val="0"/>
              <w:bidi w:val="0"/>
              <w:spacing w:before="0" w:after="0"/>
              <w:ind w:right="0"/>
              <w:rPr>
                <w:rFonts w:hint="default"/>
                <w:lang w:val="en-US" w:eastAsia="zh-CN"/>
              </w:rPr>
            </w:pPr>
            <w:r>
              <w:rPr>
                <w:rFonts w:hint="default"/>
                <w:lang w:val="en-US" w:eastAsia="zh-CN"/>
              </w:rPr>
              <w:t>风险事故防范及减缓措施</w:t>
            </w:r>
          </w:p>
          <w:p>
            <w:pPr>
              <w:keepNext w:val="0"/>
              <w:keepLines w:val="0"/>
              <w:numPr>
                <w:ilvl w:val="1"/>
                <w:numId w:val="21"/>
              </w:numPr>
              <w:suppressLineNumbers w:val="0"/>
              <w:tabs>
                <w:tab w:val="left" w:pos="420"/>
              </w:tabs>
              <w:bidi w:val="0"/>
              <w:spacing w:before="0" w:beforeAutospacing="0" w:after="0" w:afterAutospacing="0"/>
              <w:ind w:right="0"/>
              <w:rPr>
                <w:rFonts w:hint="default"/>
                <w:lang w:val="en-US" w:eastAsia="zh-CN"/>
              </w:rPr>
            </w:pPr>
            <w:r>
              <w:rPr>
                <w:rFonts w:hint="default"/>
                <w:lang w:val="en-US" w:eastAsia="zh-CN"/>
              </w:rPr>
              <w:t>运输、储存及生产过程中风险防范对策及措施</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有毒有害物料的理化性质、毒理学特征，环境风险因素分析，以及物料的运输、储存方式和生产工艺，充分考虑工程所处的地理位置、区域自然环境和社会概况，对在运输、储存及生产过程中的环境风险提出以下防范对策与措施：</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硫酸危险品的运输应采用安全性能优良的化学品专用运输车，并经检测、检验合格，方可使用。</w:t>
            </w:r>
            <w:r>
              <w:rPr>
                <w:rFonts w:hint="eastAsia"/>
                <w:lang w:val="en-US" w:eastAsia="zh-CN"/>
              </w:rPr>
              <w:t>储存罐</w:t>
            </w:r>
            <w:r>
              <w:rPr>
                <w:rFonts w:hint="default"/>
                <w:lang w:val="en-US" w:eastAsia="zh-CN"/>
              </w:rPr>
              <w:t>必须封口严密，能够承受正常运输条件下产生的内部压力和外部压力，保证在运输中不因湿度、湿度或者压力的变化而发生任何渗</w:t>
            </w:r>
            <w:r>
              <w:rPr>
                <w:rFonts w:hint="eastAsia"/>
                <w:lang w:val="en-US" w:eastAsia="zh-CN"/>
              </w:rPr>
              <w:t>(</w:t>
            </w:r>
            <w:r>
              <w:rPr>
                <w:rFonts w:hint="default"/>
                <w:lang w:val="en-US" w:eastAsia="zh-CN"/>
              </w:rPr>
              <w:t>洒</w:t>
            </w:r>
            <w:r>
              <w:rPr>
                <w:rFonts w:hint="eastAsia"/>
                <w:lang w:val="en-US" w:eastAsia="zh-CN"/>
              </w:rPr>
              <w:t>)</w:t>
            </w:r>
            <w:r>
              <w:rPr>
                <w:rFonts w:hint="default"/>
                <w:lang w:val="en-US" w:eastAsia="zh-CN"/>
              </w:rPr>
              <w:t>漏。同时车上要配备必要的防毒器具和消防器材，预防事故发生。</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应选择合理的运输路线，尽量避开人口稠密区及居民生活区；同时对槽车的驾驶员要进行严格的有关安全知识培训和资格认证。</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装卸作业必须在装卸管理人员的现场指挥下进行</w:t>
            </w:r>
            <w:r>
              <w:rPr>
                <w:rFonts w:hint="eastAsia"/>
                <w:lang w:val="en-US" w:eastAsia="zh-CN"/>
              </w:rPr>
              <w:t>，装卸员工穿戴好劳动安全防护用品，佩戴安全防护手套，在给储罐上酸前，应先检查储罐各阀门是否安全、正常、有效。上酸场所5米内严禁站人，上酸结束后应检查酸罐各阀门是否关好，保障储存及使用管道安全。</w:t>
            </w:r>
          </w:p>
          <w:p>
            <w:pPr>
              <w:pStyle w:val="5"/>
              <w:numPr>
                <w:ilvl w:val="2"/>
                <w:numId w:val="16"/>
              </w:numPr>
              <w:suppressLineNumbers w:val="0"/>
              <w:bidi w:val="0"/>
              <w:spacing w:before="0" w:beforeAutospacing="0" w:after="0" w:afterAutospacing="0"/>
              <w:ind w:right="0"/>
              <w:rPr>
                <w:rFonts w:hint="default"/>
                <w:lang w:val="en-US" w:eastAsia="zh-CN"/>
              </w:rPr>
            </w:pPr>
            <w:r>
              <w:rPr>
                <w:rFonts w:hint="eastAsia"/>
                <w:lang w:val="en-US" w:eastAsia="zh-CN"/>
              </w:rPr>
              <w:t>浓硫酸储存罐</w:t>
            </w:r>
            <w:r>
              <w:rPr>
                <w:rFonts w:hint="default"/>
                <w:lang w:val="en-US" w:eastAsia="zh-CN"/>
              </w:rPr>
              <w:t>的管理要求严格按遵守《危险化学品安全管理条例》</w:t>
            </w:r>
            <w:r>
              <w:rPr>
                <w:rFonts w:hint="eastAsia"/>
                <w:lang w:val="en-US" w:eastAsia="zh-CN"/>
              </w:rPr>
              <w:t>(</w:t>
            </w:r>
            <w:r>
              <w:rPr>
                <w:rFonts w:hint="default"/>
                <w:lang w:val="en-US" w:eastAsia="zh-CN"/>
              </w:rPr>
              <w:t>国务院令第344号，2002</w:t>
            </w:r>
            <w:r>
              <w:rPr>
                <w:rFonts w:hint="eastAsia"/>
                <w:lang w:val="en-US" w:eastAsia="zh-CN"/>
              </w:rPr>
              <w:t>)</w:t>
            </w:r>
            <w:r>
              <w:rPr>
                <w:rFonts w:hint="default"/>
                <w:lang w:val="en-US" w:eastAsia="zh-CN"/>
              </w:rPr>
              <w:t>及有关规定的要求，必须设有降温淋水设施，</w:t>
            </w:r>
            <w:r>
              <w:rPr>
                <w:rFonts w:hint="eastAsia" w:ascii="宋体" w:hAnsi="宋体" w:eastAsia="宋体" w:cs="宋体"/>
                <w:color w:val="000000"/>
                <w:kern w:val="2"/>
                <w:sz w:val="24"/>
                <w:szCs w:val="24"/>
                <w:lang w:val="en-US" w:eastAsia="zh-CN" w:bidi="ar"/>
              </w:rPr>
              <w:t>严禁明火靠近，</w:t>
            </w:r>
            <w:r>
              <w:rPr>
                <w:rFonts w:hint="default"/>
                <w:lang w:val="en-US" w:eastAsia="zh-CN"/>
              </w:rPr>
              <w:t>为防雷击、防静电还要安装接地装置。</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罐区要形成相对独立的区域，</w:t>
            </w:r>
            <w:r>
              <w:rPr>
                <w:rFonts w:hint="eastAsia"/>
                <w:lang w:val="en-US" w:eastAsia="zh-CN"/>
              </w:rPr>
              <w:t>地面做硬化及防渗处理，</w:t>
            </w:r>
            <w:r>
              <w:rPr>
                <w:rFonts w:hint="default"/>
                <w:lang w:val="en-US" w:eastAsia="zh-CN"/>
              </w:rPr>
              <w:t>必须设有防火墙、</w:t>
            </w:r>
            <w:r>
              <w:rPr>
                <w:rFonts w:hint="eastAsia"/>
                <w:lang w:val="en-US" w:eastAsia="zh-CN"/>
              </w:rPr>
              <w:t>围堰等</w:t>
            </w:r>
            <w:r>
              <w:rPr>
                <w:rFonts w:hint="default"/>
                <w:lang w:val="en-US" w:eastAsia="zh-CN"/>
              </w:rPr>
              <w:t>，同时罐</w:t>
            </w:r>
            <w:r>
              <w:rPr>
                <w:rFonts w:hint="eastAsia"/>
                <w:lang w:val="en-US" w:eastAsia="zh-CN"/>
              </w:rPr>
              <w:t>区</w:t>
            </w:r>
            <w:r>
              <w:rPr>
                <w:rFonts w:hint="default"/>
                <w:lang w:val="en-US" w:eastAsia="zh-CN"/>
              </w:rPr>
              <w:t>要</w:t>
            </w:r>
            <w:r>
              <w:rPr>
                <w:rFonts w:hint="eastAsia"/>
                <w:lang w:val="en-US" w:eastAsia="zh-CN"/>
              </w:rPr>
              <w:t>设</w:t>
            </w:r>
            <w:r>
              <w:rPr>
                <w:rFonts w:hint="default"/>
                <w:lang w:val="en-US" w:eastAsia="zh-CN"/>
              </w:rPr>
              <w:t>有</w:t>
            </w:r>
            <w:r>
              <w:rPr>
                <w:rFonts w:hint="eastAsia"/>
                <w:lang w:val="en-US" w:eastAsia="zh-CN"/>
              </w:rPr>
              <w:t>引流槽</w:t>
            </w:r>
            <w:r>
              <w:rPr>
                <w:rFonts w:hint="default"/>
                <w:lang w:val="en-US" w:eastAsia="zh-CN"/>
              </w:rPr>
              <w:t>，以便在储罐发生故障时，能及时地将</w:t>
            </w:r>
            <w:r>
              <w:rPr>
                <w:rFonts w:hint="eastAsia"/>
                <w:lang w:val="en-US" w:eastAsia="zh-CN"/>
              </w:rPr>
              <w:t>泄露的物料引流至事故池</w:t>
            </w:r>
            <w:r>
              <w:rPr>
                <w:rFonts w:hint="default"/>
                <w:lang w:val="en-US" w:eastAsia="zh-CN"/>
              </w:rPr>
              <w:t>，防止其外泄造成危害</w:t>
            </w:r>
            <w:r>
              <w:rPr>
                <w:rFonts w:hint="eastAsia"/>
                <w:lang w:val="en-US" w:eastAsia="zh-CN"/>
              </w:rPr>
              <w:t>。</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环保</w:t>
            </w:r>
            <w:r>
              <w:rPr>
                <w:rFonts w:hint="eastAsia"/>
                <w:lang w:val="en-US" w:eastAsia="zh-CN"/>
              </w:rPr>
              <w:t>设施</w:t>
            </w:r>
            <w:r>
              <w:rPr>
                <w:rFonts w:hint="default"/>
                <w:lang w:val="en-US" w:eastAsia="zh-CN"/>
              </w:rPr>
              <w:t>必须确保日常运行，如发现人为原因不开启环保治理设施，责任人应受行政和经济处罚，并承担事故排放责任。若环保治理措施因故不能运行，则生产必须停止。</w:t>
            </w:r>
          </w:p>
          <w:p>
            <w:pPr>
              <w:pStyle w:val="5"/>
              <w:numPr>
                <w:ilvl w:val="2"/>
                <w:numId w:val="16"/>
              </w:numPr>
              <w:suppressLineNumbers w:val="0"/>
              <w:bidi w:val="0"/>
              <w:spacing w:before="0" w:beforeAutospacing="0" w:after="0" w:afterAutospacing="0"/>
              <w:ind w:right="0"/>
              <w:rPr>
                <w:rFonts w:hint="default"/>
              </w:rPr>
            </w:pPr>
            <w:r>
              <w:rPr>
                <w:rFonts w:hint="default"/>
                <w:lang w:val="en-US" w:eastAsia="zh-CN"/>
              </w:rPr>
              <w:t>为确保处理效率，在车间设备检修期间，环保处理系统也应同时进行检修，日常应有专人负责进行维护。</w:t>
            </w:r>
          </w:p>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default"/>
              </w:rPr>
              <w:t>强化管理及安全生产措施</w:t>
            </w:r>
          </w:p>
          <w:p>
            <w:pPr>
              <w:pStyle w:val="5"/>
              <w:numPr>
                <w:ilvl w:val="2"/>
                <w:numId w:val="22"/>
              </w:numPr>
              <w:suppressLineNumbers w:val="0"/>
              <w:bidi w:val="0"/>
              <w:spacing w:before="0" w:beforeAutospacing="0" w:after="0" w:afterAutospacing="0"/>
              <w:ind w:right="0"/>
              <w:rPr>
                <w:rFonts w:hint="default"/>
              </w:rPr>
            </w:pPr>
            <w:r>
              <w:rPr>
                <w:rFonts w:hint="default"/>
              </w:rPr>
              <w:t>强化安全生产管理，必须制订岗位责任制，严格遵守操作规程，严格遵守《危险化学品安全管理条例》及国家、地方关于危险化学品的储运安全规定。</w:t>
            </w:r>
          </w:p>
          <w:p>
            <w:pPr>
              <w:pStyle w:val="5"/>
              <w:numPr>
                <w:ilvl w:val="2"/>
                <w:numId w:val="22"/>
              </w:numPr>
              <w:suppressLineNumbers w:val="0"/>
              <w:bidi w:val="0"/>
              <w:spacing w:before="0" w:beforeAutospacing="0" w:after="0" w:afterAutospacing="0"/>
              <w:ind w:right="0"/>
              <w:rPr>
                <w:rFonts w:hint="default"/>
              </w:rPr>
            </w:pPr>
            <w:r>
              <w:rPr>
                <w:rFonts w:hint="default"/>
              </w:rPr>
              <w:t>强化安全生产及环境保护意识的教育，提高职工的素质，加强操作人中的上岗前的培训，进行安全生产、消防、环保、工业卫生等方面的技术培训教育。</w:t>
            </w:r>
          </w:p>
          <w:p>
            <w:pPr>
              <w:pStyle w:val="5"/>
              <w:numPr>
                <w:ilvl w:val="2"/>
                <w:numId w:val="22"/>
              </w:numPr>
              <w:suppressLineNumbers w:val="0"/>
              <w:bidi w:val="0"/>
              <w:spacing w:before="0" w:beforeAutospacing="0" w:after="0" w:afterAutospacing="0"/>
              <w:ind w:right="0"/>
              <w:rPr>
                <w:rFonts w:hint="default"/>
              </w:rPr>
            </w:pPr>
            <w:r>
              <w:rPr>
                <w:rFonts w:hint="default"/>
              </w:rPr>
              <w:t>建立健全环保及安全管理部门，该部门应加强监督检查，按规定监测厂内空气及水体中的有毒有害物质，及时发现，立即处理，避免污染。</w:t>
            </w:r>
          </w:p>
          <w:p>
            <w:pPr>
              <w:pStyle w:val="5"/>
              <w:numPr>
                <w:ilvl w:val="2"/>
                <w:numId w:val="22"/>
              </w:numPr>
              <w:suppressLineNumbers w:val="0"/>
              <w:bidi w:val="0"/>
              <w:spacing w:before="0" w:beforeAutospacing="0" w:after="0" w:afterAutospacing="0"/>
              <w:ind w:right="0"/>
              <w:rPr>
                <w:rFonts w:hint="default"/>
              </w:rPr>
            </w:pPr>
            <w:r>
              <w:rPr>
                <w:rFonts w:hint="eastAsia"/>
                <w:lang w:val="en-US" w:eastAsia="zh-CN"/>
              </w:rPr>
              <w:t>定期</w:t>
            </w:r>
            <w:r>
              <w:rPr>
                <w:rFonts w:hint="default"/>
              </w:rPr>
              <w:t>检查安全消防设施的完好性，使其处于即用状态，以备在事故发生时，能及时、高效率的发挥作用。</w:t>
            </w:r>
          </w:p>
          <w:p>
            <w:pPr>
              <w:pStyle w:val="5"/>
              <w:numPr>
                <w:ilvl w:val="2"/>
                <w:numId w:val="22"/>
              </w:numPr>
              <w:suppressLineNumbers w:val="0"/>
              <w:bidi w:val="0"/>
              <w:spacing w:before="0" w:beforeAutospacing="0" w:after="0" w:afterAutospacing="0"/>
              <w:ind w:right="0"/>
              <w:rPr>
                <w:rFonts w:hint="default"/>
              </w:rPr>
            </w:pPr>
            <w:r>
              <w:rPr>
                <w:rFonts w:hint="default"/>
              </w:rPr>
              <w:t>强</w:t>
            </w:r>
            <w:r>
              <w:rPr>
                <w:rFonts w:hint="eastAsia"/>
                <w:lang w:val="en-US" w:eastAsia="zh-CN"/>
              </w:rPr>
              <w:t>调</w:t>
            </w:r>
            <w:r>
              <w:rPr>
                <w:rFonts w:hint="default"/>
              </w:rPr>
              <w:t>个人劳动防护，进入生产区必须穿戴相应的防护服装。</w:t>
            </w:r>
          </w:p>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default"/>
              </w:rPr>
              <w:t>风险事故应急防范措施</w:t>
            </w:r>
          </w:p>
          <w:p>
            <w:pPr>
              <w:keepNext w:val="0"/>
              <w:keepLines w:val="0"/>
              <w:suppressLineNumbers w:val="0"/>
              <w:spacing w:before="0" w:beforeAutospacing="0" w:after="0" w:afterAutospacing="0"/>
              <w:ind w:left="0" w:right="0"/>
              <w:rPr>
                <w:rFonts w:hint="default"/>
              </w:rPr>
            </w:pPr>
            <w:r>
              <w:rPr>
                <w:rFonts w:hint="default"/>
              </w:rPr>
              <w:t>在生产、储运过程中发生硫酸</w:t>
            </w:r>
            <w:r>
              <w:rPr>
                <w:rFonts w:hint="eastAsia"/>
                <w:lang w:eastAsia="zh-CN"/>
              </w:rPr>
              <w:t>、</w:t>
            </w:r>
            <w:r>
              <w:rPr>
                <w:rFonts w:hint="eastAsia"/>
                <w:lang w:val="en-US" w:eastAsia="zh-CN"/>
              </w:rPr>
              <w:t>天然气和氢氧化钾</w:t>
            </w:r>
            <w:r>
              <w:rPr>
                <w:rFonts w:hint="default"/>
              </w:rPr>
              <w:t>泄漏</w:t>
            </w:r>
            <w:r>
              <w:rPr>
                <w:rFonts w:hint="eastAsia"/>
                <w:lang w:eastAsia="zh-CN"/>
              </w:rPr>
              <w:t>(</w:t>
            </w:r>
            <w:r>
              <w:rPr>
                <w:rFonts w:hint="default"/>
              </w:rPr>
              <w:t>散漏</w:t>
            </w:r>
            <w:r>
              <w:rPr>
                <w:rFonts w:hint="eastAsia"/>
                <w:lang w:eastAsia="zh-CN"/>
              </w:rPr>
              <w:t>)</w:t>
            </w:r>
            <w:r>
              <w:rPr>
                <w:rFonts w:hint="default"/>
              </w:rPr>
              <w:t>时应立即采取以下应急处理措施：</w:t>
            </w:r>
          </w:p>
          <w:p>
            <w:pPr>
              <w:pStyle w:val="5"/>
              <w:numPr>
                <w:ilvl w:val="2"/>
                <w:numId w:val="23"/>
              </w:numPr>
              <w:suppressLineNumbers w:val="0"/>
              <w:bidi w:val="0"/>
              <w:spacing w:before="0" w:beforeAutospacing="0" w:after="0" w:afterAutospacing="0"/>
              <w:ind w:right="0"/>
              <w:rPr>
                <w:rFonts w:hint="default"/>
              </w:rPr>
            </w:pPr>
            <w:r>
              <w:rPr>
                <w:rFonts w:hint="default"/>
              </w:rPr>
              <w:t>立即组织人员抢修，隔离泄漏现场，必须穿戴专用防护服于高处或上风处进行处理工作，在安全情况下尽量</w:t>
            </w:r>
            <w:r>
              <w:rPr>
                <w:rFonts w:hint="eastAsia"/>
                <w:lang w:val="en-US" w:eastAsia="zh-CN"/>
              </w:rPr>
              <w:t>切断泄漏点</w:t>
            </w:r>
            <w:r>
              <w:rPr>
                <w:rFonts w:hint="default"/>
              </w:rPr>
              <w:t>。</w:t>
            </w:r>
          </w:p>
          <w:p>
            <w:pPr>
              <w:pStyle w:val="5"/>
              <w:numPr>
                <w:ilvl w:val="2"/>
                <w:numId w:val="23"/>
              </w:numPr>
              <w:suppressLineNumbers w:val="0"/>
              <w:bidi w:val="0"/>
              <w:spacing w:before="0" w:beforeAutospacing="0" w:after="0" w:afterAutospacing="0"/>
              <w:ind w:right="0"/>
              <w:rPr>
                <w:rFonts w:hint="default"/>
              </w:rPr>
            </w:pPr>
            <w:r>
              <w:rPr>
                <w:rFonts w:hint="eastAsia"/>
                <w:lang w:val="en-US" w:eastAsia="zh-CN"/>
              </w:rPr>
              <w:t>硫酸泄露，利用围堰收集，导入事故池</w:t>
            </w:r>
            <w:r>
              <w:rPr>
                <w:rFonts w:hint="default"/>
              </w:rPr>
              <w:t>，可用</w:t>
            </w:r>
            <w:r>
              <w:rPr>
                <w:rFonts w:hint="eastAsia"/>
                <w:lang w:val="en-US" w:eastAsia="zh-CN"/>
              </w:rPr>
              <w:t>碱性物质</w:t>
            </w:r>
            <w:r>
              <w:rPr>
                <w:rFonts w:hint="default"/>
              </w:rPr>
              <w:t>进行</w:t>
            </w:r>
            <w:r>
              <w:rPr>
                <w:rFonts w:hint="eastAsia"/>
                <w:lang w:val="en-US" w:eastAsia="zh-CN"/>
              </w:rPr>
              <w:t>中和处理，</w:t>
            </w:r>
            <w:r>
              <w:rPr>
                <w:rFonts w:hint="default"/>
              </w:rPr>
              <w:t>并及时发生警报。</w:t>
            </w:r>
          </w:p>
          <w:p>
            <w:pPr>
              <w:pStyle w:val="5"/>
              <w:numPr>
                <w:ilvl w:val="2"/>
                <w:numId w:val="23"/>
              </w:numPr>
              <w:suppressLineNumbers w:val="0"/>
              <w:bidi w:val="0"/>
              <w:spacing w:before="0" w:beforeAutospacing="0" w:after="0" w:afterAutospacing="0"/>
              <w:ind w:right="0"/>
              <w:rPr>
                <w:rFonts w:hint="eastAsia"/>
                <w:lang w:val="en-US" w:eastAsia="zh-CN"/>
              </w:rPr>
            </w:pPr>
            <w:r>
              <w:rPr>
                <w:rFonts w:hint="default"/>
              </w:rPr>
              <w:t>在突发事件发生时，为</w:t>
            </w:r>
            <w:r>
              <w:rPr>
                <w:rFonts w:hint="eastAsia"/>
                <w:lang w:val="en-US" w:eastAsia="zh-CN"/>
              </w:rPr>
              <w:t>避免</w:t>
            </w:r>
            <w:r>
              <w:rPr>
                <w:rFonts w:hint="default"/>
              </w:rPr>
              <w:t>事故废水和消防废装置周围产生漫灌现象</w:t>
            </w:r>
            <w:r>
              <w:rPr>
                <w:rFonts w:hint="eastAsia"/>
                <w:lang w:val="en-US" w:eastAsia="zh-CN"/>
              </w:rPr>
              <w:t>从</w:t>
            </w:r>
            <w:r>
              <w:rPr>
                <w:rFonts w:hint="default"/>
              </w:rPr>
              <w:t>而对周围水环境产生影响，本项目设置合理的废水收集系统。通过在罐区设置围堰，在装置区设置地沟，收集事故废水和消防废水。</w:t>
            </w:r>
            <w:r>
              <w:rPr>
                <w:rFonts w:hint="eastAsia"/>
                <w:lang w:val="en-US" w:eastAsia="zh-CN"/>
              </w:rPr>
              <w:t>事故池及消防水池均做防渗处理。事故后将事故水交由有资质的单位进行处置。根据昌吉州病死畜禽无害化集中处理中心项目可研报告核算数据、设计图纸等确定事故池容积为100m</w:t>
            </w:r>
            <w:r>
              <w:rPr>
                <w:rFonts w:hint="eastAsia"/>
                <w:vertAlign w:val="superscript"/>
                <w:lang w:val="en-US" w:eastAsia="zh-CN"/>
              </w:rPr>
              <w:t>3</w:t>
            </w:r>
            <w:r>
              <w:rPr>
                <w:rFonts w:hint="eastAsia"/>
                <w:lang w:val="en-US" w:eastAsia="zh-CN"/>
              </w:rPr>
              <w:t>，且生产车间内有集水暂存设施，事故池容积基本满足要求。事故池：100m</w:t>
            </w:r>
            <w:r>
              <w:rPr>
                <w:rFonts w:hint="eastAsia"/>
                <w:vertAlign w:val="superscript"/>
                <w:lang w:val="en-US" w:eastAsia="zh-CN"/>
              </w:rPr>
              <w:t>3</w:t>
            </w:r>
            <w:r>
              <w:rPr>
                <w:rFonts w:hint="eastAsia"/>
                <w:lang w:val="en-US" w:eastAsia="zh-CN"/>
              </w:rPr>
              <w:t>，消防池：300m</w:t>
            </w:r>
            <w:r>
              <w:rPr>
                <w:rFonts w:hint="eastAsia"/>
                <w:vertAlign w:val="superscript"/>
                <w:lang w:val="en-US" w:eastAsia="zh-CN"/>
              </w:rPr>
              <w:t>3</w:t>
            </w:r>
            <w:r>
              <w:rPr>
                <w:rFonts w:hint="eastAsia"/>
                <w:lang w:val="en-US" w:eastAsia="zh-CN"/>
              </w:rPr>
              <w:t>。</w:t>
            </w:r>
          </w:p>
          <w:p>
            <w:pPr>
              <w:keepNext w:val="0"/>
              <w:keepLines w:val="0"/>
              <w:numPr>
                <w:ilvl w:val="1"/>
                <w:numId w:val="19"/>
              </w:numPr>
              <w:suppressLineNumbers w:val="0"/>
              <w:tabs>
                <w:tab w:val="left" w:pos="420"/>
              </w:tabs>
              <w:bidi w:val="0"/>
              <w:spacing w:before="0" w:beforeAutospacing="0" w:after="0" w:afterAutospacing="0"/>
              <w:ind w:right="0"/>
              <w:rPr>
                <w:rFonts w:hint="default"/>
                <w:lang w:val="en-US" w:eastAsia="zh-CN"/>
              </w:rPr>
            </w:pPr>
            <w:r>
              <w:rPr>
                <w:rFonts w:hint="eastAsia"/>
                <w:lang w:val="en-US" w:eastAsia="zh-CN"/>
              </w:rPr>
              <w:t>分区防渗措施</w:t>
            </w:r>
          </w:p>
          <w:p>
            <w:pPr>
              <w:pStyle w:val="5"/>
              <w:numPr>
                <w:ilvl w:val="2"/>
                <w:numId w:val="24"/>
              </w:numPr>
              <w:suppressLineNumbers w:val="0"/>
              <w:bidi w:val="0"/>
              <w:spacing w:before="0" w:beforeAutospacing="0" w:after="0" w:afterAutospacing="0"/>
              <w:ind w:right="0"/>
              <w:rPr>
                <w:rFonts w:hint="default"/>
                <w:lang w:val="en-US" w:eastAsia="zh-CN"/>
              </w:rPr>
            </w:pPr>
            <w:r>
              <w:rPr>
                <w:rFonts w:hint="eastAsia"/>
                <w:lang w:val="en-US" w:eastAsia="zh-CN"/>
              </w:rPr>
              <w:t>防渗区划分</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为有效降低物料泄露对地下水的污染影响，应采取必要的防渗措施。对于环境风险较大的设备区、储罐区等区域，按其污染区域来确定防渗等级。因此，根据厂区各生产装置、物料的污染程度、工艺过程泄露的可能性、辅助设施及公用工程设施的布置，将厂区分为简单防渗区、一般防渗区和重点防渗区。根据《环境影响评价技术导则 地下水环境》(HJ 610-2016)分区防控措施要求，按照污染控制难易程度和天然包气带防污性能划分简单防渗区、一般防渗区和重点防渗区。防渗分区图见图8，防渗分区汇总见下表。</w:t>
            </w:r>
          </w:p>
          <w:p>
            <w:pPr>
              <w:pStyle w:val="20"/>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防渗分区汇总表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2879"/>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重点防渗区</w:t>
                  </w:r>
                </w:p>
              </w:tc>
              <w:tc>
                <w:tcPr>
                  <w:tcW w:w="2879" w:type="dxa"/>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一般防渗区</w:t>
                  </w:r>
                </w:p>
              </w:tc>
              <w:tc>
                <w:tcPr>
                  <w:tcW w:w="2879" w:type="dxa"/>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heme="minorBidi"/>
                      <w:kern w:val="2"/>
                      <w:sz w:val="21"/>
                      <w:szCs w:val="22"/>
                      <w:lang w:val="en-US" w:eastAsia="zh-CN" w:bidi="ar-SA"/>
                    </w:rPr>
                  </w:pPr>
                  <w:r>
                    <w:rPr>
                      <w:rFonts w:hint="eastAsia"/>
                      <w:lang w:val="en-US" w:eastAsia="zh-CN"/>
                    </w:rPr>
                    <w:t>简单防渗区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vAlign w:val="center"/>
                </w:tcPr>
                <w:p>
                  <w:pPr>
                    <w:pStyle w:val="19"/>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危废暂存间、硫酸储存罐区；</w:t>
                  </w:r>
                </w:p>
                <w:p>
                  <w:pPr>
                    <w:pStyle w:val="19"/>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废水收集池、原料仓库(生产车间内)</w:t>
                  </w:r>
                </w:p>
              </w:tc>
              <w:tc>
                <w:tcPr>
                  <w:tcW w:w="2879" w:type="dxa"/>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生产车间、事故池</w:t>
                  </w:r>
                </w:p>
              </w:tc>
              <w:tc>
                <w:tcPr>
                  <w:tcW w:w="2879" w:type="dxa"/>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heme="minorBidi"/>
                      <w:kern w:val="2"/>
                      <w:sz w:val="21"/>
                      <w:szCs w:val="22"/>
                      <w:lang w:val="en-US" w:eastAsia="zh-CN" w:bidi="ar-SA"/>
                    </w:rPr>
                  </w:pPr>
                  <w:r>
                    <w:rPr>
                      <w:rFonts w:hint="eastAsia"/>
                      <w:lang w:val="en-US" w:eastAsia="zh-CN"/>
                    </w:rPr>
                    <w:t>其余地面</w:t>
                  </w:r>
                </w:p>
              </w:tc>
            </w:tr>
          </w:tbl>
          <w:p>
            <w:pPr>
              <w:pStyle w:val="19"/>
              <w:keepNext w:val="0"/>
              <w:keepLines w:val="0"/>
              <w:suppressLineNumbers w:val="0"/>
              <w:spacing w:before="0" w:beforeAutospacing="0" w:after="0" w:afterAutospacing="0"/>
              <w:ind w:left="0" w:right="0"/>
              <w:rPr>
                <w:rFonts w:hint="default"/>
                <w:lang w:val="en-US" w:eastAsia="zh-CN"/>
              </w:rPr>
            </w:pPr>
          </w:p>
          <w:p>
            <w:pPr>
              <w:pStyle w:val="5"/>
              <w:numPr>
                <w:ilvl w:val="2"/>
                <w:numId w:val="24"/>
              </w:numPr>
              <w:suppressLineNumbers w:val="0"/>
              <w:bidi w:val="0"/>
              <w:spacing w:before="0" w:beforeAutospacing="0" w:after="0" w:afterAutospacing="0"/>
              <w:ind w:right="0"/>
              <w:rPr>
                <w:rFonts w:hint="default"/>
                <w:lang w:val="en-US" w:eastAsia="zh-CN"/>
              </w:rPr>
            </w:pPr>
            <w:r>
              <w:rPr>
                <w:rFonts w:hint="eastAsia"/>
                <w:lang w:val="en-US" w:eastAsia="zh-CN"/>
              </w:rPr>
              <w:t>防渗技术要求</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一般防渗区参照《一般工业固体废物贮存和填埋污染控制标准》(GB 18599-2020)执行，重点防渗区参照《危险废物填埋污染控制标准》(GB18598-2001)执行，分别采取工程措施。防渗强度要求分别是防渗材料(防渗层)渗透系数与厚度的限值。</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重点防渗区：等效黏土防渗层Mb</w:t>
            </w:r>
            <w:r>
              <w:rPr>
                <w:rFonts w:hint="default" w:ascii="Times New Roman" w:hAnsi="Times New Roman" w:cs="Times New Roman"/>
                <w:lang w:val="en-US" w:eastAsia="zh-CN"/>
              </w:rPr>
              <w:t>≥</w:t>
            </w:r>
            <w:r>
              <w:rPr>
                <w:rFonts w:hint="eastAsia"/>
                <w:lang w:val="en-US" w:eastAsia="zh-CN"/>
              </w:rPr>
              <w:t>6.0m，K</w:t>
            </w:r>
            <w:r>
              <w:rPr>
                <w:rFonts w:hint="default" w:ascii="Times New Roman" w:hAnsi="Times New Roman" w:cs="Times New Roman"/>
                <w:lang w:val="en-US" w:eastAsia="zh-CN"/>
              </w:rPr>
              <w:t>≤</w:t>
            </w:r>
            <w:r>
              <w:rPr>
                <w:rFonts w:hint="eastAsia"/>
                <w:lang w:val="en-US" w:eastAsia="zh-CN"/>
              </w:rPr>
              <w:t>1×10</w:t>
            </w:r>
            <w:r>
              <w:rPr>
                <w:rFonts w:hint="eastAsia"/>
                <w:vertAlign w:val="superscript"/>
                <w:lang w:val="en-US" w:eastAsia="zh-CN"/>
              </w:rPr>
              <w:t>-10</w:t>
            </w:r>
            <w:r>
              <w:rPr>
                <w:rFonts w:hint="eastAsia"/>
                <w:lang w:val="en-US" w:eastAsia="zh-CN"/>
              </w:rPr>
              <w:t>cm/s。</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一般防渗区：等效黏土防渗层Mb</w:t>
            </w:r>
            <w:r>
              <w:rPr>
                <w:rFonts w:hint="default" w:ascii="Times New Roman" w:hAnsi="Times New Roman" w:cs="Times New Roman"/>
                <w:lang w:val="en-US" w:eastAsia="zh-CN"/>
              </w:rPr>
              <w:t>≥</w:t>
            </w:r>
            <w:r>
              <w:rPr>
                <w:rFonts w:hint="eastAsia" w:cs="Times New Roman"/>
                <w:lang w:val="en-US" w:eastAsia="zh-CN"/>
              </w:rPr>
              <w:t>1.5</w:t>
            </w:r>
            <w:r>
              <w:rPr>
                <w:rFonts w:hint="eastAsia"/>
                <w:lang w:val="en-US" w:eastAsia="zh-CN"/>
              </w:rPr>
              <w:t>m，K</w:t>
            </w:r>
            <w:r>
              <w:rPr>
                <w:rFonts w:hint="default" w:ascii="Times New Roman" w:hAnsi="Times New Roman" w:cs="Times New Roman"/>
                <w:lang w:val="en-US" w:eastAsia="zh-CN"/>
              </w:rPr>
              <w:t>≤</w:t>
            </w:r>
            <w:r>
              <w:rPr>
                <w:rFonts w:hint="eastAsia"/>
                <w:lang w:val="en-US" w:eastAsia="zh-CN"/>
              </w:rPr>
              <w:t>1×10</w:t>
            </w:r>
            <w:r>
              <w:rPr>
                <w:rFonts w:hint="eastAsia"/>
                <w:vertAlign w:val="superscript"/>
                <w:lang w:val="en-US" w:eastAsia="zh-CN"/>
              </w:rPr>
              <w:t>-7</w:t>
            </w:r>
            <w:r>
              <w:rPr>
                <w:rFonts w:hint="eastAsia"/>
                <w:lang w:val="en-US" w:eastAsia="zh-CN"/>
              </w:rPr>
              <w:t>cm/s。</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简单防渗区：指不会对地下水环境造成污染的区域。按通常的工程要求进行夯实、地面硬化/绿化，其防渗系数</w:t>
            </w:r>
            <w:r>
              <w:rPr>
                <w:rFonts w:hint="default" w:ascii="Times New Roman" w:hAnsi="Times New Roman" w:cs="Times New Roman"/>
                <w:lang w:val="en-US" w:eastAsia="zh-CN"/>
              </w:rPr>
              <w:t>＜</w:t>
            </w:r>
            <w:r>
              <w:rPr>
                <w:rFonts w:hint="eastAsia"/>
                <w:lang w:val="en-US" w:eastAsia="zh-CN"/>
              </w:rPr>
              <w:t>1×10</w:t>
            </w:r>
            <w:r>
              <w:rPr>
                <w:rFonts w:hint="eastAsia"/>
                <w:vertAlign w:val="superscript"/>
                <w:lang w:val="en-US" w:eastAsia="zh-CN"/>
              </w:rPr>
              <w:t>-5</w:t>
            </w:r>
            <w:r>
              <w:rPr>
                <w:rFonts w:hint="eastAsia"/>
                <w:lang w:val="en-US" w:eastAsia="zh-CN"/>
              </w:rPr>
              <w:t>cm/s。</w:t>
            </w:r>
          </w:p>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eastAsia"/>
                <w:lang w:val="en-US" w:eastAsia="zh-CN"/>
              </w:rPr>
              <w:t>应急预案</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为了有效预防、及时控制、积极应对可能发生的安全生产事故，高效、有序地组织安全生产事故抢救工作，最大限度地减少人员伤亡和财产损失，维护正常地社会秩序和工作秩序，促进工程安全有序地进行，建设单位应根据本次建设内容对现有的环境风险应急救援预案进行修编并定期进行演练，预案内容见</w:t>
            </w:r>
            <w:r>
              <w:rPr>
                <w:rFonts w:hint="eastAsia" w:ascii="宋体" w:hAnsi="宋体" w:cs="宋体"/>
                <w:color w:val="auto"/>
                <w:kern w:val="2"/>
                <w:sz w:val="24"/>
                <w:szCs w:val="24"/>
                <w:lang w:val="en-US" w:eastAsia="zh-CN" w:bidi="ar"/>
              </w:rPr>
              <w:t>下</w:t>
            </w:r>
            <w:r>
              <w:rPr>
                <w:rFonts w:hint="eastAsia" w:ascii="宋体" w:hAnsi="宋体" w:eastAsia="宋体" w:cs="宋体"/>
                <w:color w:val="auto"/>
                <w:kern w:val="2"/>
                <w:sz w:val="24"/>
                <w:szCs w:val="24"/>
                <w:lang w:val="en-US" w:eastAsia="zh-CN" w:bidi="ar"/>
              </w:rPr>
              <w:t>表。</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4"/>
                <w:lang w:val="en-US" w:eastAsia="zh-CN" w:bidi="ar"/>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应急预案主要内容</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3"/>
              <w:gridCol w:w="1624"/>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序号</w:t>
                  </w:r>
                </w:p>
              </w:tc>
              <w:tc>
                <w:tcPr>
                  <w:tcW w:w="940" w:type="pct"/>
                  <w:tcBorders>
                    <w:left w:val="nil"/>
                    <w:bottom w:val="single" w:color="auto" w:sz="4" w:space="0"/>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项目</w:t>
                  </w:r>
                </w:p>
              </w:tc>
              <w:tc>
                <w:tcPr>
                  <w:tcW w:w="3663" w:type="pct"/>
                  <w:tcBorders>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总则</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包括项目基本情况、周边区域单位、重要基础设施、道路等情况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2</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危险源概述</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主详述危险源类型、数量及其分布，危害物质的理化性质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3</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应急计划区</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lang w:val="en-US"/>
                    </w:rPr>
                  </w:pPr>
                  <w:r>
                    <w:rPr>
                      <w:rFonts w:hint="eastAsia"/>
                      <w:color w:val="auto"/>
                      <w:lang w:val="en-US" w:eastAsia="zh-CN"/>
                    </w:rPr>
                    <w:t>无害化生产车间、硫酸储罐区、危废暂存间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4</w:t>
                  </w:r>
                </w:p>
              </w:tc>
              <w:tc>
                <w:tcPr>
                  <w:tcW w:w="940"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应急组织机构和人员</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项目：本项目指挥部—</w:t>
                  </w:r>
                  <w:r>
                    <w:rPr>
                      <w:rFonts w:hint="eastAsia"/>
                      <w:color w:val="auto"/>
                      <w:lang w:val="en-US" w:eastAsia="zh-CN"/>
                    </w:rPr>
                    <w:t>负责现场全面指挥；专业救援队伍</w:t>
                  </w:r>
                  <w:r>
                    <w:rPr>
                      <w:rFonts w:hint="default"/>
                      <w:color w:val="auto"/>
                      <w:lang w:val="en-US" w:eastAsia="zh-CN"/>
                    </w:rPr>
                    <w:t>—</w:t>
                  </w:r>
                  <w:r>
                    <w:rPr>
                      <w:rFonts w:hint="eastAsia"/>
                      <w:color w:val="auto"/>
                      <w:lang w:val="en-US" w:eastAsia="zh-CN"/>
                    </w:rPr>
                    <w:t>负责事故控制、救援、善后处理；</w:t>
                  </w:r>
                </w:p>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地区：地区指挥部—</w:t>
                  </w:r>
                  <w:r>
                    <w:rPr>
                      <w:rFonts w:hint="eastAsia"/>
                      <w:color w:val="auto"/>
                      <w:lang w:val="en-US" w:eastAsia="zh-CN"/>
                    </w:rPr>
                    <w:t>负责附近地区全面指挥、救、管制、疏散；专业救援队伍</w:t>
                  </w:r>
                  <w:r>
                    <w:rPr>
                      <w:rFonts w:hint="default"/>
                      <w:color w:val="auto"/>
                      <w:lang w:val="en-US" w:eastAsia="zh-CN"/>
                    </w:rPr>
                    <w:t>—</w:t>
                  </w:r>
                  <w:r>
                    <w:rPr>
                      <w:rFonts w:hint="eastAsia"/>
                      <w:color w:val="auto"/>
                      <w:lang w:val="en-US" w:eastAsia="zh-CN"/>
                    </w:rPr>
                    <w:t>负责对站内救援人员的支援。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5</w:t>
                  </w:r>
                </w:p>
              </w:tc>
              <w:tc>
                <w:tcPr>
                  <w:tcW w:w="940"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应急状态分类与应急响应程序</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规定事故的级别及相应的应急分级响应程序。包括现场指挥与控制等要素；现场指挥与控制以事故发生后确保公众安全为主要目标。报警与通知是应急求助迅速启动的关键，接到报警后进行初步分析，筛选掉不正确的信息，落实事故的地点、时间、类型、范围，初步分析事故趋势。事故被确认后立即通报相应的应急指挥中心，及时向公众和各类求助人员发出事故应急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6</w:t>
                  </w:r>
                </w:p>
              </w:tc>
              <w:tc>
                <w:tcPr>
                  <w:tcW w:w="940"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应急救援保障</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防火灾、爆炸事故应急设、设备与材料，主要为消防器材；防有毒有害物质外溢、扩散：主要是灭火器材、消防沙堆、消防水管、消防栓、消防水带及水等。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7</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报警与应急联络方式和交通</w:t>
                  </w:r>
                </w:p>
              </w:tc>
              <w:tc>
                <w:tcPr>
                  <w:tcW w:w="3663" w:type="pct"/>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确定应急状态下的报警通讯方式、通知方式和交通保障、管制。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8</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应急环境监测及事故后评估</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由专业队伍负责对事故现场进行侦查监测，对事故性质、参数及后果进行评估，为指挥部门提供决策依据。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9</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应急防范措施、清除泄漏措施及方法和器材</w:t>
                  </w:r>
                </w:p>
              </w:tc>
              <w:tc>
                <w:tcPr>
                  <w:tcW w:w="3663" w:type="pct"/>
                  <w:tcBorders>
                    <w:top w:val="single" w:color="auto" w:sz="4" w:space="0"/>
                    <w:left w:val="nil"/>
                    <w:bottom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事故现场：控制事故、防治扩大、蔓延及连锁反应；清除现场泄漏物，降低危害的相应器材设备；</w:t>
                  </w:r>
                </w:p>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邻近区域：控制和清楚污染措施及形影设备配备。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10</w:t>
                  </w:r>
                </w:p>
              </w:tc>
              <w:tc>
                <w:tcPr>
                  <w:tcW w:w="940" w:type="pct"/>
                  <w:tcBorders>
                    <w:top w:val="single" w:color="auto" w:sz="4" w:space="0"/>
                    <w:left w:val="nil"/>
                    <w:right w:val="single" w:color="auto" w:sz="4" w:space="0"/>
                  </w:tcBorders>
                  <w:shd w:val="clear" w:color="auto" w:fill="auto"/>
                  <w:vAlign w:val="top"/>
                </w:tcPr>
                <w:p>
                  <w:pPr>
                    <w:pStyle w:val="19"/>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应急剂量控制、撤离组织计划、医疗救护和公众健康</w:t>
                  </w:r>
                </w:p>
              </w:tc>
              <w:tc>
                <w:tcPr>
                  <w:tcW w:w="3663" w:type="pct"/>
                  <w:tcBorders>
                    <w:top w:val="single" w:color="auto" w:sz="4" w:space="0"/>
                    <w:left w:val="nil"/>
                  </w:tcBorders>
                  <w:shd w:val="clear" w:color="auto" w:fill="auto"/>
                  <w:vAlign w:val="top"/>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事故现场：事故处理人员对毒物的应急剂量控制制定、现场及邻近装置热暖撤离组织计划及救护。</w:t>
                  </w:r>
                </w:p>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邻近区域：受事故影响的邻近区域人员及公众对毒物应急剂量控制制定、撤离组织计划及救护。</w:t>
                  </w:r>
                </w:p>
              </w:tc>
            </w:tr>
          </w:tbl>
          <w:p>
            <w:pPr>
              <w:keepNext w:val="0"/>
              <w:keepLines w:val="0"/>
              <w:numPr>
                <w:ilvl w:val="0"/>
                <w:numId w:val="0"/>
              </w:numPr>
              <w:suppressLineNumbers w:val="0"/>
              <w:bidi w:val="0"/>
              <w:spacing w:before="0" w:beforeAutospacing="0" w:after="0" w:afterAutospacing="0"/>
              <w:ind w:left="425" w:leftChars="0" w:right="0" w:rightChars="0"/>
              <w:rPr>
                <w:rFonts w:hint="default" w:ascii="Times New Roman" w:hAnsi="Times New Roman" w:cs="Times New Roman"/>
                <w:color w:val="auto"/>
                <w:kern w:val="2"/>
                <w:sz w:val="24"/>
                <w:szCs w:val="24"/>
              </w:rPr>
            </w:pPr>
          </w:p>
          <w:p>
            <w:pPr>
              <w:pStyle w:val="2"/>
              <w:numPr>
                <w:ilvl w:val="0"/>
                <w:numId w:val="16"/>
              </w:numPr>
              <w:suppressLineNumbers w:val="0"/>
              <w:bidi w:val="0"/>
              <w:spacing w:before="0" w:after="0"/>
              <w:ind w:right="0"/>
              <w:rPr>
                <w:rFonts w:hint="default"/>
              </w:rPr>
            </w:pPr>
            <w:r>
              <w:rPr>
                <w:rFonts w:hint="eastAsia"/>
                <w:lang w:val="en-US" w:eastAsia="zh-CN"/>
              </w:rPr>
              <w:t>环境风险分析结论</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lang w:val="en-US" w:eastAsia="zh-CN" w:bidi="ar"/>
              </w:rPr>
              <w:t>本项目的环境风险事故主要为</w:t>
            </w:r>
            <w:r>
              <w:rPr>
                <w:rFonts w:hint="eastAsia" w:ascii="宋体" w:hAnsi="宋体" w:cs="宋体"/>
                <w:color w:val="auto"/>
                <w:kern w:val="2"/>
                <w:sz w:val="24"/>
                <w:szCs w:val="24"/>
                <w:lang w:val="en-US" w:eastAsia="zh-CN" w:bidi="ar"/>
              </w:rPr>
              <w:t>泄露、</w:t>
            </w:r>
            <w:r>
              <w:rPr>
                <w:rFonts w:hint="eastAsia" w:ascii="宋体" w:hAnsi="宋体" w:eastAsia="宋体" w:cs="宋体"/>
                <w:color w:val="auto"/>
                <w:kern w:val="2"/>
                <w:sz w:val="24"/>
                <w:szCs w:val="24"/>
                <w:lang w:val="en-US" w:eastAsia="zh-CN" w:bidi="ar"/>
              </w:rPr>
              <w:t>火灾事故。本报告采用定性与定量相结合的方法对上述风险进行评估，并提出了风险防范措施和应急预案。建设单位在严格落实本报告的提出各项事故防范和应急措施，加强管理的前提下，可最大限度地减少可能发生的环境风险。若发生事故，也可将影响范围控制在较小程度内，减小损失。</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建设单位应制定突发环境事件应急预案，严格执行风险防范措施，定期进行应急演练，防止事故的发生。本评价认为，在采取本报告提出的风险防范措施，并采取有效的综合管理措施的前提下，所产生的环境风险可以控制在可接受风险水平之内。</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环境风险分析内容</w:t>
            </w:r>
          </w:p>
          <w:tbl>
            <w:tblPr>
              <w:tblStyle w:val="16"/>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93"/>
              <w:gridCol w:w="1220"/>
              <w:gridCol w:w="1495"/>
              <w:gridCol w:w="1276"/>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0" w:type="pct"/>
                  <w:tcBorders>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rPr>
                    <w:t>建设项目名称</w:t>
                  </w:r>
                </w:p>
              </w:tc>
              <w:tc>
                <w:tcPr>
                  <w:tcW w:w="4059" w:type="pct"/>
                  <w:gridSpan w:val="4"/>
                  <w:tcBorders>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昌吉州病死畜禽无害化集中处理中心项目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rPr>
                    <w:t>建设地点</w:t>
                  </w:r>
                </w:p>
              </w:tc>
              <w:tc>
                <w:tcPr>
                  <w:tcW w:w="768"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eastAsia="宋体"/>
                      <w:color w:val="auto"/>
                      <w:lang w:val="en-US" w:eastAsia="zh-CN"/>
                    </w:rPr>
                  </w:pPr>
                  <w:r>
                    <w:rPr>
                      <w:rFonts w:hint="eastAsia"/>
                      <w:color w:val="auto"/>
                    </w:rPr>
                    <w:t>新疆</w:t>
                  </w:r>
                  <w:r>
                    <w:rPr>
                      <w:rFonts w:hint="eastAsia"/>
                      <w:color w:val="auto"/>
                      <w:lang w:val="en-US" w:eastAsia="zh-CN"/>
                    </w:rPr>
                    <w:t>维吾尔自治区</w:t>
                  </w:r>
                </w:p>
              </w:tc>
              <w:tc>
                <w:tcPr>
                  <w:tcW w:w="94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color w:val="auto"/>
                      <w:lang w:eastAsia="zh-CN"/>
                    </w:rPr>
                  </w:pPr>
                  <w:r>
                    <w:rPr>
                      <w:rFonts w:hint="eastAsia"/>
                      <w:color w:val="auto"/>
                      <w:lang w:val="en-US" w:eastAsia="zh-CN"/>
                    </w:rPr>
                    <w:t>昌吉(州)</w:t>
                  </w:r>
                </w:p>
              </w:tc>
              <w:tc>
                <w:tcPr>
                  <w:tcW w:w="804"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呼图壁(县)</w:t>
                  </w:r>
                </w:p>
              </w:tc>
              <w:tc>
                <w:tcPr>
                  <w:tcW w:w="1543" w:type="pct"/>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大丰工业园区天之泽有限公司东侧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rPr>
                    <w:t>地理坐标</w:t>
                  </w:r>
                </w:p>
              </w:tc>
              <w:tc>
                <w:tcPr>
                  <w:tcW w:w="768"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rPr>
                    <w:t>经度</w:t>
                  </w:r>
                </w:p>
              </w:tc>
              <w:tc>
                <w:tcPr>
                  <w:tcW w:w="942"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default" w:ascii="Times New Roman" w:hAnsi="Times New Roman" w:cs="Times New Roman"/>
                      <w:color w:val="auto"/>
                      <w:lang w:val="en-US" w:eastAsia="zh-CN"/>
                    </w:rPr>
                    <w:t>8</w:t>
                  </w:r>
                  <w:r>
                    <w:rPr>
                      <w:rFonts w:hint="eastAsia" w:cs="Times New Roman"/>
                      <w:color w:val="auto"/>
                      <w:lang w:val="en-US" w:eastAsia="zh-CN"/>
                    </w:rPr>
                    <w:t>6</w:t>
                  </w:r>
                  <w:r>
                    <w:rPr>
                      <w:rFonts w:hint="default" w:ascii="Times New Roman" w:hAnsi="Times New Roman" w:cs="Times New Roman"/>
                      <w:color w:val="auto"/>
                      <w:lang w:val="en-US" w:eastAsia="zh-CN"/>
                    </w:rPr>
                    <w:t>°</w:t>
                  </w:r>
                  <w:r>
                    <w:rPr>
                      <w:rFonts w:hint="eastAsia" w:cs="Times New Roman"/>
                      <w:color w:val="auto"/>
                      <w:lang w:val="en-US" w:eastAsia="zh-CN"/>
                    </w:rPr>
                    <w:t>36</w:t>
                  </w:r>
                  <w:r>
                    <w:rPr>
                      <w:rFonts w:hint="default" w:ascii="Times New Roman" w:hAnsi="Times New Roman" w:cs="Times New Roman"/>
                      <w:color w:val="auto"/>
                      <w:lang w:val="en-US" w:eastAsia="zh-CN"/>
                    </w:rPr>
                    <w:t>′</w:t>
                  </w:r>
                  <w:r>
                    <w:rPr>
                      <w:rFonts w:hint="eastAsia" w:cs="Times New Roman"/>
                      <w:color w:val="auto"/>
                      <w:lang w:val="en-US" w:eastAsia="zh-CN"/>
                    </w:rPr>
                    <w:t>10</w:t>
                  </w:r>
                  <w:r>
                    <w:rPr>
                      <w:rFonts w:hint="default" w:ascii="Times New Roman" w:hAnsi="Times New Roman" w:cs="Times New Roman"/>
                      <w:color w:val="auto"/>
                      <w:lang w:val="en-US" w:eastAsia="zh-CN"/>
                    </w:rPr>
                    <w:t>.</w:t>
                  </w:r>
                  <w:r>
                    <w:rPr>
                      <w:rFonts w:hint="eastAsia" w:cs="Times New Roman"/>
                      <w:color w:val="auto"/>
                      <w:lang w:val="en-US" w:eastAsia="zh-CN"/>
                    </w:rPr>
                    <w:t>658</w:t>
                  </w:r>
                  <w:r>
                    <w:rPr>
                      <w:rFonts w:hint="default" w:ascii="Times New Roman" w:hAnsi="Times New Roman" w:cs="Times New Roman"/>
                      <w:color w:val="auto"/>
                      <w:lang w:val="en-US" w:eastAsia="zh-CN"/>
                    </w:rPr>
                    <w:t>″</w:t>
                  </w:r>
                </w:p>
              </w:tc>
              <w:tc>
                <w:tcPr>
                  <w:tcW w:w="804" w:type="pct"/>
                  <w:tcBorders>
                    <w:top w:val="single" w:color="auto" w:sz="4" w:space="0"/>
                    <w:left w:val="nil"/>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eastAsia"/>
                      <w:color w:val="auto"/>
                    </w:rPr>
                  </w:pPr>
                  <w:r>
                    <w:rPr>
                      <w:rFonts w:hint="eastAsia"/>
                      <w:color w:val="auto"/>
                    </w:rPr>
                    <w:t>纬度</w:t>
                  </w:r>
                </w:p>
              </w:tc>
              <w:tc>
                <w:tcPr>
                  <w:tcW w:w="1543" w:type="pct"/>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default" w:ascii="Times New Roman" w:hAnsi="Times New Roman" w:cs="Times New Roman"/>
                      <w:color w:val="auto"/>
                      <w:lang w:val="en-US" w:eastAsia="zh-CN"/>
                    </w:rPr>
                    <w:t>44°</w:t>
                  </w:r>
                  <w:r>
                    <w:rPr>
                      <w:rFonts w:hint="eastAsia" w:cs="Times New Roman"/>
                      <w:color w:val="auto"/>
                      <w:lang w:val="en-US" w:eastAsia="zh-CN"/>
                    </w:rPr>
                    <w:t>17</w:t>
                  </w:r>
                  <w:r>
                    <w:rPr>
                      <w:rFonts w:hint="default" w:ascii="Times New Roman" w:hAnsi="Times New Roman" w:cs="Times New Roman"/>
                      <w:color w:val="auto"/>
                      <w:lang w:val="en-US" w:eastAsia="zh-CN"/>
                    </w:rPr>
                    <w:t>′</w:t>
                  </w:r>
                  <w:r>
                    <w:rPr>
                      <w:rFonts w:hint="eastAsia" w:cs="Times New Roman"/>
                      <w:color w:val="auto"/>
                      <w:lang w:val="en-US" w:eastAsia="zh-CN"/>
                    </w:rPr>
                    <w:t>38</w:t>
                  </w:r>
                  <w:r>
                    <w:rPr>
                      <w:rFonts w:hint="default" w:ascii="Times New Roman" w:hAnsi="Times New Roman" w:cs="Times New Roman"/>
                      <w:color w:val="auto"/>
                      <w:lang w:val="en-US" w:eastAsia="zh-CN"/>
                    </w:rPr>
                    <w:t>.</w:t>
                  </w:r>
                  <w:r>
                    <w:rPr>
                      <w:rFonts w:hint="eastAsia" w:cs="Times New Roman"/>
                      <w:color w:val="auto"/>
                      <w:lang w:val="en-US" w:eastAsia="zh-CN"/>
                    </w:rPr>
                    <w:t>508</w:t>
                  </w:r>
                  <w:r>
                    <w:rPr>
                      <w:rFonts w:hint="default" w:ascii="Times New Roman" w:hAnsi="Times New Roman" w:cs="Times New Roman"/>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rPr>
                    <w:t>主要风险物质及分布</w:t>
                  </w:r>
                </w:p>
              </w:tc>
              <w:tc>
                <w:tcPr>
                  <w:tcW w:w="4059" w:type="pct"/>
                  <w:gridSpan w:val="4"/>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eastAsia="宋体"/>
                      <w:color w:val="auto"/>
                      <w:lang w:val="en-US" w:eastAsia="zh-CN"/>
                    </w:rPr>
                  </w:pPr>
                  <w:r>
                    <w:rPr>
                      <w:rFonts w:hint="eastAsia"/>
                      <w:color w:val="auto"/>
                    </w:rPr>
                    <w:t>厂区内：</w:t>
                  </w:r>
                  <w:r>
                    <w:rPr>
                      <w:rFonts w:hint="eastAsia"/>
                      <w:color w:val="auto"/>
                      <w:lang w:val="en-US" w:eastAsia="zh-CN"/>
                    </w:rPr>
                    <w:t>硫酸</w:t>
                  </w:r>
                  <w:r>
                    <w:rPr>
                      <w:rFonts w:hint="eastAsia"/>
                      <w:color w:val="auto"/>
                      <w:lang w:eastAsia="zh-CN"/>
                    </w:rPr>
                    <w:t>(</w:t>
                  </w:r>
                  <w:r>
                    <w:rPr>
                      <w:rFonts w:hint="eastAsia"/>
                      <w:color w:val="auto"/>
                      <w:lang w:val="en-US" w:eastAsia="zh-CN"/>
                    </w:rPr>
                    <w:t>浓硫酸储存罐</w:t>
                  </w:r>
                  <w:r>
                    <w:rPr>
                      <w:rFonts w:hint="eastAsia"/>
                      <w:color w:val="auto"/>
                      <w:lang w:eastAsia="zh-CN"/>
                    </w:rPr>
                    <w:t>)</w:t>
                  </w:r>
                  <w:r>
                    <w:rPr>
                      <w:rFonts w:hint="eastAsia"/>
                      <w:color w:val="auto"/>
                      <w:lang w:val="en-US" w:eastAsia="zh-CN"/>
                    </w:rPr>
                    <w:t xml:space="preserve">  生产车间内：酸解反应釜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eastAsia" w:eastAsia="宋体"/>
                      <w:color w:val="auto"/>
                      <w:lang w:eastAsia="zh-CN"/>
                    </w:rPr>
                  </w:pPr>
                  <w:r>
                    <w:rPr>
                      <w:rFonts w:hint="eastAsia"/>
                      <w:color w:val="auto"/>
                    </w:rPr>
                    <w:t>环境影响途径及危害后果</w:t>
                  </w:r>
                  <w:r>
                    <w:rPr>
                      <w:rFonts w:hint="eastAsia"/>
                      <w:color w:val="auto"/>
                      <w:lang w:eastAsia="zh-CN"/>
                    </w:rPr>
                    <w:t>(</w:t>
                  </w:r>
                  <w:r>
                    <w:rPr>
                      <w:rFonts w:hint="eastAsia"/>
                      <w:color w:val="auto"/>
                    </w:rPr>
                    <w:t>大气、地表水、地下水等</w:t>
                  </w:r>
                  <w:r>
                    <w:rPr>
                      <w:rFonts w:hint="eastAsia"/>
                      <w:color w:val="auto"/>
                      <w:lang w:eastAsia="zh-CN"/>
                    </w:rPr>
                    <w:t>)</w:t>
                  </w:r>
                </w:p>
              </w:tc>
              <w:tc>
                <w:tcPr>
                  <w:tcW w:w="4059" w:type="pct"/>
                  <w:gridSpan w:val="4"/>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rPr>
                    <w:t>本项物料</w:t>
                  </w:r>
                  <w:r>
                    <w:rPr>
                      <w:rFonts w:hint="eastAsia"/>
                      <w:color w:val="auto"/>
                      <w:lang w:eastAsia="zh-CN"/>
                    </w:rPr>
                    <w:t>(</w:t>
                  </w:r>
                  <w:r>
                    <w:rPr>
                      <w:rFonts w:hint="default"/>
                      <w:color w:val="auto"/>
                    </w:rPr>
                    <w:t>指危险物料</w:t>
                  </w:r>
                  <w:r>
                    <w:rPr>
                      <w:rFonts w:hint="eastAsia"/>
                      <w:color w:val="auto"/>
                      <w:lang w:eastAsia="zh-CN"/>
                    </w:rPr>
                    <w:t>)</w:t>
                  </w:r>
                  <w:r>
                    <w:rPr>
                      <w:rFonts w:hint="default"/>
                      <w:color w:val="auto"/>
                    </w:rPr>
                    <w:t>为硫酸在</w:t>
                  </w:r>
                  <w:r>
                    <w:rPr>
                      <w:rFonts w:hint="eastAsia"/>
                      <w:color w:val="auto"/>
                      <w:lang w:val="en-US" w:eastAsia="zh-CN"/>
                    </w:rPr>
                    <w:t>储运</w:t>
                  </w:r>
                  <w:r>
                    <w:rPr>
                      <w:rFonts w:hint="default"/>
                      <w:color w:val="auto"/>
                    </w:rPr>
                    <w:t>过程中由于</w:t>
                  </w:r>
                  <w:r>
                    <w:rPr>
                      <w:rFonts w:hint="eastAsia"/>
                      <w:color w:val="auto"/>
                      <w:lang w:val="en-US" w:eastAsia="zh-CN"/>
                    </w:rPr>
                    <w:t>储存设施</w:t>
                  </w:r>
                  <w:r>
                    <w:rPr>
                      <w:rFonts w:hint="default"/>
                      <w:color w:val="auto"/>
                    </w:rPr>
                    <w:t>密封不严、设备老化</w:t>
                  </w:r>
                  <w:r>
                    <w:rPr>
                      <w:rFonts w:hint="eastAsia"/>
                      <w:color w:val="auto"/>
                      <w:lang w:eastAsia="zh-CN"/>
                    </w:rPr>
                    <w:t>、</w:t>
                  </w:r>
                  <w:r>
                    <w:rPr>
                      <w:rFonts w:hint="eastAsia"/>
                      <w:color w:val="auto"/>
                      <w:lang w:val="en-US" w:eastAsia="zh-CN"/>
                    </w:rPr>
                    <w:t>储存罐</w:t>
                  </w:r>
                  <w:r>
                    <w:rPr>
                      <w:rFonts w:hint="default"/>
                      <w:color w:val="auto"/>
                    </w:rPr>
                    <w:t>密封不严、破损等出现泄露，会对</w:t>
                  </w:r>
                  <w:r>
                    <w:rPr>
                      <w:rFonts w:hint="eastAsia"/>
                      <w:color w:val="auto"/>
                      <w:lang w:val="en-US" w:eastAsia="zh-CN"/>
                    </w:rPr>
                    <w:t>周围</w:t>
                  </w:r>
                  <w:r>
                    <w:rPr>
                      <w:rFonts w:hint="default"/>
                      <w:color w:val="auto"/>
                    </w:rPr>
                    <w:t>大气、土壤、地下水、地表水等污染。生产过程中，由于硫酸具有腐蚀性，如果发生泄露事故，会对建构筑物、设备、管道、仪表、电气设施造成腐蚀性破坏，影响生产安全。由于储存设备部件密封不严，设备老化，或工作人员操作失误等，造成硫酸等危险品物料泄漏，致使沿途环境遭受污染，周围人群受到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center"/>
                    <w:rPr>
                      <w:rFonts w:hint="default"/>
                      <w:color w:val="auto"/>
                    </w:rPr>
                  </w:pPr>
                  <w:r>
                    <w:rPr>
                      <w:rFonts w:hint="eastAsia"/>
                      <w:color w:val="auto"/>
                    </w:rPr>
                    <w:t>风险防范措施要求</w:t>
                  </w:r>
                </w:p>
              </w:tc>
              <w:tc>
                <w:tcPr>
                  <w:tcW w:w="4059" w:type="pct"/>
                  <w:gridSpan w:val="4"/>
                  <w:tcBorders>
                    <w:top w:val="single" w:color="auto" w:sz="4" w:space="0"/>
                    <w:left w:val="nil"/>
                    <w:bottom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rPr>
                    <w:t>(1)立即组织人员抢修，隔离泄漏现场，必要时可紧急停车检修，必须穿戴专用防护服于高处或上风处进行处理工作，在安全情况下尽量切断泄漏点。</w:t>
                  </w:r>
                </w:p>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rPr>
                    <w:t>(2)硫酸泄露，利用围堰收集，导入事故池，可用碱性物质进行中和处理，并及时发生警报。</w:t>
                  </w:r>
                </w:p>
                <w:p>
                  <w:pPr>
                    <w:pStyle w:val="19"/>
                    <w:keepNext w:val="0"/>
                    <w:keepLines w:val="0"/>
                    <w:suppressLineNumbers w:val="0"/>
                    <w:bidi w:val="0"/>
                    <w:spacing w:before="0" w:beforeAutospacing="0" w:after="0" w:afterAutospacing="0"/>
                    <w:ind w:left="0" w:right="0"/>
                    <w:jc w:val="both"/>
                    <w:rPr>
                      <w:rFonts w:hint="default"/>
                      <w:color w:val="auto"/>
                    </w:rPr>
                  </w:pPr>
                  <w:r>
                    <w:rPr>
                      <w:rFonts w:hint="default"/>
                      <w:color w:val="auto"/>
                    </w:rPr>
                    <w:t>在突发事件发生时，为避免事故废水和消防废装置周围产生漫灌现象从而对周围水环境产生影响，本项目设置合理的废水收集系统。通过在罐区设置围堰，在装置区设置地沟，收集事故废水和消防废水。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5"/>
                  <w:tcBorders>
                    <w:top w:val="single" w:color="auto" w:sz="4" w:space="0"/>
                  </w:tcBorders>
                  <w:shd w:val="clear" w:color="auto" w:fill="auto"/>
                  <w:vAlign w:val="center"/>
                </w:tcPr>
                <w:p>
                  <w:pPr>
                    <w:pStyle w:val="19"/>
                    <w:keepNext w:val="0"/>
                    <w:keepLines w:val="0"/>
                    <w:suppressLineNumbers w:val="0"/>
                    <w:bidi w:val="0"/>
                    <w:spacing w:before="0" w:beforeAutospacing="0" w:after="0" w:afterAutospacing="0"/>
                    <w:ind w:left="0" w:right="0"/>
                    <w:jc w:val="both"/>
                    <w:rPr>
                      <w:rFonts w:hint="eastAsia"/>
                      <w:color w:val="auto"/>
                    </w:rPr>
                  </w:pPr>
                  <w:r>
                    <w:rPr>
                      <w:rFonts w:hint="eastAsia"/>
                      <w:color w:val="auto"/>
                    </w:rPr>
                    <w:t>填表说明</w:t>
                  </w:r>
                  <w:r>
                    <w:rPr>
                      <w:rFonts w:hint="eastAsia"/>
                      <w:color w:val="auto"/>
                      <w:lang w:eastAsia="zh-CN"/>
                    </w:rPr>
                    <w:t>(</w:t>
                  </w:r>
                  <w:r>
                    <w:rPr>
                      <w:rFonts w:hint="eastAsia"/>
                      <w:color w:val="auto"/>
                    </w:rPr>
                    <w:t>列出项目相关信息及评价说明</w:t>
                  </w:r>
                  <w:r>
                    <w:rPr>
                      <w:rFonts w:hint="eastAsia"/>
                      <w:color w:val="auto"/>
                      <w:lang w:eastAsia="zh-CN"/>
                    </w:rPr>
                    <w:t>)</w:t>
                  </w:r>
                  <w:r>
                    <w:rPr>
                      <w:rFonts w:hint="eastAsia"/>
                      <w:color w:val="auto"/>
                    </w:rPr>
                    <w:t>：</w:t>
                  </w:r>
                </w:p>
                <w:p>
                  <w:pPr>
                    <w:pStyle w:val="19"/>
                    <w:keepNext w:val="0"/>
                    <w:keepLines w:val="0"/>
                    <w:suppressLineNumbers w:val="0"/>
                    <w:bidi w:val="0"/>
                    <w:spacing w:before="0" w:beforeAutospacing="0" w:after="0" w:afterAutospacing="0"/>
                    <w:ind w:left="0" w:right="0"/>
                    <w:jc w:val="both"/>
                    <w:rPr>
                      <w:rFonts w:hint="default"/>
                      <w:color w:val="auto"/>
                    </w:rPr>
                  </w:pPr>
                  <w:r>
                    <w:rPr>
                      <w:rFonts w:hint="eastAsia"/>
                      <w:color w:val="auto"/>
                    </w:rPr>
                    <w:t>本项目的环境风险事故主要为</w:t>
                  </w:r>
                  <w:r>
                    <w:rPr>
                      <w:rFonts w:hint="eastAsia"/>
                      <w:color w:val="auto"/>
                      <w:lang w:val="en-US" w:eastAsia="zh-CN"/>
                    </w:rPr>
                    <w:t>泄露、</w:t>
                  </w:r>
                  <w:r>
                    <w:rPr>
                      <w:rFonts w:hint="eastAsia"/>
                      <w:color w:val="auto"/>
                    </w:rPr>
                    <w:t>火灾、爆炸事故。通过落实本报告的提出各项事故防范和应急措施，加强管理的前提下，可最大限度地减少可能发生的环境风险。若发生事故，也可将影响范围控制在较小程度内，减小损失。</w:t>
                  </w:r>
                </w:p>
              </w:tc>
            </w:tr>
          </w:tbl>
          <w:p>
            <w:pPr>
              <w:keepNext w:val="0"/>
              <w:keepLines w:val="0"/>
              <w:suppressLineNumbers w:val="0"/>
              <w:bidi w:val="0"/>
              <w:spacing w:before="0" w:beforeAutospacing="0" w:after="0" w:afterAutospacing="0"/>
              <w:ind w:left="0" w:right="0"/>
              <w:rPr>
                <w:rFonts w:hint="default"/>
                <w:color w:val="auto"/>
                <w:sz w:val="24"/>
              </w:rPr>
            </w:pPr>
          </w:p>
        </w:tc>
      </w:tr>
    </w:tbl>
    <w:p>
      <w:pPr>
        <w:ind w:left="0" w:leftChars="0" w:firstLine="0" w:firstLineChars="0"/>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widowControl/>
        <w:adjustRightInd w:val="0"/>
        <w:snapToGrid w:val="0"/>
        <w:spacing w:line="648" w:lineRule="auto"/>
        <w:jc w:val="left"/>
        <w:outlineLvl w:val="0"/>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rPr>
        <w:t>附表</w:t>
      </w:r>
      <w:r>
        <w:rPr>
          <w:rFonts w:hint="eastAsia" w:ascii="黑体" w:hAnsi="黑体" w:eastAsia="黑体" w:cs="Times New Roman"/>
          <w:snapToGrid w:val="0"/>
          <w:kern w:val="0"/>
          <w:sz w:val="32"/>
          <w:szCs w:val="32"/>
          <w:lang w:val="en-US" w:eastAsia="zh-CN"/>
        </w:rPr>
        <w:t>2</w:t>
      </w:r>
    </w:p>
    <w:p>
      <w:pPr>
        <w:widowControl/>
        <w:adjustRightInd w:val="0"/>
        <w:snapToGrid w:val="0"/>
        <w:spacing w:line="552" w:lineRule="auto"/>
        <w:jc w:val="center"/>
        <w:outlineLvl w:val="9"/>
        <w:rPr>
          <w:rFonts w:hint="eastAsia" w:ascii="方正小标宋_GBK" w:hAnsi="黑体" w:eastAsia="方正小标宋_GBK" w:cs="Times New Roman"/>
          <w:snapToGrid w:val="0"/>
          <w:kern w:val="0"/>
          <w:sz w:val="38"/>
          <w:szCs w:val="38"/>
        </w:rPr>
      </w:pPr>
      <w:r>
        <w:rPr>
          <w:rFonts w:hint="eastAsia" w:ascii="方正小标宋_GBK" w:hAnsi="黑体" w:eastAsia="方正小标宋_GBK" w:cs="Times New Roman"/>
          <w:snapToGrid w:val="0"/>
          <w:kern w:val="0"/>
          <w:sz w:val="38"/>
          <w:szCs w:val="38"/>
        </w:rPr>
        <w:t>建设项目污染物排放量汇总表</w:t>
      </w:r>
    </w:p>
    <w:tbl>
      <w:tblPr>
        <w:tblStyle w:val="15"/>
        <w:tblW w:w="1393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874"/>
        <w:gridCol w:w="1437"/>
        <w:gridCol w:w="1299"/>
        <w:gridCol w:w="1550"/>
        <w:gridCol w:w="1576"/>
        <w:gridCol w:w="1617"/>
        <w:gridCol w:w="2018"/>
        <w:gridCol w:w="9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605" w:type="dxa"/>
            <w:tcBorders>
              <w:tl2br w:val="single" w:color="auto" w:sz="4" w:space="0"/>
            </w:tcBorders>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righ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pPr>
              <w:keepNext w:val="0"/>
              <w:keepLines w:val="0"/>
              <w:suppressLineNumbers w:val="0"/>
              <w:adjustRightInd w:val="0"/>
              <w:snapToGrid w:val="0"/>
              <w:spacing w:before="0" w:beforeAutospacing="0" w:after="0" w:afterAutospacing="0"/>
              <w:ind w:left="0" w:leftChars="0" w:right="0" w:firstLine="0" w:firstLineChars="0"/>
              <w:jc w:val="lef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874"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437"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现有工程排放量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t>固</w:t>
            </w:r>
            <w:r>
              <w:rPr>
                <w:rFonts w:hint="eastAsia" w:ascii="黑体" w:hAnsi="黑体" w:eastAsia="黑体" w:cs="Times New Roman"/>
                <w:snapToGrid w:val="0"/>
                <w:color w:val="000000"/>
                <w:spacing w:val="-6"/>
                <w:kern w:val="21"/>
                <w:szCs w:val="21"/>
              </w:rPr>
              <w:t>体</w:t>
            </w:r>
            <w:r>
              <w:rPr>
                <w:rFonts w:hint="default" w:ascii="黑体" w:hAnsi="黑体" w:eastAsia="黑体" w:cs="Times New Roman"/>
                <w:snapToGrid w:val="0"/>
                <w:color w:val="000000"/>
                <w:spacing w:val="-6"/>
                <w:kern w:val="21"/>
                <w:szCs w:val="21"/>
              </w:rPr>
              <w:t>废</w:t>
            </w:r>
            <w:r>
              <w:rPr>
                <w:rFonts w:hint="eastAsia" w:ascii="黑体" w:hAnsi="黑体" w:eastAsia="黑体" w:cs="Times New Roman"/>
                <w:snapToGrid w:val="0"/>
                <w:color w:val="000000"/>
                <w:spacing w:val="-6"/>
                <w:kern w:val="21"/>
                <w:szCs w:val="21"/>
              </w:rPr>
              <w:t>物</w:t>
            </w:r>
            <w:r>
              <w:rPr>
                <w:rFonts w:hint="default" w:ascii="黑体" w:hAnsi="黑体" w:eastAsia="黑体" w:cs="Times New Roman"/>
                <w:snapToGrid w:val="0"/>
                <w:color w:val="000000"/>
                <w:spacing w:val="-6"/>
                <w:kern w:val="21"/>
                <w:szCs w:val="21"/>
              </w:rPr>
              <w:t>产生量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1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①</w:t>
            </w:r>
            <w:r>
              <w:rPr>
                <w:rFonts w:hint="default" w:ascii="黑体" w:hAnsi="黑体" w:eastAsia="黑体" w:cs="Times New Roman"/>
                <w:snapToGrid w:val="0"/>
                <w:color w:val="000000"/>
                <w:spacing w:val="-6"/>
                <w:kern w:val="21"/>
                <w:szCs w:val="21"/>
              </w:rPr>
              <w:fldChar w:fldCharType="end"/>
            </w:r>
          </w:p>
        </w:tc>
        <w:tc>
          <w:tcPr>
            <w:tcW w:w="1299"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现有工程</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许可排放量</w:t>
            </w:r>
          </w:p>
          <w:p>
            <w:pPr>
              <w:keepNext w:val="0"/>
              <w:keepLines w:val="0"/>
              <w:suppressLineNumbers w:val="0"/>
              <w:adjustRightInd w:val="0"/>
              <w:snapToGrid w:val="0"/>
              <w:spacing w:before="0" w:beforeAutospacing="0" w:after="0" w:afterAutospacing="0" w:line="259" w:lineRule="auto"/>
              <w:ind w:left="0" w:right="0"/>
              <w:jc w:val="both"/>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2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hint="default" w:ascii="黑体" w:hAnsi="黑体" w:eastAsia="黑体" w:cs="Times New Roman"/>
                <w:snapToGrid w:val="0"/>
                <w:color w:val="000000"/>
                <w:spacing w:val="-6"/>
                <w:kern w:val="21"/>
                <w:szCs w:val="21"/>
              </w:rPr>
              <w:fldChar w:fldCharType="end"/>
            </w:r>
          </w:p>
        </w:tc>
        <w:tc>
          <w:tcPr>
            <w:tcW w:w="1550"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在建工程排放量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t>固</w:t>
            </w:r>
            <w:r>
              <w:rPr>
                <w:rFonts w:hint="eastAsia" w:ascii="黑体" w:hAnsi="黑体" w:eastAsia="黑体" w:cs="Times New Roman"/>
                <w:snapToGrid w:val="0"/>
                <w:color w:val="000000"/>
                <w:spacing w:val="-6"/>
                <w:kern w:val="21"/>
                <w:szCs w:val="21"/>
              </w:rPr>
              <w:t>体</w:t>
            </w:r>
            <w:r>
              <w:rPr>
                <w:rFonts w:hint="default" w:ascii="黑体" w:hAnsi="黑体" w:eastAsia="黑体" w:cs="Times New Roman"/>
                <w:snapToGrid w:val="0"/>
                <w:color w:val="000000"/>
                <w:spacing w:val="-6"/>
                <w:kern w:val="21"/>
                <w:szCs w:val="21"/>
              </w:rPr>
              <w:t>废</w:t>
            </w:r>
            <w:r>
              <w:rPr>
                <w:rFonts w:hint="eastAsia" w:ascii="黑体" w:hAnsi="黑体" w:eastAsia="黑体" w:cs="Times New Roman"/>
                <w:snapToGrid w:val="0"/>
                <w:color w:val="000000"/>
                <w:spacing w:val="-6"/>
                <w:kern w:val="21"/>
                <w:szCs w:val="21"/>
              </w:rPr>
              <w:t>物</w:t>
            </w:r>
            <w:r>
              <w:rPr>
                <w:rFonts w:hint="default" w:ascii="黑体" w:hAnsi="黑体" w:eastAsia="黑体" w:cs="Times New Roman"/>
                <w:snapToGrid w:val="0"/>
                <w:color w:val="000000"/>
                <w:spacing w:val="-6"/>
                <w:kern w:val="21"/>
                <w:szCs w:val="21"/>
              </w:rPr>
              <w:t>产生量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3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③</w:t>
            </w:r>
            <w:r>
              <w:rPr>
                <w:rFonts w:hint="default" w:ascii="黑体" w:hAnsi="黑体" w:eastAsia="黑体" w:cs="Times New Roman"/>
                <w:snapToGrid w:val="0"/>
                <w:color w:val="000000"/>
                <w:spacing w:val="-6"/>
                <w:kern w:val="21"/>
                <w:szCs w:val="21"/>
              </w:rPr>
              <w:fldChar w:fldCharType="end"/>
            </w:r>
          </w:p>
        </w:tc>
        <w:tc>
          <w:tcPr>
            <w:tcW w:w="1576"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本项目排放量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t>固</w:t>
            </w:r>
            <w:r>
              <w:rPr>
                <w:rFonts w:hint="eastAsia" w:ascii="黑体" w:hAnsi="黑体" w:eastAsia="黑体" w:cs="Times New Roman"/>
                <w:snapToGrid w:val="0"/>
                <w:color w:val="000000"/>
                <w:spacing w:val="-6"/>
                <w:kern w:val="21"/>
                <w:szCs w:val="21"/>
              </w:rPr>
              <w:t>体</w:t>
            </w:r>
            <w:r>
              <w:rPr>
                <w:rFonts w:hint="default" w:ascii="黑体" w:hAnsi="黑体" w:eastAsia="黑体" w:cs="Times New Roman"/>
                <w:snapToGrid w:val="0"/>
                <w:color w:val="000000"/>
                <w:spacing w:val="-6"/>
                <w:kern w:val="21"/>
                <w:szCs w:val="21"/>
              </w:rPr>
              <w:t>废</w:t>
            </w:r>
            <w:r>
              <w:rPr>
                <w:rFonts w:hint="eastAsia" w:ascii="黑体" w:hAnsi="黑体" w:eastAsia="黑体" w:cs="Times New Roman"/>
                <w:snapToGrid w:val="0"/>
                <w:color w:val="000000"/>
                <w:spacing w:val="-6"/>
                <w:kern w:val="21"/>
                <w:szCs w:val="21"/>
              </w:rPr>
              <w:t>物</w:t>
            </w:r>
            <w:r>
              <w:rPr>
                <w:rFonts w:hint="default" w:ascii="黑体" w:hAnsi="黑体" w:eastAsia="黑体" w:cs="Times New Roman"/>
                <w:snapToGrid w:val="0"/>
                <w:color w:val="000000"/>
                <w:spacing w:val="-6"/>
                <w:kern w:val="21"/>
                <w:szCs w:val="21"/>
              </w:rPr>
              <w:t>产生量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4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④</w:t>
            </w:r>
            <w:r>
              <w:rPr>
                <w:rFonts w:hint="default" w:ascii="黑体" w:hAnsi="黑体" w:eastAsia="黑体" w:cs="Times New Roman"/>
                <w:snapToGrid w:val="0"/>
                <w:color w:val="000000"/>
                <w:spacing w:val="-6"/>
                <w:kern w:val="21"/>
                <w:szCs w:val="21"/>
              </w:rPr>
              <w:fldChar w:fldCharType="end"/>
            </w:r>
          </w:p>
        </w:tc>
        <w:tc>
          <w:tcPr>
            <w:tcW w:w="1617"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黑体" w:hAnsi="黑体" w:eastAsia="黑体" w:cs="Times New Roman"/>
                <w:snapToGrid w:val="0"/>
                <w:color w:val="000000"/>
                <w:spacing w:val="-16"/>
                <w:kern w:val="21"/>
                <w:szCs w:val="21"/>
              </w:rPr>
            </w:pPr>
            <w:r>
              <w:rPr>
                <w:rFonts w:hint="default" w:ascii="黑体" w:hAnsi="黑体" w:eastAsia="黑体" w:cs="Times New Roman"/>
                <w:snapToGrid w:val="0"/>
                <w:color w:val="000000"/>
                <w:spacing w:val="-16"/>
                <w:kern w:val="21"/>
                <w:szCs w:val="21"/>
              </w:rPr>
              <w:t>以新带老削减量</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16"/>
                <w:kern w:val="21"/>
                <w:szCs w:val="21"/>
              </w:rPr>
            </w:pP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t>新建项目不填</w:t>
            </w: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fldChar w:fldCharType="begin"/>
            </w:r>
            <w:r>
              <w:rPr>
                <w:rFonts w:hint="default" w:ascii="黑体" w:hAnsi="黑体" w:eastAsia="黑体" w:cs="Times New Roman"/>
                <w:snapToGrid w:val="0"/>
                <w:color w:val="000000"/>
                <w:spacing w:val="-16"/>
                <w:kern w:val="21"/>
                <w:szCs w:val="21"/>
              </w:rPr>
              <w:instrText xml:space="preserve"> = 5 \* GB3 \* MERGEFORMAT </w:instrText>
            </w:r>
            <w:r>
              <w:rPr>
                <w:rFonts w:hint="default" w:ascii="黑体" w:hAnsi="黑体" w:eastAsia="黑体" w:cs="Times New Roman"/>
                <w:snapToGrid w:val="0"/>
                <w:color w:val="000000"/>
                <w:spacing w:val="-16"/>
                <w:kern w:val="21"/>
                <w:szCs w:val="21"/>
              </w:rPr>
              <w:fldChar w:fldCharType="separate"/>
            </w:r>
            <w:r>
              <w:rPr>
                <w:rFonts w:hint="eastAsia" w:ascii="黑体" w:hAnsi="黑体" w:eastAsia="黑体" w:cs="宋体"/>
                <w:szCs w:val="21"/>
              </w:rPr>
              <w:t>⑤</w:t>
            </w:r>
            <w:r>
              <w:rPr>
                <w:rFonts w:hint="default" w:ascii="黑体" w:hAnsi="黑体" w:eastAsia="黑体" w:cs="Times New Roman"/>
                <w:snapToGrid w:val="0"/>
                <w:color w:val="000000"/>
                <w:spacing w:val="-16"/>
                <w:kern w:val="21"/>
                <w:szCs w:val="21"/>
              </w:rPr>
              <w:fldChar w:fldCharType="end"/>
            </w:r>
          </w:p>
        </w:tc>
        <w:tc>
          <w:tcPr>
            <w:tcW w:w="2018"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16"/>
                <w:kern w:val="21"/>
                <w:szCs w:val="21"/>
              </w:rPr>
            </w:pPr>
            <w:r>
              <w:rPr>
                <w:rFonts w:hint="default" w:ascii="黑体" w:hAnsi="黑体" w:eastAsia="黑体" w:cs="Times New Roman"/>
                <w:snapToGrid w:val="0"/>
                <w:color w:val="000000"/>
                <w:spacing w:val="-16"/>
                <w:kern w:val="21"/>
                <w:szCs w:val="21"/>
              </w:rPr>
              <w:t>本项目建成后</w:t>
            </w:r>
            <w:r>
              <w:rPr>
                <w:rFonts w:hint="eastAsia" w:ascii="黑体" w:hAnsi="黑体" w:eastAsia="黑体" w:cs="Times New Roman"/>
                <w:snapToGrid w:val="0"/>
                <w:color w:val="000000"/>
                <w:spacing w:val="-16"/>
                <w:kern w:val="21"/>
                <w:szCs w:val="21"/>
              </w:rPr>
              <w:t>全厂</w:t>
            </w:r>
            <w:r>
              <w:rPr>
                <w:rFonts w:hint="default" w:ascii="黑体" w:hAnsi="黑体" w:eastAsia="黑体" w:cs="Times New Roman"/>
                <w:snapToGrid w:val="0"/>
                <w:color w:val="000000"/>
                <w:spacing w:val="-16"/>
                <w:kern w:val="21"/>
                <w:szCs w:val="21"/>
              </w:rPr>
              <w:t>排放量</w:t>
            </w: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t>固</w:t>
            </w:r>
            <w:r>
              <w:rPr>
                <w:rFonts w:hint="eastAsia" w:ascii="黑体" w:hAnsi="黑体" w:eastAsia="黑体" w:cs="Times New Roman"/>
                <w:snapToGrid w:val="0"/>
                <w:color w:val="000000"/>
                <w:spacing w:val="-16"/>
                <w:kern w:val="21"/>
                <w:szCs w:val="21"/>
              </w:rPr>
              <w:t>体</w:t>
            </w:r>
            <w:r>
              <w:rPr>
                <w:rFonts w:hint="default" w:ascii="黑体" w:hAnsi="黑体" w:eastAsia="黑体" w:cs="Times New Roman"/>
                <w:snapToGrid w:val="0"/>
                <w:color w:val="000000"/>
                <w:spacing w:val="-16"/>
                <w:kern w:val="21"/>
                <w:szCs w:val="21"/>
              </w:rPr>
              <w:t>废</w:t>
            </w:r>
            <w:r>
              <w:rPr>
                <w:rFonts w:hint="eastAsia" w:ascii="黑体" w:hAnsi="黑体" w:eastAsia="黑体" w:cs="Times New Roman"/>
                <w:snapToGrid w:val="0"/>
                <w:color w:val="000000"/>
                <w:spacing w:val="-16"/>
                <w:kern w:val="21"/>
                <w:szCs w:val="21"/>
              </w:rPr>
              <w:t>物</w:t>
            </w:r>
            <w:r>
              <w:rPr>
                <w:rFonts w:hint="default" w:ascii="黑体" w:hAnsi="黑体" w:eastAsia="黑体" w:cs="Times New Roman"/>
                <w:snapToGrid w:val="0"/>
                <w:color w:val="000000"/>
                <w:spacing w:val="-16"/>
                <w:kern w:val="21"/>
                <w:szCs w:val="21"/>
              </w:rPr>
              <w:t>产生量</w:t>
            </w: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fldChar w:fldCharType="begin"/>
            </w:r>
            <w:r>
              <w:rPr>
                <w:rFonts w:hint="default" w:ascii="黑体" w:hAnsi="黑体" w:eastAsia="黑体" w:cs="Times New Roman"/>
                <w:snapToGrid w:val="0"/>
                <w:color w:val="000000"/>
                <w:spacing w:val="-16"/>
                <w:kern w:val="21"/>
                <w:szCs w:val="21"/>
              </w:rPr>
              <w:instrText xml:space="preserve"> = 6 \* GB3 \* MERGEFORMAT </w:instrText>
            </w:r>
            <w:r>
              <w:rPr>
                <w:rFonts w:hint="default" w:ascii="黑体" w:hAnsi="黑体" w:eastAsia="黑体" w:cs="Times New Roman"/>
                <w:snapToGrid w:val="0"/>
                <w:color w:val="000000"/>
                <w:spacing w:val="-16"/>
                <w:kern w:val="21"/>
                <w:szCs w:val="21"/>
              </w:rPr>
              <w:fldChar w:fldCharType="separate"/>
            </w:r>
            <w:r>
              <w:rPr>
                <w:rFonts w:hint="eastAsia" w:ascii="黑体" w:hAnsi="黑体" w:eastAsia="黑体" w:cs="宋体"/>
                <w:szCs w:val="21"/>
              </w:rPr>
              <w:t>⑥</w:t>
            </w:r>
            <w:r>
              <w:rPr>
                <w:rFonts w:hint="default" w:ascii="黑体" w:hAnsi="黑体" w:eastAsia="黑体" w:cs="Times New Roman"/>
                <w:snapToGrid w:val="0"/>
                <w:color w:val="000000"/>
                <w:spacing w:val="-16"/>
                <w:kern w:val="21"/>
                <w:szCs w:val="21"/>
              </w:rPr>
              <w:fldChar w:fldCharType="end"/>
            </w:r>
          </w:p>
        </w:tc>
        <w:tc>
          <w:tcPr>
            <w:tcW w:w="960"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变化量</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7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⑦</w:t>
            </w:r>
            <w:r>
              <w:rPr>
                <w:rFonts w:hint="default" w:ascii="黑体" w:hAnsi="黑体" w:eastAsia="黑体" w:cs="Times New Roman"/>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05" w:type="dxa"/>
            <w:vMerge w:val="restart"/>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废气</w:t>
            </w: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硫酸雾</w:t>
            </w:r>
            <w:r>
              <w:rPr>
                <w:rFonts w:hint="eastAsia"/>
                <w:lang w:val="en-US" w:eastAsia="zh-CN"/>
              </w:rPr>
              <w:t>(t/a)</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color w:val="1F497D" w:themeColor="text2"/>
                <w14:textFill>
                  <w14:solidFill>
                    <w14:schemeClr w14:val="tx2"/>
                  </w14:solidFill>
                </w14:textFill>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color w:val="1F497D" w:themeColor="text2"/>
                <w14:textFill>
                  <w14:solidFill>
                    <w14:schemeClr w14:val="tx2"/>
                  </w14:solidFill>
                </w14:textFill>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0.792</w:t>
            </w:r>
          </w:p>
        </w:tc>
        <w:tc>
          <w:tcPr>
            <w:tcW w:w="1617" w:type="dxa"/>
            <w:vAlign w:val="center"/>
          </w:tcPr>
          <w:p>
            <w:pPr>
              <w:pStyle w:val="19"/>
              <w:keepNext w:val="0"/>
              <w:keepLines w:val="0"/>
              <w:suppressLineNumbers w:val="0"/>
              <w:bidi w:val="0"/>
              <w:spacing w:before="0" w:beforeAutospacing="0" w:after="0" w:afterAutospacing="0"/>
              <w:ind w:left="0" w:right="0"/>
              <w:rPr>
                <w:rFonts w:hint="default"/>
                <w:color w:val="1F497D" w:themeColor="text2"/>
                <w14:textFill>
                  <w14:solidFill>
                    <w14:schemeClr w14:val="tx2"/>
                  </w14:solidFill>
                </w14:textFill>
              </w:rPr>
            </w:pPr>
          </w:p>
        </w:tc>
        <w:tc>
          <w:tcPr>
            <w:tcW w:w="2018"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color w:val="1F497D" w:themeColor="text2"/>
                <w:lang w:val="en-US" w:eastAsia="zh-CN"/>
                <w14:textFill>
                  <w14:solidFill>
                    <w14:schemeClr w14:val="tx2"/>
                  </w14:solidFill>
                </w14:textFill>
              </w:rPr>
            </w:pPr>
            <w:r>
              <w:rPr>
                <w:rFonts w:hint="eastAsia"/>
                <w:color w:val="auto"/>
                <w:lang w:val="en-US" w:eastAsia="zh-CN"/>
              </w:rPr>
              <w:t>0.792</w:t>
            </w:r>
          </w:p>
        </w:tc>
        <w:tc>
          <w:tcPr>
            <w:tcW w:w="960"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color w:val="1F497D" w:themeColor="text2"/>
                <w:lang w:val="en-US" w:eastAsia="zh-CN"/>
                <w14:textFill>
                  <w14:solidFill>
                    <w14:schemeClr w14:val="tx2"/>
                  </w14:solidFill>
                </w14:textFill>
              </w:rPr>
            </w:pPr>
            <w:r>
              <w:rPr>
                <w:rFonts w:hint="eastAsia"/>
                <w:color w:val="auto"/>
                <w:lang w:val="en-US" w:eastAsia="zh-CN"/>
              </w:rPr>
              <w:t>+0.792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NH</w:t>
            </w:r>
            <w:r>
              <w:rPr>
                <w:rFonts w:hint="eastAsia"/>
                <w:vertAlign w:val="subscript"/>
                <w:lang w:val="en-US" w:eastAsia="zh-CN"/>
              </w:rPr>
              <w:t>3</w:t>
            </w:r>
            <w:r>
              <w:rPr>
                <w:rFonts w:hint="eastAsia"/>
                <w:lang w:val="en-US" w:eastAsia="zh-CN"/>
              </w:rPr>
              <w:t>(t/a)</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3.33</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lang w:val="en-US" w:eastAsia="zh-CN"/>
              </w:rPr>
              <w:t>3.33</w:t>
            </w:r>
          </w:p>
        </w:tc>
        <w:tc>
          <w:tcPr>
            <w:tcW w:w="960"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+3.33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H</w:t>
            </w:r>
            <w:r>
              <w:rPr>
                <w:rFonts w:hint="eastAsia"/>
                <w:vertAlign w:val="subscript"/>
                <w:lang w:val="en-US" w:eastAsia="zh-CN"/>
              </w:rPr>
              <w:t>2</w:t>
            </w:r>
            <w:r>
              <w:rPr>
                <w:rFonts w:hint="eastAsia"/>
                <w:lang w:val="en-US" w:eastAsia="zh-CN"/>
              </w:rPr>
              <w:t>S(t/a)</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0.15</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0.15</w:t>
            </w:r>
          </w:p>
        </w:tc>
        <w:tc>
          <w:tcPr>
            <w:tcW w:w="960"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SO</w:t>
            </w:r>
            <w:r>
              <w:rPr>
                <w:rFonts w:hint="eastAsia"/>
                <w:vertAlign w:val="subscript"/>
                <w:lang w:val="en-US" w:eastAsia="zh-CN"/>
              </w:rPr>
              <w:t>2</w:t>
            </w:r>
            <w:r>
              <w:rPr>
                <w:rFonts w:hint="eastAsia"/>
                <w:lang w:val="en-US" w:eastAsia="zh-CN"/>
              </w:rPr>
              <w:t>(t/a)</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0.06</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0.06</w:t>
            </w:r>
          </w:p>
        </w:tc>
        <w:tc>
          <w:tcPr>
            <w:tcW w:w="960"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NO</w:t>
            </w:r>
            <w:r>
              <w:rPr>
                <w:rFonts w:hint="eastAsia"/>
                <w:vertAlign w:val="subscript"/>
                <w:lang w:val="en-US" w:eastAsia="zh-CN"/>
              </w:rPr>
              <w:t>X</w:t>
            </w:r>
            <w:r>
              <w:rPr>
                <w:rFonts w:hint="eastAsia"/>
                <w:lang w:val="en-US" w:eastAsia="zh-CN"/>
              </w:rPr>
              <w:t>(t/a)</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0.56</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highlight w:val="none"/>
                <w:lang w:val="en-US" w:eastAsia="zh-CN"/>
              </w:rPr>
            </w:pPr>
            <w:r>
              <w:rPr>
                <w:rFonts w:hint="eastAsia"/>
                <w:color w:val="auto"/>
                <w:lang w:val="en-US" w:eastAsia="zh-CN"/>
              </w:rPr>
              <w:t>0.56</w:t>
            </w:r>
          </w:p>
        </w:tc>
        <w:tc>
          <w:tcPr>
            <w:tcW w:w="960"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颗粒物</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0.07</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highlight w:val="none"/>
                <w:lang w:val="en-US" w:eastAsia="zh-CN"/>
              </w:rPr>
            </w:pPr>
            <w:r>
              <w:rPr>
                <w:rFonts w:hint="eastAsia"/>
                <w:color w:val="auto"/>
                <w:lang w:val="en-US" w:eastAsia="zh-CN"/>
              </w:rPr>
              <w:t>0.07</w:t>
            </w:r>
          </w:p>
        </w:tc>
        <w:tc>
          <w:tcPr>
            <w:tcW w:w="960" w:type="dxa"/>
            <w:vAlign w:val="center"/>
          </w:tcPr>
          <w:p>
            <w:pPr>
              <w:pStyle w:val="19"/>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废水</w:t>
            </w: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生活污水(m</w:t>
            </w:r>
            <w:r>
              <w:rPr>
                <w:rFonts w:hint="eastAsia"/>
                <w:vertAlign w:val="superscript"/>
                <w:lang w:val="en-US" w:eastAsia="zh-CN"/>
              </w:rPr>
              <w:t>3</w:t>
            </w:r>
            <w:r>
              <w:rPr>
                <w:rFonts w:hint="eastAsia"/>
                <w:lang w:val="en-US" w:eastAsia="zh-CN"/>
              </w:rPr>
              <w:t>/a)</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180</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180</w:t>
            </w:r>
          </w:p>
        </w:tc>
        <w:tc>
          <w:tcPr>
            <w:tcW w:w="960"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napToGrid w:val="0"/>
                <w:color w:val="000000"/>
                <w:kern w:val="21"/>
                <w:szCs w:val="21"/>
              </w:rPr>
            </w:pPr>
            <w:r>
              <w:rPr>
                <w:rFonts w:hint="eastAsia" w:ascii="宋体" w:hAnsi="宋体" w:eastAsia="宋体" w:cs="宋体"/>
                <w:snapToGrid w:val="0"/>
                <w:color w:val="000000"/>
                <w:kern w:val="21"/>
                <w:szCs w:val="21"/>
              </w:rPr>
              <w:t>一般工业</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固体废物</w:t>
            </w: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生活垃圾(t/a)</w:t>
            </w:r>
          </w:p>
        </w:tc>
        <w:tc>
          <w:tcPr>
            <w:tcW w:w="1437"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4.5</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4.5</w:t>
            </w:r>
          </w:p>
        </w:tc>
        <w:tc>
          <w:tcPr>
            <w:tcW w:w="960"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6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危险废物</w:t>
            </w:r>
          </w:p>
        </w:tc>
        <w:tc>
          <w:tcPr>
            <w:tcW w:w="1874"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氢氧化钾包装袋(t/a)</w:t>
            </w:r>
          </w:p>
        </w:tc>
        <w:tc>
          <w:tcPr>
            <w:tcW w:w="1437" w:type="dxa"/>
            <w:vAlign w:val="center"/>
          </w:tcPr>
          <w:p>
            <w:pPr>
              <w:pStyle w:val="19"/>
              <w:keepNext w:val="0"/>
              <w:keepLines w:val="0"/>
              <w:suppressLineNumbers w:val="0"/>
              <w:bidi w:val="0"/>
              <w:spacing w:before="0" w:beforeAutospacing="0" w:after="0" w:afterAutospacing="0"/>
              <w:ind w:left="0" w:right="0"/>
              <w:rPr>
                <w:rFonts w:hint="default"/>
              </w:rPr>
            </w:pPr>
          </w:p>
        </w:tc>
        <w:tc>
          <w:tcPr>
            <w:tcW w:w="1299" w:type="dxa"/>
            <w:vAlign w:val="center"/>
          </w:tcPr>
          <w:p>
            <w:pPr>
              <w:pStyle w:val="19"/>
              <w:keepNext w:val="0"/>
              <w:keepLines w:val="0"/>
              <w:suppressLineNumbers w:val="0"/>
              <w:bidi w:val="0"/>
              <w:spacing w:before="0" w:beforeAutospacing="0" w:after="0" w:afterAutospacing="0"/>
              <w:ind w:left="0" w:right="0"/>
              <w:rPr>
                <w:rFonts w:hint="default"/>
              </w:rPr>
            </w:pPr>
          </w:p>
        </w:tc>
        <w:tc>
          <w:tcPr>
            <w:tcW w:w="1550" w:type="dxa"/>
            <w:vAlign w:val="center"/>
          </w:tcPr>
          <w:p>
            <w:pPr>
              <w:pStyle w:val="19"/>
              <w:keepNext w:val="0"/>
              <w:keepLines w:val="0"/>
              <w:suppressLineNumbers w:val="0"/>
              <w:bidi w:val="0"/>
              <w:spacing w:before="0" w:beforeAutospacing="0" w:after="0" w:afterAutospacing="0"/>
              <w:ind w:left="0" w:right="0"/>
              <w:rPr>
                <w:rFonts w:hint="default"/>
              </w:rPr>
            </w:pPr>
          </w:p>
        </w:tc>
        <w:tc>
          <w:tcPr>
            <w:tcW w:w="1576"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0.25</w:t>
            </w:r>
          </w:p>
        </w:tc>
        <w:tc>
          <w:tcPr>
            <w:tcW w:w="1617" w:type="dxa"/>
            <w:vAlign w:val="center"/>
          </w:tcPr>
          <w:p>
            <w:pPr>
              <w:pStyle w:val="19"/>
              <w:keepNext w:val="0"/>
              <w:keepLines w:val="0"/>
              <w:suppressLineNumbers w:val="0"/>
              <w:bidi w:val="0"/>
              <w:spacing w:before="0" w:beforeAutospacing="0" w:after="0" w:afterAutospacing="0"/>
              <w:ind w:left="0" w:right="0"/>
              <w:rPr>
                <w:rFonts w:hint="default"/>
              </w:rPr>
            </w:pPr>
          </w:p>
        </w:tc>
        <w:tc>
          <w:tcPr>
            <w:tcW w:w="2018"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0.25</w:t>
            </w:r>
          </w:p>
        </w:tc>
        <w:tc>
          <w:tcPr>
            <w:tcW w:w="960" w:type="dxa"/>
            <w:vAlign w:val="center"/>
          </w:tcPr>
          <w:p>
            <w:pPr>
              <w:pStyle w:val="1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+0.25</w:t>
            </w:r>
          </w:p>
        </w:tc>
      </w:tr>
    </w:tbl>
    <w:p>
      <w:pPr>
        <w:adjustRightInd w:val="0"/>
        <w:snapToGrid w:val="0"/>
        <w:spacing w:before="192" w:beforeLines="80"/>
        <w:ind w:left="0" w:leftChars="0" w:firstLine="0" w:firstLineChars="0"/>
      </w:pPr>
      <w:r>
        <w:rPr>
          <w:rFonts w:ascii="宋体" w:hAnsi="宋体" w:eastAsia="宋体" w:cs="Times New Roman"/>
          <w:snapToGrid w:val="0"/>
          <w:color w:val="000000"/>
          <w:kern w:val="21"/>
          <w:szCs w:val="21"/>
        </w:rPr>
        <w:t>注：</w:t>
      </w:r>
      <w:r>
        <w:rPr>
          <w:rFonts w:ascii="宋体" w:hAnsi="宋体" w:eastAsia="宋体" w:cs="Times New Roman"/>
          <w:snapToGrid w:val="0"/>
          <w:color w:val="000000"/>
          <w:spacing w:val="-16"/>
          <w:kern w:val="21"/>
          <w:szCs w:val="21"/>
        </w:rPr>
        <w:fldChar w:fldCharType="begin"/>
      </w:r>
      <w:r>
        <w:rPr>
          <w:rFonts w:ascii="宋体" w:hAnsi="宋体" w:eastAsia="宋体" w:cs="Times New Roman"/>
          <w:snapToGrid w:val="0"/>
          <w:color w:val="000000"/>
          <w:spacing w:val="-16"/>
          <w:kern w:val="21"/>
          <w:szCs w:val="21"/>
        </w:rPr>
        <w:instrText xml:space="preserve"> = 6 \* GB3 \* MERGEFORMAT </w:instrText>
      </w:r>
      <w:r>
        <w:rPr>
          <w:rFonts w:ascii="宋体" w:hAnsi="宋体" w:eastAsia="宋体" w:cs="Times New Roman"/>
          <w:snapToGrid w:val="0"/>
          <w:color w:val="000000"/>
          <w:spacing w:val="-16"/>
          <w:kern w:val="21"/>
          <w:szCs w:val="21"/>
        </w:rPr>
        <w:fldChar w:fldCharType="separate"/>
      </w:r>
      <w:r>
        <w:rPr>
          <w:rFonts w:hint="eastAsia" w:ascii="宋体" w:hAnsi="宋体" w:eastAsia="宋体" w:cs="Times New Roman"/>
          <w:kern w:val="0"/>
          <w:szCs w:val="21"/>
        </w:rPr>
        <w:t>⑥</w:t>
      </w:r>
      <w:r>
        <w:rPr>
          <w:rFonts w:ascii="宋体" w:hAnsi="宋体" w:eastAsia="宋体" w:cs="Times New Roman"/>
          <w:snapToGrid w:val="0"/>
          <w:color w:val="000000"/>
          <w:spacing w:val="-16"/>
          <w:kern w:val="21"/>
          <w:szCs w:val="21"/>
        </w:rPr>
        <w:fldChar w:fldCharType="end"/>
      </w:r>
      <w:r>
        <w:rPr>
          <w:rFonts w:ascii="宋体" w:hAnsi="宋体" w:eastAsia="宋体" w:cs="Times New Roman"/>
          <w:snapToGrid w:val="0"/>
          <w:color w:val="000000"/>
          <w:spacing w:val="-1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1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①</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3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③</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4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④</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16"/>
          <w:kern w:val="21"/>
          <w:szCs w:val="21"/>
        </w:rPr>
        <w:fldChar w:fldCharType="begin"/>
      </w:r>
      <w:r>
        <w:rPr>
          <w:rFonts w:ascii="宋体" w:hAnsi="宋体" w:eastAsia="宋体" w:cs="Times New Roman"/>
          <w:snapToGrid w:val="0"/>
          <w:color w:val="000000"/>
          <w:spacing w:val="-16"/>
          <w:kern w:val="21"/>
          <w:szCs w:val="21"/>
        </w:rPr>
        <w:instrText xml:space="preserve"> = 5 \* GB3 \* MERGEFORMAT </w:instrText>
      </w:r>
      <w:r>
        <w:rPr>
          <w:rFonts w:ascii="宋体" w:hAnsi="宋体" w:eastAsia="宋体" w:cs="Times New Roman"/>
          <w:snapToGrid w:val="0"/>
          <w:color w:val="000000"/>
          <w:spacing w:val="-16"/>
          <w:kern w:val="21"/>
          <w:szCs w:val="21"/>
        </w:rPr>
        <w:fldChar w:fldCharType="separate"/>
      </w:r>
      <w:r>
        <w:rPr>
          <w:rFonts w:hint="eastAsia" w:ascii="宋体" w:hAnsi="宋体" w:eastAsia="宋体" w:cs="Times New Roman"/>
          <w:kern w:val="0"/>
          <w:szCs w:val="21"/>
        </w:rPr>
        <w:t>⑤</w:t>
      </w:r>
      <w:r>
        <w:rPr>
          <w:rFonts w:ascii="宋体" w:hAnsi="宋体" w:eastAsia="宋体" w:cs="Times New Roman"/>
          <w:snapToGrid w:val="0"/>
          <w:color w:val="000000"/>
          <w:spacing w:val="-16"/>
          <w:kern w:val="21"/>
          <w:szCs w:val="21"/>
        </w:rPr>
        <w:fldChar w:fldCharType="end"/>
      </w:r>
      <w:r>
        <w:rPr>
          <w:rFonts w:ascii="宋体" w:hAnsi="宋体" w:eastAsia="宋体" w:cs="Times New Roman"/>
          <w:snapToGrid w:val="0"/>
          <w:color w:val="000000"/>
          <w:spacing w:val="-1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7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⑦</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16"/>
          <w:kern w:val="21"/>
          <w:szCs w:val="21"/>
        </w:rPr>
        <w:fldChar w:fldCharType="begin"/>
      </w:r>
      <w:r>
        <w:rPr>
          <w:rFonts w:ascii="宋体" w:hAnsi="宋体" w:eastAsia="宋体" w:cs="Times New Roman"/>
          <w:snapToGrid w:val="0"/>
          <w:color w:val="000000"/>
          <w:spacing w:val="-16"/>
          <w:kern w:val="21"/>
          <w:szCs w:val="21"/>
        </w:rPr>
        <w:instrText xml:space="preserve"> = 6 \* GB3 \* MERGEFORMAT </w:instrText>
      </w:r>
      <w:r>
        <w:rPr>
          <w:rFonts w:ascii="宋体" w:hAnsi="宋体" w:eastAsia="宋体" w:cs="Times New Roman"/>
          <w:snapToGrid w:val="0"/>
          <w:color w:val="000000"/>
          <w:spacing w:val="-16"/>
          <w:kern w:val="21"/>
          <w:szCs w:val="21"/>
        </w:rPr>
        <w:fldChar w:fldCharType="separate"/>
      </w:r>
      <w:r>
        <w:rPr>
          <w:rFonts w:hint="eastAsia" w:ascii="宋体" w:hAnsi="宋体" w:eastAsia="宋体" w:cs="Times New Roman"/>
          <w:kern w:val="0"/>
          <w:szCs w:val="21"/>
        </w:rPr>
        <w:t>⑥</w:t>
      </w:r>
      <w:r>
        <w:rPr>
          <w:rFonts w:ascii="宋体" w:hAnsi="宋体" w:eastAsia="宋体" w:cs="Times New Roman"/>
          <w:snapToGrid w:val="0"/>
          <w:color w:val="000000"/>
          <w:spacing w:val="-16"/>
          <w:kern w:val="21"/>
          <w:szCs w:val="21"/>
        </w:rPr>
        <w:fldChar w:fldCharType="end"/>
      </w:r>
      <w:r>
        <w:rPr>
          <w:rFonts w:ascii="宋体" w:hAnsi="宋体" w:eastAsia="宋体" w:cs="Times New Roman"/>
          <w:snapToGrid w:val="0"/>
          <w:color w:val="000000"/>
          <w:spacing w:val="-1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1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①</w:t>
      </w:r>
      <w:r>
        <w:rPr>
          <w:rFonts w:ascii="宋体" w:hAnsi="宋体" w:eastAsia="宋体" w:cs="Times New Roman"/>
          <w:snapToGrid w:val="0"/>
          <w:color w:val="000000"/>
          <w:spacing w:val="-6"/>
          <w:kern w:val="21"/>
          <w:szCs w:val="21"/>
        </w:rPr>
        <w:fldChar w:fldCharType="end"/>
      </w:r>
    </w:p>
    <w:sectPr>
      <w:footerReference r:id="rId9" w:type="default"/>
      <w:pgSz w:w="16838" w:h="11906" w:orient="landscape"/>
      <w:pgMar w:top="1701" w:right="1531" w:bottom="1701" w:left="1531" w:header="851" w:footer="850"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F1685"/>
    <w:multiLevelType w:val="multilevel"/>
    <w:tmpl w:val="AC0F1685"/>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9958413"/>
    <w:multiLevelType w:val="multilevel"/>
    <w:tmpl w:val="C9958413"/>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843B529"/>
    <w:multiLevelType w:val="multilevel"/>
    <w:tmpl w:val="0843B529"/>
    <w:lvl w:ilvl="0" w:tentative="0">
      <w:start w:val="1"/>
      <w:numFmt w:val="decimal"/>
      <w:pStyle w:val="20"/>
      <w:lvlText w:val="表%1"/>
      <w:lvlJc w:val="center"/>
      <w:pPr>
        <w:tabs>
          <w:tab w:val="left" w:pos="0"/>
        </w:tabs>
        <w:ind w:left="0" w:leftChars="0" w:firstLine="0" w:firstLineChars="0"/>
      </w:pPr>
      <w:rPr>
        <w:rFonts w:hint="default"/>
        <w:color w:val="000000" w:themeColor="text1"/>
        <w14:textFill>
          <w14:solidFill>
            <w14:schemeClr w14:val="tx1"/>
          </w14:solidFill>
        </w14:textFill>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0D8CC30C"/>
    <w:multiLevelType w:val="multilevel"/>
    <w:tmpl w:val="0D8CC30C"/>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space"/>
      <w:lvlText w:val="%2."/>
      <w:lvlJc w:val="left"/>
      <w:pPr>
        <w:tabs>
          <w:tab w:val="left" w:pos="420"/>
        </w:tabs>
        <w:ind w:left="0" w:firstLine="0"/>
      </w:pPr>
      <w:rPr>
        <w:rFonts w:hint="eastAsia" w:ascii="Times New Roman" w:hAnsi="Times New Roman" w:eastAsia="宋体" w:cs="宋体"/>
      </w:rPr>
    </w:lvl>
    <w:lvl w:ilvl="2" w:tentative="0">
      <w:start w:val="1"/>
      <w:numFmt w:val="decimal"/>
      <w:suff w:val="nothing"/>
      <w:lvlText w:val="(%3)"/>
      <w:lvlJc w:val="left"/>
      <w:pPr>
        <w:tabs>
          <w:tab w:val="left" w:pos="420"/>
        </w:tabs>
        <w:ind w:left="0" w:firstLine="400"/>
      </w:pPr>
      <w:rPr>
        <w:rFonts w:hint="eastAsia" w:ascii="宋体" w:hAnsi="宋体" w:eastAsia="宋体" w:cs="宋体"/>
      </w:rPr>
    </w:lvl>
    <w:lvl w:ilvl="3" w:tentative="0">
      <w:start w:val="1"/>
      <w:numFmt w:val="decimalEnclosedCircleChinese"/>
      <w:suff w:val="space"/>
      <w:lvlText w:val="%4"/>
      <w:lvlJc w:val="left"/>
      <w:pPr>
        <w:tabs>
          <w:tab w:val="left" w:pos="420"/>
        </w:tabs>
        <w:ind w:left="0" w:firstLine="402"/>
      </w:pPr>
      <w:rPr>
        <w:rFonts w:hint="eastAsia" w:ascii="宋体" w:hAnsi="宋体"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24E97377"/>
    <w:multiLevelType w:val="singleLevel"/>
    <w:tmpl w:val="24E97377"/>
    <w:lvl w:ilvl="0" w:tentative="0">
      <w:start w:val="1"/>
      <w:numFmt w:val="decimal"/>
      <w:pStyle w:val="21"/>
      <w:suff w:val="space"/>
      <w:lvlText w:val="图%1"/>
      <w:lvlJc w:val="left"/>
      <w:pPr>
        <w:tabs>
          <w:tab w:val="left" w:pos="397"/>
        </w:tabs>
        <w:ind w:left="454" w:leftChars="0" w:hanging="454" w:firstLineChars="0"/>
      </w:pPr>
      <w:rPr>
        <w:rFonts w:hint="default"/>
      </w:rPr>
    </w:lvl>
  </w:abstractNum>
  <w:abstractNum w:abstractNumId="5">
    <w:nsid w:val="27044AA4"/>
    <w:multiLevelType w:val="multilevel"/>
    <w:tmpl w:val="27044AA4"/>
    <w:lvl w:ilvl="0" w:tentative="0">
      <w:start w:val="1"/>
      <w:numFmt w:val="decimal"/>
      <w:pStyle w:val="2"/>
      <w:suff w:val="space"/>
      <w:lvlText w:val="%1"/>
      <w:lvlJc w:val="left"/>
      <w:pPr>
        <w:tabs>
          <w:tab w:val="left" w:pos="0"/>
        </w:tabs>
        <w:ind w:left="0" w:leftChars="0" w:firstLine="0" w:firstLineChars="0"/>
      </w:pPr>
      <w:rPr>
        <w:rFonts w:hint="default" w:ascii="宋体" w:hAnsi="宋体" w:eastAsia="宋体" w:cs="宋体"/>
      </w:rPr>
    </w:lvl>
    <w:lvl w:ilvl="1" w:tentative="0">
      <w:start w:val="1"/>
      <w:numFmt w:val="decimal"/>
      <w:pStyle w:val="3"/>
      <w:suff w:val="space"/>
      <w:lvlText w:val="%1.%2"/>
      <w:lvlJc w:val="left"/>
      <w:pPr>
        <w:tabs>
          <w:tab w:val="left" w:pos="0"/>
        </w:tabs>
        <w:ind w:left="0" w:leftChars="0" w:firstLine="0" w:firstLineChars="0"/>
      </w:pPr>
      <w:rPr>
        <w:rFonts w:hint="default" w:ascii="Times New Roman" w:hAnsi="Times New Roman" w:eastAsia="宋体" w:cs="宋体"/>
      </w:rPr>
    </w:lvl>
    <w:lvl w:ilvl="2" w:tentative="0">
      <w:start w:val="1"/>
      <w:numFmt w:val="decimal"/>
      <w:pStyle w:val="5"/>
      <w:suff w:val="space"/>
      <w:lvlText w:val="%1.%2.%3"/>
      <w:lvlJc w:val="left"/>
      <w:pPr>
        <w:tabs>
          <w:tab w:val="left" w:pos="0"/>
        </w:tabs>
        <w:ind w:left="0" w:leftChars="0" w:firstLine="0" w:firstLineChars="0"/>
      </w:pPr>
      <w:rPr>
        <w:rFonts w:hint="default" w:ascii="Times New Roman" w:hAnsi="Times New Roman" w:eastAsia="宋体" w:cs="宋体"/>
      </w:rPr>
    </w:lvl>
    <w:lvl w:ilvl="3" w:tentative="0">
      <w:start w:val="1"/>
      <w:numFmt w:val="decimal"/>
      <w:pStyle w:val="6"/>
      <w:suff w:val="space"/>
      <w:lvlText w:val="(%4)"/>
      <w:lvlJc w:val="left"/>
      <w:pPr>
        <w:tabs>
          <w:tab w:val="left" w:pos="0"/>
        </w:tabs>
        <w:ind w:left="0" w:leftChars="0" w:firstLine="0" w:firstLineChars="0"/>
      </w:pPr>
      <w:rPr>
        <w:rFonts w:hint="default" w:ascii="Times New Roman" w:hAnsi="Times New Roman" w:eastAsia="宋体" w:cs="宋体"/>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6">
    <w:nsid w:val="2EB421F7"/>
    <w:multiLevelType w:val="multilevel"/>
    <w:tmpl w:val="2EB421F7"/>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61CF60AF"/>
    <w:multiLevelType w:val="multilevel"/>
    <w:tmpl w:val="61CF60AF"/>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715A695E"/>
    <w:multiLevelType w:val="multilevel"/>
    <w:tmpl w:val="715A695E"/>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0CB8"/>
    <w:rsid w:val="000F6F2A"/>
    <w:rsid w:val="00492CEE"/>
    <w:rsid w:val="00653507"/>
    <w:rsid w:val="007C2772"/>
    <w:rsid w:val="0153047F"/>
    <w:rsid w:val="01657211"/>
    <w:rsid w:val="0171707F"/>
    <w:rsid w:val="017E5FCE"/>
    <w:rsid w:val="01C0302D"/>
    <w:rsid w:val="01F977CA"/>
    <w:rsid w:val="021D489C"/>
    <w:rsid w:val="0230725E"/>
    <w:rsid w:val="03B44417"/>
    <w:rsid w:val="03E4016B"/>
    <w:rsid w:val="04062400"/>
    <w:rsid w:val="04554F10"/>
    <w:rsid w:val="048754A7"/>
    <w:rsid w:val="04DD3579"/>
    <w:rsid w:val="05C808BD"/>
    <w:rsid w:val="05D267EE"/>
    <w:rsid w:val="064219DA"/>
    <w:rsid w:val="06887171"/>
    <w:rsid w:val="068D4B72"/>
    <w:rsid w:val="06AD5A81"/>
    <w:rsid w:val="07180209"/>
    <w:rsid w:val="074B691C"/>
    <w:rsid w:val="074C0278"/>
    <w:rsid w:val="076F72F2"/>
    <w:rsid w:val="082D2E9E"/>
    <w:rsid w:val="083B36BF"/>
    <w:rsid w:val="08992ACE"/>
    <w:rsid w:val="08B64EC8"/>
    <w:rsid w:val="08FD5757"/>
    <w:rsid w:val="09267807"/>
    <w:rsid w:val="09621470"/>
    <w:rsid w:val="09AC0363"/>
    <w:rsid w:val="09BF0BBD"/>
    <w:rsid w:val="09C62FCA"/>
    <w:rsid w:val="09CF3E0D"/>
    <w:rsid w:val="09D0013D"/>
    <w:rsid w:val="0A11038C"/>
    <w:rsid w:val="0A57760B"/>
    <w:rsid w:val="0A6F7195"/>
    <w:rsid w:val="0A85524F"/>
    <w:rsid w:val="0ACE5734"/>
    <w:rsid w:val="0B1D6224"/>
    <w:rsid w:val="0B5C7A64"/>
    <w:rsid w:val="0B733220"/>
    <w:rsid w:val="0BAF4075"/>
    <w:rsid w:val="0BC26325"/>
    <w:rsid w:val="0BFF6CE9"/>
    <w:rsid w:val="0C9B39E5"/>
    <w:rsid w:val="0CC966B6"/>
    <w:rsid w:val="0CD663B5"/>
    <w:rsid w:val="0CE3444E"/>
    <w:rsid w:val="0D734E05"/>
    <w:rsid w:val="0D881696"/>
    <w:rsid w:val="0DCB684D"/>
    <w:rsid w:val="0EB76456"/>
    <w:rsid w:val="0F0F07EA"/>
    <w:rsid w:val="0F123E38"/>
    <w:rsid w:val="0F856B31"/>
    <w:rsid w:val="0FC70C71"/>
    <w:rsid w:val="10351BF0"/>
    <w:rsid w:val="10DD0520"/>
    <w:rsid w:val="10F65C80"/>
    <w:rsid w:val="111D11DD"/>
    <w:rsid w:val="116F2B5B"/>
    <w:rsid w:val="11A90F2C"/>
    <w:rsid w:val="11DD02FA"/>
    <w:rsid w:val="11ED4EF8"/>
    <w:rsid w:val="12183146"/>
    <w:rsid w:val="12285B93"/>
    <w:rsid w:val="124F461C"/>
    <w:rsid w:val="129766C1"/>
    <w:rsid w:val="13192F90"/>
    <w:rsid w:val="13C206C0"/>
    <w:rsid w:val="13D92B6E"/>
    <w:rsid w:val="13DE62EC"/>
    <w:rsid w:val="13EC7023"/>
    <w:rsid w:val="14134E54"/>
    <w:rsid w:val="148C1703"/>
    <w:rsid w:val="148E6665"/>
    <w:rsid w:val="149F6490"/>
    <w:rsid w:val="14C51122"/>
    <w:rsid w:val="14DC53BE"/>
    <w:rsid w:val="14FC3108"/>
    <w:rsid w:val="15304EDA"/>
    <w:rsid w:val="15B42DE9"/>
    <w:rsid w:val="163A00A1"/>
    <w:rsid w:val="16402CDF"/>
    <w:rsid w:val="16DA04F4"/>
    <w:rsid w:val="16EB4385"/>
    <w:rsid w:val="17161A7D"/>
    <w:rsid w:val="17672E15"/>
    <w:rsid w:val="176805BE"/>
    <w:rsid w:val="1775677F"/>
    <w:rsid w:val="17770CB5"/>
    <w:rsid w:val="178945E4"/>
    <w:rsid w:val="18022FF0"/>
    <w:rsid w:val="189B4561"/>
    <w:rsid w:val="18B27437"/>
    <w:rsid w:val="18F538B9"/>
    <w:rsid w:val="19AA4245"/>
    <w:rsid w:val="1A7E0DB0"/>
    <w:rsid w:val="1ADB0DA5"/>
    <w:rsid w:val="1B140D08"/>
    <w:rsid w:val="1B981AFA"/>
    <w:rsid w:val="1BC236BA"/>
    <w:rsid w:val="1BDF1865"/>
    <w:rsid w:val="1CBA3BC4"/>
    <w:rsid w:val="1CC36DD3"/>
    <w:rsid w:val="1CF33948"/>
    <w:rsid w:val="1D6F1C17"/>
    <w:rsid w:val="1DC02619"/>
    <w:rsid w:val="1DD04DD9"/>
    <w:rsid w:val="1DE96965"/>
    <w:rsid w:val="1E207A9D"/>
    <w:rsid w:val="1F2F78D5"/>
    <w:rsid w:val="1FFF3A06"/>
    <w:rsid w:val="205B3EFA"/>
    <w:rsid w:val="207437C9"/>
    <w:rsid w:val="20A559E0"/>
    <w:rsid w:val="20B412E8"/>
    <w:rsid w:val="20BB510E"/>
    <w:rsid w:val="210348EF"/>
    <w:rsid w:val="21570926"/>
    <w:rsid w:val="217D42BE"/>
    <w:rsid w:val="22614078"/>
    <w:rsid w:val="22B97967"/>
    <w:rsid w:val="22D040E7"/>
    <w:rsid w:val="23473707"/>
    <w:rsid w:val="24565E7B"/>
    <w:rsid w:val="246072C4"/>
    <w:rsid w:val="246A2E7B"/>
    <w:rsid w:val="248D504E"/>
    <w:rsid w:val="25275922"/>
    <w:rsid w:val="2528389B"/>
    <w:rsid w:val="26574B88"/>
    <w:rsid w:val="266431D2"/>
    <w:rsid w:val="27077C42"/>
    <w:rsid w:val="27690B28"/>
    <w:rsid w:val="27A34B35"/>
    <w:rsid w:val="27B9117C"/>
    <w:rsid w:val="283C5079"/>
    <w:rsid w:val="287E7829"/>
    <w:rsid w:val="2899654F"/>
    <w:rsid w:val="28997E9C"/>
    <w:rsid w:val="28A8678E"/>
    <w:rsid w:val="299B6EDC"/>
    <w:rsid w:val="2A5804D9"/>
    <w:rsid w:val="2A972A6F"/>
    <w:rsid w:val="2B0B0BC5"/>
    <w:rsid w:val="2B4B1845"/>
    <w:rsid w:val="2B6E5257"/>
    <w:rsid w:val="2BB60F77"/>
    <w:rsid w:val="2BC84017"/>
    <w:rsid w:val="2BED0966"/>
    <w:rsid w:val="2C707971"/>
    <w:rsid w:val="2C807044"/>
    <w:rsid w:val="2CFF408F"/>
    <w:rsid w:val="2D1B6D9F"/>
    <w:rsid w:val="2DAB2183"/>
    <w:rsid w:val="2DB363B4"/>
    <w:rsid w:val="2DBB0631"/>
    <w:rsid w:val="2DC47388"/>
    <w:rsid w:val="2F2E6F9C"/>
    <w:rsid w:val="2F3F71BC"/>
    <w:rsid w:val="2F7654EA"/>
    <w:rsid w:val="2FF821C0"/>
    <w:rsid w:val="303E77BC"/>
    <w:rsid w:val="30B5293F"/>
    <w:rsid w:val="30F162EE"/>
    <w:rsid w:val="3163307A"/>
    <w:rsid w:val="31905A98"/>
    <w:rsid w:val="31966CF4"/>
    <w:rsid w:val="31B9666E"/>
    <w:rsid w:val="31C96758"/>
    <w:rsid w:val="31F43D57"/>
    <w:rsid w:val="324503DC"/>
    <w:rsid w:val="329C1381"/>
    <w:rsid w:val="32CB14E8"/>
    <w:rsid w:val="32E01723"/>
    <w:rsid w:val="33CA3314"/>
    <w:rsid w:val="345D45F6"/>
    <w:rsid w:val="34945DCD"/>
    <w:rsid w:val="34D4536C"/>
    <w:rsid w:val="34D5470F"/>
    <w:rsid w:val="34F91738"/>
    <w:rsid w:val="355B0BA1"/>
    <w:rsid w:val="360702DD"/>
    <w:rsid w:val="36136EB0"/>
    <w:rsid w:val="362C7275"/>
    <w:rsid w:val="3664373B"/>
    <w:rsid w:val="36B920B9"/>
    <w:rsid w:val="375E4CB5"/>
    <w:rsid w:val="37746C01"/>
    <w:rsid w:val="37DB3BAD"/>
    <w:rsid w:val="38464E24"/>
    <w:rsid w:val="38E86626"/>
    <w:rsid w:val="39382DAC"/>
    <w:rsid w:val="3987099E"/>
    <w:rsid w:val="39A14BC9"/>
    <w:rsid w:val="3A510BB6"/>
    <w:rsid w:val="3A903081"/>
    <w:rsid w:val="3A9720D9"/>
    <w:rsid w:val="3A9F4F98"/>
    <w:rsid w:val="3AC8597A"/>
    <w:rsid w:val="3AE405B2"/>
    <w:rsid w:val="3B003BAE"/>
    <w:rsid w:val="3B7A28E6"/>
    <w:rsid w:val="3C70309C"/>
    <w:rsid w:val="3C805FC8"/>
    <w:rsid w:val="3CED4ED8"/>
    <w:rsid w:val="3D6A6ED3"/>
    <w:rsid w:val="3D8E0983"/>
    <w:rsid w:val="3DB479D9"/>
    <w:rsid w:val="3DD138A9"/>
    <w:rsid w:val="3E460702"/>
    <w:rsid w:val="3E6B5C8F"/>
    <w:rsid w:val="3E704424"/>
    <w:rsid w:val="3F3B51D1"/>
    <w:rsid w:val="404B2479"/>
    <w:rsid w:val="40986624"/>
    <w:rsid w:val="40DA696D"/>
    <w:rsid w:val="4222019F"/>
    <w:rsid w:val="43617903"/>
    <w:rsid w:val="44077BAA"/>
    <w:rsid w:val="44397E7A"/>
    <w:rsid w:val="445739EE"/>
    <w:rsid w:val="44773A86"/>
    <w:rsid w:val="44B16768"/>
    <w:rsid w:val="44B55552"/>
    <w:rsid w:val="453E671A"/>
    <w:rsid w:val="45400E35"/>
    <w:rsid w:val="459C1525"/>
    <w:rsid w:val="45A003BF"/>
    <w:rsid w:val="45B34645"/>
    <w:rsid w:val="45E16705"/>
    <w:rsid w:val="465A6F2E"/>
    <w:rsid w:val="46821E8F"/>
    <w:rsid w:val="46B12A11"/>
    <w:rsid w:val="47683C7B"/>
    <w:rsid w:val="48331F12"/>
    <w:rsid w:val="487F5FE0"/>
    <w:rsid w:val="48916422"/>
    <w:rsid w:val="48C21FF9"/>
    <w:rsid w:val="493E371D"/>
    <w:rsid w:val="49DA5DD7"/>
    <w:rsid w:val="49FC7391"/>
    <w:rsid w:val="4A0957CD"/>
    <w:rsid w:val="4A216489"/>
    <w:rsid w:val="4A293245"/>
    <w:rsid w:val="4A2D3F65"/>
    <w:rsid w:val="4A37014D"/>
    <w:rsid w:val="4A8B6905"/>
    <w:rsid w:val="4ADD3547"/>
    <w:rsid w:val="4AEA5EFD"/>
    <w:rsid w:val="4B4551C6"/>
    <w:rsid w:val="4B5534CF"/>
    <w:rsid w:val="4B8B1FA4"/>
    <w:rsid w:val="4BCA0827"/>
    <w:rsid w:val="4C4A2FF5"/>
    <w:rsid w:val="4CD65715"/>
    <w:rsid w:val="4CF611FC"/>
    <w:rsid w:val="4D5F58FC"/>
    <w:rsid w:val="4D750CF7"/>
    <w:rsid w:val="4D9B31B3"/>
    <w:rsid w:val="4E955F45"/>
    <w:rsid w:val="4EFE60A2"/>
    <w:rsid w:val="4F01440F"/>
    <w:rsid w:val="4FA51D59"/>
    <w:rsid w:val="4FA71DE1"/>
    <w:rsid w:val="4FA9236F"/>
    <w:rsid w:val="50191CB6"/>
    <w:rsid w:val="502905B4"/>
    <w:rsid w:val="502B487F"/>
    <w:rsid w:val="50416237"/>
    <w:rsid w:val="50F211B8"/>
    <w:rsid w:val="51CB1AB7"/>
    <w:rsid w:val="521405B6"/>
    <w:rsid w:val="52895FB2"/>
    <w:rsid w:val="52B763DE"/>
    <w:rsid w:val="52BA5A6C"/>
    <w:rsid w:val="52D47915"/>
    <w:rsid w:val="53093BCE"/>
    <w:rsid w:val="5364011C"/>
    <w:rsid w:val="537026CB"/>
    <w:rsid w:val="538F7F30"/>
    <w:rsid w:val="539117D7"/>
    <w:rsid w:val="53B14BCE"/>
    <w:rsid w:val="54691FC5"/>
    <w:rsid w:val="549106BB"/>
    <w:rsid w:val="54B312AF"/>
    <w:rsid w:val="54E877F1"/>
    <w:rsid w:val="561A1006"/>
    <w:rsid w:val="56752983"/>
    <w:rsid w:val="567B4A4D"/>
    <w:rsid w:val="568D68A0"/>
    <w:rsid w:val="569F70AB"/>
    <w:rsid w:val="56B36BD8"/>
    <w:rsid w:val="56C73C5B"/>
    <w:rsid w:val="573C71F6"/>
    <w:rsid w:val="574511D3"/>
    <w:rsid w:val="57455E48"/>
    <w:rsid w:val="57596757"/>
    <w:rsid w:val="57A829CA"/>
    <w:rsid w:val="5810053E"/>
    <w:rsid w:val="5825044F"/>
    <w:rsid w:val="58941DCF"/>
    <w:rsid w:val="58C469B1"/>
    <w:rsid w:val="58F30595"/>
    <w:rsid w:val="591A3224"/>
    <w:rsid w:val="593E16CA"/>
    <w:rsid w:val="59957AED"/>
    <w:rsid w:val="599F401C"/>
    <w:rsid w:val="5A0608A5"/>
    <w:rsid w:val="5ADB39C8"/>
    <w:rsid w:val="5B1C31CF"/>
    <w:rsid w:val="5B1D2D9A"/>
    <w:rsid w:val="5B611A96"/>
    <w:rsid w:val="5B632A13"/>
    <w:rsid w:val="5B940A5B"/>
    <w:rsid w:val="5C5E3DD6"/>
    <w:rsid w:val="5CF66915"/>
    <w:rsid w:val="5D285A48"/>
    <w:rsid w:val="5D5761C9"/>
    <w:rsid w:val="5DE46E08"/>
    <w:rsid w:val="5DFA512C"/>
    <w:rsid w:val="5DFC29E6"/>
    <w:rsid w:val="5E302061"/>
    <w:rsid w:val="5EE8798F"/>
    <w:rsid w:val="5F577228"/>
    <w:rsid w:val="5F81052E"/>
    <w:rsid w:val="5FE316F3"/>
    <w:rsid w:val="60617D2D"/>
    <w:rsid w:val="609B773F"/>
    <w:rsid w:val="61416985"/>
    <w:rsid w:val="62010352"/>
    <w:rsid w:val="62937D89"/>
    <w:rsid w:val="62D70456"/>
    <w:rsid w:val="63041A33"/>
    <w:rsid w:val="63C036A5"/>
    <w:rsid w:val="64335F27"/>
    <w:rsid w:val="64347103"/>
    <w:rsid w:val="648348D3"/>
    <w:rsid w:val="649F17D1"/>
    <w:rsid w:val="649F2589"/>
    <w:rsid w:val="64EE151C"/>
    <w:rsid w:val="659777ED"/>
    <w:rsid w:val="65FE113F"/>
    <w:rsid w:val="66193031"/>
    <w:rsid w:val="664A7E7E"/>
    <w:rsid w:val="66C155F2"/>
    <w:rsid w:val="66C95DC1"/>
    <w:rsid w:val="66E00642"/>
    <w:rsid w:val="67417C97"/>
    <w:rsid w:val="67552EC1"/>
    <w:rsid w:val="676119DD"/>
    <w:rsid w:val="67682F7D"/>
    <w:rsid w:val="676B71D5"/>
    <w:rsid w:val="678E4CDB"/>
    <w:rsid w:val="67B50FE1"/>
    <w:rsid w:val="67B75B37"/>
    <w:rsid w:val="67E31ADE"/>
    <w:rsid w:val="67F940D0"/>
    <w:rsid w:val="68344E0D"/>
    <w:rsid w:val="6844337D"/>
    <w:rsid w:val="684A467C"/>
    <w:rsid w:val="685F5F52"/>
    <w:rsid w:val="68647BA0"/>
    <w:rsid w:val="68795A95"/>
    <w:rsid w:val="68F73608"/>
    <w:rsid w:val="69100E9E"/>
    <w:rsid w:val="691D6B64"/>
    <w:rsid w:val="69476D15"/>
    <w:rsid w:val="69A534FC"/>
    <w:rsid w:val="6A215C12"/>
    <w:rsid w:val="6A2C601A"/>
    <w:rsid w:val="6A2E29E5"/>
    <w:rsid w:val="6A455375"/>
    <w:rsid w:val="6A6028A9"/>
    <w:rsid w:val="6AF26328"/>
    <w:rsid w:val="6B3A3E57"/>
    <w:rsid w:val="6B863428"/>
    <w:rsid w:val="6BED5068"/>
    <w:rsid w:val="6C375EE7"/>
    <w:rsid w:val="6C9A40CC"/>
    <w:rsid w:val="6D407BE1"/>
    <w:rsid w:val="6D4F28BD"/>
    <w:rsid w:val="6DC7503E"/>
    <w:rsid w:val="6DD010F6"/>
    <w:rsid w:val="6DE3592B"/>
    <w:rsid w:val="6E2C4078"/>
    <w:rsid w:val="6EA45E18"/>
    <w:rsid w:val="6EB55ECD"/>
    <w:rsid w:val="6F103A37"/>
    <w:rsid w:val="6FAB401B"/>
    <w:rsid w:val="6FCC2D0E"/>
    <w:rsid w:val="70041BDE"/>
    <w:rsid w:val="70174E9B"/>
    <w:rsid w:val="70402F07"/>
    <w:rsid w:val="710E1C01"/>
    <w:rsid w:val="717A6EEC"/>
    <w:rsid w:val="71A97CA0"/>
    <w:rsid w:val="726676C1"/>
    <w:rsid w:val="727C1A37"/>
    <w:rsid w:val="72812E10"/>
    <w:rsid w:val="72A17540"/>
    <w:rsid w:val="73017BDD"/>
    <w:rsid w:val="73CF004C"/>
    <w:rsid w:val="73D05AD3"/>
    <w:rsid w:val="73D53FD7"/>
    <w:rsid w:val="74243D2E"/>
    <w:rsid w:val="76254B37"/>
    <w:rsid w:val="76342FF1"/>
    <w:rsid w:val="76A32D10"/>
    <w:rsid w:val="778F1FB6"/>
    <w:rsid w:val="77983023"/>
    <w:rsid w:val="77D32725"/>
    <w:rsid w:val="7815017F"/>
    <w:rsid w:val="782739DF"/>
    <w:rsid w:val="78890DFE"/>
    <w:rsid w:val="78B94A7E"/>
    <w:rsid w:val="79357DA4"/>
    <w:rsid w:val="79566D9A"/>
    <w:rsid w:val="796706DB"/>
    <w:rsid w:val="79865E25"/>
    <w:rsid w:val="79DC1FBA"/>
    <w:rsid w:val="7A222B5D"/>
    <w:rsid w:val="7A3D42FF"/>
    <w:rsid w:val="7A662A69"/>
    <w:rsid w:val="7A6B2FAC"/>
    <w:rsid w:val="7AC6146D"/>
    <w:rsid w:val="7AD355B0"/>
    <w:rsid w:val="7B5B1A01"/>
    <w:rsid w:val="7B795EB5"/>
    <w:rsid w:val="7B7A0058"/>
    <w:rsid w:val="7BF5061A"/>
    <w:rsid w:val="7C167FD1"/>
    <w:rsid w:val="7C2531B4"/>
    <w:rsid w:val="7C3E0AAF"/>
    <w:rsid w:val="7CFF3590"/>
    <w:rsid w:val="7D72121B"/>
    <w:rsid w:val="7E684989"/>
    <w:rsid w:val="7EAA7C44"/>
    <w:rsid w:val="7EC06AD6"/>
    <w:rsid w:val="7F382E41"/>
    <w:rsid w:val="7F6D2FE0"/>
    <w:rsid w:val="7F923C0B"/>
    <w:rsid w:val="7F9B14D3"/>
    <w:rsid w:val="7F9F50E3"/>
    <w:rsid w:val="7FBA0F3E"/>
    <w:rsid w:val="7FD66322"/>
    <w:rsid w:val="7FF1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keepNext/>
      <w:keepLines/>
      <w:numPr>
        <w:ilvl w:val="0"/>
        <w:numId w:val="1"/>
      </w:numPr>
      <w:spacing w:beforeLines="0" w:beforeAutospacing="0" w:afterLines="0" w:afterAutospacing="0" w:line="360" w:lineRule="auto"/>
      <w:ind w:left="0" w:firstLine="720" w:firstLineChars="200"/>
      <w:jc w:val="left"/>
      <w:outlineLvl w:val="0"/>
    </w:pPr>
    <w:rPr>
      <w:rFonts w:ascii="Times New Roman" w:hAnsi="Times New Roman" w:eastAsia="宋体"/>
      <w:b/>
      <w:kern w:val="44"/>
    </w:rPr>
  </w:style>
  <w:style w:type="paragraph" w:styleId="3">
    <w:name w:val="heading 2"/>
    <w:basedOn w:val="1"/>
    <w:next w:val="4"/>
    <w:unhideWhenUsed/>
    <w:qFormat/>
    <w:uiPriority w:val="9"/>
    <w:pPr>
      <w:keepNext/>
      <w:keepLines/>
      <w:numPr>
        <w:ilvl w:val="1"/>
        <w:numId w:val="1"/>
      </w:numPr>
      <w:adjustRightInd/>
      <w:spacing w:beforeLines="0" w:beforeAutospacing="0" w:afterLines="0" w:afterAutospacing="0" w:line="360" w:lineRule="auto"/>
      <w:ind w:left="0" w:firstLine="720" w:firstLineChars="200"/>
      <w:outlineLvl w:val="1"/>
    </w:pPr>
    <w:rPr>
      <w:rFonts w:ascii="Times New Roman" w:hAnsi="Times New Roman" w:eastAsia="宋体"/>
      <w:b/>
    </w:rPr>
  </w:style>
  <w:style w:type="paragraph" w:styleId="5">
    <w:name w:val="heading 3"/>
    <w:basedOn w:val="1"/>
    <w:next w:val="1"/>
    <w:link w:val="18"/>
    <w:unhideWhenUsed/>
    <w:qFormat/>
    <w:uiPriority w:val="9"/>
    <w:pPr>
      <w:keepNext/>
      <w:keepLines/>
      <w:numPr>
        <w:ilvl w:val="2"/>
        <w:numId w:val="1"/>
      </w:numPr>
      <w:adjustRightInd w:val="0"/>
      <w:snapToGrid w:val="0"/>
      <w:spacing w:line="360" w:lineRule="auto"/>
      <w:ind w:left="0" w:firstLine="720" w:firstLineChars="200"/>
      <w:outlineLvl w:val="2"/>
    </w:pPr>
    <w:rPr>
      <w:rFonts w:ascii="Times New Roman" w:hAnsi="Times New Roman" w:eastAsia="宋体"/>
      <w:bCs/>
      <w:szCs w:val="32"/>
    </w:rPr>
  </w:style>
  <w:style w:type="paragraph" w:styleId="6">
    <w:name w:val="heading 4"/>
    <w:basedOn w:val="1"/>
    <w:next w:val="1"/>
    <w:unhideWhenUsed/>
    <w:qFormat/>
    <w:uiPriority w:val="9"/>
    <w:pPr>
      <w:keepNext/>
      <w:keepLines/>
      <w:numPr>
        <w:ilvl w:val="3"/>
        <w:numId w:val="1"/>
      </w:numPr>
      <w:snapToGrid w:val="0"/>
      <w:spacing w:beforeLines="0" w:beforeAutospacing="0" w:afterLines="0" w:afterAutospacing="0" w:line="360" w:lineRule="auto"/>
      <w:ind w:left="0" w:firstLine="720" w:firstLineChars="200"/>
      <w:outlineLvl w:val="3"/>
    </w:pPr>
    <w:rPr>
      <w:rFonts w:ascii="Times New Roman" w:hAnsi="Times New Roman" w:eastAsia="宋体"/>
    </w:rPr>
  </w:style>
  <w:style w:type="paragraph" w:styleId="7">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Body Text"/>
    <w:basedOn w:val="1"/>
    <w:qFormat/>
    <w:uiPriority w:val="0"/>
    <w:pPr>
      <w:spacing w:after="120"/>
    </w:pPr>
    <w:rPr>
      <w:kern w:val="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8">
    <w:name w:val="标题 3 Char"/>
    <w:link w:val="5"/>
    <w:qFormat/>
    <w:uiPriority w:val="9"/>
    <w:rPr>
      <w:rFonts w:ascii="Times New Roman" w:hAnsi="Times New Roman" w:eastAsia="宋体"/>
      <w:bCs/>
      <w:szCs w:val="32"/>
    </w:rPr>
  </w:style>
  <w:style w:type="paragraph" w:customStyle="1" w:styleId="19">
    <w:name w:val="表文字"/>
    <w:basedOn w:val="1"/>
    <w:qFormat/>
    <w:uiPriority w:val="0"/>
    <w:pPr>
      <w:spacing w:line="240" w:lineRule="auto"/>
      <w:ind w:firstLine="0" w:firstLineChars="0"/>
      <w:jc w:val="center"/>
    </w:pPr>
    <w:rPr>
      <w:rFonts w:ascii="Times New Roman" w:hAnsi="Times New Roman"/>
      <w:sz w:val="21"/>
    </w:rPr>
  </w:style>
  <w:style w:type="paragraph" w:customStyle="1" w:styleId="20">
    <w:name w:val="表头"/>
    <w:basedOn w:val="1"/>
    <w:next w:val="19"/>
    <w:qFormat/>
    <w:uiPriority w:val="0"/>
    <w:pPr>
      <w:numPr>
        <w:ilvl w:val="0"/>
        <w:numId w:val="2"/>
      </w:numPr>
      <w:jc w:val="center"/>
    </w:pPr>
    <w:rPr>
      <w:b/>
      <w:color w:val="000000" w:themeColor="text1"/>
      <w:sz w:val="21"/>
      <w14:textFill>
        <w14:solidFill>
          <w14:schemeClr w14:val="tx1"/>
        </w14:solidFill>
      </w14:textFill>
    </w:rPr>
  </w:style>
  <w:style w:type="paragraph" w:customStyle="1" w:styleId="21">
    <w:name w:val="图名"/>
    <w:basedOn w:val="20"/>
    <w:next w:val="1"/>
    <w:qFormat/>
    <w:uiPriority w:val="0"/>
    <w:pPr>
      <w:numPr>
        <w:numId w:val="3"/>
      </w:numPr>
      <w:tabs>
        <w:tab w:val="left" w:pos="397"/>
      </w:tabs>
    </w:pPr>
  </w:style>
  <w:style w:type="paragraph" w:customStyle="1" w:styleId="22">
    <w:name w:val="无缩进正文"/>
    <w:basedOn w:val="1"/>
    <w:next w:val="1"/>
    <w:link w:val="23"/>
    <w:qFormat/>
    <w:uiPriority w:val="99"/>
    <w:pPr>
      <w:adjustRightInd w:val="0"/>
      <w:spacing w:line="240" w:lineRule="auto"/>
      <w:ind w:left="0" w:right="0" w:firstLine="0" w:firstLineChars="0"/>
      <w:jc w:val="center"/>
    </w:pPr>
    <w:rPr>
      <w:rFonts w:ascii="Times New Roman" w:hAnsi="Times New Roman" w:eastAsia="宋体"/>
      <w:kern w:val="0"/>
    </w:rPr>
  </w:style>
  <w:style w:type="character" w:customStyle="1" w:styleId="23">
    <w:name w:val="报告表正文 Char"/>
    <w:link w:val="22"/>
    <w:qFormat/>
    <w:uiPriority w:val="99"/>
    <w:rPr>
      <w:rFonts w:ascii="Times New Roman" w:hAnsi="Times New Roman" w:eastAsia="宋体"/>
      <w:kern w:val="0"/>
    </w:rPr>
  </w:style>
  <w:style w:type="paragraph" w:customStyle="1" w:styleId="24">
    <w:name w:val="表格内"/>
    <w:qFormat/>
    <w:uiPriority w:val="0"/>
    <w:pPr>
      <w:widowControl/>
      <w:adjustRightInd w:val="0"/>
      <w:snapToGrid w:val="0"/>
      <w:spacing w:after="200" w:line="360" w:lineRule="exact"/>
      <w:ind w:firstLine="0" w:firstLineChars="0"/>
      <w:jc w:val="center"/>
    </w:pPr>
    <w:rPr>
      <w:rFonts w:ascii="Times New Roman" w:hAnsi="Times New Roman" w:eastAsia="微软雅黑" w:cstheme="minorBidi"/>
      <w:snapToGrid w:val="0"/>
      <w:kern w:val="0"/>
      <w:sz w:val="22"/>
      <w:szCs w:val="21"/>
      <w:lang w:val="en-US" w:eastAsia="zh-CN" w:bidi="ar-SA"/>
    </w:rPr>
  </w:style>
  <w:style w:type="character" w:customStyle="1" w:styleId="25">
    <w:name w:val="font21"/>
    <w:basedOn w:val="17"/>
    <w:qFormat/>
    <w:uiPriority w:val="0"/>
    <w:rPr>
      <w:rFonts w:hint="default" w:ascii="Times New Roman" w:hAnsi="Times New Roman" w:cs="Times New Roman"/>
      <w:color w:val="000000"/>
      <w:sz w:val="21"/>
      <w:szCs w:val="21"/>
      <w:u w:val="none"/>
    </w:rPr>
  </w:style>
  <w:style w:type="character" w:customStyle="1" w:styleId="26">
    <w:name w:val="font11"/>
    <w:basedOn w:val="17"/>
    <w:qFormat/>
    <w:uiPriority w:val="0"/>
    <w:rPr>
      <w:rFonts w:hint="eastAsia" w:ascii="宋体" w:hAnsi="宋体" w:eastAsia="宋体" w:cs="宋体"/>
      <w:color w:val="000000"/>
      <w:sz w:val="21"/>
      <w:szCs w:val="21"/>
      <w:u w:val="none"/>
      <w:vertAlign w:val="superscript"/>
    </w:rPr>
  </w:style>
  <w:style w:type="character" w:customStyle="1" w:styleId="27">
    <w:name w:val="font31"/>
    <w:basedOn w:val="17"/>
    <w:qFormat/>
    <w:uiPriority w:val="0"/>
    <w:rPr>
      <w:rFonts w:hint="eastAsia" w:ascii="宋体" w:hAnsi="宋体" w:eastAsia="宋体" w:cs="宋体"/>
      <w:color w:val="000000"/>
      <w:sz w:val="21"/>
      <w:szCs w:val="21"/>
      <w:u w:val="none"/>
    </w:rPr>
  </w:style>
  <w:style w:type="character" w:customStyle="1" w:styleId="28">
    <w:name w:val="font01"/>
    <w:basedOn w:val="17"/>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28884</Words>
  <Characters>32992</Characters>
  <Lines>1</Lines>
  <Paragraphs>1</Paragraphs>
  <TotalTime>2</TotalTime>
  <ScaleCrop>false</ScaleCrop>
  <LinksUpToDate>false</LinksUpToDate>
  <CharactersWithSpaces>33119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2021-01-04T08:37:00Z</dcterms:created>
  <dc:creator>China</dc:creator>
  <cp:lastModifiedBy>Administrator</cp:lastModifiedBy>
  <cp:lastPrinted>2021-06-03T02:53:00Z</cp:lastPrinted>
  <dcterms:modified xsi:type="dcterms:W3CDTF">2022-02-11T03:33:31Z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FAA6B5FEB2A34423994944CE585174CF</vt:lpwstr>
  </property>
</Properties>
</file>