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tLeast"/>
        <w:jc w:val="center"/>
        <w:rPr>
          <w:rFonts w:ascii="Times New Roman" w:hAnsi="Times New Roman" w:eastAsia="楷体" w:cs="Times New Roman"/>
          <w:color w:val="auto"/>
          <w:kern w:val="2"/>
          <w:sz w:val="24"/>
          <w:szCs w:val="24"/>
          <w:highlight w:val="yellow"/>
          <w:lang w:val="en-US" w:eastAsia="zh-CN" w:bidi="ar-SA"/>
        </w:rPr>
      </w:pPr>
      <w:bookmarkStart w:id="0" w:name="_Toc598"/>
      <w:bookmarkStart w:id="1" w:name="_Toc477249461"/>
      <w:bookmarkStart w:id="2" w:name="_Toc484617559"/>
      <w:bookmarkStart w:id="3" w:name="_Toc364332996"/>
      <w:bookmarkStart w:id="4" w:name="_Toc10203"/>
      <w:bookmarkStart w:id="5" w:name="_Toc363634013"/>
      <w:r>
        <w:rPr>
          <w:b/>
          <w:bCs/>
          <w:color w:val="auto"/>
          <w:sz w:val="28"/>
          <w:szCs w:val="28"/>
          <w:highlight w:val="none"/>
        </w:rPr>
        <w:t>目  录</w:t>
      </w:r>
      <w:bookmarkEnd w:id="0"/>
      <w:r>
        <w:rPr>
          <w:rFonts w:eastAsia="楷体"/>
          <w:color w:val="auto"/>
          <w:highlight w:val="yellow"/>
        </w:rPr>
        <w:fldChar w:fldCharType="begin"/>
      </w:r>
      <w:r>
        <w:rPr>
          <w:rFonts w:eastAsia="楷体"/>
          <w:color w:val="auto"/>
          <w:highlight w:val="yellow"/>
        </w:rPr>
        <w:instrText xml:space="preserve"> TOC \o "1-2" \h \z \u </w:instrText>
      </w:r>
      <w:r>
        <w:rPr>
          <w:rFonts w:eastAsia="楷体"/>
          <w:color w:val="auto"/>
          <w:highlight w:val="yellow"/>
        </w:rPr>
        <w:fldChar w:fldCharType="separate"/>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_Toc12498 </w:instrText>
      </w:r>
      <w:r>
        <w:rPr>
          <w:rFonts w:eastAsia="楷体"/>
          <w:highlight w:val="yellow"/>
        </w:rPr>
        <w:fldChar w:fldCharType="separate"/>
      </w:r>
      <w:r>
        <w:rPr>
          <w:rFonts w:hint="eastAsia"/>
        </w:rPr>
        <w:t xml:space="preserve">1 </w:t>
      </w:r>
      <w:r>
        <w:rPr>
          <w:rFonts w:hint="eastAsia"/>
          <w:highlight w:val="none"/>
          <w:lang w:val="en-US" w:eastAsia="zh-CN"/>
        </w:rPr>
        <w:t>概述</w:t>
      </w:r>
      <w:r>
        <w:tab/>
      </w:r>
      <w:r>
        <w:fldChar w:fldCharType="begin"/>
      </w:r>
      <w:r>
        <w:instrText xml:space="preserve"> PAGEREF _Toc12498 </w:instrText>
      </w:r>
      <w:r>
        <w:fldChar w:fldCharType="separate"/>
      </w:r>
      <w:r>
        <w:t>1</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_Toc7188 </w:instrText>
      </w:r>
      <w:r>
        <w:rPr>
          <w:rFonts w:eastAsia="楷体"/>
          <w:highlight w:val="yellow"/>
        </w:rPr>
        <w:fldChar w:fldCharType="separate"/>
      </w:r>
      <w:r>
        <w:rPr>
          <w:rFonts w:hint="eastAsia"/>
        </w:rPr>
        <w:t xml:space="preserve">1.1 </w:t>
      </w:r>
      <w:r>
        <w:rPr>
          <w:rFonts w:hint="eastAsia"/>
          <w:highlight w:val="none"/>
          <w:lang w:val="en-US" w:eastAsia="zh-CN"/>
        </w:rPr>
        <w:t>项目由来</w:t>
      </w:r>
      <w:r>
        <w:tab/>
      </w:r>
      <w:r>
        <w:fldChar w:fldCharType="begin"/>
      </w:r>
      <w:r>
        <w:instrText xml:space="preserve"> PAGEREF _Toc7188 </w:instrText>
      </w:r>
      <w:r>
        <w:fldChar w:fldCharType="separate"/>
      </w:r>
      <w:r>
        <w:t>1</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_Toc18945 </w:instrText>
      </w:r>
      <w:r>
        <w:rPr>
          <w:rFonts w:eastAsia="楷体"/>
          <w:highlight w:val="yellow"/>
        </w:rPr>
        <w:fldChar w:fldCharType="separate"/>
      </w:r>
      <w:r>
        <w:rPr>
          <w:rFonts w:hint="eastAsia"/>
        </w:rPr>
        <w:t xml:space="preserve">1.2 </w:t>
      </w:r>
      <w:r>
        <w:rPr>
          <w:rFonts w:hint="eastAsia"/>
          <w:highlight w:val="none"/>
          <w:lang w:val="en-US" w:eastAsia="zh-CN"/>
        </w:rPr>
        <w:t>项目特点</w:t>
      </w:r>
      <w:r>
        <w:tab/>
      </w:r>
      <w:r>
        <w:fldChar w:fldCharType="begin"/>
      </w:r>
      <w:r>
        <w:instrText xml:space="preserve"> PAGEREF _Toc18945 </w:instrText>
      </w:r>
      <w:r>
        <w:fldChar w:fldCharType="separate"/>
      </w:r>
      <w:r>
        <w:t>1</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_Toc28689 </w:instrText>
      </w:r>
      <w:r>
        <w:rPr>
          <w:rFonts w:eastAsia="楷体"/>
          <w:highlight w:val="yellow"/>
        </w:rPr>
        <w:fldChar w:fldCharType="separate"/>
      </w:r>
      <w:r>
        <w:rPr>
          <w:rFonts w:hint="eastAsia"/>
        </w:rPr>
        <w:t xml:space="preserve">1.3 </w:t>
      </w:r>
      <w:r>
        <w:rPr>
          <w:rFonts w:hint="eastAsia"/>
          <w:highlight w:val="none"/>
          <w:lang w:val="en-US" w:eastAsia="zh-CN"/>
        </w:rPr>
        <w:t>环境影响评价工作过程</w:t>
      </w:r>
      <w:r>
        <w:tab/>
      </w:r>
      <w:r>
        <w:fldChar w:fldCharType="begin"/>
      </w:r>
      <w:r>
        <w:instrText xml:space="preserve"> PAGEREF _Toc28689 </w:instrText>
      </w:r>
      <w:r>
        <w:fldChar w:fldCharType="separate"/>
      </w:r>
      <w:r>
        <w:t>2</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_Toc12684 </w:instrText>
      </w:r>
      <w:r>
        <w:rPr>
          <w:rFonts w:eastAsia="楷体"/>
          <w:highlight w:val="yellow"/>
        </w:rPr>
        <w:fldChar w:fldCharType="separate"/>
      </w:r>
      <w:r>
        <w:rPr>
          <w:rFonts w:hint="eastAsia"/>
        </w:rPr>
        <w:t xml:space="preserve">1.4 </w:t>
      </w:r>
      <w:r>
        <w:rPr>
          <w:rFonts w:hint="eastAsia"/>
          <w:highlight w:val="none"/>
          <w:lang w:val="en-US" w:eastAsia="zh-CN"/>
        </w:rPr>
        <w:t>分析判定相关情况</w:t>
      </w:r>
      <w:r>
        <w:tab/>
      </w:r>
      <w:r>
        <w:fldChar w:fldCharType="begin"/>
      </w:r>
      <w:r>
        <w:instrText xml:space="preserve"> PAGEREF _Toc12684 </w:instrText>
      </w:r>
      <w:r>
        <w:fldChar w:fldCharType="separate"/>
      </w:r>
      <w:r>
        <w:t>3</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_Toc18569 </w:instrText>
      </w:r>
      <w:r>
        <w:rPr>
          <w:rFonts w:eastAsia="楷体"/>
          <w:highlight w:val="yellow"/>
        </w:rPr>
        <w:fldChar w:fldCharType="separate"/>
      </w:r>
      <w:r>
        <w:rPr>
          <w:rFonts w:hint="eastAsia"/>
        </w:rPr>
        <w:t xml:space="preserve">1.5 </w:t>
      </w:r>
      <w:r>
        <w:rPr>
          <w:rFonts w:hint="eastAsia"/>
          <w:highlight w:val="none"/>
          <w:lang w:val="en-US" w:eastAsia="zh-CN"/>
        </w:rPr>
        <w:t>关注的主要环境问题及环境影响</w:t>
      </w:r>
      <w:r>
        <w:tab/>
      </w:r>
      <w:r>
        <w:fldChar w:fldCharType="begin"/>
      </w:r>
      <w:r>
        <w:instrText xml:space="preserve"> PAGEREF _Toc18569 </w:instrText>
      </w:r>
      <w:r>
        <w:fldChar w:fldCharType="separate"/>
      </w:r>
      <w:r>
        <w:t>7</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_Toc19955 </w:instrText>
      </w:r>
      <w:r>
        <w:rPr>
          <w:rFonts w:eastAsia="楷体"/>
          <w:highlight w:val="yellow"/>
        </w:rPr>
        <w:fldChar w:fldCharType="separate"/>
      </w:r>
      <w:r>
        <w:rPr>
          <w:rFonts w:hint="eastAsia"/>
        </w:rPr>
        <w:t xml:space="preserve">1.6 </w:t>
      </w:r>
      <w:r>
        <w:rPr>
          <w:rFonts w:hint="eastAsia"/>
          <w:highlight w:val="none"/>
          <w:lang w:val="en-US" w:eastAsia="zh-CN"/>
        </w:rPr>
        <w:t>环境影响评价主要结论</w:t>
      </w:r>
      <w:r>
        <w:tab/>
      </w:r>
      <w:r>
        <w:fldChar w:fldCharType="begin"/>
      </w:r>
      <w:r>
        <w:instrText xml:space="preserve"> PAGEREF _Toc19955 </w:instrText>
      </w:r>
      <w:r>
        <w:fldChar w:fldCharType="separate"/>
      </w:r>
      <w:r>
        <w:t>8</w:t>
      </w:r>
      <w:r>
        <w:fldChar w:fldCharType="end"/>
      </w:r>
      <w:r>
        <w:rPr>
          <w:rFonts w:eastAsia="楷体"/>
          <w:color w:val="auto"/>
          <w:highlight w:val="yellow"/>
        </w:rPr>
        <w:fldChar w:fldCharType="end"/>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_Toc2177 </w:instrText>
      </w:r>
      <w:r>
        <w:rPr>
          <w:rFonts w:eastAsia="楷体"/>
          <w:highlight w:val="yellow"/>
        </w:rPr>
        <w:fldChar w:fldCharType="separate"/>
      </w:r>
      <w:r>
        <w:rPr>
          <w:rFonts w:hint="eastAsia"/>
        </w:rPr>
        <w:t xml:space="preserve">2 </w:t>
      </w:r>
      <w:r>
        <w:rPr>
          <w:rFonts w:hint="eastAsia"/>
          <w:highlight w:val="none"/>
          <w:lang w:val="en-US" w:eastAsia="zh-CN"/>
        </w:rPr>
        <w:t>总则</w:t>
      </w:r>
      <w:r>
        <w:tab/>
      </w:r>
      <w:r>
        <w:fldChar w:fldCharType="begin"/>
      </w:r>
      <w:r>
        <w:instrText xml:space="preserve"> PAGEREF _Toc2177 </w:instrText>
      </w:r>
      <w:r>
        <w:fldChar w:fldCharType="separate"/>
      </w:r>
      <w:r>
        <w:t>9</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_Toc15016 </w:instrText>
      </w:r>
      <w:r>
        <w:rPr>
          <w:rFonts w:eastAsia="楷体"/>
          <w:highlight w:val="yellow"/>
        </w:rPr>
        <w:fldChar w:fldCharType="separate"/>
      </w:r>
      <w:r>
        <w:rPr>
          <w:rFonts w:hint="eastAsia"/>
        </w:rPr>
        <w:t xml:space="preserve">2.1 </w:t>
      </w:r>
      <w:r>
        <w:rPr>
          <w:rFonts w:hint="eastAsia"/>
          <w:highlight w:val="none"/>
          <w:lang w:val="en-US" w:eastAsia="zh-CN"/>
        </w:rPr>
        <w:t>编制依据</w:t>
      </w:r>
      <w:r>
        <w:tab/>
      </w:r>
      <w:r>
        <w:fldChar w:fldCharType="begin"/>
      </w:r>
      <w:r>
        <w:instrText xml:space="preserve"> PAGEREF _Toc15016 </w:instrText>
      </w:r>
      <w:r>
        <w:fldChar w:fldCharType="separate"/>
      </w:r>
      <w:r>
        <w:t>9</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_Toc30772 </w:instrText>
      </w:r>
      <w:r>
        <w:rPr>
          <w:rFonts w:eastAsia="楷体"/>
          <w:highlight w:val="yellow"/>
        </w:rPr>
        <w:fldChar w:fldCharType="separate"/>
      </w:r>
      <w:r>
        <w:rPr>
          <w:rFonts w:hint="eastAsia"/>
        </w:rPr>
        <w:t xml:space="preserve">2.2 </w:t>
      </w:r>
      <w:r>
        <w:rPr>
          <w:rFonts w:hint="eastAsia"/>
          <w:highlight w:val="none"/>
          <w:lang w:val="en-US" w:eastAsia="zh-CN"/>
        </w:rPr>
        <w:t>环境影响识别与评价因子筛选</w:t>
      </w:r>
      <w:r>
        <w:tab/>
      </w:r>
      <w:r>
        <w:fldChar w:fldCharType="begin"/>
      </w:r>
      <w:r>
        <w:instrText xml:space="preserve"> PAGEREF _Toc30772 </w:instrText>
      </w:r>
      <w:r>
        <w:fldChar w:fldCharType="separate"/>
      </w:r>
      <w:r>
        <w:t>13</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_Toc5947 </w:instrText>
      </w:r>
      <w:r>
        <w:rPr>
          <w:rFonts w:eastAsia="楷体"/>
          <w:highlight w:val="yellow"/>
        </w:rPr>
        <w:fldChar w:fldCharType="separate"/>
      </w:r>
      <w:r>
        <w:rPr>
          <w:rFonts w:hint="eastAsia"/>
        </w:rPr>
        <w:t xml:space="preserve">2.3 </w:t>
      </w:r>
      <w:r>
        <w:rPr>
          <w:rFonts w:hint="eastAsia"/>
          <w:highlight w:val="none"/>
          <w:lang w:val="en-US" w:eastAsia="zh-CN"/>
        </w:rPr>
        <w:t>环境功能区划与评价标准</w:t>
      </w:r>
      <w:r>
        <w:tab/>
      </w:r>
      <w:r>
        <w:fldChar w:fldCharType="begin"/>
      </w:r>
      <w:r>
        <w:instrText xml:space="preserve"> PAGEREF _Toc5947 </w:instrText>
      </w:r>
      <w:r>
        <w:fldChar w:fldCharType="separate"/>
      </w:r>
      <w:r>
        <w:t>15</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_Toc30738 </w:instrText>
      </w:r>
      <w:r>
        <w:rPr>
          <w:rFonts w:eastAsia="楷体"/>
          <w:highlight w:val="yellow"/>
        </w:rPr>
        <w:fldChar w:fldCharType="separate"/>
      </w:r>
      <w:r>
        <w:rPr>
          <w:rFonts w:hint="eastAsia"/>
        </w:rPr>
        <w:t xml:space="preserve">2.4 </w:t>
      </w:r>
      <w:r>
        <w:rPr>
          <w:rFonts w:hint="eastAsia"/>
          <w:highlight w:val="none"/>
          <w:lang w:val="en-US" w:eastAsia="zh-CN"/>
        </w:rPr>
        <w:t>评价工作等级和评价范围</w:t>
      </w:r>
      <w:r>
        <w:tab/>
      </w:r>
      <w:r>
        <w:fldChar w:fldCharType="begin"/>
      </w:r>
      <w:r>
        <w:instrText xml:space="preserve"> PAGEREF _Toc30738 </w:instrText>
      </w:r>
      <w:r>
        <w:fldChar w:fldCharType="separate"/>
      </w:r>
      <w:r>
        <w:t>20</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_Toc3325 </w:instrText>
      </w:r>
      <w:r>
        <w:rPr>
          <w:rFonts w:eastAsia="楷体"/>
          <w:highlight w:val="yellow"/>
        </w:rPr>
        <w:fldChar w:fldCharType="separate"/>
      </w:r>
      <w:r>
        <w:rPr>
          <w:rFonts w:hint="eastAsia"/>
        </w:rPr>
        <w:t xml:space="preserve">2.5 </w:t>
      </w:r>
      <w:r>
        <w:rPr>
          <w:rFonts w:hint="eastAsia"/>
          <w:highlight w:val="none"/>
          <w:lang w:val="en-US" w:eastAsia="zh-CN"/>
        </w:rPr>
        <w:t>主要环境保护目标</w:t>
      </w:r>
      <w:r>
        <w:tab/>
      </w:r>
      <w:r>
        <w:fldChar w:fldCharType="begin"/>
      </w:r>
      <w:r>
        <w:instrText xml:space="preserve"> PAGEREF _Toc3325 </w:instrText>
      </w:r>
      <w:r>
        <w:fldChar w:fldCharType="separate"/>
      </w:r>
      <w:r>
        <w:t>26</w:t>
      </w:r>
      <w:r>
        <w:fldChar w:fldCharType="end"/>
      </w:r>
      <w:r>
        <w:rPr>
          <w:rFonts w:eastAsia="楷体"/>
          <w:color w:val="auto"/>
          <w:highlight w:val="yellow"/>
        </w:rPr>
        <w:fldChar w:fldCharType="end"/>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_Toc5210 </w:instrText>
      </w:r>
      <w:r>
        <w:rPr>
          <w:rFonts w:eastAsia="楷体"/>
          <w:highlight w:val="yellow"/>
        </w:rPr>
        <w:fldChar w:fldCharType="separate"/>
      </w:r>
      <w:r>
        <w:rPr>
          <w:rFonts w:hint="eastAsia"/>
        </w:rPr>
        <w:t xml:space="preserve">3 </w:t>
      </w:r>
      <w:r>
        <w:rPr>
          <w:rFonts w:hint="eastAsia"/>
          <w:highlight w:val="none"/>
          <w:lang w:val="en-US" w:eastAsia="zh-CN"/>
        </w:rPr>
        <w:t>建设项目工程分析</w:t>
      </w:r>
      <w:r>
        <w:tab/>
      </w:r>
      <w:r>
        <w:fldChar w:fldCharType="begin"/>
      </w:r>
      <w:r>
        <w:instrText xml:space="preserve"> PAGEREF _Toc5210 </w:instrText>
      </w:r>
      <w:r>
        <w:fldChar w:fldCharType="separate"/>
      </w:r>
      <w:r>
        <w:t>29</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_Toc9878 </w:instrText>
      </w:r>
      <w:r>
        <w:rPr>
          <w:rFonts w:eastAsia="楷体"/>
          <w:highlight w:val="yellow"/>
        </w:rPr>
        <w:fldChar w:fldCharType="separate"/>
      </w:r>
      <w:r>
        <w:rPr>
          <w:rFonts w:hint="eastAsia"/>
        </w:rPr>
        <w:t xml:space="preserve">3.2 </w:t>
      </w:r>
      <w:r>
        <w:rPr>
          <w:rFonts w:hint="eastAsia"/>
          <w:highlight w:val="none"/>
          <w:lang w:val="en-US" w:eastAsia="zh-CN"/>
        </w:rPr>
        <w:t>环境影响因素分析</w:t>
      </w:r>
      <w:r>
        <w:tab/>
      </w:r>
      <w:r>
        <w:fldChar w:fldCharType="begin"/>
      </w:r>
      <w:r>
        <w:instrText xml:space="preserve"> PAGEREF _Toc9878 </w:instrText>
      </w:r>
      <w:r>
        <w:fldChar w:fldCharType="separate"/>
      </w:r>
      <w:r>
        <w:t>36</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_Toc18137 </w:instrText>
      </w:r>
      <w:r>
        <w:rPr>
          <w:rFonts w:eastAsia="楷体"/>
          <w:highlight w:val="yellow"/>
        </w:rPr>
        <w:fldChar w:fldCharType="separate"/>
      </w:r>
      <w:r>
        <w:rPr>
          <w:rFonts w:hint="eastAsia"/>
        </w:rPr>
        <w:t xml:space="preserve">3.3 </w:t>
      </w:r>
      <w:r>
        <w:rPr>
          <w:rFonts w:hint="eastAsia"/>
          <w:highlight w:val="none"/>
          <w:lang w:val="en-US" w:eastAsia="zh-CN"/>
        </w:rPr>
        <w:t>总量控制</w:t>
      </w:r>
      <w:r>
        <w:tab/>
      </w:r>
      <w:r>
        <w:fldChar w:fldCharType="begin"/>
      </w:r>
      <w:r>
        <w:instrText xml:space="preserve"> PAGEREF _Toc18137 </w:instrText>
      </w:r>
      <w:r>
        <w:fldChar w:fldCharType="separate"/>
      </w:r>
      <w:r>
        <w:t>40</w:t>
      </w:r>
      <w:r>
        <w:fldChar w:fldCharType="end"/>
      </w:r>
      <w:r>
        <w:rPr>
          <w:rFonts w:eastAsia="楷体"/>
          <w:color w:val="auto"/>
          <w:highlight w:val="yellow"/>
        </w:rPr>
        <w:fldChar w:fldCharType="end"/>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_Toc12637 </w:instrText>
      </w:r>
      <w:r>
        <w:rPr>
          <w:rFonts w:eastAsia="楷体"/>
          <w:highlight w:val="yellow"/>
        </w:rPr>
        <w:fldChar w:fldCharType="separate"/>
      </w:r>
      <w:r>
        <w:rPr>
          <w:rFonts w:hint="eastAsia"/>
        </w:rPr>
        <w:t xml:space="preserve">4 </w:t>
      </w:r>
      <w:r>
        <w:rPr>
          <w:rFonts w:hint="eastAsia"/>
          <w:highlight w:val="none"/>
          <w:lang w:val="en-US" w:eastAsia="zh-CN"/>
        </w:rPr>
        <w:t>环境现状调查与评价</w:t>
      </w:r>
      <w:r>
        <w:tab/>
      </w:r>
      <w:r>
        <w:fldChar w:fldCharType="begin"/>
      </w:r>
      <w:r>
        <w:instrText xml:space="preserve"> PAGEREF _Toc12637 </w:instrText>
      </w:r>
      <w:r>
        <w:fldChar w:fldCharType="separate"/>
      </w:r>
      <w:r>
        <w:t>41</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_Toc24408 </w:instrText>
      </w:r>
      <w:r>
        <w:rPr>
          <w:rFonts w:eastAsia="楷体"/>
          <w:highlight w:val="yellow"/>
        </w:rPr>
        <w:fldChar w:fldCharType="separate"/>
      </w:r>
      <w:r>
        <w:rPr>
          <w:rFonts w:hint="eastAsia"/>
        </w:rPr>
        <w:t xml:space="preserve">4.1 </w:t>
      </w:r>
      <w:r>
        <w:rPr>
          <w:rFonts w:hint="eastAsia"/>
          <w:highlight w:val="none"/>
          <w:lang w:val="en-US" w:eastAsia="zh-CN"/>
        </w:rPr>
        <w:t>自然环境现状调查与评价</w:t>
      </w:r>
      <w:r>
        <w:tab/>
      </w:r>
      <w:r>
        <w:fldChar w:fldCharType="begin"/>
      </w:r>
      <w:r>
        <w:instrText xml:space="preserve"> PAGEREF _Toc24408 </w:instrText>
      </w:r>
      <w:r>
        <w:fldChar w:fldCharType="separate"/>
      </w:r>
      <w:r>
        <w:t>41</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_Toc24189 </w:instrText>
      </w:r>
      <w:r>
        <w:rPr>
          <w:rFonts w:eastAsia="楷体"/>
          <w:highlight w:val="yellow"/>
        </w:rPr>
        <w:fldChar w:fldCharType="separate"/>
      </w:r>
      <w:r>
        <w:rPr>
          <w:rFonts w:hint="eastAsia"/>
        </w:rPr>
        <w:t xml:space="preserve">4.2 </w:t>
      </w:r>
      <w:r>
        <w:rPr>
          <w:rFonts w:hint="eastAsia"/>
          <w:highlight w:val="none"/>
          <w:lang w:val="en-US" w:eastAsia="zh-CN"/>
        </w:rPr>
        <w:t>环境质量现状调查与评价</w:t>
      </w:r>
      <w:r>
        <w:tab/>
      </w:r>
      <w:r>
        <w:fldChar w:fldCharType="begin"/>
      </w:r>
      <w:r>
        <w:instrText xml:space="preserve"> PAGEREF _Toc24189 </w:instrText>
      </w:r>
      <w:r>
        <w:fldChar w:fldCharType="separate"/>
      </w:r>
      <w:r>
        <w:t>47</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_Toc4284 </w:instrText>
      </w:r>
      <w:r>
        <w:rPr>
          <w:rFonts w:eastAsia="楷体"/>
          <w:highlight w:val="yellow"/>
        </w:rPr>
        <w:fldChar w:fldCharType="separate"/>
      </w:r>
      <w:r>
        <w:rPr>
          <w:rFonts w:hint="eastAsia"/>
        </w:rPr>
        <w:t xml:space="preserve">4.3 </w:t>
      </w:r>
      <w:r>
        <w:rPr>
          <w:rFonts w:hint="eastAsia"/>
          <w:highlight w:val="none"/>
          <w:lang w:val="en-US" w:eastAsia="zh-CN"/>
        </w:rPr>
        <w:t>区域污染源调查</w:t>
      </w:r>
      <w:r>
        <w:tab/>
      </w:r>
      <w:r>
        <w:fldChar w:fldCharType="begin"/>
      </w:r>
      <w:r>
        <w:instrText xml:space="preserve"> PAGEREF _Toc4284 </w:instrText>
      </w:r>
      <w:r>
        <w:fldChar w:fldCharType="separate"/>
      </w:r>
      <w:r>
        <w:t>62</w:t>
      </w:r>
      <w:r>
        <w:fldChar w:fldCharType="end"/>
      </w:r>
      <w:r>
        <w:rPr>
          <w:rFonts w:eastAsia="楷体"/>
          <w:color w:val="auto"/>
          <w:highlight w:val="yellow"/>
        </w:rPr>
        <w:fldChar w:fldCharType="end"/>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_Toc18982 </w:instrText>
      </w:r>
      <w:r>
        <w:rPr>
          <w:rFonts w:eastAsia="楷体"/>
          <w:highlight w:val="yellow"/>
        </w:rPr>
        <w:fldChar w:fldCharType="separate"/>
      </w:r>
      <w:r>
        <w:rPr>
          <w:rFonts w:hint="eastAsia"/>
        </w:rPr>
        <w:t xml:space="preserve">5 </w:t>
      </w:r>
      <w:r>
        <w:rPr>
          <w:rFonts w:hint="eastAsia"/>
          <w:highlight w:val="none"/>
          <w:lang w:val="en-US" w:eastAsia="zh-CN"/>
        </w:rPr>
        <w:t>环境影响预测与评价</w:t>
      </w:r>
      <w:r>
        <w:tab/>
      </w:r>
      <w:r>
        <w:fldChar w:fldCharType="begin"/>
      </w:r>
      <w:r>
        <w:instrText xml:space="preserve"> PAGEREF _Toc18982 </w:instrText>
      </w:r>
      <w:r>
        <w:fldChar w:fldCharType="separate"/>
      </w:r>
      <w:r>
        <w:t>64</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_Toc20455 </w:instrText>
      </w:r>
      <w:r>
        <w:rPr>
          <w:rFonts w:eastAsia="楷体"/>
          <w:highlight w:val="yellow"/>
        </w:rPr>
        <w:fldChar w:fldCharType="separate"/>
      </w:r>
      <w:r>
        <w:rPr>
          <w:rFonts w:hint="eastAsia"/>
        </w:rPr>
        <w:t xml:space="preserve">5.1 </w:t>
      </w:r>
      <w:r>
        <w:rPr>
          <w:rFonts w:hint="eastAsia"/>
          <w:highlight w:val="none"/>
          <w:lang w:val="en-US" w:eastAsia="zh-CN"/>
        </w:rPr>
        <w:t>环境影响分析与评价</w:t>
      </w:r>
      <w:r>
        <w:tab/>
      </w:r>
      <w:r>
        <w:fldChar w:fldCharType="begin"/>
      </w:r>
      <w:r>
        <w:instrText xml:space="preserve"> PAGEREF _Toc20455 </w:instrText>
      </w:r>
      <w:r>
        <w:fldChar w:fldCharType="separate"/>
      </w:r>
      <w:r>
        <w:t>64</w:t>
      </w:r>
      <w:r>
        <w:fldChar w:fldCharType="end"/>
      </w:r>
      <w:r>
        <w:rPr>
          <w:rFonts w:eastAsia="楷体"/>
          <w:color w:val="auto"/>
          <w:highlight w:val="yellow"/>
        </w:rPr>
        <w:fldChar w:fldCharType="end"/>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_Toc344 </w:instrText>
      </w:r>
      <w:r>
        <w:rPr>
          <w:rFonts w:eastAsia="楷体"/>
          <w:highlight w:val="yellow"/>
        </w:rPr>
        <w:fldChar w:fldCharType="separate"/>
      </w:r>
      <w:r>
        <w:rPr>
          <w:rFonts w:hint="eastAsia"/>
        </w:rPr>
        <w:t xml:space="preserve">6 </w:t>
      </w:r>
      <w:r>
        <w:rPr>
          <w:rFonts w:hint="eastAsia"/>
          <w:highlight w:val="none"/>
          <w:lang w:val="en-US" w:eastAsia="zh-CN"/>
        </w:rPr>
        <w:t>环境保护措施及其可行性论证</w:t>
      </w:r>
      <w:r>
        <w:tab/>
      </w:r>
      <w:r>
        <w:fldChar w:fldCharType="begin"/>
      </w:r>
      <w:r>
        <w:instrText xml:space="preserve"> PAGEREF _Toc344 </w:instrText>
      </w:r>
      <w:r>
        <w:fldChar w:fldCharType="separate"/>
      </w:r>
      <w:r>
        <w:t>84</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_Toc23255 </w:instrText>
      </w:r>
      <w:r>
        <w:rPr>
          <w:rFonts w:eastAsia="楷体"/>
          <w:highlight w:val="yellow"/>
        </w:rPr>
        <w:fldChar w:fldCharType="separate"/>
      </w:r>
      <w:r>
        <w:rPr>
          <w:rFonts w:hint="eastAsia"/>
          <w:lang w:val="en-US" w:eastAsia="zh-CN"/>
        </w:rPr>
        <w:t xml:space="preserve">6.1 </w:t>
      </w:r>
      <w:r>
        <w:rPr>
          <w:rFonts w:hint="default"/>
          <w:highlight w:val="none"/>
          <w:lang w:val="en-US" w:eastAsia="zh-CN"/>
        </w:rPr>
        <w:t>环境保护措施及</w:t>
      </w:r>
      <w:r>
        <w:rPr>
          <w:rFonts w:hint="eastAsia"/>
          <w:highlight w:val="none"/>
          <w:lang w:val="en-US" w:eastAsia="zh-CN"/>
        </w:rPr>
        <w:t>可行性论证</w:t>
      </w:r>
      <w:r>
        <w:tab/>
      </w:r>
      <w:r>
        <w:fldChar w:fldCharType="begin"/>
      </w:r>
      <w:r>
        <w:instrText xml:space="preserve"> PAGEREF _Toc23255 </w:instrText>
      </w:r>
      <w:r>
        <w:fldChar w:fldCharType="separate"/>
      </w:r>
      <w:r>
        <w:t>84</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_Toc8980 </w:instrText>
      </w:r>
      <w:r>
        <w:rPr>
          <w:rFonts w:eastAsia="楷体"/>
          <w:highlight w:val="yellow"/>
        </w:rPr>
        <w:fldChar w:fldCharType="separate"/>
      </w:r>
      <w:r>
        <w:rPr>
          <w:rFonts w:hint="eastAsia"/>
        </w:rPr>
        <w:t xml:space="preserve">6.2 </w:t>
      </w:r>
      <w:r>
        <w:rPr>
          <w:rFonts w:hint="eastAsia"/>
          <w:highlight w:val="none"/>
          <w:lang w:val="en-US" w:eastAsia="zh-CN"/>
        </w:rPr>
        <w:t>环境保护投入</w:t>
      </w:r>
      <w:r>
        <w:tab/>
      </w:r>
      <w:r>
        <w:fldChar w:fldCharType="begin"/>
      </w:r>
      <w:r>
        <w:instrText xml:space="preserve"> PAGEREF _Toc8980 </w:instrText>
      </w:r>
      <w:r>
        <w:fldChar w:fldCharType="separate"/>
      </w:r>
      <w:r>
        <w:t>89</w:t>
      </w:r>
      <w:r>
        <w:fldChar w:fldCharType="end"/>
      </w:r>
      <w:r>
        <w:rPr>
          <w:rFonts w:eastAsia="楷体"/>
          <w:color w:val="auto"/>
          <w:highlight w:val="yellow"/>
        </w:rPr>
        <w:fldChar w:fldCharType="end"/>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_Toc12702 </w:instrText>
      </w:r>
      <w:r>
        <w:rPr>
          <w:rFonts w:eastAsia="楷体"/>
          <w:highlight w:val="yellow"/>
        </w:rPr>
        <w:fldChar w:fldCharType="separate"/>
      </w:r>
      <w:r>
        <w:rPr>
          <w:rFonts w:hint="eastAsia"/>
        </w:rPr>
        <w:t xml:space="preserve">7 </w:t>
      </w:r>
      <w:r>
        <w:rPr>
          <w:rFonts w:hint="eastAsia"/>
          <w:highlight w:val="none"/>
          <w:lang w:val="en-US" w:eastAsia="zh-CN"/>
        </w:rPr>
        <w:t>环境影响经济损益分析</w:t>
      </w:r>
      <w:r>
        <w:tab/>
      </w:r>
      <w:r>
        <w:fldChar w:fldCharType="begin"/>
      </w:r>
      <w:r>
        <w:instrText xml:space="preserve"> PAGEREF _Toc12702 </w:instrText>
      </w:r>
      <w:r>
        <w:fldChar w:fldCharType="separate"/>
      </w:r>
      <w:r>
        <w:t>90</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_Toc24559 </w:instrText>
      </w:r>
      <w:r>
        <w:rPr>
          <w:rFonts w:eastAsia="楷体"/>
          <w:highlight w:val="yellow"/>
        </w:rPr>
        <w:fldChar w:fldCharType="separate"/>
      </w:r>
      <w:r>
        <w:rPr>
          <w:rFonts w:hint="eastAsia"/>
        </w:rPr>
        <w:t xml:space="preserve">7.1 </w:t>
      </w:r>
      <w:r>
        <w:rPr>
          <w:rFonts w:hint="eastAsia"/>
          <w:highlight w:val="none"/>
          <w:lang w:val="en-US" w:eastAsia="zh-CN"/>
        </w:rPr>
        <w:t>社会、经济效益分析</w:t>
      </w:r>
      <w:r>
        <w:tab/>
      </w:r>
      <w:r>
        <w:fldChar w:fldCharType="begin"/>
      </w:r>
      <w:r>
        <w:instrText xml:space="preserve"> PAGEREF _Toc24559 </w:instrText>
      </w:r>
      <w:r>
        <w:fldChar w:fldCharType="separate"/>
      </w:r>
      <w:r>
        <w:t>90</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_Toc22559 </w:instrText>
      </w:r>
      <w:r>
        <w:rPr>
          <w:rFonts w:eastAsia="楷体"/>
          <w:highlight w:val="yellow"/>
        </w:rPr>
        <w:fldChar w:fldCharType="separate"/>
      </w:r>
      <w:r>
        <w:rPr>
          <w:rFonts w:hint="eastAsia"/>
        </w:rPr>
        <w:t xml:space="preserve">7.2 </w:t>
      </w:r>
      <w:r>
        <w:rPr>
          <w:rFonts w:hint="eastAsia"/>
          <w:highlight w:val="none"/>
          <w:lang w:val="en-US" w:eastAsia="zh-CN"/>
        </w:rPr>
        <w:t>环境损益分析</w:t>
      </w:r>
      <w:r>
        <w:tab/>
      </w:r>
      <w:r>
        <w:fldChar w:fldCharType="begin"/>
      </w:r>
      <w:r>
        <w:instrText xml:space="preserve"> PAGEREF _Toc22559 </w:instrText>
      </w:r>
      <w:r>
        <w:fldChar w:fldCharType="separate"/>
      </w:r>
      <w:r>
        <w:t>90</w:t>
      </w:r>
      <w:r>
        <w:fldChar w:fldCharType="end"/>
      </w:r>
      <w:r>
        <w:rPr>
          <w:rFonts w:eastAsia="楷体"/>
          <w:color w:val="auto"/>
          <w:highlight w:val="yellow"/>
        </w:rPr>
        <w:fldChar w:fldCharType="end"/>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_Toc29529 </w:instrText>
      </w:r>
      <w:r>
        <w:rPr>
          <w:rFonts w:eastAsia="楷体"/>
          <w:highlight w:val="yellow"/>
        </w:rPr>
        <w:fldChar w:fldCharType="separate"/>
      </w:r>
      <w:r>
        <w:rPr>
          <w:rFonts w:hint="eastAsia"/>
        </w:rPr>
        <w:t xml:space="preserve">8 </w:t>
      </w:r>
      <w:r>
        <w:rPr>
          <w:rFonts w:hint="eastAsia"/>
          <w:highlight w:val="none"/>
          <w:lang w:val="en-US" w:eastAsia="zh-CN"/>
        </w:rPr>
        <w:t>环境管理与环境监测计划</w:t>
      </w:r>
      <w:r>
        <w:tab/>
      </w:r>
      <w:r>
        <w:fldChar w:fldCharType="begin"/>
      </w:r>
      <w:r>
        <w:instrText xml:space="preserve"> PAGEREF _Toc29529 </w:instrText>
      </w:r>
      <w:r>
        <w:fldChar w:fldCharType="separate"/>
      </w:r>
      <w:r>
        <w:t>91</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_Toc11961 </w:instrText>
      </w:r>
      <w:r>
        <w:rPr>
          <w:rFonts w:eastAsia="楷体"/>
          <w:highlight w:val="yellow"/>
        </w:rPr>
        <w:fldChar w:fldCharType="separate"/>
      </w:r>
      <w:r>
        <w:rPr>
          <w:rFonts w:hint="eastAsia"/>
        </w:rPr>
        <w:t xml:space="preserve">8.1 </w:t>
      </w:r>
      <w:r>
        <w:rPr>
          <w:rFonts w:hint="eastAsia"/>
          <w:highlight w:val="none"/>
          <w:lang w:val="en-US" w:eastAsia="zh-CN"/>
        </w:rPr>
        <w:t>环境管理要求</w:t>
      </w:r>
      <w:r>
        <w:tab/>
      </w:r>
      <w:r>
        <w:fldChar w:fldCharType="begin"/>
      </w:r>
      <w:r>
        <w:instrText xml:space="preserve"> PAGEREF _Toc11961 </w:instrText>
      </w:r>
      <w:r>
        <w:fldChar w:fldCharType="separate"/>
      </w:r>
      <w:r>
        <w:t>91</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_Toc19489 </w:instrText>
      </w:r>
      <w:r>
        <w:rPr>
          <w:rFonts w:eastAsia="楷体"/>
          <w:highlight w:val="yellow"/>
        </w:rPr>
        <w:fldChar w:fldCharType="separate"/>
      </w:r>
      <w:r>
        <w:rPr>
          <w:rFonts w:hint="eastAsia"/>
        </w:rPr>
        <w:t xml:space="preserve">8.2 </w:t>
      </w:r>
      <w:r>
        <w:rPr>
          <w:rFonts w:hint="eastAsia"/>
          <w:highlight w:val="none"/>
          <w:lang w:val="en-US" w:eastAsia="zh-CN"/>
        </w:rPr>
        <w:t>排污口规范管理</w:t>
      </w:r>
      <w:r>
        <w:tab/>
      </w:r>
      <w:r>
        <w:fldChar w:fldCharType="begin"/>
      </w:r>
      <w:r>
        <w:instrText xml:space="preserve"> PAGEREF _Toc19489 </w:instrText>
      </w:r>
      <w:r>
        <w:fldChar w:fldCharType="separate"/>
      </w:r>
      <w:r>
        <w:t>92</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_Toc24901 </w:instrText>
      </w:r>
      <w:r>
        <w:rPr>
          <w:rFonts w:eastAsia="楷体"/>
          <w:highlight w:val="yellow"/>
        </w:rPr>
        <w:fldChar w:fldCharType="separate"/>
      </w:r>
      <w:r>
        <w:rPr>
          <w:rFonts w:hint="eastAsia"/>
        </w:rPr>
        <w:t xml:space="preserve">8.3 </w:t>
      </w:r>
      <w:r>
        <w:rPr>
          <w:rFonts w:hint="eastAsia"/>
          <w:highlight w:val="none"/>
          <w:lang w:val="en-US" w:eastAsia="zh-CN"/>
        </w:rPr>
        <w:t>环境监测计划</w:t>
      </w:r>
      <w:r>
        <w:tab/>
      </w:r>
      <w:r>
        <w:fldChar w:fldCharType="begin"/>
      </w:r>
      <w:r>
        <w:instrText xml:space="preserve"> PAGEREF _Toc24901 </w:instrText>
      </w:r>
      <w:r>
        <w:fldChar w:fldCharType="separate"/>
      </w:r>
      <w:r>
        <w:t>92</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_Toc1520 </w:instrText>
      </w:r>
      <w:r>
        <w:rPr>
          <w:rFonts w:eastAsia="楷体"/>
          <w:highlight w:val="yellow"/>
        </w:rPr>
        <w:fldChar w:fldCharType="separate"/>
      </w:r>
      <w:r>
        <w:rPr>
          <w:rFonts w:hint="eastAsia" w:eastAsia="宋体"/>
          <w:lang w:val="en-US" w:eastAsia="zh-CN"/>
        </w:rPr>
        <w:t xml:space="preserve">8.4 </w:t>
      </w:r>
      <w:r>
        <w:rPr>
          <w:rFonts w:hint="eastAsia" w:eastAsia="宋体"/>
          <w:highlight w:val="none"/>
          <w:lang w:val="en-US" w:eastAsia="zh-CN"/>
        </w:rPr>
        <w:t>信息公开</w:t>
      </w:r>
      <w:r>
        <w:tab/>
      </w:r>
      <w:r>
        <w:fldChar w:fldCharType="begin"/>
      </w:r>
      <w:r>
        <w:instrText xml:space="preserve"> PAGEREF _Toc1520 </w:instrText>
      </w:r>
      <w:r>
        <w:fldChar w:fldCharType="separate"/>
      </w:r>
      <w:r>
        <w:t>93</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_Toc10008 </w:instrText>
      </w:r>
      <w:r>
        <w:rPr>
          <w:rFonts w:eastAsia="楷体"/>
          <w:highlight w:val="yellow"/>
        </w:rPr>
        <w:fldChar w:fldCharType="separate"/>
      </w:r>
      <w:r>
        <w:rPr>
          <w:rFonts w:hint="eastAsia"/>
        </w:rPr>
        <w:t xml:space="preserve">8.5 </w:t>
      </w:r>
      <w:r>
        <w:rPr>
          <w:rFonts w:hint="eastAsia"/>
          <w:highlight w:val="none"/>
          <w:lang w:val="en-US" w:eastAsia="zh-CN"/>
        </w:rPr>
        <w:t>环境保护验收与“三同时”</w:t>
      </w:r>
      <w:r>
        <w:tab/>
      </w:r>
      <w:r>
        <w:fldChar w:fldCharType="begin"/>
      </w:r>
      <w:r>
        <w:instrText xml:space="preserve"> PAGEREF _Toc10008 </w:instrText>
      </w:r>
      <w:r>
        <w:fldChar w:fldCharType="separate"/>
      </w:r>
      <w:r>
        <w:t>93</w:t>
      </w:r>
      <w:r>
        <w:fldChar w:fldCharType="end"/>
      </w:r>
      <w:r>
        <w:rPr>
          <w:rFonts w:eastAsia="楷体"/>
          <w:color w:val="auto"/>
          <w:highlight w:val="yellow"/>
        </w:rPr>
        <w:fldChar w:fldCharType="end"/>
      </w:r>
    </w:p>
    <w:p>
      <w:pPr>
        <w:pStyle w:val="11"/>
        <w:tabs>
          <w:tab w:val="right" w:leader="dot" w:pos="8306"/>
          <w:tab w:val="clear" w:pos="480"/>
          <w:tab w:val="clear" w:pos="9060"/>
        </w:tabs>
      </w:pPr>
      <w:r>
        <w:rPr>
          <w:rFonts w:eastAsia="楷体"/>
          <w:color w:val="auto"/>
          <w:highlight w:val="yellow"/>
        </w:rPr>
        <w:fldChar w:fldCharType="begin"/>
      </w:r>
      <w:r>
        <w:rPr>
          <w:rFonts w:eastAsia="楷体"/>
          <w:highlight w:val="yellow"/>
        </w:rPr>
        <w:instrText xml:space="preserve"> HYPERLINK \l _Toc9176 </w:instrText>
      </w:r>
      <w:r>
        <w:rPr>
          <w:rFonts w:eastAsia="楷体"/>
          <w:highlight w:val="yellow"/>
        </w:rPr>
        <w:fldChar w:fldCharType="separate"/>
      </w:r>
      <w:r>
        <w:rPr>
          <w:rFonts w:hint="eastAsia"/>
        </w:rPr>
        <w:t xml:space="preserve">9 </w:t>
      </w:r>
      <w:r>
        <w:rPr>
          <w:rFonts w:hint="eastAsia"/>
          <w:highlight w:val="none"/>
          <w:lang w:val="en-US" w:eastAsia="zh-CN"/>
        </w:rPr>
        <w:t>环境影响评价结论</w:t>
      </w:r>
      <w:r>
        <w:tab/>
      </w:r>
      <w:r>
        <w:fldChar w:fldCharType="begin"/>
      </w:r>
      <w:r>
        <w:instrText xml:space="preserve"> PAGEREF _Toc9176 </w:instrText>
      </w:r>
      <w:r>
        <w:fldChar w:fldCharType="separate"/>
      </w:r>
      <w:r>
        <w:t>95</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_Toc9182 </w:instrText>
      </w:r>
      <w:r>
        <w:rPr>
          <w:rFonts w:eastAsia="楷体"/>
          <w:highlight w:val="yellow"/>
        </w:rPr>
        <w:fldChar w:fldCharType="separate"/>
      </w:r>
      <w:r>
        <w:rPr>
          <w:rFonts w:hint="eastAsia"/>
        </w:rPr>
        <w:t xml:space="preserve">9.1 </w:t>
      </w:r>
      <w:r>
        <w:rPr>
          <w:rFonts w:hint="eastAsia"/>
          <w:highlight w:val="none"/>
          <w:lang w:val="en-US" w:eastAsia="zh-CN"/>
        </w:rPr>
        <w:t>建设概况</w:t>
      </w:r>
      <w:r>
        <w:tab/>
      </w:r>
      <w:r>
        <w:fldChar w:fldCharType="begin"/>
      </w:r>
      <w:r>
        <w:instrText xml:space="preserve"> PAGEREF _Toc9182 </w:instrText>
      </w:r>
      <w:r>
        <w:fldChar w:fldCharType="separate"/>
      </w:r>
      <w:r>
        <w:t>95</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_Toc15406 </w:instrText>
      </w:r>
      <w:r>
        <w:rPr>
          <w:rFonts w:eastAsia="楷体"/>
          <w:highlight w:val="yellow"/>
        </w:rPr>
        <w:fldChar w:fldCharType="separate"/>
      </w:r>
      <w:r>
        <w:rPr>
          <w:rFonts w:hint="eastAsia"/>
        </w:rPr>
        <w:t xml:space="preserve">9.2 </w:t>
      </w:r>
      <w:r>
        <w:rPr>
          <w:rFonts w:hint="eastAsia"/>
          <w:highlight w:val="none"/>
          <w:lang w:val="en-US" w:eastAsia="zh-CN"/>
        </w:rPr>
        <w:t>产业政策符合性</w:t>
      </w:r>
      <w:r>
        <w:tab/>
      </w:r>
      <w:r>
        <w:fldChar w:fldCharType="begin"/>
      </w:r>
      <w:r>
        <w:instrText xml:space="preserve"> PAGEREF _Toc15406 </w:instrText>
      </w:r>
      <w:r>
        <w:fldChar w:fldCharType="separate"/>
      </w:r>
      <w:r>
        <w:t>96</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_Toc30859 </w:instrText>
      </w:r>
      <w:r>
        <w:rPr>
          <w:rFonts w:eastAsia="楷体"/>
          <w:highlight w:val="yellow"/>
        </w:rPr>
        <w:fldChar w:fldCharType="separate"/>
      </w:r>
      <w:r>
        <w:rPr>
          <w:rFonts w:hint="eastAsia"/>
        </w:rPr>
        <w:t xml:space="preserve">9.3 </w:t>
      </w:r>
      <w:r>
        <w:rPr>
          <w:rFonts w:hint="eastAsia"/>
          <w:highlight w:val="none"/>
          <w:lang w:val="en-US" w:eastAsia="zh-CN"/>
        </w:rPr>
        <w:t>环境质量现状</w:t>
      </w:r>
      <w:r>
        <w:tab/>
      </w:r>
      <w:r>
        <w:fldChar w:fldCharType="begin"/>
      </w:r>
      <w:r>
        <w:instrText xml:space="preserve"> PAGEREF _Toc30859 </w:instrText>
      </w:r>
      <w:r>
        <w:fldChar w:fldCharType="separate"/>
      </w:r>
      <w:r>
        <w:t>96</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_Toc2108 </w:instrText>
      </w:r>
      <w:r>
        <w:rPr>
          <w:rFonts w:eastAsia="楷体"/>
          <w:highlight w:val="yellow"/>
        </w:rPr>
        <w:fldChar w:fldCharType="separate"/>
      </w:r>
      <w:r>
        <w:rPr>
          <w:rFonts w:hint="eastAsia"/>
        </w:rPr>
        <w:t xml:space="preserve">9.4 </w:t>
      </w:r>
      <w:r>
        <w:rPr>
          <w:rFonts w:hint="eastAsia"/>
          <w:highlight w:val="none"/>
          <w:lang w:val="en-US" w:eastAsia="zh-CN"/>
        </w:rPr>
        <w:t>污染物排放情况</w:t>
      </w:r>
      <w:r>
        <w:tab/>
      </w:r>
      <w:r>
        <w:fldChar w:fldCharType="begin"/>
      </w:r>
      <w:r>
        <w:instrText xml:space="preserve"> PAGEREF _Toc2108 </w:instrText>
      </w:r>
      <w:r>
        <w:fldChar w:fldCharType="separate"/>
      </w:r>
      <w:r>
        <w:t>97</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_Toc19648 </w:instrText>
      </w:r>
      <w:r>
        <w:rPr>
          <w:rFonts w:eastAsia="楷体"/>
          <w:highlight w:val="yellow"/>
        </w:rPr>
        <w:fldChar w:fldCharType="separate"/>
      </w:r>
      <w:r>
        <w:rPr>
          <w:rFonts w:hint="eastAsia"/>
        </w:rPr>
        <w:t xml:space="preserve">9.5 </w:t>
      </w:r>
      <w:r>
        <w:rPr>
          <w:rFonts w:hint="eastAsia"/>
          <w:highlight w:val="none"/>
          <w:lang w:val="en-US" w:eastAsia="zh-CN"/>
        </w:rPr>
        <w:t>主要环境保护措施及影响</w:t>
      </w:r>
      <w:r>
        <w:tab/>
      </w:r>
      <w:r>
        <w:fldChar w:fldCharType="begin"/>
      </w:r>
      <w:r>
        <w:instrText xml:space="preserve"> PAGEREF _Toc19648 </w:instrText>
      </w:r>
      <w:r>
        <w:fldChar w:fldCharType="separate"/>
      </w:r>
      <w:r>
        <w:t>98</w:t>
      </w:r>
      <w:r>
        <w:fldChar w:fldCharType="end"/>
      </w:r>
      <w:r>
        <w:rPr>
          <w:rFonts w:eastAsia="楷体"/>
          <w:color w:val="auto"/>
          <w:highlight w:val="yellow"/>
        </w:rPr>
        <w:fldChar w:fldCharType="end"/>
      </w:r>
    </w:p>
    <w:p>
      <w:pPr>
        <w:pStyle w:val="13"/>
        <w:tabs>
          <w:tab w:val="right" w:leader="dot" w:pos="8306"/>
          <w:tab w:val="clear" w:pos="1050"/>
          <w:tab w:val="clear" w:pos="9060"/>
        </w:tabs>
      </w:pPr>
      <w:r>
        <w:rPr>
          <w:rFonts w:eastAsia="楷体"/>
          <w:color w:val="auto"/>
          <w:highlight w:val="yellow"/>
        </w:rPr>
        <w:fldChar w:fldCharType="begin"/>
      </w:r>
      <w:r>
        <w:rPr>
          <w:rFonts w:eastAsia="楷体"/>
          <w:highlight w:val="yellow"/>
        </w:rPr>
        <w:instrText xml:space="preserve"> HYPERLINK \l _Toc7834 </w:instrText>
      </w:r>
      <w:r>
        <w:rPr>
          <w:rFonts w:eastAsia="楷体"/>
          <w:highlight w:val="yellow"/>
        </w:rPr>
        <w:fldChar w:fldCharType="separate"/>
      </w:r>
      <w:r>
        <w:rPr>
          <w:rFonts w:hint="eastAsia"/>
        </w:rPr>
        <w:t xml:space="preserve">9.6 </w:t>
      </w:r>
      <w:r>
        <w:rPr>
          <w:rFonts w:hint="eastAsia"/>
          <w:highlight w:val="none"/>
          <w:lang w:val="en-US" w:eastAsia="zh-CN"/>
        </w:rPr>
        <w:t>环境影响评价综合结论</w:t>
      </w:r>
      <w:r>
        <w:tab/>
      </w:r>
      <w:r>
        <w:fldChar w:fldCharType="begin"/>
      </w:r>
      <w:r>
        <w:instrText xml:space="preserve"> PAGEREF _Toc7834 </w:instrText>
      </w:r>
      <w:r>
        <w:fldChar w:fldCharType="separate"/>
      </w:r>
      <w:r>
        <w:t>99</w:t>
      </w:r>
      <w:r>
        <w:fldChar w:fldCharType="end"/>
      </w:r>
      <w:r>
        <w:rPr>
          <w:rFonts w:eastAsia="楷体"/>
          <w:color w:val="auto"/>
          <w:highlight w:val="yellow"/>
        </w:rPr>
        <w:fldChar w:fldCharType="end"/>
      </w:r>
    </w:p>
    <w:p>
      <w:pPr>
        <w:pStyle w:val="15"/>
        <w:spacing w:line="240" w:lineRule="auto"/>
        <w:jc w:val="center"/>
        <w:rPr>
          <w:rFonts w:eastAsia="楷体"/>
          <w:color w:val="auto"/>
          <w:highlight w:val="yellow"/>
        </w:rPr>
      </w:pPr>
      <w:r>
        <w:rPr>
          <w:rFonts w:eastAsia="楷体"/>
          <w:color w:val="auto"/>
          <w:highlight w:val="yellow"/>
        </w:rPr>
        <w:fldChar w:fldCharType="end"/>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ascii="Times New Roman" w:hAnsi="Times New Roman"/>
          <w:color w:val="auto"/>
          <w:sz w:val="24"/>
          <w:highlight w:val="none"/>
        </w:rPr>
      </w:pPr>
    </w:p>
    <w:p>
      <w:pPr>
        <w:spacing w:line="360" w:lineRule="auto"/>
        <w:ind w:firstLine="480" w:firstLineChars="200"/>
        <w:rPr>
          <w:rFonts w:hint="eastAsia" w:ascii="Times New Roman" w:hAnsi="Times New Roman"/>
          <w:color w:val="auto"/>
          <w:sz w:val="24"/>
          <w:highlight w:val="none"/>
        </w:rPr>
      </w:pPr>
    </w:p>
    <w:p>
      <w:pPr>
        <w:spacing w:line="240" w:lineRule="auto"/>
        <w:rPr>
          <w:rFonts w:hint="eastAsia" w:ascii="Times New Roman" w:hAnsi="Times New Roman"/>
          <w:b/>
          <w:color w:val="auto"/>
          <w:sz w:val="28"/>
          <w:szCs w:val="28"/>
          <w:highlight w:val="none"/>
        </w:rPr>
      </w:pPr>
    </w:p>
    <w:p>
      <w:pPr>
        <w:bidi w:val="0"/>
        <w:jc w:val="center"/>
        <w:rPr>
          <w:rFonts w:hint="eastAsia" w:ascii="黑体" w:hAnsi="黑体" w:eastAsia="黑体" w:cs="黑体"/>
          <w:color w:val="auto"/>
          <w:sz w:val="28"/>
          <w:szCs w:val="28"/>
          <w:highlight w:val="none"/>
        </w:rPr>
      </w:pPr>
    </w:p>
    <w:bookmarkEnd w:id="1"/>
    <w:bookmarkEnd w:id="2"/>
    <w:bookmarkEnd w:id="3"/>
    <w:bookmarkEnd w:id="4"/>
    <w:bookmarkEnd w:id="5"/>
    <w:p>
      <w:pPr>
        <w:pStyle w:val="3"/>
        <w:bidi w:val="0"/>
        <w:rPr>
          <w:color w:val="auto"/>
          <w:highlight w:val="none"/>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bookmarkStart w:id="6" w:name="_Toc363634014"/>
      <w:bookmarkStart w:id="7" w:name="_Toc19242"/>
      <w:bookmarkStart w:id="8" w:name="_Toc448848018"/>
      <w:bookmarkStart w:id="9" w:name="_Toc277877395"/>
    </w:p>
    <w:p>
      <w:pPr>
        <w:pStyle w:val="3"/>
        <w:bidi w:val="0"/>
        <w:rPr>
          <w:color w:val="auto"/>
          <w:highlight w:val="none"/>
        </w:rPr>
      </w:pPr>
      <w:bookmarkStart w:id="10" w:name="_Toc12498"/>
      <w:r>
        <w:rPr>
          <w:rFonts w:hint="eastAsia"/>
          <w:color w:val="auto"/>
          <w:highlight w:val="none"/>
          <w:lang w:val="en-US" w:eastAsia="zh-CN"/>
        </w:rPr>
        <w:t>概述</w:t>
      </w:r>
      <w:bookmarkEnd w:id="6"/>
      <w:bookmarkEnd w:id="7"/>
      <w:bookmarkEnd w:id="8"/>
      <w:bookmarkEnd w:id="10"/>
    </w:p>
    <w:p>
      <w:pPr>
        <w:pStyle w:val="5"/>
        <w:rPr>
          <w:color w:val="auto"/>
          <w:highlight w:val="none"/>
        </w:rPr>
      </w:pPr>
      <w:bookmarkStart w:id="11" w:name="_Toc24503"/>
      <w:bookmarkStart w:id="12" w:name="_Toc448848019"/>
      <w:bookmarkStart w:id="13" w:name="_Toc363634015"/>
      <w:bookmarkStart w:id="14" w:name="_Toc7188"/>
      <w:r>
        <w:rPr>
          <w:rFonts w:hint="eastAsia"/>
          <w:color w:val="auto"/>
          <w:highlight w:val="none"/>
          <w:lang w:val="en-US" w:eastAsia="zh-CN"/>
        </w:rPr>
        <w:t>项目</w:t>
      </w:r>
      <w:bookmarkEnd w:id="9"/>
      <w:bookmarkEnd w:id="11"/>
      <w:bookmarkEnd w:id="12"/>
      <w:bookmarkEnd w:id="13"/>
      <w:r>
        <w:rPr>
          <w:rFonts w:hint="eastAsia"/>
          <w:color w:val="auto"/>
          <w:highlight w:val="none"/>
          <w:lang w:val="en-US" w:eastAsia="zh-CN"/>
        </w:rPr>
        <w:t>由来</w:t>
      </w:r>
      <w:bookmarkEnd w:id="14"/>
    </w:p>
    <w:p>
      <w:pPr>
        <w:pStyle w:val="4"/>
        <w:bidi w:val="0"/>
        <w:rPr>
          <w:rFonts w:hint="eastAsia"/>
          <w:color w:val="000000"/>
          <w:sz w:val="24"/>
          <w:lang w:val="en-US" w:eastAsia="zh-CN"/>
        </w:rPr>
      </w:pPr>
      <w:r>
        <w:rPr>
          <w:rFonts w:ascii="Times New Roman" w:hAnsi="Times New Roman"/>
          <w:color w:val="000000"/>
          <w:sz w:val="24"/>
        </w:rPr>
        <w:t>2021年1月10日起，新疆天电奇台能源有限责任公司委托奇台县瑞丰商贸有限公司处置粉煤灰、炉渣废弃物。奇台县瑞丰商贸有限公司利用重型半挂牵引车将粉煤灰、炉渣拉运倾倒至奇台县吉布库镇达板河</w:t>
      </w:r>
      <w:r>
        <w:rPr>
          <w:rFonts w:hint="eastAsia"/>
          <w:color w:val="000000"/>
          <w:sz w:val="24"/>
          <w:lang w:val="en-US" w:eastAsia="zh-CN"/>
        </w:rPr>
        <w:t>村</w:t>
      </w:r>
      <w:r>
        <w:rPr>
          <w:rFonts w:ascii="Times New Roman" w:hAnsi="Times New Roman"/>
          <w:color w:val="000000"/>
          <w:sz w:val="24"/>
        </w:rPr>
        <w:t>无</w:t>
      </w:r>
      <w:r>
        <w:rPr>
          <w:rFonts w:hint="eastAsia" w:asciiTheme="minorEastAsia" w:hAnsiTheme="minorEastAsia" w:eastAsiaTheme="minorEastAsia" w:cstheme="minorEastAsia"/>
          <w:color w:val="000000"/>
          <w:sz w:val="24"/>
        </w:rPr>
        <w:t>“</w:t>
      </w:r>
      <w:r>
        <w:rPr>
          <w:rFonts w:ascii="Times New Roman" w:hAnsi="Times New Roman"/>
          <w:color w:val="000000"/>
          <w:sz w:val="24"/>
        </w:rPr>
        <w:t>三防</w:t>
      </w:r>
      <w:r>
        <w:rPr>
          <w:rFonts w:hint="eastAsia" w:asciiTheme="minorEastAsia" w:hAnsiTheme="minorEastAsia" w:eastAsiaTheme="minorEastAsia" w:cstheme="minorEastAsia"/>
          <w:color w:val="000000"/>
          <w:sz w:val="24"/>
        </w:rPr>
        <w:t>”</w:t>
      </w:r>
      <w:r>
        <w:rPr>
          <w:rFonts w:ascii="Times New Roman" w:hAnsi="Times New Roman"/>
          <w:color w:val="000000"/>
          <w:sz w:val="24"/>
        </w:rPr>
        <w:t>措施的采砂坑内，直至2021年2月9日共拉运倾倒粉煤灰13948吨，炉渣3000吨。</w:t>
      </w:r>
      <w:r>
        <w:rPr>
          <w:rFonts w:hint="eastAsia" w:ascii="Times New Roman" w:hAnsi="Times New Roman"/>
          <w:color w:val="000000"/>
          <w:sz w:val="24"/>
        </w:rPr>
        <w:t>2021年2月9日，昌吉回族自治州生态环境局环境监察人员会同奇台县生态环境分局执法人员对倾倒废弃物的情况进行了现场检查</w:t>
      </w:r>
      <w:r>
        <w:rPr>
          <w:rFonts w:hint="eastAsia"/>
          <w:color w:val="000000"/>
          <w:sz w:val="24"/>
          <w:lang w:eastAsia="zh-CN"/>
        </w:rPr>
        <w:t>，</w:t>
      </w:r>
      <w:r>
        <w:rPr>
          <w:rFonts w:hint="eastAsia"/>
          <w:color w:val="000000"/>
          <w:sz w:val="24"/>
          <w:lang w:val="en-US" w:eastAsia="zh-CN"/>
        </w:rPr>
        <w:t>并对</w:t>
      </w:r>
      <w:r>
        <w:rPr>
          <w:rFonts w:ascii="Times New Roman" w:hAnsi="Times New Roman"/>
          <w:color w:val="000000"/>
          <w:sz w:val="24"/>
        </w:rPr>
        <w:t>奇台县瑞丰商贸有限公司</w:t>
      </w:r>
      <w:r>
        <w:rPr>
          <w:rFonts w:hint="eastAsia"/>
          <w:color w:val="000000"/>
          <w:sz w:val="24"/>
          <w:lang w:val="en-US" w:eastAsia="zh-CN"/>
        </w:rPr>
        <w:t>进行了行政处罚（见附件3）。</w:t>
      </w:r>
      <w:r>
        <w:rPr>
          <w:rFonts w:ascii="Times New Roman" w:hAnsi="Times New Roman"/>
          <w:color w:val="000000"/>
          <w:sz w:val="24"/>
        </w:rPr>
        <w:t>奇台县瑞丰商贸有限公司</w:t>
      </w:r>
      <w:r>
        <w:rPr>
          <w:rFonts w:hint="eastAsia"/>
          <w:color w:val="000000"/>
          <w:sz w:val="24"/>
          <w:lang w:val="en-US" w:eastAsia="zh-CN"/>
        </w:rPr>
        <w:t>于2021年9月委托新疆立磐环保科技有限公司对本次非法倾倒行为可能造成的生态环境损害出具了鉴定报告和专家意见书（见附件4），根据意见书结论，不需要对土壤进行工程修复，但需对堆存的灰渣进行治理，建议按照《一般工业固体废物贮存和填埋污染控制标准》（GB 18599-2020）中对第II类一般工业固废的处理要求，在砂坑坑底及坑壁建设防渗工程，在此基础上将全部灰渣实施就地填埋。</w:t>
      </w:r>
    </w:p>
    <w:p>
      <w:pPr>
        <w:pStyle w:val="5"/>
        <w:rPr>
          <w:color w:val="auto"/>
          <w:highlight w:val="none"/>
        </w:rPr>
      </w:pPr>
      <w:bookmarkStart w:id="15" w:name="_Toc18945"/>
      <w:r>
        <w:rPr>
          <w:rFonts w:hint="eastAsia"/>
          <w:color w:val="auto"/>
          <w:highlight w:val="none"/>
          <w:lang w:val="en-US" w:eastAsia="zh-CN"/>
        </w:rPr>
        <w:t>项目特点</w:t>
      </w:r>
      <w:bookmarkEnd w:id="15"/>
    </w:p>
    <w:p>
      <w:pPr>
        <w:pStyle w:val="4"/>
        <w:rPr>
          <w:rFonts w:hint="default" w:cs="Times New Roman"/>
          <w:color w:val="auto"/>
          <w:sz w:val="24"/>
          <w:highlight w:val="none"/>
          <w:lang w:val="en-US" w:eastAsia="zh-CN"/>
        </w:rPr>
      </w:pPr>
      <w:r>
        <w:rPr>
          <w:rFonts w:hint="eastAsia"/>
          <w:sz w:val="24"/>
          <w:szCs w:val="24"/>
          <w:lang w:val="en-US" w:eastAsia="zh-CN"/>
        </w:rPr>
        <w:t>本项目以治理本次非法倾倒的粉煤灰和炉渣为目的，</w:t>
      </w:r>
      <w:r>
        <w:rPr>
          <w:rFonts w:hint="eastAsia"/>
          <w:color w:val="auto"/>
          <w:sz w:val="24"/>
          <w:highlight w:val="none"/>
          <w:lang w:val="en-US" w:eastAsia="zh-CN"/>
        </w:rPr>
        <w:t>根据周围地形条件，建设坑底和坡面防渗层，将非法倾倒的灰渣就地回填采砂坑</w:t>
      </w:r>
      <w:r>
        <w:rPr>
          <w:rFonts w:hint="eastAsia" w:ascii="Times New Roman" w:hAnsi="Times New Roman" w:cs="Times New Roman"/>
          <w:color w:val="auto"/>
          <w:sz w:val="24"/>
          <w:highlight w:val="none"/>
          <w:lang w:val="en-US" w:eastAsia="zh-CN"/>
        </w:rPr>
        <w:t>。</w:t>
      </w:r>
      <w:r>
        <w:rPr>
          <w:rFonts w:hint="eastAsia" w:cs="Times New Roman"/>
          <w:color w:val="FF0000"/>
          <w:sz w:val="24"/>
          <w:highlight w:val="none"/>
          <w:lang w:val="en-US" w:eastAsia="zh-CN"/>
        </w:rPr>
        <w:t>本项目拟治理的场地位于原奇台县天山砂石料厂采矿坑内，采矿坑现状没有进行填埋，倾倒的粉煤灰位于整个坑底的东北侧区域，堆放高度靠近坑壁处与坑口高度基本一致，坑壁向内呈斜坡状。</w:t>
      </w:r>
    </w:p>
    <w:p>
      <w:pPr>
        <w:pStyle w:val="4"/>
        <w:bidi w:val="0"/>
        <w:rPr>
          <w:rFonts w:hint="default"/>
          <w:color w:val="FF0000"/>
          <w:sz w:val="24"/>
          <w:szCs w:val="24"/>
          <w:lang w:val="en-US" w:eastAsia="zh-CN"/>
        </w:rPr>
      </w:pPr>
      <w:r>
        <w:rPr>
          <w:rFonts w:hint="eastAsia"/>
          <w:color w:val="FF0000"/>
          <w:sz w:val="24"/>
          <w:szCs w:val="24"/>
          <w:lang w:val="en-US" w:eastAsia="zh-CN"/>
        </w:rPr>
        <w:t>本项目填埋量小（约1.7万m</w:t>
      </w:r>
      <w:r>
        <w:rPr>
          <w:rFonts w:hint="eastAsia"/>
          <w:color w:val="FF0000"/>
          <w:sz w:val="24"/>
          <w:szCs w:val="24"/>
          <w:vertAlign w:val="superscript"/>
          <w:lang w:val="en-US" w:eastAsia="zh-CN"/>
        </w:rPr>
        <w:t>3</w:t>
      </w:r>
      <w:r>
        <w:rPr>
          <w:rFonts w:hint="eastAsia"/>
          <w:color w:val="FF0000"/>
          <w:sz w:val="24"/>
          <w:szCs w:val="24"/>
          <w:lang w:val="en-US" w:eastAsia="zh-CN"/>
        </w:rPr>
        <w:t>），治理工期短（2个月），根据《一般工业固体废物贮存和填埋污染控制标准》（GB158599-2020）以及本项目特点，可定义本项目属于</w:t>
      </w:r>
      <w:r>
        <w:rPr>
          <w:rFonts w:hint="default" w:ascii="Times New Roman" w:hAnsi="Times New Roman" w:cs="Times New Roman"/>
          <w:color w:val="FF0000"/>
          <w:sz w:val="24"/>
          <w:szCs w:val="24"/>
          <w:lang w:val="en-US" w:eastAsia="zh-CN"/>
        </w:rPr>
        <w:t>Ⅱ</w:t>
      </w:r>
      <w:r>
        <w:rPr>
          <w:rFonts w:hint="eastAsia" w:ascii="Times New Roman" w:hAnsi="Times New Roman" w:cs="Times New Roman"/>
          <w:color w:val="FF0000"/>
          <w:sz w:val="24"/>
          <w:szCs w:val="24"/>
          <w:lang w:val="en-US" w:eastAsia="zh-CN"/>
        </w:rPr>
        <w:t>类一般工业固体废物的回填项目，应执行</w:t>
      </w:r>
      <w:r>
        <w:rPr>
          <w:rFonts w:hint="eastAsia"/>
          <w:color w:val="FF0000"/>
          <w:sz w:val="24"/>
          <w:szCs w:val="24"/>
          <w:lang w:val="en-US" w:eastAsia="zh-CN"/>
        </w:rPr>
        <w:t>GB158599-2020中“8、充填及回填利用污染控制要求”，</w:t>
      </w:r>
      <w:r>
        <w:rPr>
          <w:rFonts w:hint="eastAsia" w:ascii="Times New Roman" w:hAnsi="Times New Roman" w:cs="Times New Roman"/>
          <w:color w:val="FF0000"/>
          <w:sz w:val="24"/>
          <w:szCs w:val="24"/>
          <w:lang w:val="en-US" w:eastAsia="zh-CN"/>
        </w:rPr>
        <w:t>同时满足非法倾倒灰渣的治理要求即可，不再按</w:t>
      </w:r>
      <w:r>
        <w:rPr>
          <w:rFonts w:hint="default" w:ascii="Times New Roman" w:hAnsi="Times New Roman" w:cs="Times New Roman"/>
          <w:color w:val="FF0000"/>
          <w:sz w:val="24"/>
          <w:szCs w:val="24"/>
          <w:lang w:val="en-US" w:eastAsia="zh-CN"/>
        </w:rPr>
        <w:t>Ⅱ</w:t>
      </w:r>
      <w:r>
        <w:rPr>
          <w:rFonts w:hint="eastAsia"/>
          <w:color w:val="FF0000"/>
          <w:sz w:val="24"/>
          <w:szCs w:val="24"/>
          <w:lang w:val="en-US" w:eastAsia="zh-CN"/>
        </w:rPr>
        <w:t>类场建设渗滤液导排及收集系统。</w:t>
      </w:r>
    </w:p>
    <w:p>
      <w:pPr>
        <w:pStyle w:val="4"/>
        <w:bidi w:val="0"/>
        <w:rPr>
          <w:rFonts w:hint="eastAsia"/>
          <w:color w:val="FF0000"/>
          <w:sz w:val="24"/>
          <w:szCs w:val="24"/>
          <w:lang w:val="en-US" w:eastAsia="zh-CN"/>
        </w:rPr>
      </w:pPr>
      <w:r>
        <w:rPr>
          <w:rFonts w:hint="eastAsia"/>
          <w:color w:val="FF0000"/>
          <w:sz w:val="24"/>
          <w:szCs w:val="24"/>
          <w:lang w:val="en-US" w:eastAsia="zh-CN"/>
        </w:rPr>
        <w:t>根据GB158599-2020中“8、充填及回填利用污染控制要求”，回填作业前应开展环境本底调查，并进行环境风险评估。本项目按以上要求开展了环境本底调查，委托新疆博奇清新环境检测有限公司进行了土壤监测（根据区域地下水埋深条件，即当地地下水埋深约95m，大于15m，因此未对地下水进行本底调查）。检测报告见附件6。本项目未开展环境风险评估，但为防止可能出现的土壤、地下水环境风险事件，不对粉煤灰和炉渣进行直接回填，而是按</w:t>
      </w:r>
      <w:r>
        <w:rPr>
          <w:rFonts w:hint="default" w:ascii="Times New Roman" w:hAnsi="Times New Roman" w:cs="Times New Roman"/>
          <w:color w:val="FF0000"/>
          <w:sz w:val="24"/>
          <w:szCs w:val="24"/>
          <w:lang w:val="en-US" w:eastAsia="zh-CN"/>
        </w:rPr>
        <w:t>Ⅱ</w:t>
      </w:r>
      <w:r>
        <w:rPr>
          <w:rFonts w:hint="eastAsia"/>
          <w:color w:val="FF0000"/>
          <w:sz w:val="24"/>
          <w:szCs w:val="24"/>
          <w:lang w:val="en-US" w:eastAsia="zh-CN"/>
        </w:rPr>
        <w:t>类填埋场防渗要求，对库底和边坡进行防渗，确保环境风险在可控范围内。本次环评已在地下水和环评风险章节对可能产生的环境风险进行了预测分析，并提出了相关的风险防控措施，可起到环境风险评估的作用。</w:t>
      </w:r>
    </w:p>
    <w:p>
      <w:pPr>
        <w:pStyle w:val="4"/>
        <w:bidi w:val="0"/>
        <w:rPr>
          <w:rFonts w:hint="default"/>
          <w:color w:val="FF0000"/>
          <w:sz w:val="24"/>
          <w:szCs w:val="24"/>
          <w:lang w:val="en-US" w:eastAsia="zh-CN"/>
        </w:rPr>
      </w:pPr>
      <w:r>
        <w:rPr>
          <w:rFonts w:hint="eastAsia"/>
          <w:color w:val="FF0000"/>
          <w:sz w:val="24"/>
          <w:szCs w:val="24"/>
          <w:lang w:val="en-US" w:eastAsia="zh-CN"/>
        </w:rPr>
        <w:t>本次灰渣倾倒的采砂坑位于</w:t>
      </w:r>
      <w:r>
        <w:rPr>
          <w:rFonts w:hint="eastAsia" w:cs="Times New Roman"/>
          <w:color w:val="FF0000"/>
          <w:highlight w:val="none"/>
          <w:lang w:val="en-US" w:eastAsia="zh-CN"/>
        </w:rPr>
        <w:t>原奇台县天山砂石料厂采矿范围内，现状采坑已停产，开采平均深度约23m，由于本次以现状灰渣治理为目的，回填后坑底标高仅上升约0.75m，建议本次灰渣治理工作结束后，该采坑即按照</w:t>
      </w:r>
      <w:r>
        <w:rPr>
          <w:rFonts w:hint="eastAsia"/>
          <w:color w:val="FF0000"/>
          <w:sz w:val="24"/>
          <w:szCs w:val="24"/>
          <w:lang w:val="en-US" w:eastAsia="zh-CN"/>
        </w:rPr>
        <w:t>《一般工业固体废物贮存和填埋污染控制标准》（GB158599-2020）进行生态恢复治理。</w:t>
      </w:r>
    </w:p>
    <w:p>
      <w:pPr>
        <w:pStyle w:val="5"/>
        <w:rPr>
          <w:color w:val="auto"/>
          <w:highlight w:val="none"/>
        </w:rPr>
      </w:pPr>
      <w:bookmarkStart w:id="16" w:name="_Toc28689"/>
      <w:bookmarkStart w:id="17" w:name="_Toc26455"/>
      <w:r>
        <w:rPr>
          <w:rFonts w:hint="eastAsia"/>
          <w:color w:val="auto"/>
          <w:highlight w:val="none"/>
          <w:lang w:val="en-US" w:eastAsia="zh-CN"/>
        </w:rPr>
        <w:t>环境影响评价工作过程</w:t>
      </w:r>
      <w:bookmarkEnd w:id="16"/>
      <w:bookmarkEnd w:id="17"/>
    </w:p>
    <w:p>
      <w:pPr>
        <w:pStyle w:val="4"/>
        <w:ind w:firstLine="480"/>
        <w:rPr>
          <w:rFonts w:hint="eastAsia" w:eastAsia="宋体"/>
          <w:color w:val="auto"/>
          <w:highlight w:val="none"/>
          <w:lang w:eastAsia="zh-CN"/>
        </w:rPr>
      </w:pPr>
      <w:r>
        <w:rPr>
          <w:rFonts w:hint="eastAsia"/>
          <w:color w:val="auto"/>
          <w:highlight w:val="none"/>
        </w:rPr>
        <w:t>根据《中华人民共和国环境保护法》</w:t>
      </w:r>
      <w:r>
        <w:rPr>
          <w:rFonts w:hint="eastAsia"/>
          <w:color w:val="auto"/>
          <w:highlight w:val="none"/>
          <w:lang w:eastAsia="zh-CN"/>
        </w:rPr>
        <w:t>（</w:t>
      </w:r>
      <w:r>
        <w:rPr>
          <w:color w:val="auto"/>
          <w:highlight w:val="none"/>
        </w:rPr>
        <w:t>2015</w:t>
      </w:r>
      <w:r>
        <w:rPr>
          <w:rFonts w:hint="eastAsia"/>
          <w:color w:val="auto"/>
          <w:highlight w:val="none"/>
        </w:rPr>
        <w:t>年</w:t>
      </w:r>
      <w:r>
        <w:rPr>
          <w:color w:val="auto"/>
          <w:highlight w:val="none"/>
        </w:rPr>
        <w:t>1</w:t>
      </w:r>
      <w:r>
        <w:rPr>
          <w:rFonts w:hint="eastAsia"/>
          <w:color w:val="auto"/>
          <w:highlight w:val="none"/>
        </w:rPr>
        <w:t>月</w:t>
      </w:r>
      <w:r>
        <w:rPr>
          <w:color w:val="auto"/>
          <w:highlight w:val="none"/>
        </w:rPr>
        <w:t>1</w:t>
      </w:r>
      <w:r>
        <w:rPr>
          <w:rFonts w:hint="eastAsia"/>
          <w:color w:val="auto"/>
          <w:highlight w:val="none"/>
        </w:rPr>
        <w:t>日</w:t>
      </w:r>
      <w:r>
        <w:rPr>
          <w:rFonts w:hint="eastAsia"/>
          <w:color w:val="auto"/>
          <w:highlight w:val="none"/>
          <w:lang w:eastAsia="zh-CN"/>
        </w:rPr>
        <w:t>）</w:t>
      </w:r>
      <w:r>
        <w:rPr>
          <w:rFonts w:hint="eastAsia"/>
          <w:color w:val="auto"/>
          <w:highlight w:val="none"/>
        </w:rPr>
        <w:t>、《中华人民共和国环境影响评价法》（</w:t>
      </w:r>
      <w:r>
        <w:rPr>
          <w:color w:val="auto"/>
          <w:highlight w:val="none"/>
        </w:rPr>
        <w:t>201</w:t>
      </w:r>
      <w:r>
        <w:rPr>
          <w:rFonts w:hint="eastAsia"/>
          <w:color w:val="auto"/>
          <w:highlight w:val="none"/>
        </w:rPr>
        <w:t>8年12月29日）、《建设项目环境保护管理条例》（</w:t>
      </w:r>
      <w:r>
        <w:rPr>
          <w:rFonts w:hint="eastAsia"/>
          <w:color w:val="auto"/>
          <w:highlight w:val="none"/>
          <w:lang w:val="en-US" w:eastAsia="zh-CN"/>
        </w:rPr>
        <w:t>2017年10月1日</w:t>
      </w:r>
      <w:r>
        <w:rPr>
          <w:rFonts w:hint="eastAsia"/>
          <w:color w:val="auto"/>
          <w:highlight w:val="none"/>
        </w:rPr>
        <w:t>）、《建设项目环境影响评价分类管理名录</w:t>
      </w:r>
      <w:r>
        <w:rPr>
          <w:rFonts w:hint="eastAsia"/>
          <w:color w:val="auto"/>
          <w:highlight w:val="none"/>
          <w:lang w:eastAsia="zh-CN"/>
        </w:rPr>
        <w:t>（</w:t>
      </w:r>
      <w:r>
        <w:rPr>
          <w:rFonts w:hint="eastAsia"/>
          <w:color w:val="auto"/>
          <w:highlight w:val="none"/>
          <w:lang w:val="en-US" w:eastAsia="zh-CN"/>
        </w:rPr>
        <w:t>2021年版）</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2021年1月1日）</w:t>
      </w:r>
      <w:r>
        <w:rPr>
          <w:rFonts w:hint="eastAsia"/>
          <w:color w:val="auto"/>
          <w:highlight w:val="none"/>
        </w:rPr>
        <w:t>的有关规定，本项目</w:t>
      </w:r>
      <w:r>
        <w:rPr>
          <w:rFonts w:hint="eastAsia"/>
          <w:color w:val="auto"/>
          <w:highlight w:val="none"/>
          <w:lang w:val="en-US" w:eastAsia="zh-CN"/>
        </w:rPr>
        <w:t>属</w:t>
      </w:r>
      <w:r>
        <w:rPr>
          <w:rFonts w:hint="eastAsia"/>
          <w:color w:val="auto"/>
          <w:highlight w:val="none"/>
          <w:shd w:val="clear"/>
          <w:lang w:val="en-US" w:eastAsia="zh-CN"/>
        </w:rPr>
        <w:t>于</w:t>
      </w:r>
      <w:r>
        <w:rPr>
          <w:rFonts w:hint="eastAsia"/>
          <w:color w:val="auto"/>
          <w:highlight w:val="none"/>
          <w:shd w:val="clear"/>
        </w:rPr>
        <w:t>“</w:t>
      </w:r>
      <w:r>
        <w:rPr>
          <w:rFonts w:hint="eastAsia"/>
          <w:color w:val="auto"/>
          <w:highlight w:val="none"/>
          <w:shd w:val="clear"/>
          <w:lang w:val="en-US" w:eastAsia="zh-CN"/>
        </w:rPr>
        <w:t>四十七、生态保护和环境治理业——103一般工业固体废物（含污水处理污泥）、建筑施工废弃物处置及综合利用——一般工业固体废物（含污水处理污泥）采取填埋、焚烧（水泥窑协同处置的改造项目除外）方式的”类别</w:t>
      </w:r>
      <w:r>
        <w:rPr>
          <w:rFonts w:hint="eastAsia"/>
          <w:color w:val="auto"/>
          <w:highlight w:val="none"/>
        </w:rPr>
        <w:t>，</w:t>
      </w:r>
      <w:r>
        <w:rPr>
          <w:rFonts w:hint="eastAsia"/>
          <w:color w:val="auto"/>
          <w:highlight w:val="none"/>
          <w:lang w:val="en-US" w:eastAsia="zh-CN"/>
        </w:rPr>
        <w:t>应</w:t>
      </w:r>
      <w:r>
        <w:rPr>
          <w:rFonts w:hint="eastAsia"/>
          <w:color w:val="auto"/>
          <w:highlight w:val="none"/>
        </w:rPr>
        <w:t>编制环境影响报告书。</w:t>
      </w:r>
      <w:r>
        <w:rPr>
          <w:color w:val="auto"/>
          <w:highlight w:val="none"/>
        </w:rPr>
        <w:t>为此，</w:t>
      </w:r>
      <w:r>
        <w:rPr>
          <w:rFonts w:hint="eastAsia"/>
          <w:color w:val="auto"/>
          <w:highlight w:val="none"/>
          <w:lang w:eastAsia="zh-CN"/>
        </w:rPr>
        <w:t>奇台县瑞丰商贸有限公司</w:t>
      </w:r>
      <w:r>
        <w:rPr>
          <w:color w:val="auto"/>
          <w:highlight w:val="none"/>
        </w:rPr>
        <w:t>于</w:t>
      </w:r>
      <w:r>
        <w:rPr>
          <w:rFonts w:hint="eastAsia"/>
          <w:color w:val="auto"/>
          <w:highlight w:val="none"/>
          <w:lang w:val="en-US" w:eastAsia="zh-CN"/>
        </w:rPr>
        <w:t>2021</w:t>
      </w:r>
      <w:r>
        <w:rPr>
          <w:color w:val="auto"/>
          <w:highlight w:val="none"/>
        </w:rPr>
        <w:t>年</w:t>
      </w:r>
      <w:r>
        <w:rPr>
          <w:rFonts w:hint="eastAsia"/>
          <w:color w:val="auto"/>
          <w:highlight w:val="none"/>
          <w:lang w:val="en-US" w:eastAsia="zh-CN"/>
        </w:rPr>
        <w:t>10</w:t>
      </w:r>
      <w:r>
        <w:rPr>
          <w:color w:val="auto"/>
          <w:highlight w:val="none"/>
        </w:rPr>
        <w:t>月委托</w:t>
      </w:r>
      <w:r>
        <w:rPr>
          <w:rFonts w:hint="eastAsia"/>
          <w:color w:val="auto"/>
          <w:highlight w:val="none"/>
          <w:lang w:eastAsia="zh-CN"/>
        </w:rPr>
        <w:t>新疆天蓝蓝环保技术服务有限公司</w:t>
      </w:r>
      <w:r>
        <w:rPr>
          <w:color w:val="auto"/>
          <w:highlight w:val="none"/>
        </w:rPr>
        <w:t>承担</w:t>
      </w:r>
      <w:r>
        <w:rPr>
          <w:rFonts w:hint="eastAsia"/>
          <w:color w:val="auto"/>
          <w:highlight w:val="none"/>
        </w:rPr>
        <w:t>“</w:t>
      </w:r>
      <w:r>
        <w:rPr>
          <w:rFonts w:hint="eastAsia"/>
          <w:color w:val="auto"/>
          <w:highlight w:val="none"/>
          <w:lang w:val="en-US" w:eastAsia="zh-CN"/>
        </w:rPr>
        <w:t>灰渣倾倒场地治理项目</w:t>
      </w:r>
      <w:r>
        <w:rPr>
          <w:rFonts w:hint="eastAsia"/>
          <w:color w:val="auto"/>
          <w:highlight w:val="none"/>
        </w:rPr>
        <w:t>”</w:t>
      </w:r>
      <w:r>
        <w:rPr>
          <w:color w:val="auto"/>
          <w:highlight w:val="none"/>
        </w:rPr>
        <w:t>的环境影响评价工作</w:t>
      </w:r>
      <w:r>
        <w:rPr>
          <w:rFonts w:hint="eastAsia"/>
          <w:color w:val="auto"/>
          <w:highlight w:val="none"/>
          <w:lang w:eastAsia="zh-CN"/>
        </w:rPr>
        <w:t>（</w:t>
      </w:r>
      <w:r>
        <w:rPr>
          <w:rFonts w:hint="eastAsia"/>
          <w:color w:val="auto"/>
          <w:highlight w:val="none"/>
          <w:lang w:val="en-US" w:eastAsia="zh-CN"/>
        </w:rPr>
        <w:t>委托书见附件2）</w:t>
      </w:r>
      <w:r>
        <w:rPr>
          <w:color w:val="auto"/>
          <w:highlight w:val="none"/>
        </w:rPr>
        <w:t>。接受委托后，评价单位</w:t>
      </w:r>
      <w:r>
        <w:rPr>
          <w:rFonts w:hint="eastAsia"/>
          <w:color w:val="auto"/>
          <w:highlight w:val="none"/>
          <w:lang w:val="en-US" w:eastAsia="zh-CN"/>
        </w:rPr>
        <w:t>按照环境影响评价的有关工作程序，</w:t>
      </w:r>
      <w:r>
        <w:rPr>
          <w:color w:val="auto"/>
          <w:highlight w:val="none"/>
        </w:rPr>
        <w:t>组织</w:t>
      </w:r>
      <w:r>
        <w:rPr>
          <w:rFonts w:hint="eastAsia"/>
          <w:color w:val="auto"/>
          <w:highlight w:val="none"/>
          <w:lang w:val="en-US" w:eastAsia="zh-CN"/>
        </w:rPr>
        <w:t>专业</w:t>
      </w:r>
      <w:r>
        <w:rPr>
          <w:color w:val="auto"/>
          <w:highlight w:val="none"/>
        </w:rPr>
        <w:t>技术人员</w:t>
      </w:r>
      <w:r>
        <w:rPr>
          <w:rFonts w:hint="eastAsia"/>
          <w:color w:val="auto"/>
          <w:highlight w:val="none"/>
          <w:lang w:eastAsia="zh-CN"/>
        </w:rPr>
        <w:t>，</w:t>
      </w:r>
      <w:r>
        <w:rPr>
          <w:color w:val="auto"/>
          <w:highlight w:val="none"/>
        </w:rPr>
        <w:t>对</w:t>
      </w:r>
      <w:r>
        <w:rPr>
          <w:rFonts w:hint="eastAsia"/>
          <w:color w:val="auto"/>
          <w:highlight w:val="none"/>
          <w:lang w:val="en-US" w:eastAsia="zh-CN"/>
        </w:rPr>
        <w:t>项目区</w:t>
      </w:r>
      <w:r>
        <w:rPr>
          <w:color w:val="auto"/>
          <w:highlight w:val="none"/>
        </w:rPr>
        <w:t>及周</w:t>
      </w:r>
      <w:r>
        <w:rPr>
          <w:rFonts w:hint="eastAsia"/>
          <w:color w:val="auto"/>
          <w:highlight w:val="none"/>
          <w:lang w:val="en-US" w:eastAsia="zh-CN"/>
        </w:rPr>
        <w:t>边</w:t>
      </w:r>
      <w:r>
        <w:rPr>
          <w:color w:val="auto"/>
          <w:highlight w:val="none"/>
        </w:rPr>
        <w:t>环境进行了详细踏勘，搜集了与工程有关的技术资料，</w:t>
      </w:r>
      <w:r>
        <w:rPr>
          <w:rFonts w:hint="eastAsia"/>
          <w:color w:val="auto"/>
          <w:highlight w:val="none"/>
          <w:lang w:val="en-US" w:eastAsia="zh-CN"/>
        </w:rPr>
        <w:t>在现状调查与监测、工程分析的基础上，根据各环境要素评价等级要求开展了环境影响预测与评价，提出了相应的环境保护措施与监测方案，</w:t>
      </w:r>
      <w:r>
        <w:rPr>
          <w:color w:val="auto"/>
          <w:highlight w:val="none"/>
        </w:rPr>
        <w:t>编制完成了本项目</w:t>
      </w:r>
      <w:r>
        <w:rPr>
          <w:rFonts w:hint="eastAsia"/>
          <w:color w:val="auto"/>
          <w:highlight w:val="none"/>
          <w:lang w:val="en-US" w:eastAsia="zh-CN"/>
        </w:rPr>
        <w:t>的</w:t>
      </w:r>
      <w:r>
        <w:rPr>
          <w:color w:val="auto"/>
          <w:highlight w:val="none"/>
        </w:rPr>
        <w:t>环境影响报告书</w:t>
      </w:r>
      <w:r>
        <w:rPr>
          <w:rFonts w:hint="eastAsia"/>
          <w:color w:val="auto"/>
          <w:highlight w:val="none"/>
          <w:lang w:eastAsia="zh-CN"/>
        </w:rPr>
        <w:t>，</w:t>
      </w:r>
      <w:r>
        <w:rPr>
          <w:rFonts w:hint="eastAsia" w:hAnsi="宋体"/>
          <w:color w:val="auto"/>
          <w:sz w:val="24"/>
          <w:highlight w:val="none"/>
        </w:rPr>
        <w:t>报告书</w:t>
      </w:r>
      <w:r>
        <w:rPr>
          <w:rFonts w:hAnsi="宋体"/>
          <w:color w:val="auto"/>
          <w:sz w:val="24"/>
          <w:highlight w:val="none"/>
        </w:rPr>
        <w:t>经生态环境主管部门审批后将作为</w:t>
      </w:r>
      <w:r>
        <w:rPr>
          <w:rFonts w:hint="eastAsia" w:hAnsi="宋体"/>
          <w:color w:val="auto"/>
          <w:sz w:val="24"/>
          <w:highlight w:val="none"/>
          <w:lang w:val="en-US" w:eastAsia="zh-CN"/>
        </w:rPr>
        <w:t>本次灰渣治理项目</w:t>
      </w:r>
      <w:r>
        <w:rPr>
          <w:rFonts w:hAnsi="宋体"/>
          <w:color w:val="auto"/>
          <w:sz w:val="24"/>
          <w:highlight w:val="none"/>
        </w:rPr>
        <w:t>环境</w:t>
      </w:r>
      <w:r>
        <w:rPr>
          <w:rFonts w:hint="eastAsia" w:hAnsi="宋体"/>
          <w:color w:val="auto"/>
          <w:sz w:val="24"/>
          <w:highlight w:val="none"/>
        </w:rPr>
        <w:t>管理</w:t>
      </w:r>
      <w:r>
        <w:rPr>
          <w:rFonts w:hAnsi="宋体"/>
          <w:color w:val="auto"/>
          <w:sz w:val="24"/>
          <w:highlight w:val="none"/>
        </w:rPr>
        <w:t>的依据。</w:t>
      </w:r>
    </w:p>
    <w:p>
      <w:pPr>
        <w:pStyle w:val="4"/>
        <w:ind w:firstLine="480"/>
        <w:rPr>
          <w:color w:val="auto"/>
          <w:highlight w:val="none"/>
        </w:rPr>
      </w:pPr>
      <w:r>
        <w:rPr>
          <w:rFonts w:hint="eastAsia"/>
          <w:color w:val="auto"/>
          <w:highlight w:val="none"/>
        </w:rPr>
        <w:t>环境影响评价工作分为三个阶段，即调查分析和工作方案制定阶段，分析论证和预测评价阶段，环境影响报告书（表）编制阶段。</w:t>
      </w:r>
      <w:r>
        <w:rPr>
          <w:color w:val="auto"/>
          <w:highlight w:val="none"/>
        </w:rPr>
        <w:t>环境影响评价的</w:t>
      </w:r>
      <w:r>
        <w:rPr>
          <w:rFonts w:hint="eastAsia"/>
          <w:color w:val="auto"/>
          <w:highlight w:val="none"/>
          <w:lang w:val="en-US" w:eastAsia="zh-CN"/>
        </w:rPr>
        <w:t>具体</w:t>
      </w:r>
      <w:r>
        <w:rPr>
          <w:color w:val="auto"/>
          <w:highlight w:val="none"/>
        </w:rPr>
        <w:t>工作程序见</w:t>
      </w:r>
      <w:r>
        <w:rPr>
          <w:rFonts w:hint="eastAsia"/>
          <w:color w:val="auto"/>
          <w:highlight w:val="none"/>
        </w:rPr>
        <w:t>下</w:t>
      </w:r>
      <w:r>
        <w:rPr>
          <w:color w:val="auto"/>
          <w:highlight w:val="none"/>
        </w:rPr>
        <w:t>图</w:t>
      </w:r>
      <w:r>
        <w:rPr>
          <w:rFonts w:hint="eastAsia"/>
          <w:color w:val="auto"/>
          <w:highlight w:val="none"/>
        </w:rPr>
        <w:t>：</w:t>
      </w:r>
    </w:p>
    <w:p>
      <w:pPr>
        <w:pStyle w:val="4"/>
        <w:ind w:firstLine="0" w:firstLineChars="0"/>
        <w:rPr>
          <w:color w:val="auto"/>
          <w:highlight w:val="none"/>
        </w:rPr>
      </w:pPr>
      <w:r>
        <w:rPr>
          <w:color w:val="auto"/>
          <w:highlight w:val="none"/>
        </w:rPr>
        <w:drawing>
          <wp:inline distT="0" distB="0" distL="114300" distR="114300">
            <wp:extent cx="5294630" cy="5074285"/>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94630" cy="5074285"/>
                    </a:xfrm>
                    <a:prstGeom prst="rect">
                      <a:avLst/>
                    </a:prstGeom>
                    <a:noFill/>
                    <a:ln>
                      <a:noFill/>
                    </a:ln>
                  </pic:spPr>
                </pic:pic>
              </a:graphicData>
            </a:graphic>
          </wp:inline>
        </w:drawing>
      </w:r>
    </w:p>
    <w:p>
      <w:pPr>
        <w:pStyle w:val="22"/>
        <w:bidi w:val="0"/>
      </w:pPr>
      <w:r>
        <w:rPr>
          <w:rFonts w:hint="eastAsia"/>
        </w:rPr>
        <w:t>图</w:t>
      </w:r>
      <w:r>
        <w:rPr>
          <w:rFonts w:hint="eastAsia"/>
          <w:lang w:val="en-US" w:eastAsia="zh-CN"/>
        </w:rPr>
        <w:t xml:space="preserve">1.2-1 </w:t>
      </w:r>
      <w:r>
        <w:rPr>
          <w:rFonts w:hint="eastAsia"/>
        </w:rPr>
        <w:t xml:space="preserve">  环境影响评价工作程序图</w:t>
      </w:r>
    </w:p>
    <w:p>
      <w:pPr>
        <w:pStyle w:val="5"/>
        <w:rPr>
          <w:rFonts w:hint="eastAsia"/>
          <w:color w:val="auto"/>
          <w:highlight w:val="none"/>
        </w:rPr>
      </w:pPr>
      <w:bookmarkStart w:id="18" w:name="_Toc32402"/>
      <w:bookmarkStart w:id="19" w:name="_Toc12684"/>
      <w:r>
        <w:rPr>
          <w:rFonts w:hint="eastAsia"/>
          <w:color w:val="auto"/>
          <w:highlight w:val="none"/>
          <w:lang w:val="en-US" w:eastAsia="zh-CN"/>
        </w:rPr>
        <w:t>分析判定相关情况</w:t>
      </w:r>
      <w:bookmarkEnd w:id="18"/>
      <w:bookmarkEnd w:id="19"/>
    </w:p>
    <w:p>
      <w:pPr>
        <w:pStyle w:val="6"/>
        <w:bidi w:val="0"/>
        <w:rPr>
          <w:rFonts w:hint="eastAsia"/>
          <w:color w:val="auto"/>
          <w:highlight w:val="none"/>
        </w:rPr>
      </w:pPr>
      <w:r>
        <w:rPr>
          <w:rFonts w:hint="eastAsia"/>
          <w:color w:val="auto"/>
          <w:highlight w:val="none"/>
          <w:lang w:val="en-US" w:eastAsia="zh-CN"/>
        </w:rPr>
        <w:t>法律法规相符性</w:t>
      </w:r>
    </w:p>
    <w:p>
      <w:pPr>
        <w:pStyle w:val="7"/>
        <w:bidi w:val="0"/>
        <w:rPr>
          <w:rFonts w:hint="eastAsia"/>
          <w:color w:val="FF0000"/>
          <w:highlight w:val="none"/>
        </w:rPr>
      </w:pPr>
      <w:r>
        <w:rPr>
          <w:rFonts w:hint="eastAsia"/>
          <w:color w:val="FF0000"/>
          <w:highlight w:val="none"/>
          <w:lang w:val="en-US" w:eastAsia="zh-CN"/>
        </w:rPr>
        <w:t>与《中华人民共和国固体废物污染环境防治法（2016最新修订版）》</w:t>
      </w:r>
      <w:r>
        <w:rPr>
          <w:rFonts w:hint="eastAsia"/>
          <w:color w:val="FF0000"/>
          <w:highlight w:val="none"/>
        </w:rPr>
        <w:t>符合性分析</w:t>
      </w:r>
    </w:p>
    <w:p>
      <w:pPr>
        <w:pStyle w:val="4"/>
        <w:rPr>
          <w:rFonts w:hint="eastAsia"/>
          <w:color w:val="FF0000"/>
          <w:highlight w:val="none"/>
        </w:rPr>
      </w:pPr>
      <w:r>
        <w:rPr>
          <w:rFonts w:hint="eastAsia"/>
          <w:color w:val="FF0000"/>
          <w:highlight w:val="none"/>
          <w:lang w:val="en-US" w:eastAsia="zh-CN"/>
        </w:rPr>
        <w:t>《中华人民共和国固体废物污染环境防治法（2016最新修订版）》</w:t>
      </w:r>
      <w:r>
        <w:rPr>
          <w:rFonts w:hint="eastAsia"/>
          <w:color w:val="FF0000"/>
          <w:highlight w:val="none"/>
        </w:rPr>
        <w:t>第五条</w:t>
      </w:r>
      <w:r>
        <w:rPr>
          <w:rFonts w:hint="eastAsia"/>
          <w:color w:val="FF0000"/>
          <w:highlight w:val="none"/>
          <w:lang w:val="en-US" w:eastAsia="zh-CN"/>
        </w:rPr>
        <w:t xml:space="preserve"> </w:t>
      </w:r>
      <w:r>
        <w:rPr>
          <w:rFonts w:hint="eastAsia"/>
          <w:color w:val="FF0000"/>
          <w:highlight w:val="none"/>
        </w:rPr>
        <w:t>国家对固体废物污染环境防治实行污染者依法负责的原则。产品的生产者、销售者、进口者、使用者对其产生的固体废物依法承担污染防治责任。</w:t>
      </w:r>
    </w:p>
    <w:p>
      <w:pPr>
        <w:pStyle w:val="4"/>
        <w:rPr>
          <w:rFonts w:hint="eastAsia"/>
          <w:color w:val="FF0000"/>
          <w:highlight w:val="none"/>
        </w:rPr>
      </w:pPr>
      <w:r>
        <w:rPr>
          <w:rFonts w:hint="eastAsia"/>
          <w:color w:val="FF0000"/>
          <w:highlight w:val="none"/>
        </w:rPr>
        <w:t>第十七条</w:t>
      </w:r>
      <w:r>
        <w:rPr>
          <w:rFonts w:hint="eastAsia"/>
          <w:color w:val="FF0000"/>
          <w:highlight w:val="none"/>
          <w:lang w:val="en-US" w:eastAsia="zh-CN"/>
        </w:rPr>
        <w:t xml:space="preserve"> </w:t>
      </w:r>
      <w:r>
        <w:rPr>
          <w:rFonts w:hint="eastAsia"/>
          <w:color w:val="FF0000"/>
          <w:highlight w:val="none"/>
        </w:rPr>
        <w:t>收集、贮存、运输、利用、处置固体废物的单位和个人，必须采取防扬散、防流失、防渗漏或者其他防止污染环境的措施；不得擅自倾倒、堆放、丢弃、遗撒固体废物。</w:t>
      </w:r>
    </w:p>
    <w:p>
      <w:pPr>
        <w:pStyle w:val="4"/>
        <w:rPr>
          <w:rFonts w:hint="eastAsia"/>
          <w:color w:val="FF0000"/>
          <w:highlight w:val="none"/>
          <w:lang w:val="en-US" w:eastAsia="zh-CN"/>
        </w:rPr>
      </w:pPr>
      <w:r>
        <w:rPr>
          <w:rFonts w:hint="eastAsia"/>
          <w:color w:val="FF0000"/>
          <w:highlight w:val="none"/>
          <w:lang w:val="en-US" w:eastAsia="zh-CN"/>
        </w:rPr>
        <w:t>本项目的建设单位属于非法处置委托其运输的固体废物，按照《防治法》要求，现对其违法行业进行整改，在填埋区建设防扬散、防流失和防渗漏设施，治理行为符合《中华人民共和国固体废物污染环境防治法（2016最新修订版）》要求。</w:t>
      </w:r>
    </w:p>
    <w:p>
      <w:pPr>
        <w:pStyle w:val="7"/>
        <w:bidi w:val="0"/>
        <w:rPr>
          <w:rFonts w:hint="eastAsia"/>
          <w:color w:val="FF0000"/>
          <w:highlight w:val="none"/>
        </w:rPr>
      </w:pPr>
      <w:r>
        <w:rPr>
          <w:rFonts w:hint="eastAsia"/>
          <w:color w:val="FF0000"/>
          <w:highlight w:val="none"/>
          <w:lang w:val="en-US" w:eastAsia="zh-CN"/>
        </w:rPr>
        <w:t>与《关于“十四五”大宗固体废弃物综合利用的指导意见</w:t>
      </w:r>
      <w:r>
        <w:rPr>
          <w:rFonts w:hint="eastAsia"/>
          <w:color w:val="FF0000"/>
          <w:highlight w:val="none"/>
        </w:rPr>
        <w:t>》（</w:t>
      </w:r>
      <w:r>
        <w:rPr>
          <w:rFonts w:hint="eastAsia"/>
          <w:color w:val="FF0000"/>
          <w:highlight w:val="none"/>
          <w:lang w:val="en-US" w:eastAsia="zh-CN"/>
        </w:rPr>
        <w:t>发改环资〔2021〕381号</w:t>
      </w:r>
      <w:r>
        <w:rPr>
          <w:rFonts w:hint="eastAsia"/>
          <w:color w:val="FF0000"/>
          <w:highlight w:val="none"/>
        </w:rPr>
        <w:t>）符合性分析</w:t>
      </w:r>
    </w:p>
    <w:p>
      <w:pPr>
        <w:pStyle w:val="4"/>
        <w:rPr>
          <w:rFonts w:hint="eastAsia"/>
          <w:color w:val="FF0000"/>
          <w:highlight w:val="none"/>
          <w:lang w:val="en-US" w:eastAsia="zh-CN"/>
        </w:rPr>
      </w:pPr>
      <w:r>
        <w:rPr>
          <w:rFonts w:hint="eastAsia"/>
          <w:color w:val="FF0000"/>
          <w:highlight w:val="none"/>
          <w:lang w:val="en-US" w:eastAsia="zh-CN"/>
        </w:rPr>
        <w:t>《关于“十四五”大宗固体废弃物综合利用的指导意见</w:t>
      </w:r>
      <w:r>
        <w:rPr>
          <w:rFonts w:hint="eastAsia"/>
          <w:color w:val="FF0000"/>
          <w:highlight w:val="none"/>
        </w:rPr>
        <w:t>》（</w:t>
      </w:r>
      <w:r>
        <w:rPr>
          <w:rFonts w:hint="eastAsia"/>
          <w:color w:val="FF0000"/>
          <w:highlight w:val="none"/>
          <w:lang w:val="en-US" w:eastAsia="zh-CN"/>
        </w:rPr>
        <w:t>发改环资〔2021〕381号</w:t>
      </w:r>
      <w:r>
        <w:rPr>
          <w:rFonts w:hint="eastAsia"/>
          <w:color w:val="FF0000"/>
          <w:highlight w:val="none"/>
        </w:rPr>
        <w:t>）</w:t>
      </w:r>
      <w:r>
        <w:rPr>
          <w:rFonts w:hint="eastAsia"/>
          <w:color w:val="FF0000"/>
          <w:highlight w:val="none"/>
          <w:lang w:val="en-US" w:eastAsia="zh-CN"/>
        </w:rPr>
        <w:t>指出：三、提高大宗固废资源利用效率……持续提高煤矸石和粉煤灰综合利用水平，推进煤矸石和粉煤灰在工程建设、塌陷区治理、矿井充填以及盐碱地、沙漠化土地生态修复等领域的利用……五、推动大宗固体废物综合利用创新发展……在矿山行业建立“梯级回收+生态修改+封存保护”体系，推动绿色矿山建设。</w:t>
      </w:r>
    </w:p>
    <w:p>
      <w:pPr>
        <w:pStyle w:val="4"/>
        <w:rPr>
          <w:rFonts w:hint="eastAsia"/>
          <w:color w:val="FF0000"/>
          <w:highlight w:val="none"/>
          <w:lang w:val="en-US" w:eastAsia="zh-CN"/>
        </w:rPr>
      </w:pPr>
      <w:r>
        <w:rPr>
          <w:rFonts w:hint="eastAsia"/>
          <w:color w:val="FF0000"/>
          <w:highlight w:val="none"/>
          <w:lang w:val="en-US" w:eastAsia="zh-CN"/>
        </w:rPr>
        <w:t>本项目利用的粉煤灰、炉渣填埋历史遗留采砂坑，可实现对一般工业固体废物进行综合利用，建设符合《关于“十四五”大宗固体废弃物综合利用的指导意见</w:t>
      </w:r>
      <w:r>
        <w:rPr>
          <w:rFonts w:hint="eastAsia"/>
          <w:color w:val="FF0000"/>
          <w:highlight w:val="none"/>
        </w:rPr>
        <w:t>》（</w:t>
      </w:r>
      <w:r>
        <w:rPr>
          <w:rFonts w:hint="eastAsia"/>
          <w:color w:val="FF0000"/>
          <w:highlight w:val="none"/>
          <w:lang w:val="en-US" w:eastAsia="zh-CN"/>
        </w:rPr>
        <w:t>发改环资〔2021〕381号</w:t>
      </w:r>
      <w:r>
        <w:rPr>
          <w:rFonts w:hint="eastAsia"/>
          <w:color w:val="FF0000"/>
          <w:highlight w:val="none"/>
        </w:rPr>
        <w:t>）</w:t>
      </w:r>
      <w:r>
        <w:rPr>
          <w:rFonts w:hint="eastAsia"/>
          <w:color w:val="FF0000"/>
          <w:highlight w:val="none"/>
          <w:lang w:val="en-US" w:eastAsia="zh-CN"/>
        </w:rPr>
        <w:t>指导思想。</w:t>
      </w:r>
    </w:p>
    <w:p>
      <w:pPr>
        <w:pStyle w:val="7"/>
        <w:bidi w:val="0"/>
        <w:rPr>
          <w:rFonts w:hint="eastAsia"/>
          <w:color w:val="auto"/>
          <w:highlight w:val="none"/>
        </w:rPr>
      </w:pPr>
      <w:r>
        <w:rPr>
          <w:rFonts w:hint="eastAsia"/>
          <w:color w:val="auto"/>
          <w:highlight w:val="none"/>
          <w:lang w:val="en-US" w:eastAsia="zh-CN"/>
        </w:rPr>
        <w:t>与《大宗固体废物综合利用实施方案》（国家发展和改革委员会）</w:t>
      </w:r>
      <w:r>
        <w:rPr>
          <w:rFonts w:hint="eastAsia"/>
          <w:color w:val="auto"/>
          <w:highlight w:val="none"/>
        </w:rPr>
        <w:t>符合性分析</w:t>
      </w:r>
    </w:p>
    <w:p>
      <w:pPr>
        <w:pStyle w:val="4"/>
        <w:rPr>
          <w:rFonts w:hint="eastAsia"/>
          <w:color w:val="auto"/>
          <w:highlight w:val="none"/>
          <w:lang w:val="en-US" w:eastAsia="zh-CN"/>
        </w:rPr>
      </w:pPr>
      <w:r>
        <w:rPr>
          <w:rFonts w:hint="eastAsia"/>
          <w:color w:val="auto"/>
          <w:highlight w:val="none"/>
          <w:lang w:val="en-US" w:eastAsia="zh-CN"/>
        </w:rPr>
        <w:t>《大宗固体废物综合利用实施方案》（国家发展和改革委员会）指出：近年来，随着我国燃煤电厂快速发展，粉煤灰产生量逐年增加……鼓励粉煤灰复垦、回填造地和生态利用。</w:t>
      </w:r>
    </w:p>
    <w:p>
      <w:pPr>
        <w:pStyle w:val="4"/>
        <w:rPr>
          <w:rFonts w:hint="default" w:eastAsia="宋体"/>
          <w:color w:val="auto"/>
          <w:highlight w:val="none"/>
          <w:lang w:val="en-US" w:eastAsia="zh-CN"/>
        </w:rPr>
      </w:pPr>
      <w:r>
        <w:rPr>
          <w:rFonts w:hint="eastAsia"/>
          <w:color w:val="auto"/>
          <w:highlight w:val="none"/>
        </w:rPr>
        <w:t>本项目</w:t>
      </w:r>
      <w:r>
        <w:rPr>
          <w:rFonts w:hint="eastAsia"/>
          <w:color w:val="auto"/>
          <w:highlight w:val="none"/>
          <w:lang w:val="en-US" w:eastAsia="zh-CN"/>
        </w:rPr>
        <w:t>可</w:t>
      </w:r>
      <w:r>
        <w:rPr>
          <w:rFonts w:hint="eastAsia"/>
          <w:color w:val="auto"/>
          <w:highlight w:val="none"/>
        </w:rPr>
        <w:t>对</w:t>
      </w:r>
      <w:r>
        <w:rPr>
          <w:rFonts w:hint="eastAsia"/>
          <w:color w:val="auto"/>
          <w:highlight w:val="none"/>
          <w:lang w:val="en-US" w:eastAsia="zh-CN"/>
        </w:rPr>
        <w:t>本次非法倾倒灰渣进行治理，利用现状倾倒的粉煤灰回填历史遗留采砂坑，建设符合《大宗固体废物综合利用实施方案》（国家发展和改革委员会）相关鼓励政策。</w:t>
      </w:r>
    </w:p>
    <w:p>
      <w:pPr>
        <w:pStyle w:val="7"/>
        <w:bidi w:val="0"/>
        <w:rPr>
          <w:rFonts w:hint="eastAsia"/>
          <w:color w:val="auto"/>
          <w:highlight w:val="none"/>
        </w:rPr>
      </w:pPr>
      <w:r>
        <w:rPr>
          <w:rFonts w:hint="eastAsia"/>
          <w:color w:val="auto"/>
          <w:highlight w:val="none"/>
          <w:lang w:val="en-US" w:eastAsia="zh-CN"/>
        </w:rPr>
        <w:t>与《关于“十四五”大宗固体废弃物综合利用的指导意见</w:t>
      </w:r>
      <w:r>
        <w:rPr>
          <w:rFonts w:hint="eastAsia"/>
          <w:color w:val="auto"/>
          <w:highlight w:val="none"/>
        </w:rPr>
        <w:t>》（</w:t>
      </w:r>
      <w:r>
        <w:rPr>
          <w:rFonts w:hint="eastAsia"/>
          <w:color w:val="auto"/>
          <w:highlight w:val="none"/>
          <w:lang w:val="en-US" w:eastAsia="zh-CN"/>
        </w:rPr>
        <w:t>发改环资〔2021〕381号</w:t>
      </w:r>
      <w:r>
        <w:rPr>
          <w:rFonts w:hint="eastAsia"/>
          <w:color w:val="auto"/>
          <w:highlight w:val="none"/>
        </w:rPr>
        <w:t>）符合性分析</w:t>
      </w:r>
    </w:p>
    <w:p>
      <w:pPr>
        <w:pStyle w:val="4"/>
        <w:rPr>
          <w:rFonts w:hint="eastAsia"/>
          <w:color w:val="auto"/>
          <w:highlight w:val="none"/>
          <w:lang w:val="en-US" w:eastAsia="zh-CN"/>
        </w:rPr>
      </w:pPr>
      <w:r>
        <w:rPr>
          <w:rFonts w:hint="eastAsia"/>
          <w:color w:val="auto"/>
          <w:highlight w:val="none"/>
          <w:lang w:val="en-US" w:eastAsia="zh-CN"/>
        </w:rPr>
        <w:t>《关于“十四五”大宗固体废弃物综合利用的指导意见</w:t>
      </w:r>
      <w:r>
        <w:rPr>
          <w:rFonts w:hint="eastAsia"/>
          <w:color w:val="auto"/>
          <w:highlight w:val="none"/>
        </w:rPr>
        <w:t>》（</w:t>
      </w:r>
      <w:r>
        <w:rPr>
          <w:rFonts w:hint="eastAsia"/>
          <w:color w:val="auto"/>
          <w:highlight w:val="none"/>
          <w:lang w:val="en-US" w:eastAsia="zh-CN"/>
        </w:rPr>
        <w:t>发改环资〔2021〕381号</w:t>
      </w:r>
      <w:r>
        <w:rPr>
          <w:rFonts w:hint="eastAsia"/>
          <w:color w:val="auto"/>
          <w:highlight w:val="none"/>
        </w:rPr>
        <w:t>）</w:t>
      </w:r>
      <w:r>
        <w:rPr>
          <w:rFonts w:hint="eastAsia"/>
          <w:color w:val="auto"/>
          <w:highlight w:val="none"/>
          <w:lang w:val="en-US" w:eastAsia="zh-CN"/>
        </w:rPr>
        <w:t>指出：三、提高大宗固废资源利用效率……持续提高煤矸石和粉煤灰综合利用水平，推进煤矸石和粉煤灰在工程建设、塌陷区治理、矿井充填以及盐碱地、沙漠化土地生态修复等领域的利用……五、推动大宗固体废物综合利用创新发展……在矿山行业建立“梯级回收+生态修改+封存保护”体系，推动绿色矿山建设。</w:t>
      </w:r>
    </w:p>
    <w:p>
      <w:pPr>
        <w:pStyle w:val="4"/>
        <w:rPr>
          <w:rFonts w:hint="eastAsia"/>
          <w:color w:val="auto"/>
          <w:highlight w:val="none"/>
          <w:lang w:val="en-US" w:eastAsia="zh-CN"/>
        </w:rPr>
      </w:pPr>
      <w:r>
        <w:rPr>
          <w:rFonts w:hint="eastAsia"/>
          <w:color w:val="auto"/>
          <w:highlight w:val="none"/>
        </w:rPr>
        <w:t>本项目</w:t>
      </w:r>
      <w:r>
        <w:rPr>
          <w:rFonts w:hint="eastAsia"/>
          <w:color w:val="auto"/>
          <w:highlight w:val="none"/>
          <w:lang w:val="en-US" w:eastAsia="zh-CN"/>
        </w:rPr>
        <w:t>利用非次非法倾倒的粉煤灰和炉渣回填历史遗留采砂坑</w:t>
      </w:r>
      <w:r>
        <w:rPr>
          <w:rFonts w:hint="eastAsia"/>
          <w:color w:val="auto"/>
          <w:highlight w:val="none"/>
        </w:rPr>
        <w:t>。</w:t>
      </w:r>
      <w:r>
        <w:rPr>
          <w:rFonts w:hint="eastAsia"/>
          <w:color w:val="auto"/>
          <w:highlight w:val="none"/>
          <w:lang w:val="en-US" w:eastAsia="zh-CN"/>
        </w:rPr>
        <w:t>建设符合《关于“十四五”大宗固体废弃物综合利用的指导意见</w:t>
      </w:r>
      <w:r>
        <w:rPr>
          <w:rFonts w:hint="eastAsia"/>
          <w:color w:val="auto"/>
          <w:highlight w:val="none"/>
        </w:rPr>
        <w:t>》（</w:t>
      </w:r>
      <w:r>
        <w:rPr>
          <w:rFonts w:hint="eastAsia"/>
          <w:color w:val="auto"/>
          <w:highlight w:val="none"/>
          <w:lang w:val="en-US" w:eastAsia="zh-CN"/>
        </w:rPr>
        <w:t>发改环资〔2021〕381号</w:t>
      </w:r>
      <w:r>
        <w:rPr>
          <w:rFonts w:hint="eastAsia"/>
          <w:color w:val="auto"/>
          <w:highlight w:val="none"/>
        </w:rPr>
        <w:t>）</w:t>
      </w:r>
      <w:r>
        <w:rPr>
          <w:rFonts w:hint="eastAsia"/>
          <w:color w:val="auto"/>
          <w:highlight w:val="none"/>
          <w:lang w:val="en-US" w:eastAsia="zh-CN"/>
        </w:rPr>
        <w:t>。</w:t>
      </w:r>
    </w:p>
    <w:p>
      <w:pPr>
        <w:pStyle w:val="7"/>
        <w:bidi w:val="0"/>
        <w:rPr>
          <w:rFonts w:hint="eastAsia"/>
          <w:color w:val="auto"/>
          <w:highlight w:val="none"/>
        </w:rPr>
      </w:pPr>
      <w:r>
        <w:rPr>
          <w:rFonts w:hint="eastAsia"/>
          <w:color w:val="auto"/>
          <w:highlight w:val="none"/>
          <w:lang w:val="en-US" w:eastAsia="zh-CN"/>
        </w:rPr>
        <w:t>与《自治区打赢蓝天保卫战三年行动计划（2018-2020年）》</w:t>
      </w:r>
      <w:r>
        <w:rPr>
          <w:rFonts w:hint="eastAsia"/>
          <w:color w:val="auto"/>
          <w:highlight w:val="none"/>
        </w:rPr>
        <w:t>符合性分析</w:t>
      </w:r>
    </w:p>
    <w:p>
      <w:pPr>
        <w:pStyle w:val="4"/>
        <w:rPr>
          <w:rFonts w:hint="eastAsia"/>
          <w:color w:val="auto"/>
          <w:highlight w:val="none"/>
        </w:rPr>
      </w:pPr>
      <w:r>
        <w:rPr>
          <w:rFonts w:hint="eastAsia"/>
          <w:color w:val="auto"/>
          <w:highlight w:val="none"/>
        </w:rPr>
        <w:t>《自治区打赢蓝天保卫战三年行动计划（2018-2020年）》指出：加强扬尘综合治理。将施工工地扬尘污染防治纳入建筑施工安全生产标准化文明施工管理范畴，建立扬尘控制责任制度，将扬尘治理费用列入工程造价。县级及以上城市建成区建筑施工工地要做到工地周边围挡、物料堆放覆盖、土方开挖湿法作业、路面硬化、出入车辆清洗、渣土车辆密闭运输“六个百分百”。2019年6月底前，“乌-昌-石”“奎-独-乌”区域城市建成区建筑施工工地安装在线监测和视频监控设备，并与当地有关主管部门联网。</w:t>
      </w:r>
    </w:p>
    <w:p>
      <w:pPr>
        <w:pStyle w:val="4"/>
        <w:rPr>
          <w:rFonts w:hint="eastAsia"/>
          <w:color w:val="auto"/>
          <w:highlight w:val="none"/>
        </w:rPr>
      </w:pPr>
      <w:r>
        <w:rPr>
          <w:rFonts w:hint="eastAsia"/>
          <w:color w:val="auto"/>
          <w:highlight w:val="none"/>
        </w:rPr>
        <w:t>本项目施工阶段将严格落实上述要求，</w:t>
      </w:r>
      <w:r>
        <w:rPr>
          <w:rFonts w:hint="eastAsia"/>
          <w:color w:val="auto"/>
          <w:highlight w:val="none"/>
          <w:lang w:val="en-US" w:eastAsia="zh-CN"/>
        </w:rPr>
        <w:t>建设</w:t>
      </w:r>
      <w:r>
        <w:rPr>
          <w:rFonts w:hint="eastAsia"/>
          <w:color w:val="auto"/>
          <w:highlight w:val="none"/>
        </w:rPr>
        <w:t>符合《自治区打赢蓝天保卫战三年行动计划（2018-2020年）》要求。</w:t>
      </w:r>
    </w:p>
    <w:p>
      <w:pPr>
        <w:pStyle w:val="6"/>
        <w:bidi w:val="0"/>
        <w:rPr>
          <w:rFonts w:hint="eastAsia"/>
          <w:color w:val="auto"/>
          <w:highlight w:val="none"/>
        </w:rPr>
      </w:pPr>
      <w:r>
        <w:rPr>
          <w:rFonts w:hint="eastAsia"/>
          <w:color w:val="auto"/>
          <w:highlight w:val="none"/>
          <w:lang w:val="en-US" w:eastAsia="zh-CN"/>
        </w:rPr>
        <w:t>产业政策符合性</w:t>
      </w:r>
    </w:p>
    <w:p>
      <w:pPr>
        <w:pStyle w:val="4"/>
        <w:rPr>
          <w:rFonts w:hint="eastAsia"/>
          <w:color w:val="auto"/>
          <w:highlight w:val="none"/>
        </w:rPr>
      </w:pPr>
      <w:r>
        <w:rPr>
          <w:rFonts w:hint="eastAsia"/>
          <w:color w:val="auto"/>
          <w:highlight w:val="none"/>
        </w:rPr>
        <w:t>根据《产业结构调整指导目录》（2019年本），本项目属于“鼓励类”中的“四十三、环境保护与资源节约综合利用”中的“1、矿山生态环境恢复工程”及“20、城镇垃圾、农村生活垃圾、农村生活污水、污泥及其他固体废弃物减量化、资源化、无害化处理和综合利用工程”，</w:t>
      </w:r>
      <w:r>
        <w:rPr>
          <w:rFonts w:hint="eastAsia"/>
          <w:color w:val="auto"/>
          <w:highlight w:val="none"/>
          <w:lang w:val="en-US" w:eastAsia="zh-CN"/>
        </w:rPr>
        <w:t>项目建设</w:t>
      </w:r>
      <w:r>
        <w:rPr>
          <w:rFonts w:hint="eastAsia"/>
          <w:color w:val="auto"/>
          <w:highlight w:val="none"/>
        </w:rPr>
        <w:t>符合国家产业政策。</w:t>
      </w:r>
    </w:p>
    <w:p>
      <w:pPr>
        <w:pStyle w:val="6"/>
        <w:bidi w:val="0"/>
        <w:rPr>
          <w:rFonts w:hint="eastAsia"/>
          <w:color w:val="auto"/>
          <w:highlight w:val="none"/>
        </w:rPr>
      </w:pPr>
      <w:r>
        <w:rPr>
          <w:rFonts w:hint="eastAsia"/>
          <w:color w:val="auto"/>
          <w:highlight w:val="none"/>
          <w:lang w:val="en-US" w:eastAsia="zh-CN"/>
        </w:rPr>
        <w:t>规划符合性</w:t>
      </w:r>
    </w:p>
    <w:p>
      <w:pPr>
        <w:pStyle w:val="7"/>
        <w:bidi w:val="0"/>
        <w:rPr>
          <w:rFonts w:hint="eastAsia"/>
          <w:color w:val="auto"/>
          <w:highlight w:val="none"/>
        </w:rPr>
      </w:pPr>
      <w:r>
        <w:rPr>
          <w:rFonts w:hint="eastAsia"/>
          <w:color w:val="auto"/>
          <w:highlight w:val="none"/>
          <w:lang w:val="en-US" w:eastAsia="zh-CN"/>
        </w:rPr>
        <w:t>与《新疆维吾尔自治区国民经济和社会发展第十四个五年规划和2035年远景目标纲要</w:t>
      </w:r>
      <w:r>
        <w:rPr>
          <w:rFonts w:hint="eastAsia"/>
          <w:color w:val="auto"/>
          <w:highlight w:val="none"/>
        </w:rPr>
        <w:t>》符合性分析</w:t>
      </w:r>
    </w:p>
    <w:p>
      <w:pPr>
        <w:pStyle w:val="4"/>
        <w:rPr>
          <w:rFonts w:hint="eastAsia"/>
          <w:color w:val="auto"/>
          <w:highlight w:val="none"/>
          <w:lang w:val="en-US" w:eastAsia="zh-CN"/>
        </w:rPr>
      </w:pPr>
      <w:r>
        <w:rPr>
          <w:rFonts w:hint="eastAsia"/>
          <w:color w:val="auto"/>
          <w:highlight w:val="none"/>
          <w:lang w:val="en-US" w:eastAsia="zh-CN"/>
        </w:rPr>
        <w:t>《新疆维吾尔自治区国民经济和社会发展第十四个五年规划和2035年远景目标纲要</w:t>
      </w:r>
      <w:r>
        <w:rPr>
          <w:rFonts w:hint="eastAsia"/>
          <w:color w:val="auto"/>
          <w:highlight w:val="none"/>
        </w:rPr>
        <w:t>》</w:t>
      </w:r>
      <w:r>
        <w:rPr>
          <w:rFonts w:hint="eastAsia"/>
          <w:color w:val="auto"/>
          <w:highlight w:val="none"/>
          <w:lang w:val="en-US" w:eastAsia="zh-CN"/>
        </w:rPr>
        <w:t>指出：生态保护与修复重点工程……实施山水林田湖草生态保护修复工程、历史遗留废弃工矿土地整治工程。</w:t>
      </w:r>
    </w:p>
    <w:p>
      <w:pPr>
        <w:pStyle w:val="4"/>
        <w:rPr>
          <w:rFonts w:hint="eastAsia" w:eastAsia="宋体"/>
          <w:color w:val="auto"/>
          <w:highlight w:val="none"/>
          <w:lang w:val="en-US" w:eastAsia="zh-CN"/>
        </w:rPr>
      </w:pPr>
      <w:r>
        <w:rPr>
          <w:rFonts w:hint="eastAsia"/>
          <w:color w:val="auto"/>
          <w:highlight w:val="none"/>
        </w:rPr>
        <w:t>本项目是对</w:t>
      </w:r>
      <w:r>
        <w:rPr>
          <w:rFonts w:hint="eastAsia"/>
          <w:color w:val="auto"/>
          <w:highlight w:val="none"/>
          <w:lang w:val="en-US" w:eastAsia="zh-CN"/>
        </w:rPr>
        <w:t>本次非法倾倒灰渣进行治理，回填历史遗留采砂坑</w:t>
      </w:r>
      <w:r>
        <w:rPr>
          <w:rFonts w:hint="eastAsia"/>
          <w:color w:val="auto"/>
          <w:highlight w:val="none"/>
          <w:lang w:eastAsia="zh-CN"/>
        </w:rPr>
        <w:t>。</w:t>
      </w:r>
      <w:r>
        <w:rPr>
          <w:rFonts w:hint="eastAsia"/>
          <w:color w:val="auto"/>
          <w:highlight w:val="none"/>
          <w:lang w:val="en-US" w:eastAsia="zh-CN"/>
        </w:rPr>
        <w:t>建设符合《新疆维吾尔自治区国民经济和社会发展第十四个五年规划和2035年远景目标纲要</w:t>
      </w:r>
      <w:r>
        <w:rPr>
          <w:rFonts w:hint="eastAsia"/>
          <w:color w:val="auto"/>
          <w:highlight w:val="none"/>
        </w:rPr>
        <w:t>》</w:t>
      </w:r>
      <w:r>
        <w:rPr>
          <w:rFonts w:hint="eastAsia"/>
          <w:color w:val="auto"/>
          <w:highlight w:val="none"/>
          <w:lang w:val="en-US" w:eastAsia="zh-CN"/>
        </w:rPr>
        <w:t>相关规划要求。</w:t>
      </w:r>
    </w:p>
    <w:p>
      <w:pPr>
        <w:pStyle w:val="7"/>
        <w:bidi w:val="0"/>
        <w:rPr>
          <w:rFonts w:hint="eastAsia"/>
          <w:color w:val="auto"/>
          <w:highlight w:val="none"/>
          <w:lang w:val="en-US" w:eastAsia="zh-CN"/>
        </w:rPr>
      </w:pPr>
      <w:r>
        <w:rPr>
          <w:rFonts w:hint="eastAsia"/>
          <w:color w:val="auto"/>
          <w:highlight w:val="none"/>
          <w:lang w:val="en-US" w:eastAsia="zh-CN"/>
        </w:rPr>
        <w:t>与《新疆昌吉州奇台县城总体规划》符合性分析</w:t>
      </w:r>
    </w:p>
    <w:p>
      <w:pPr>
        <w:pStyle w:val="4"/>
        <w:rPr>
          <w:rFonts w:hint="eastAsia"/>
          <w:color w:val="auto"/>
          <w:highlight w:val="none"/>
          <w:lang w:val="en-US" w:eastAsia="zh-CN"/>
        </w:rPr>
      </w:pPr>
      <w:r>
        <w:rPr>
          <w:rFonts w:hint="eastAsia"/>
          <w:color w:val="auto"/>
          <w:highlight w:val="none"/>
          <w:lang w:val="en-US" w:eastAsia="zh-CN"/>
        </w:rPr>
        <w:t>根据《新疆昌吉州奇台县城总体规划》：加强固体废物环境管理和规范处置，贯彻“减量化、资源化、无害化、产业化”的原则，建立综合利用和无害化处置相互补充的处理模式。</w:t>
      </w:r>
    </w:p>
    <w:p>
      <w:pPr>
        <w:pStyle w:val="4"/>
        <w:rPr>
          <w:rFonts w:hint="default"/>
          <w:color w:val="auto"/>
          <w:highlight w:val="none"/>
          <w:lang w:val="en-US" w:eastAsia="zh-CN"/>
        </w:rPr>
      </w:pPr>
      <w:r>
        <w:rPr>
          <w:rFonts w:hint="eastAsia"/>
          <w:color w:val="auto"/>
          <w:highlight w:val="none"/>
        </w:rPr>
        <w:t>本项目是对</w:t>
      </w:r>
      <w:r>
        <w:rPr>
          <w:rFonts w:hint="eastAsia"/>
          <w:color w:val="auto"/>
          <w:highlight w:val="none"/>
          <w:lang w:val="en-US" w:eastAsia="zh-CN"/>
        </w:rPr>
        <w:t>本次非法倾倒灰渣进行治理，回填采砂坑，实现固体废物的综合利用，达到固体废物资源化、无害化的目的，建设符合《新疆昌吉州奇台县城总体规划》对垃圾综合利用相关要求。</w:t>
      </w:r>
    </w:p>
    <w:p>
      <w:pPr>
        <w:pStyle w:val="7"/>
        <w:bidi w:val="0"/>
        <w:rPr>
          <w:rFonts w:hint="eastAsia"/>
          <w:color w:val="auto"/>
          <w:highlight w:val="none"/>
          <w:lang w:val="en-US" w:eastAsia="zh-CN"/>
        </w:rPr>
      </w:pPr>
      <w:r>
        <w:rPr>
          <w:rFonts w:hint="eastAsia"/>
          <w:color w:val="auto"/>
          <w:highlight w:val="none"/>
          <w:lang w:val="en-US" w:eastAsia="zh-CN"/>
        </w:rPr>
        <w:t>与《新疆环境保护规划（2018-2022年）》符合性分析</w:t>
      </w:r>
    </w:p>
    <w:p>
      <w:pPr>
        <w:pStyle w:val="4"/>
        <w:rPr>
          <w:rFonts w:hint="eastAsia"/>
          <w:color w:val="auto"/>
          <w:highlight w:val="none"/>
          <w:lang w:val="en-US" w:eastAsia="zh-CN"/>
        </w:rPr>
      </w:pPr>
      <w:r>
        <w:rPr>
          <w:rFonts w:hint="eastAsia"/>
          <w:color w:val="auto"/>
          <w:highlight w:val="none"/>
          <w:lang w:val="en-US" w:eastAsia="zh-CN"/>
        </w:rPr>
        <w:t>《新疆环境保护规划（2018-2022年）》指出：……加强一般工业固体废物处理处置。以全疆各类工业集聚区为重点，兵地共同开展冶炼废渣、煤矸石、炉渣、金属切削碎块等工业固体废物非法堆存点专项排查，建立工业固体废物非正规堆放点整治清单，编制全疆工业固体废物综合利用相关技术指南，并逐步开展整治工作。2020年，全疆工业固体废物利用率达到60%以上，完成大部分非正规工业固体废物堆放点综合整治。2022年，工业固体废物利用率进一步提高，力争非正规工业固体废物堆放点得到全面整治。</w:t>
      </w:r>
    </w:p>
    <w:p>
      <w:pPr>
        <w:pStyle w:val="4"/>
        <w:bidi w:val="0"/>
        <w:rPr>
          <w:rFonts w:hint="eastAsia"/>
          <w:color w:val="auto"/>
          <w:highlight w:val="none"/>
          <w:lang w:val="en-US" w:eastAsia="zh-CN"/>
        </w:rPr>
      </w:pPr>
      <w:r>
        <w:rPr>
          <w:rFonts w:hint="eastAsia"/>
          <w:color w:val="auto"/>
          <w:highlight w:val="none"/>
        </w:rPr>
        <w:t>本项目是对</w:t>
      </w:r>
      <w:r>
        <w:rPr>
          <w:rFonts w:hint="eastAsia"/>
          <w:color w:val="auto"/>
          <w:highlight w:val="none"/>
          <w:lang w:val="en-US" w:eastAsia="zh-CN"/>
        </w:rPr>
        <w:t>本次非法倾倒灰渣进行治理，利用本次非法倾倒的灰渣回填废弃采砂坑，项目建设符合《新疆环境保护规划（2018-2022年）》相关要求。</w:t>
      </w:r>
    </w:p>
    <w:p>
      <w:pPr>
        <w:pStyle w:val="6"/>
        <w:bidi w:val="0"/>
        <w:rPr>
          <w:rFonts w:hint="eastAsia"/>
          <w:color w:val="FF0000"/>
          <w:highlight w:val="none"/>
        </w:rPr>
      </w:pPr>
      <w:r>
        <w:rPr>
          <w:rFonts w:hint="eastAsia"/>
          <w:color w:val="FF0000"/>
          <w:highlight w:val="none"/>
          <w:lang w:val="en-US" w:eastAsia="zh-CN"/>
        </w:rPr>
        <w:t>选址合理性分析</w:t>
      </w:r>
    </w:p>
    <w:p>
      <w:pPr>
        <w:pStyle w:val="4"/>
        <w:rPr>
          <w:rFonts w:hint="eastAsia"/>
          <w:color w:val="FF0000"/>
          <w:highlight w:val="none"/>
          <w:lang w:val="en-US" w:eastAsia="zh-CN"/>
        </w:rPr>
      </w:pPr>
      <w:r>
        <w:rPr>
          <w:rFonts w:hint="eastAsia"/>
          <w:color w:val="FF0000"/>
          <w:highlight w:val="none"/>
          <w:lang w:val="en-US" w:eastAsia="zh-CN"/>
        </w:rPr>
        <w:t>根据《一般工业固体废物贮存和填埋污染控制标准》（GB18599-2020），本项目属于一般工业固体废物回填项目，其4.6选址要求不适用于本项目。</w:t>
      </w:r>
    </w:p>
    <w:p>
      <w:pPr>
        <w:pStyle w:val="4"/>
        <w:rPr>
          <w:rFonts w:hint="eastAsia"/>
          <w:color w:val="FF0000"/>
          <w:highlight w:val="none"/>
          <w:lang w:val="en-US" w:eastAsia="zh-CN"/>
        </w:rPr>
      </w:pPr>
      <w:r>
        <w:rPr>
          <w:rFonts w:hint="eastAsia"/>
          <w:color w:val="FF0000"/>
          <w:highlight w:val="none"/>
          <w:lang w:val="en-US" w:eastAsia="zh-CN"/>
        </w:rPr>
        <w:t>本项目属于</w:t>
      </w:r>
      <w:r>
        <w:rPr>
          <w:rFonts w:hint="default" w:ascii="Times New Roman" w:hAnsi="Times New Roman" w:cs="Times New Roman"/>
          <w:color w:val="FF0000"/>
          <w:highlight w:val="none"/>
          <w:lang w:val="en-US" w:eastAsia="zh-CN"/>
        </w:rPr>
        <w:t>Ⅱ</w:t>
      </w:r>
      <w:r>
        <w:rPr>
          <w:rFonts w:hint="eastAsia"/>
          <w:color w:val="FF0000"/>
          <w:highlight w:val="none"/>
          <w:lang w:val="en-US" w:eastAsia="zh-CN"/>
        </w:rPr>
        <w:t>类一般工业固体废物回填项目，针对回填污染防治要求，在回填活动前进行了场地调查，为预防可以出现的渗漏环境风险，对填埋坑底、侧面进行了防渗层、防渗层渗漏检测系统以及地下水监测井的建设；针对废气环境影响，实施对填埋作业进行洒水抑尘、压实覆盖砂砾层等措施；针对噪声污染，设置选择低噪设备、优化作业时间等防治措施。通过预测分析，本项目对各环境要素影响在可接受范围内，项目建设符合《一般工业固体废物贮存和填埋污染控制标准》（GB18599-2020）相关要求，选址合理。</w:t>
      </w:r>
    </w:p>
    <w:p>
      <w:pPr>
        <w:pStyle w:val="4"/>
        <w:rPr>
          <w:rFonts w:hint="eastAsia"/>
          <w:color w:val="FF0000"/>
          <w:highlight w:val="none"/>
          <w:lang w:val="en-US" w:eastAsia="zh-CN"/>
        </w:rPr>
      </w:pPr>
      <w:r>
        <w:rPr>
          <w:rFonts w:hint="eastAsia"/>
          <w:color w:val="FF0000"/>
          <w:highlight w:val="none"/>
          <w:lang w:val="en-US" w:eastAsia="zh-CN"/>
        </w:rPr>
        <w:t>根据《关于加强乌鲁木齐、昌吉、石河子、五家渠区域环境同防同治的意见》（新政发〔2016〕140号），乌昌石同防同治区域包括乌鲁木齐市七区一县、昌吉市、阜康市、石河子市、五家渠市、玛纳斯县、呼图壁县、沙湾县，生产建设兵团第六师、第八师、第十二师，总面积6.9万平方公里左右。本项目建设地点位于</w:t>
      </w:r>
      <w:r>
        <w:rPr>
          <w:rFonts w:hint="eastAsia"/>
          <w:color w:val="FF0000"/>
          <w:highlight w:val="none"/>
          <w:lang w:eastAsia="zh-CN"/>
        </w:rPr>
        <w:t>奇台县吉布库镇达坂河村，</w:t>
      </w:r>
      <w:r>
        <w:rPr>
          <w:rFonts w:hint="eastAsia"/>
          <w:color w:val="FF0000"/>
          <w:highlight w:val="none"/>
          <w:lang w:val="en-US" w:eastAsia="zh-CN"/>
        </w:rPr>
        <w:t>不属于“乌-昌-石”大气联防联控区，建设地点与联防联控区位置关系如下图：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FF0000"/>
          <w:highlight w:val="none"/>
          <w:lang w:val="en-US" w:eastAsia="zh-CN"/>
        </w:rPr>
      </w:pPr>
      <w:r>
        <w:rPr>
          <w:rFonts w:hint="eastAsia" w:cs="Times New Roman"/>
          <w:color w:val="FF0000"/>
          <w:highlight w:val="none"/>
          <w:lang w:val="en-US" w:eastAsia="zh-CN"/>
        </w:rPr>
        <w:drawing>
          <wp:inline distT="0" distB="0" distL="114300" distR="114300">
            <wp:extent cx="5263515" cy="3814445"/>
            <wp:effectExtent l="0" t="0" r="13335" b="14605"/>
            <wp:docPr id="15" name="图片 15" descr="联防防控区图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联防防控区图件"/>
                    <pic:cNvPicPr>
                      <a:picLocks noChangeAspect="1"/>
                    </pic:cNvPicPr>
                  </pic:nvPicPr>
                  <pic:blipFill>
                    <a:blip r:embed="rId9"/>
                    <a:stretch>
                      <a:fillRect/>
                    </a:stretch>
                  </pic:blipFill>
                  <pic:spPr>
                    <a:xfrm>
                      <a:off x="0" y="0"/>
                      <a:ext cx="5263515" cy="3814445"/>
                    </a:xfrm>
                    <a:prstGeom prst="rect">
                      <a:avLst/>
                    </a:prstGeom>
                  </pic:spPr>
                </pic:pic>
              </a:graphicData>
            </a:graphic>
          </wp:inline>
        </w:drawing>
      </w:r>
    </w:p>
    <w:p>
      <w:pPr>
        <w:pStyle w:val="22"/>
        <w:bidi w:val="0"/>
        <w:rPr>
          <w:rFonts w:hint="default"/>
          <w:lang w:val="en-US" w:eastAsia="zh-CN"/>
        </w:rPr>
      </w:pPr>
      <w:r>
        <w:rPr>
          <w:rFonts w:hint="eastAsia"/>
          <w:color w:val="FF0000"/>
          <w:lang w:val="en-US" w:eastAsia="zh-CN"/>
        </w:rPr>
        <w:t>图1.4-1    项目与联防联控区的位置关系图</w:t>
      </w:r>
    </w:p>
    <w:p>
      <w:pPr>
        <w:pStyle w:val="6"/>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三线一单”符合性</w:t>
      </w:r>
    </w:p>
    <w:p>
      <w:pPr>
        <w:pStyle w:val="4"/>
        <w:ind w:firstLine="480"/>
        <w:rPr>
          <w:rFonts w:cs="Times New Roman"/>
          <w:color w:val="auto"/>
          <w:highlight w:val="none"/>
        </w:rPr>
      </w:pPr>
      <w:r>
        <w:rPr>
          <w:rFonts w:cs="Times New Roman"/>
          <w:color w:val="auto"/>
          <w:highlight w:val="none"/>
        </w:rPr>
        <w:t>根据《关于以改善环境质量为核心加强环境影响评价管理的通知》（环环评</w:t>
      </w:r>
      <w:r>
        <w:rPr>
          <w:rFonts w:hint="eastAsia" w:cs="Times New Roman"/>
          <w:color w:val="auto"/>
          <w:highlight w:val="none"/>
        </w:rPr>
        <w:t>〔</w:t>
      </w:r>
      <w:r>
        <w:rPr>
          <w:rFonts w:cs="Times New Roman"/>
          <w:color w:val="auto"/>
          <w:highlight w:val="none"/>
        </w:rPr>
        <w:t>2016</w:t>
      </w:r>
      <w:r>
        <w:rPr>
          <w:rFonts w:hint="eastAsia" w:cs="Times New Roman"/>
          <w:color w:val="auto"/>
          <w:highlight w:val="none"/>
        </w:rPr>
        <w:t>〕</w:t>
      </w:r>
      <w:r>
        <w:rPr>
          <w:rFonts w:cs="Times New Roman"/>
          <w:color w:val="auto"/>
          <w:highlight w:val="none"/>
        </w:rPr>
        <w:t>150号）：</w:t>
      </w:r>
      <w:r>
        <w:rPr>
          <w:rFonts w:hint="eastAsia" w:cs="Times New Roman"/>
          <w:color w:val="auto"/>
          <w:highlight w:val="none"/>
          <w:lang w:eastAsia="zh-CN"/>
        </w:rPr>
        <w:t>“</w:t>
      </w:r>
      <w:r>
        <w:rPr>
          <w:rFonts w:cs="Times New Roman"/>
          <w:color w:val="auto"/>
          <w:highlight w:val="none"/>
        </w:rPr>
        <w:t>为适应以改善环境质量为核心的环境管理要求，切实加强环境影响评价管理，落实</w:t>
      </w:r>
      <w:r>
        <w:rPr>
          <w:rFonts w:hint="eastAsia" w:asciiTheme="minorEastAsia" w:hAnsiTheme="minorEastAsia" w:eastAsiaTheme="minorEastAsia" w:cstheme="minorEastAsia"/>
          <w:color w:val="auto"/>
          <w:highlight w:val="none"/>
        </w:rPr>
        <w:t>‘</w:t>
      </w:r>
      <w:r>
        <w:rPr>
          <w:rFonts w:cs="Times New Roman"/>
          <w:color w:val="auto"/>
          <w:highlight w:val="none"/>
        </w:rPr>
        <w:t>生态保护红线、环境质量底线、资源利用上线和环境准入负面清单</w:t>
      </w:r>
      <w:r>
        <w:rPr>
          <w:rFonts w:hint="eastAsia" w:cs="Times New Roman"/>
          <w:color w:val="auto"/>
          <w:highlight w:val="none"/>
          <w:lang w:eastAsia="zh-CN"/>
        </w:rPr>
        <w:t>’</w:t>
      </w:r>
      <w:r>
        <w:rPr>
          <w:rFonts w:cs="Times New Roman"/>
          <w:color w:val="auto"/>
          <w:highlight w:val="none"/>
        </w:rPr>
        <w:t>约束</w:t>
      </w:r>
      <w:r>
        <w:rPr>
          <w:rFonts w:hint="eastAsia" w:cs="Times New Roman"/>
          <w:color w:val="auto"/>
          <w:highlight w:val="none"/>
          <w:lang w:eastAsia="zh-CN"/>
        </w:rPr>
        <w:t>”</w:t>
      </w:r>
      <w:r>
        <w:rPr>
          <w:rFonts w:cs="Times New Roman"/>
          <w:color w:val="auto"/>
          <w:highlight w:val="none"/>
        </w:rPr>
        <w:t>。本工程与</w:t>
      </w:r>
      <w:r>
        <w:rPr>
          <w:rFonts w:hint="eastAsia" w:cs="Times New Roman"/>
          <w:color w:val="auto"/>
          <w:highlight w:val="none"/>
          <w:lang w:eastAsia="zh-CN"/>
        </w:rPr>
        <w:t>“</w:t>
      </w:r>
      <w:r>
        <w:rPr>
          <w:rFonts w:cs="Times New Roman"/>
          <w:color w:val="auto"/>
          <w:highlight w:val="none"/>
        </w:rPr>
        <w:t>三线一单</w:t>
      </w:r>
      <w:r>
        <w:rPr>
          <w:rFonts w:hint="eastAsia" w:cs="Times New Roman"/>
          <w:color w:val="auto"/>
          <w:highlight w:val="none"/>
          <w:lang w:eastAsia="zh-CN"/>
        </w:rPr>
        <w:t>”</w:t>
      </w:r>
      <w:r>
        <w:rPr>
          <w:rFonts w:cs="Times New Roman"/>
          <w:color w:val="auto"/>
          <w:highlight w:val="none"/>
        </w:rPr>
        <w:t>符合性分析如下：</w:t>
      </w:r>
    </w:p>
    <w:p>
      <w:pPr>
        <w:pStyle w:val="4"/>
        <w:ind w:firstLine="480"/>
        <w:rPr>
          <w:rFonts w:hint="eastAsia"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1）生态保护红线</w:t>
      </w:r>
    </w:p>
    <w:p>
      <w:pPr>
        <w:pStyle w:val="4"/>
        <w:ind w:firstLine="480"/>
        <w:rPr>
          <w:rFonts w:hint="eastAsia" w:cs="Times New Roman"/>
          <w:color w:val="auto"/>
          <w:highlight w:val="none"/>
          <w:lang w:val="en-US" w:eastAsia="zh-CN"/>
        </w:rPr>
      </w:pPr>
      <w:r>
        <w:rPr>
          <w:rFonts w:hint="eastAsia" w:cs="Times New Roman"/>
          <w:color w:val="auto"/>
          <w:highlight w:val="none"/>
          <w:lang w:val="en-US" w:eastAsia="zh-CN"/>
        </w:rPr>
        <w:t>根据《昌吉回族自治州“三线一单”生态环境分区管控方案》，自治州共划定119个环境管控单元，分为优先保护单元、重点管控单元和一般管控单元三类，实施分类管控。</w:t>
      </w:r>
    </w:p>
    <w:p>
      <w:pPr>
        <w:pStyle w:val="4"/>
        <w:ind w:firstLine="480"/>
        <w:rPr>
          <w:rFonts w:hint="eastAsia" w:cs="Times New Roman"/>
          <w:color w:val="auto"/>
          <w:highlight w:val="none"/>
          <w:lang w:val="en-US" w:eastAsia="zh-CN"/>
        </w:rPr>
      </w:pPr>
      <w:r>
        <w:rPr>
          <w:rFonts w:hint="eastAsia" w:cs="Times New Roman"/>
          <w:color w:val="auto"/>
          <w:highlight w:val="none"/>
          <w:lang w:val="en-US" w:eastAsia="zh-CN"/>
        </w:rPr>
        <w:t>优先保护单元主要包括生态保护红线区和生态保护红线区以外的饮用水水源保护区、水源涵养区、防风固沙区、水土保持区、生物多样性维护区、土地沙化防控区、水土流失防控区等一般生态空间管控区。重点管控单元主要包括城镇建成区、工业园区和工业聚集区等。一般管控单元主要包括优先保护单元和重点管控单元之外的其它区域。</w:t>
      </w:r>
    </w:p>
    <w:p>
      <w:pPr>
        <w:pStyle w:val="4"/>
        <w:ind w:firstLine="480"/>
        <w:rPr>
          <w:rFonts w:hint="eastAsia" w:cs="Times New Roman"/>
          <w:color w:val="auto"/>
          <w:highlight w:val="none"/>
          <w:lang w:val="en-US" w:eastAsia="zh-CN"/>
        </w:rPr>
      </w:pPr>
      <w:r>
        <w:rPr>
          <w:rFonts w:hint="eastAsia" w:cs="Times New Roman"/>
          <w:color w:val="auto"/>
          <w:highlight w:val="none"/>
          <w:lang w:val="en-US" w:eastAsia="zh-CN"/>
        </w:rPr>
        <w:t>优先保护单元包括生态保护红线区和一般生态空间管控区。生态保护红线区执行生态保护红线管理办法的有关要求；一般生态空间管控区应以生态环境保护优先为原则，开发建设活动应严格执行相关法律、法规要求，严守生态环境质量底线，确保生态功能不降低。重点管控单元要着力优化空间布局，不断提升资源利用效率，有针对性地加强污染物排放管控和环境风险防控，解决生态环境质量不达标、生态环境风险高等问题。一般管控单元主要落实生态环境保护基本要求，推动区域环境质量持续改善。</w:t>
      </w:r>
    </w:p>
    <w:p>
      <w:pPr>
        <w:pStyle w:val="4"/>
        <w:ind w:firstLine="480"/>
        <w:rPr>
          <w:rFonts w:hint="eastAsia" w:cs="Times New Roman"/>
          <w:color w:val="auto"/>
          <w:highlight w:val="none"/>
          <w:lang w:val="en-US" w:eastAsia="zh-CN"/>
        </w:rPr>
      </w:pPr>
      <w:r>
        <w:rPr>
          <w:rFonts w:hint="eastAsia" w:cs="Times New Roman"/>
          <w:color w:val="auto"/>
          <w:highlight w:val="none"/>
          <w:lang w:val="en-US" w:eastAsia="zh-CN"/>
        </w:rPr>
        <w:t>项目建设地点位于一般管控单元</w:t>
      </w:r>
      <w:r>
        <w:rPr>
          <w:rFonts w:hint="eastAsia" w:cs="Times New Roman"/>
          <w:color w:val="FF0000"/>
          <w:highlight w:val="none"/>
          <w:lang w:val="en-US" w:eastAsia="zh-CN"/>
        </w:rPr>
        <w:t>，单元编号</w:t>
      </w:r>
      <w:r>
        <w:rPr>
          <w:rFonts w:ascii="Times New Roman" w:hAnsi="Times New Roman" w:eastAsia="仿宋" w:cs="Times New Roman"/>
          <w:color w:val="FF0000"/>
          <w:kern w:val="0"/>
          <w:sz w:val="24"/>
          <w:szCs w:val="24"/>
          <w:lang w:bidi="en-US"/>
        </w:rPr>
        <w:t>ZH65232830001</w:t>
      </w:r>
      <w:r>
        <w:rPr>
          <w:rFonts w:hint="eastAsia" w:ascii="Times New Roman" w:hAnsi="Times New Roman" w:eastAsia="仿宋" w:cs="Times New Roman"/>
          <w:color w:val="000000" w:themeColor="text1"/>
          <w:kern w:val="0"/>
          <w:sz w:val="24"/>
          <w:szCs w:val="24"/>
          <w:lang w:eastAsia="zh-CN" w:bidi="en-US"/>
          <w14:textFill>
            <w14:solidFill>
              <w14:schemeClr w14:val="tx1"/>
            </w14:solidFill>
          </w14:textFill>
        </w:rPr>
        <w:t>，</w:t>
      </w:r>
      <w:r>
        <w:rPr>
          <w:rFonts w:hint="eastAsia" w:cs="Times New Roman"/>
          <w:color w:val="auto"/>
          <w:highlight w:val="none"/>
          <w:lang w:val="en-US" w:eastAsia="zh-CN"/>
        </w:rPr>
        <w:t>位于生态保护红线范围之外，项目建设不触及生态保护红线。</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FF0000"/>
          <w:highlight w:val="none"/>
          <w:lang w:val="en-US" w:eastAsia="zh-CN"/>
        </w:rPr>
      </w:pPr>
      <w:r>
        <w:rPr>
          <w:rFonts w:hint="eastAsia" w:cs="Times New Roman"/>
          <w:color w:val="FF0000"/>
          <w:highlight w:val="none"/>
          <w:lang w:val="en-US" w:eastAsia="zh-CN"/>
        </w:rPr>
        <w:drawing>
          <wp:inline distT="0" distB="0" distL="114300" distR="114300">
            <wp:extent cx="4620260" cy="3124200"/>
            <wp:effectExtent l="0" t="0" r="8890" b="0"/>
            <wp:docPr id="2" name="图片 2" descr="40 新疆维吾尔自治区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 新疆维吾尔自治区环境管控单元图"/>
                    <pic:cNvPicPr>
                      <a:picLocks noChangeAspect="1"/>
                    </pic:cNvPicPr>
                  </pic:nvPicPr>
                  <pic:blipFill>
                    <a:blip r:embed="rId10"/>
                    <a:stretch>
                      <a:fillRect/>
                    </a:stretch>
                  </pic:blipFill>
                  <pic:spPr>
                    <a:xfrm>
                      <a:off x="0" y="0"/>
                      <a:ext cx="4620260" cy="3124200"/>
                    </a:xfrm>
                    <a:prstGeom prst="rect">
                      <a:avLst/>
                    </a:prstGeom>
                  </pic:spPr>
                </pic:pic>
              </a:graphicData>
            </a:graphic>
          </wp:inline>
        </w:drawing>
      </w:r>
    </w:p>
    <w:p>
      <w:pPr>
        <w:pStyle w:val="22"/>
        <w:bidi w:val="0"/>
        <w:rPr>
          <w:rFonts w:hint="default"/>
          <w:lang w:val="en-US" w:eastAsia="zh-CN"/>
        </w:rPr>
      </w:pPr>
      <w:r>
        <w:rPr>
          <w:rFonts w:hint="eastAsia"/>
          <w:lang w:val="en-US" w:eastAsia="zh-CN"/>
        </w:rPr>
        <w:t>图1.4-2    项目与分类管控单位的位置关系图</w:t>
      </w:r>
    </w:p>
    <w:p>
      <w:pPr>
        <w:pStyle w:val="4"/>
        <w:ind w:firstLine="480"/>
        <w:rPr>
          <w:rFonts w:hint="default" w:cs="Times New Roman"/>
          <w:color w:val="auto"/>
          <w:highlight w:val="none"/>
          <w:lang w:val="en-US" w:eastAsia="zh-CN"/>
        </w:rPr>
      </w:pPr>
      <w:r>
        <w:rPr>
          <w:rFonts w:hint="eastAsia" w:cs="Times New Roman"/>
          <w:color w:val="auto"/>
          <w:highlight w:val="none"/>
          <w:lang w:val="en-US" w:eastAsia="zh-CN"/>
        </w:rPr>
        <w:t>（2）环境质量底线</w:t>
      </w:r>
    </w:p>
    <w:p>
      <w:pPr>
        <w:pStyle w:val="4"/>
        <w:ind w:firstLine="480"/>
        <w:rPr>
          <w:rFonts w:hint="eastAsia" w:cs="Times New Roman"/>
          <w:color w:val="auto"/>
          <w:highlight w:val="none"/>
          <w:lang w:eastAsia="zh-CN"/>
        </w:rPr>
      </w:pPr>
      <w:r>
        <w:rPr>
          <w:rFonts w:hint="eastAsia" w:cs="Times New Roman"/>
          <w:color w:val="auto"/>
          <w:highlight w:val="none"/>
        </w:rPr>
        <w:t>项目</w:t>
      </w:r>
      <w:r>
        <w:rPr>
          <w:rFonts w:hint="eastAsia" w:cs="Times New Roman"/>
          <w:color w:val="auto"/>
          <w:highlight w:val="none"/>
          <w:lang w:val="en-US" w:eastAsia="zh-CN"/>
        </w:rPr>
        <w:t>通过对现状倾倒的灰渣填埋处置，达到治理本次非法倾倒灰渣的目的，是对固体</w:t>
      </w:r>
      <w:r>
        <w:rPr>
          <w:rFonts w:hint="eastAsia" w:cs="Times New Roman"/>
          <w:color w:val="auto"/>
          <w:highlight w:val="none"/>
        </w:rPr>
        <w:t>废物</w:t>
      </w:r>
      <w:r>
        <w:rPr>
          <w:rFonts w:hint="eastAsia" w:cs="Times New Roman"/>
          <w:color w:val="auto"/>
          <w:highlight w:val="none"/>
          <w:lang w:val="en-US" w:eastAsia="zh-CN"/>
        </w:rPr>
        <w:t>的</w:t>
      </w:r>
      <w:r>
        <w:rPr>
          <w:rFonts w:hint="eastAsia" w:cs="Times New Roman"/>
          <w:color w:val="auto"/>
          <w:highlight w:val="none"/>
        </w:rPr>
        <w:t>综合利用，</w:t>
      </w:r>
      <w:r>
        <w:rPr>
          <w:rFonts w:hint="eastAsia" w:cs="Times New Roman"/>
          <w:color w:val="auto"/>
          <w:highlight w:val="none"/>
          <w:lang w:val="en-US" w:eastAsia="zh-CN"/>
        </w:rPr>
        <w:t>可</w:t>
      </w:r>
      <w:r>
        <w:rPr>
          <w:rFonts w:hint="eastAsia" w:cs="Times New Roman"/>
          <w:color w:val="auto"/>
          <w:highlight w:val="none"/>
        </w:rPr>
        <w:t>实现固体废物的减量化和资源化</w:t>
      </w:r>
      <w:r>
        <w:rPr>
          <w:rFonts w:hint="eastAsia" w:cs="Times New Roman"/>
          <w:color w:val="auto"/>
          <w:highlight w:val="none"/>
          <w:lang w:val="en-US" w:eastAsia="zh-CN"/>
        </w:rPr>
        <w:t>；</w:t>
      </w:r>
      <w:r>
        <w:rPr>
          <w:rFonts w:hint="eastAsia" w:cs="Times New Roman"/>
          <w:color w:val="auto"/>
          <w:highlight w:val="none"/>
        </w:rPr>
        <w:t>本项目废水、废气采取措施处理后，对周围环境影响小，</w:t>
      </w:r>
      <w:r>
        <w:rPr>
          <w:rFonts w:hint="eastAsia" w:cs="Times New Roman"/>
          <w:color w:val="auto"/>
          <w:highlight w:val="none"/>
          <w:lang w:val="en-US" w:eastAsia="zh-CN"/>
        </w:rPr>
        <w:t>不明显恶化周围环境质量，</w:t>
      </w:r>
      <w:r>
        <w:rPr>
          <w:rFonts w:hint="eastAsia" w:cs="Times New Roman"/>
          <w:color w:val="auto"/>
          <w:highlight w:val="none"/>
        </w:rPr>
        <w:t>符合环境质量底线要求</w:t>
      </w:r>
      <w:r>
        <w:rPr>
          <w:rFonts w:hint="eastAsia" w:cs="Times New Roman"/>
          <w:color w:val="auto"/>
          <w:highlight w:val="none"/>
          <w:lang w:eastAsia="zh-CN"/>
        </w:rPr>
        <w:t>。</w:t>
      </w:r>
    </w:p>
    <w:p>
      <w:pPr>
        <w:pStyle w:val="4"/>
        <w:ind w:firstLine="480"/>
        <w:rPr>
          <w:rFonts w:hint="eastAsia"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3）资源利用上线</w:t>
      </w:r>
    </w:p>
    <w:p>
      <w:pPr>
        <w:pStyle w:val="4"/>
        <w:ind w:firstLine="480"/>
        <w:rPr>
          <w:rFonts w:hint="eastAsia" w:cs="Times New Roman"/>
          <w:color w:val="auto"/>
          <w:highlight w:val="none"/>
          <w:lang w:eastAsia="zh-CN"/>
        </w:rPr>
      </w:pPr>
      <w:r>
        <w:rPr>
          <w:rFonts w:hint="eastAsia" w:cs="Times New Roman"/>
          <w:color w:val="auto"/>
          <w:highlight w:val="none"/>
          <w:lang w:val="en-US" w:eastAsia="zh-CN"/>
        </w:rPr>
        <w:t>本项目对水电等资源使用量较小</w:t>
      </w:r>
      <w:r>
        <w:rPr>
          <w:rFonts w:hint="eastAsia" w:cs="Times New Roman"/>
          <w:color w:val="auto"/>
          <w:highlight w:val="none"/>
        </w:rPr>
        <w:t>，</w:t>
      </w:r>
      <w:r>
        <w:rPr>
          <w:rFonts w:hint="eastAsia" w:cs="Times New Roman"/>
          <w:color w:val="auto"/>
          <w:highlight w:val="none"/>
          <w:lang w:val="en-US" w:eastAsia="zh-CN"/>
        </w:rPr>
        <w:t>不触及</w:t>
      </w:r>
      <w:r>
        <w:rPr>
          <w:rFonts w:hint="eastAsia" w:cs="Times New Roman"/>
          <w:color w:val="auto"/>
          <w:highlight w:val="none"/>
        </w:rPr>
        <w:t>资源利用上限要求</w:t>
      </w:r>
      <w:r>
        <w:rPr>
          <w:rFonts w:hint="eastAsia" w:cs="Times New Roman"/>
          <w:color w:val="auto"/>
          <w:highlight w:val="none"/>
          <w:lang w:eastAsia="zh-CN"/>
        </w:rPr>
        <w:t>。</w:t>
      </w:r>
    </w:p>
    <w:p>
      <w:pPr>
        <w:pStyle w:val="4"/>
        <w:ind w:firstLine="480"/>
        <w:rPr>
          <w:rFonts w:hint="default" w:cs="Times New Roman"/>
          <w:color w:val="auto"/>
          <w:highlight w:val="none"/>
          <w:lang w:val="en-US" w:eastAsia="zh-CN"/>
        </w:rPr>
      </w:pPr>
      <w:r>
        <w:rPr>
          <w:rFonts w:hint="eastAsia" w:cs="Times New Roman"/>
          <w:color w:val="auto"/>
          <w:highlight w:val="none"/>
          <w:lang w:val="en-US" w:eastAsia="zh-CN"/>
        </w:rPr>
        <w:t>（4）环境准入负面清单</w:t>
      </w:r>
    </w:p>
    <w:p>
      <w:pPr>
        <w:pStyle w:val="4"/>
        <w:ind w:firstLine="480"/>
        <w:rPr>
          <w:rFonts w:hint="default"/>
          <w:color w:val="auto"/>
          <w:highlight w:val="none"/>
          <w:lang w:val="en-US" w:eastAsia="zh-CN"/>
        </w:rPr>
      </w:pPr>
      <w:r>
        <w:rPr>
          <w:rFonts w:hint="eastAsia"/>
          <w:color w:val="auto"/>
          <w:highlight w:val="none"/>
          <w:lang w:val="en-US" w:eastAsia="zh-CN"/>
        </w:rPr>
        <w:t>根据《新疆维吾尔自治区28个国家重点生态功能区县（市）产业准入负面清单（试行）》和《新疆维吾尔自治区17个新增纳入国家重点生态功能区县（市）产业准入负面清单（试行）》，本项目不在上述负面清单内。</w:t>
      </w:r>
    </w:p>
    <w:p>
      <w:pPr>
        <w:pStyle w:val="4"/>
        <w:ind w:firstLine="480"/>
        <w:rPr>
          <w:rFonts w:hint="eastAsia"/>
          <w:color w:val="auto"/>
          <w:highlight w:val="none"/>
          <w:lang w:val="en-US" w:eastAsia="zh-CN"/>
        </w:rPr>
      </w:pPr>
      <w:r>
        <w:rPr>
          <w:rFonts w:hint="eastAsia"/>
          <w:color w:val="auto"/>
          <w:highlight w:val="none"/>
          <w:lang w:val="en-US" w:eastAsia="zh-CN"/>
        </w:rPr>
        <w:t>综上，本项目建设符合“三线一单”相关要求。</w:t>
      </w:r>
    </w:p>
    <w:p>
      <w:pPr>
        <w:pStyle w:val="6"/>
        <w:bidi w:val="0"/>
        <w:rPr>
          <w:rFonts w:hint="eastAsia"/>
          <w:color w:val="FF0000"/>
          <w:highlight w:val="none"/>
        </w:rPr>
      </w:pPr>
      <w:r>
        <w:rPr>
          <w:rFonts w:hint="eastAsia"/>
          <w:color w:val="FF0000"/>
          <w:highlight w:val="none"/>
          <w:lang w:val="en-US" w:eastAsia="zh-CN"/>
        </w:rPr>
        <w:t>与</w:t>
      </w:r>
      <w:r>
        <w:rPr>
          <w:rFonts w:hint="eastAsia" w:cs="Times New Roman"/>
          <w:color w:val="FF0000"/>
          <w:highlight w:val="none"/>
          <w:lang w:val="en-US" w:eastAsia="zh-CN"/>
        </w:rPr>
        <w:t>《昌吉回族自治州“三线一单”生态环境分区管控方案》符合性分析</w:t>
      </w:r>
    </w:p>
    <w:p>
      <w:pPr>
        <w:pStyle w:val="4"/>
        <w:ind w:firstLine="480"/>
        <w:rPr>
          <w:rFonts w:hint="eastAsia"/>
          <w:color w:val="FF0000"/>
          <w:highlight w:val="none"/>
          <w:lang w:val="en-US" w:eastAsia="zh-CN"/>
        </w:rPr>
      </w:pPr>
      <w:r>
        <w:rPr>
          <w:rFonts w:hint="eastAsia"/>
          <w:color w:val="FF0000"/>
          <w:highlight w:val="none"/>
          <w:lang w:val="en-US" w:eastAsia="zh-CN"/>
        </w:rPr>
        <w:t>本项目建设地点属于</w:t>
      </w:r>
      <w:r>
        <w:rPr>
          <w:rFonts w:hint="eastAsia" w:cs="Times New Roman"/>
          <w:color w:val="FF0000"/>
          <w:highlight w:val="none"/>
          <w:lang w:val="en-US" w:eastAsia="zh-CN"/>
        </w:rPr>
        <w:t>一般管控单元，单元编号</w:t>
      </w:r>
      <w:r>
        <w:rPr>
          <w:rFonts w:ascii="Times New Roman" w:hAnsi="Times New Roman" w:eastAsia="仿宋" w:cs="Times New Roman"/>
          <w:color w:val="FF0000"/>
          <w:kern w:val="0"/>
          <w:sz w:val="24"/>
          <w:szCs w:val="24"/>
          <w:lang w:bidi="en-US"/>
        </w:rPr>
        <w:t>ZH65232830001</w:t>
      </w:r>
      <w:r>
        <w:rPr>
          <w:rFonts w:hint="eastAsia" w:ascii="Times New Roman" w:hAnsi="Times New Roman" w:eastAsia="仿宋" w:cs="Times New Roman"/>
          <w:color w:val="FF0000"/>
          <w:kern w:val="0"/>
          <w:sz w:val="24"/>
          <w:szCs w:val="24"/>
          <w:lang w:eastAsia="zh-CN" w:bidi="en-US"/>
        </w:rPr>
        <w:t>，</w:t>
      </w:r>
      <w:r>
        <w:rPr>
          <w:rFonts w:hint="eastAsia"/>
          <w:color w:val="FF0000"/>
          <w:highlight w:val="none"/>
          <w:lang w:val="en-US" w:eastAsia="zh-CN"/>
        </w:rPr>
        <w:t>根据《管控方案》，其生态环境准入清单要求符合性分析如下：</w:t>
      </w:r>
    </w:p>
    <w:p>
      <w:pPr>
        <w:widowControl w:val="0"/>
        <w:bidi w:val="0"/>
        <w:adjustRightInd w:val="0"/>
        <w:snapToGrid/>
        <w:spacing w:before="5" w:beforeLines="5" w:beforeAutospacing="0" w:after="5" w:afterLines="5" w:afterAutospacing="0" w:line="360" w:lineRule="auto"/>
        <w:ind w:firstLine="0" w:firstLineChars="0"/>
        <w:jc w:val="center"/>
        <w:rPr>
          <w:rFonts w:hint="eastAsia" w:ascii="Times New Roman" w:hAnsi="Times New Roman" w:eastAsia="宋体" w:cs="Times New Roman"/>
          <w:b/>
          <w:bCs/>
          <w:color w:val="FF0000"/>
          <w:kern w:val="2"/>
          <w:sz w:val="22"/>
          <w:szCs w:val="22"/>
          <w:highlight w:val="none"/>
          <w:lang w:val="en-US" w:eastAsia="zh-CN" w:bidi="ar-SA"/>
        </w:rPr>
      </w:pPr>
      <w:r>
        <w:rPr>
          <w:rFonts w:ascii="Times New Roman" w:hAnsi="Times New Roman" w:eastAsia="宋体" w:cs="Times New Roman"/>
          <w:b/>
          <w:bCs/>
          <w:color w:val="FF0000"/>
          <w:kern w:val="2"/>
          <w:sz w:val="22"/>
          <w:szCs w:val="22"/>
          <w:highlight w:val="none"/>
          <w:lang w:val="en-US" w:eastAsia="zh-CN" w:bidi="ar-SA"/>
        </w:rPr>
        <w:t>表</w:t>
      </w:r>
      <w:r>
        <w:rPr>
          <w:rFonts w:hint="eastAsia" w:ascii="Times New Roman" w:hAnsi="Times New Roman" w:eastAsia="宋体" w:cs="Times New Roman"/>
          <w:b/>
          <w:bCs/>
          <w:color w:val="FF0000"/>
          <w:kern w:val="2"/>
          <w:sz w:val="22"/>
          <w:szCs w:val="22"/>
          <w:highlight w:val="none"/>
          <w:lang w:val="en-US" w:eastAsia="zh-CN" w:bidi="ar-SA"/>
        </w:rPr>
        <w:t>1.4-1    本项目与管控单元ZH65310130001生态环境准入要求符合性分析</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4851"/>
        <w:gridCol w:w="182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pct"/>
            <w:vAlign w:val="center"/>
          </w:tcPr>
          <w:p>
            <w:pPr>
              <w:pStyle w:val="24"/>
              <w:keepNext w:val="0"/>
              <w:keepLines w:val="0"/>
              <w:suppressLineNumbers w:val="0"/>
              <w:bidi w:val="0"/>
              <w:spacing w:before="0" w:beforeAutospacing="0" w:after="0" w:afterAutospacing="0"/>
              <w:ind w:left="0" w:right="0"/>
              <w:rPr>
                <w:rFonts w:hint="default"/>
                <w:color w:val="FF0000"/>
                <w:highlight w:val="none"/>
                <w:lang w:val="en-US" w:eastAsia="zh-CN"/>
              </w:rPr>
            </w:pPr>
            <w:r>
              <w:rPr>
                <w:rFonts w:hint="eastAsia"/>
                <w:color w:val="FF0000"/>
                <w:highlight w:val="none"/>
                <w:lang w:val="en-US" w:eastAsia="zh-CN"/>
              </w:rPr>
              <w:t>项目</w:t>
            </w:r>
          </w:p>
        </w:tc>
        <w:tc>
          <w:tcPr>
            <w:tcW w:w="2849" w:type="pct"/>
            <w:vAlign w:val="center"/>
          </w:tcPr>
          <w:p>
            <w:pPr>
              <w:pStyle w:val="24"/>
              <w:keepNext w:val="0"/>
              <w:keepLines w:val="0"/>
              <w:suppressLineNumbers w:val="0"/>
              <w:bidi w:val="0"/>
              <w:spacing w:before="0" w:beforeAutospacing="0" w:after="0" w:afterAutospacing="0"/>
              <w:ind w:left="0" w:right="0"/>
              <w:rPr>
                <w:rFonts w:hint="default"/>
                <w:color w:val="FF0000"/>
                <w:highlight w:val="none"/>
                <w:lang w:val="en-US" w:eastAsia="zh-CN"/>
              </w:rPr>
            </w:pPr>
            <w:r>
              <w:rPr>
                <w:rFonts w:hint="eastAsia"/>
                <w:color w:val="FF0000"/>
                <w:highlight w:val="none"/>
                <w:lang w:val="en-US" w:eastAsia="zh-CN"/>
              </w:rPr>
              <w:t>生态环境准入要求</w:t>
            </w:r>
          </w:p>
        </w:tc>
        <w:tc>
          <w:tcPr>
            <w:tcW w:w="1072" w:type="pct"/>
            <w:vAlign w:val="center"/>
          </w:tcPr>
          <w:p>
            <w:pPr>
              <w:pStyle w:val="24"/>
              <w:keepNext w:val="0"/>
              <w:keepLines w:val="0"/>
              <w:suppressLineNumbers w:val="0"/>
              <w:bidi w:val="0"/>
              <w:spacing w:before="0" w:beforeAutospacing="0" w:after="0" w:afterAutospacing="0"/>
              <w:ind w:left="0" w:right="0"/>
              <w:rPr>
                <w:rFonts w:hint="default"/>
                <w:color w:val="FF0000"/>
                <w:highlight w:val="none"/>
                <w:lang w:val="en-US" w:eastAsia="zh-CN"/>
              </w:rPr>
            </w:pPr>
            <w:r>
              <w:rPr>
                <w:rFonts w:hint="eastAsia"/>
                <w:color w:val="FF0000"/>
                <w:highlight w:val="none"/>
                <w:lang w:val="en-US" w:eastAsia="zh-CN"/>
              </w:rPr>
              <w:t>本项目</w:t>
            </w:r>
          </w:p>
        </w:tc>
        <w:tc>
          <w:tcPr>
            <w:tcW w:w="516" w:type="pct"/>
            <w:vAlign w:val="center"/>
          </w:tcPr>
          <w:p>
            <w:pPr>
              <w:pStyle w:val="24"/>
              <w:keepNext w:val="0"/>
              <w:keepLines w:val="0"/>
              <w:suppressLineNumbers w:val="0"/>
              <w:bidi w:val="0"/>
              <w:spacing w:before="0" w:beforeAutospacing="0" w:after="0" w:afterAutospacing="0"/>
              <w:ind w:left="0" w:right="0"/>
              <w:rPr>
                <w:rFonts w:hint="default"/>
                <w:color w:val="FF0000"/>
                <w:highlight w:val="none"/>
                <w:lang w:val="en-US" w:eastAsia="zh-CN"/>
              </w:rPr>
            </w:pPr>
            <w:r>
              <w:rPr>
                <w:rFonts w:hint="eastAsia"/>
                <w:color w:val="FF0000"/>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pct"/>
            <w:vAlign w:val="center"/>
          </w:tcPr>
          <w:p>
            <w:pPr>
              <w:pStyle w:val="24"/>
              <w:keepNext w:val="0"/>
              <w:keepLines w:val="0"/>
              <w:suppressLineNumbers w:val="0"/>
              <w:bidi w:val="0"/>
              <w:spacing w:before="0" w:beforeAutospacing="0" w:after="0" w:afterAutospacing="0"/>
              <w:ind w:left="0" w:right="0"/>
              <w:rPr>
                <w:rFonts w:hint="default"/>
                <w:color w:val="FF0000"/>
                <w:highlight w:val="none"/>
                <w:lang w:val="en-US" w:eastAsia="zh-CN"/>
              </w:rPr>
            </w:pPr>
            <w:r>
              <w:rPr>
                <w:rFonts w:hint="eastAsia"/>
                <w:color w:val="FF0000"/>
                <w:highlight w:val="none"/>
                <w:lang w:val="en-US" w:eastAsia="zh-CN"/>
              </w:rPr>
              <w:t>空间布局约束</w:t>
            </w:r>
          </w:p>
        </w:tc>
        <w:tc>
          <w:tcPr>
            <w:tcW w:w="2849" w:type="pct"/>
            <w:vAlign w:val="center"/>
          </w:tcPr>
          <w:p>
            <w:pPr>
              <w:pStyle w:val="24"/>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执行自治区总体准入要求中关于一般环境管控单元的准入要求（表2-4 A7.1）。</w:t>
            </w:r>
            <w:r>
              <w:rPr>
                <w:rFonts w:hint="eastAsia" w:cs="Times New Roman"/>
                <w:color w:val="FF0000"/>
                <w:kern w:val="2"/>
                <w:sz w:val="21"/>
                <w:szCs w:val="21"/>
                <w:highlight w:val="none"/>
                <w:lang w:val="en-US" w:eastAsia="zh-CN" w:bidi="ar-SA"/>
              </w:rPr>
              <w:t>具体为：限制进行大规模高强度工业化城镇化开发，严格控制金属冶炼、石油化工、焦化等“高污染、高环境风险产品”工业项目，原则上不增加产能，现有“高污染、高环境风险产品”工业项目持续削减污染物排放总量并严格控制环境风险。原则上禁止建设涉及一类重金属、持久性有机污染物排放的工业项目。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072" w:type="pct"/>
            <w:vAlign w:val="center"/>
          </w:tcPr>
          <w:p>
            <w:pPr>
              <w:pStyle w:val="24"/>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本项目为污染地块治理项目，不涉及前述情景。</w:t>
            </w:r>
          </w:p>
        </w:tc>
        <w:tc>
          <w:tcPr>
            <w:tcW w:w="516" w:type="pct"/>
            <w:vAlign w:val="center"/>
          </w:tcPr>
          <w:p>
            <w:pPr>
              <w:pStyle w:val="24"/>
              <w:keepNext w:val="0"/>
              <w:keepLines w:val="0"/>
              <w:suppressLineNumbers w:val="0"/>
              <w:bidi w:val="0"/>
              <w:spacing w:before="0" w:beforeAutospacing="0" w:after="0" w:afterAutospacing="0"/>
              <w:ind w:left="0" w:right="0"/>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pct"/>
            <w:vAlign w:val="center"/>
          </w:tcPr>
          <w:p>
            <w:pPr>
              <w:pStyle w:val="24"/>
              <w:keepNext w:val="0"/>
              <w:keepLines w:val="0"/>
              <w:suppressLineNumbers w:val="0"/>
              <w:bidi w:val="0"/>
              <w:spacing w:before="0" w:beforeAutospacing="0" w:after="0" w:afterAutospacing="0"/>
              <w:ind w:left="0" w:right="0"/>
              <w:rPr>
                <w:rFonts w:hint="default"/>
                <w:color w:val="FF0000"/>
                <w:highlight w:val="none"/>
                <w:lang w:val="en-US" w:eastAsia="zh-CN"/>
              </w:rPr>
            </w:pPr>
            <w:r>
              <w:rPr>
                <w:rFonts w:hint="eastAsia"/>
                <w:color w:val="FF0000"/>
                <w:highlight w:val="none"/>
                <w:lang w:val="en-US" w:eastAsia="zh-CN"/>
              </w:rPr>
              <w:t>污染物排放管控</w:t>
            </w:r>
          </w:p>
        </w:tc>
        <w:tc>
          <w:tcPr>
            <w:tcW w:w="2849" w:type="pct"/>
            <w:vAlign w:val="center"/>
          </w:tcPr>
          <w:p>
            <w:pPr>
              <w:pStyle w:val="24"/>
              <w:keepNext w:val="0"/>
              <w:keepLines w:val="0"/>
              <w:suppressLineNumbers w:val="0"/>
              <w:bidi w:val="0"/>
              <w:spacing w:before="0" w:beforeAutospacing="0" w:after="0" w:afterAutospacing="0"/>
              <w:ind w:left="0" w:right="0"/>
              <w:jc w:val="left"/>
              <w:rPr>
                <w:rFonts w:hint="default"/>
                <w:color w:val="FF0000"/>
                <w:highlight w:val="none"/>
                <w:lang w:val="en-US" w:eastAsia="zh-CN"/>
              </w:rPr>
            </w:pPr>
            <w:r>
              <w:rPr>
                <w:rFonts w:hint="default"/>
                <w:color w:val="FF0000"/>
                <w:highlight w:val="none"/>
                <w:lang w:val="en-US" w:eastAsia="zh-CN"/>
              </w:rPr>
              <w:t>执行自治区总体准入要求中关于一般环境管控单元的准入要求（表2-4 A7.2）。</w:t>
            </w:r>
            <w:r>
              <w:rPr>
                <w:rFonts w:hint="eastAsia"/>
                <w:color w:val="FF0000"/>
                <w:highlight w:val="none"/>
                <w:lang w:val="en-US" w:eastAsia="zh-CN"/>
              </w:rPr>
              <w:t>具体为：落实污染物总量控制制度，根据区域环境质量改善目标，削减污染物排放总量。加强农业面源污染治理，严格控制化肥农药施加量，逐步削减农业面源污染物排放量。</w:t>
            </w:r>
          </w:p>
        </w:tc>
        <w:tc>
          <w:tcPr>
            <w:tcW w:w="1072" w:type="pct"/>
            <w:vAlign w:val="center"/>
          </w:tcPr>
          <w:p>
            <w:pPr>
              <w:pStyle w:val="24"/>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eastAsia" w:cs="Times New Roman"/>
                <w:color w:val="FF0000"/>
                <w:kern w:val="2"/>
                <w:sz w:val="21"/>
                <w:szCs w:val="21"/>
                <w:highlight w:val="none"/>
                <w:lang w:val="en-US" w:eastAsia="zh-CN" w:bidi="ar-SA"/>
              </w:rPr>
              <w:t>本项目为主要为施工期无组织排放扬尘，建议不设置总量控制指标。通过采取扬尘抑制措施，控制其对周围大气环境的影响。本项目污染地块治理，不涉及农业面源污染。</w:t>
            </w:r>
          </w:p>
        </w:tc>
        <w:tc>
          <w:tcPr>
            <w:tcW w:w="516" w:type="pct"/>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pct"/>
            <w:vAlign w:val="center"/>
          </w:tcPr>
          <w:p>
            <w:pPr>
              <w:pStyle w:val="24"/>
              <w:keepNext w:val="0"/>
              <w:keepLines w:val="0"/>
              <w:suppressLineNumbers w:val="0"/>
              <w:bidi w:val="0"/>
              <w:spacing w:before="0" w:beforeAutospacing="0" w:after="0" w:afterAutospacing="0"/>
              <w:ind w:left="0" w:right="0"/>
              <w:rPr>
                <w:rFonts w:hint="default"/>
                <w:color w:val="FF0000"/>
                <w:highlight w:val="none"/>
                <w:lang w:val="en-US" w:eastAsia="zh-CN"/>
              </w:rPr>
            </w:pPr>
            <w:r>
              <w:rPr>
                <w:rFonts w:hint="eastAsia"/>
                <w:color w:val="FF0000"/>
                <w:highlight w:val="none"/>
                <w:lang w:val="en-US" w:eastAsia="zh-CN"/>
              </w:rPr>
              <w:t>环境风险防控</w:t>
            </w:r>
          </w:p>
        </w:tc>
        <w:tc>
          <w:tcPr>
            <w:tcW w:w="2849" w:type="pct"/>
            <w:vAlign w:val="center"/>
          </w:tcPr>
          <w:p>
            <w:pPr>
              <w:pStyle w:val="24"/>
              <w:keepNext w:val="0"/>
              <w:keepLines w:val="0"/>
              <w:suppressLineNumbers w:val="0"/>
              <w:bidi w:val="0"/>
              <w:spacing w:before="0" w:beforeAutospacing="0" w:after="0" w:afterAutospacing="0"/>
              <w:ind w:left="0" w:right="0"/>
              <w:jc w:val="left"/>
              <w:rPr>
                <w:rFonts w:hint="eastAsia"/>
                <w:color w:val="FF0000"/>
                <w:highlight w:val="none"/>
                <w:lang w:val="en-US" w:eastAsia="zh-CN"/>
              </w:rPr>
            </w:pPr>
            <w:r>
              <w:rPr>
                <w:rFonts w:hint="default"/>
                <w:color w:val="FF0000"/>
                <w:highlight w:val="none"/>
                <w:lang w:val="en-US" w:eastAsia="zh-CN"/>
              </w:rPr>
              <w:t>执行自治区总体准入要求中关于一般环境管控单元的准入要求（表2-4 A7.3）。</w:t>
            </w:r>
            <w:r>
              <w:rPr>
                <w:rFonts w:hint="eastAsia"/>
                <w:color w:val="FF0000"/>
                <w:highlight w:val="none"/>
                <w:lang w:val="en-US" w:eastAsia="zh-CN"/>
              </w:rPr>
              <w:t>具体为：</w:t>
            </w:r>
          </w:p>
          <w:p>
            <w:pPr>
              <w:pStyle w:val="24"/>
              <w:keepNext w:val="0"/>
              <w:keepLines w:val="0"/>
              <w:suppressLineNumbers w:val="0"/>
              <w:bidi w:val="0"/>
              <w:spacing w:before="0" w:beforeAutospacing="0" w:after="0" w:afterAutospacing="0"/>
              <w:ind w:left="0" w:right="0"/>
              <w:jc w:val="left"/>
              <w:rPr>
                <w:rFonts w:hint="default"/>
                <w:color w:val="FF0000"/>
                <w:highlight w:val="none"/>
                <w:lang w:val="en-US" w:eastAsia="zh-CN"/>
              </w:rPr>
            </w:pPr>
            <w:r>
              <w:rPr>
                <w:rFonts w:hint="default"/>
                <w:color w:val="FF0000"/>
                <w:highlight w:val="none"/>
                <w:lang w:val="en-US" w:eastAsia="zh-CN"/>
              </w:rPr>
              <w:t>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1072" w:type="pct"/>
            <w:vAlign w:val="center"/>
          </w:tcPr>
          <w:p>
            <w:pPr>
              <w:pStyle w:val="24"/>
              <w:keepNext w:val="0"/>
              <w:keepLines w:val="0"/>
              <w:suppressLineNumbers w:val="0"/>
              <w:bidi w:val="0"/>
              <w:spacing w:before="0" w:beforeAutospacing="0" w:after="0" w:afterAutospacing="0"/>
              <w:ind w:left="0" w:right="0"/>
              <w:jc w:val="left"/>
              <w:rPr>
                <w:rFonts w:hint="default"/>
                <w:color w:val="FF0000"/>
                <w:highlight w:val="none"/>
                <w:lang w:val="en-US" w:eastAsia="zh-CN"/>
              </w:rPr>
            </w:pPr>
            <w:r>
              <w:rPr>
                <w:rFonts w:hint="eastAsia"/>
                <w:color w:val="FF0000"/>
                <w:highlight w:val="none"/>
                <w:lang w:val="en-US" w:eastAsia="zh-CN"/>
              </w:rPr>
              <w:t>本项目所治理采砂坑为工矿用地，本次即为治理倾倒灰渣以免持续对坑内土壤造成污染影响。</w:t>
            </w:r>
          </w:p>
        </w:tc>
        <w:tc>
          <w:tcPr>
            <w:tcW w:w="516" w:type="pct"/>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2" w:type="pct"/>
            <w:vAlign w:val="center"/>
          </w:tcPr>
          <w:p>
            <w:pPr>
              <w:pStyle w:val="24"/>
              <w:keepNext w:val="0"/>
              <w:keepLines w:val="0"/>
              <w:suppressLineNumbers w:val="0"/>
              <w:bidi w:val="0"/>
              <w:spacing w:before="0" w:beforeAutospacing="0" w:after="0" w:afterAutospacing="0"/>
              <w:ind w:left="0" w:right="0"/>
              <w:rPr>
                <w:rFonts w:hint="default"/>
                <w:color w:val="FF0000"/>
                <w:highlight w:val="none"/>
                <w:lang w:val="en-US" w:eastAsia="zh-CN"/>
              </w:rPr>
            </w:pPr>
            <w:r>
              <w:rPr>
                <w:rFonts w:hint="eastAsia"/>
                <w:color w:val="FF0000"/>
                <w:highlight w:val="none"/>
                <w:lang w:val="en-US" w:eastAsia="zh-CN"/>
              </w:rPr>
              <w:t>资源开发利用效率</w:t>
            </w:r>
          </w:p>
        </w:tc>
        <w:tc>
          <w:tcPr>
            <w:tcW w:w="2849" w:type="pct"/>
            <w:vAlign w:val="center"/>
          </w:tcPr>
          <w:p>
            <w:pPr>
              <w:pStyle w:val="24"/>
              <w:keepNext w:val="0"/>
              <w:keepLines w:val="0"/>
              <w:suppressLineNumbers w:val="0"/>
              <w:bidi w:val="0"/>
              <w:spacing w:before="0" w:beforeAutospacing="0" w:after="0" w:afterAutospacing="0"/>
              <w:ind w:left="0" w:right="0"/>
              <w:jc w:val="left"/>
              <w:rPr>
                <w:rFonts w:hint="default"/>
                <w:color w:val="FF0000"/>
                <w:highlight w:val="none"/>
                <w:lang w:val="en-US" w:eastAsia="zh-CN"/>
              </w:rPr>
            </w:pPr>
            <w:r>
              <w:rPr>
                <w:rFonts w:hint="default"/>
                <w:color w:val="FF0000"/>
                <w:highlight w:val="none"/>
                <w:lang w:val="en-US" w:eastAsia="zh-CN"/>
              </w:rPr>
              <w:t>执行自治区总体准入要求中关于一般环境管控单元的准入要求（表2-4 A7.4）。</w:t>
            </w:r>
            <w:r>
              <w:rPr>
                <w:rFonts w:hint="eastAsia"/>
                <w:color w:val="FF0000"/>
                <w:highlight w:val="none"/>
                <w:lang w:val="en-US" w:eastAsia="zh-CN"/>
              </w:rPr>
              <w:t>具体为：实行水资源消耗总量和强度双控，推进农业节水，提高农业用水效率。优化能源结构，加强能源清洁利用。</w:t>
            </w:r>
          </w:p>
        </w:tc>
        <w:tc>
          <w:tcPr>
            <w:tcW w:w="1072" w:type="pct"/>
            <w:vAlign w:val="center"/>
          </w:tcPr>
          <w:p>
            <w:pPr>
              <w:pStyle w:val="24"/>
              <w:keepNext w:val="0"/>
              <w:keepLines w:val="0"/>
              <w:suppressLineNumbers w:val="0"/>
              <w:bidi w:val="0"/>
              <w:spacing w:before="0" w:beforeAutospacing="0" w:after="0" w:afterAutospacing="0"/>
              <w:ind w:left="0" w:right="0"/>
              <w:jc w:val="left"/>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不涉及前述情景。</w:t>
            </w:r>
          </w:p>
        </w:tc>
        <w:tc>
          <w:tcPr>
            <w:tcW w:w="516" w:type="pct"/>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highlight w:val="none"/>
                <w:lang w:val="en-US" w:eastAsia="zh-CN"/>
              </w:rPr>
            </w:pPr>
            <w:r>
              <w:rPr>
                <w:rFonts w:hint="eastAsia" w:cs="Times New Roman"/>
                <w:color w:val="FF0000"/>
                <w:highlight w:val="none"/>
                <w:lang w:val="en-US" w:eastAsia="zh-CN"/>
              </w:rPr>
              <w:t>/</w:t>
            </w:r>
          </w:p>
        </w:tc>
      </w:tr>
    </w:tbl>
    <w:p>
      <w:pPr>
        <w:pStyle w:val="5"/>
        <w:bidi w:val="0"/>
        <w:rPr>
          <w:rFonts w:hint="eastAsia"/>
          <w:color w:val="auto"/>
          <w:highlight w:val="none"/>
        </w:rPr>
      </w:pPr>
      <w:bookmarkStart w:id="20" w:name="_Toc29886"/>
      <w:bookmarkStart w:id="21" w:name="_Toc18569"/>
      <w:r>
        <w:rPr>
          <w:rFonts w:hint="eastAsia"/>
          <w:color w:val="auto"/>
          <w:highlight w:val="none"/>
          <w:lang w:val="en-US" w:eastAsia="zh-CN"/>
        </w:rPr>
        <w:t>关注的主要环境问题及环境影响</w:t>
      </w:r>
      <w:bookmarkEnd w:id="20"/>
      <w:bookmarkEnd w:id="21"/>
    </w:p>
    <w:p>
      <w:pPr>
        <w:pStyle w:val="4"/>
        <w:ind w:firstLine="480"/>
        <w:rPr>
          <w:color w:val="auto"/>
          <w:highlight w:val="none"/>
        </w:rPr>
      </w:pPr>
      <w:r>
        <w:rPr>
          <w:color w:val="auto"/>
          <w:highlight w:val="none"/>
        </w:rPr>
        <w:t>根据主要污染物产生情况，结合周围环境保护目标及区域环境管理要求，本次评价主要关注以下几方面环境问题：</w:t>
      </w:r>
    </w:p>
    <w:p>
      <w:pPr>
        <w:pStyle w:val="4"/>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固体废物装卸车、填埋</w:t>
      </w:r>
      <w:r>
        <w:rPr>
          <w:rFonts w:hint="eastAsia"/>
          <w:color w:val="auto"/>
          <w:highlight w:val="none"/>
          <w:lang w:val="en-US" w:eastAsia="zh-CN"/>
        </w:rPr>
        <w:t>和堆放</w:t>
      </w:r>
      <w:r>
        <w:rPr>
          <w:rFonts w:hint="eastAsia"/>
          <w:color w:val="auto"/>
          <w:highlight w:val="none"/>
        </w:rPr>
        <w:t>过程产生扬尘污染</w:t>
      </w:r>
      <w:r>
        <w:rPr>
          <w:rFonts w:hint="eastAsia"/>
          <w:color w:val="auto"/>
          <w:highlight w:val="none"/>
          <w:lang w:val="en-US" w:eastAsia="zh-CN"/>
        </w:rPr>
        <w:t>大气环境</w:t>
      </w:r>
      <w:r>
        <w:rPr>
          <w:rFonts w:hint="eastAsia"/>
          <w:color w:val="auto"/>
          <w:highlight w:val="none"/>
        </w:rPr>
        <w:t>。</w:t>
      </w:r>
    </w:p>
    <w:p>
      <w:pPr>
        <w:pStyle w:val="4"/>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rPr>
        <w:t>装卸过程产生机械噪声</w:t>
      </w:r>
      <w:r>
        <w:rPr>
          <w:rFonts w:hint="eastAsia"/>
          <w:color w:val="auto"/>
          <w:highlight w:val="none"/>
          <w:lang w:val="en-US" w:eastAsia="zh-CN"/>
        </w:rPr>
        <w:t>对周围声环境的影响</w:t>
      </w:r>
      <w:r>
        <w:rPr>
          <w:rFonts w:hint="eastAsia"/>
          <w:color w:val="auto"/>
          <w:highlight w:val="none"/>
        </w:rPr>
        <w:t>。</w:t>
      </w:r>
    </w:p>
    <w:p>
      <w:pPr>
        <w:pStyle w:val="4"/>
        <w:ind w:firstLine="480"/>
        <w:rPr>
          <w:color w:val="auto"/>
          <w:highlight w:val="none"/>
        </w:rPr>
      </w:pPr>
      <w:r>
        <w:rPr>
          <w:rFonts w:hint="eastAsia"/>
          <w:color w:val="auto"/>
          <w:highlight w:val="none"/>
          <w:lang w:eastAsia="zh-CN"/>
        </w:rPr>
        <w:t>（</w:t>
      </w:r>
      <w:r>
        <w:rPr>
          <w:rFonts w:hint="eastAsia"/>
          <w:color w:val="auto"/>
          <w:highlight w:val="none"/>
          <w:lang w:val="en-US" w:eastAsia="zh-CN"/>
        </w:rPr>
        <w:t>3）事故状态下渗漏液对地下水和土壤造成污染</w:t>
      </w:r>
      <w:r>
        <w:rPr>
          <w:rFonts w:hint="eastAsia"/>
          <w:color w:val="auto"/>
          <w:highlight w:val="none"/>
        </w:rPr>
        <w:t>。</w:t>
      </w:r>
    </w:p>
    <w:p>
      <w:pPr>
        <w:pStyle w:val="4"/>
        <w:ind w:firstLine="48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5）封场后持续关注渗滤液对地下水环境污染情况。</w:t>
      </w:r>
    </w:p>
    <w:p>
      <w:pPr>
        <w:pStyle w:val="5"/>
        <w:bidi w:val="0"/>
        <w:rPr>
          <w:rFonts w:hint="eastAsia"/>
          <w:color w:val="auto"/>
          <w:highlight w:val="none"/>
        </w:rPr>
      </w:pPr>
      <w:bookmarkStart w:id="22" w:name="_Toc19475"/>
      <w:bookmarkStart w:id="23" w:name="_Toc19955"/>
      <w:r>
        <w:rPr>
          <w:rFonts w:hint="eastAsia"/>
          <w:color w:val="auto"/>
          <w:highlight w:val="none"/>
          <w:lang w:val="en-US" w:eastAsia="zh-CN"/>
        </w:rPr>
        <w:t>环境影响评价主要结论</w:t>
      </w:r>
      <w:bookmarkEnd w:id="22"/>
      <w:bookmarkEnd w:id="23"/>
    </w:p>
    <w:p>
      <w:pPr>
        <w:pStyle w:val="4"/>
        <w:rPr>
          <w:rFonts w:hint="eastAsia"/>
          <w:color w:val="auto"/>
          <w:highlight w:val="none"/>
          <w:lang w:val="en-US" w:eastAsia="zh-CN"/>
        </w:rPr>
      </w:pPr>
      <w:r>
        <w:rPr>
          <w:rFonts w:hint="eastAsia"/>
          <w:color w:val="auto"/>
          <w:highlight w:val="none"/>
        </w:rPr>
        <w:t>本项目</w:t>
      </w:r>
      <w:r>
        <w:rPr>
          <w:rFonts w:hint="default" w:cs="Times New Roman"/>
          <w:color w:val="auto"/>
          <w:highlight w:val="none"/>
          <w:lang w:val="en-US" w:eastAsia="zh-CN"/>
        </w:rPr>
        <w:t>通过修建</w:t>
      </w:r>
      <w:r>
        <w:rPr>
          <w:rFonts w:hint="eastAsia" w:cs="Times New Roman"/>
          <w:color w:val="auto"/>
          <w:highlight w:val="none"/>
          <w:lang w:val="en-US" w:eastAsia="zh-CN"/>
        </w:rPr>
        <w:t>坑底及坡面防渗层</w:t>
      </w:r>
      <w:r>
        <w:rPr>
          <w:rFonts w:hint="eastAsia"/>
          <w:color w:val="auto"/>
          <w:highlight w:val="none"/>
          <w:lang w:eastAsia="zh-CN"/>
        </w:rPr>
        <w:t>，</w:t>
      </w:r>
      <w:r>
        <w:rPr>
          <w:rFonts w:hint="eastAsia"/>
          <w:color w:val="auto"/>
          <w:highlight w:val="none"/>
          <w:lang w:val="en-US" w:eastAsia="zh-CN"/>
        </w:rPr>
        <w:t>利用本次非法倾倒灰渣回填采砂坑，实现合理处置本次非法倾倒粉煤灰</w:t>
      </w:r>
      <w:r>
        <w:rPr>
          <w:rFonts w:hint="eastAsia"/>
          <w:color w:val="auto"/>
          <w:highlight w:val="none"/>
          <w:lang w:eastAsia="zh-CN"/>
        </w:rPr>
        <w:t>。</w:t>
      </w:r>
      <w:r>
        <w:rPr>
          <w:rFonts w:hint="eastAsia" w:cs="Times New Roman"/>
          <w:color w:val="auto"/>
          <w:highlight w:val="none"/>
          <w:lang w:val="en-US" w:eastAsia="zh-CN"/>
        </w:rPr>
        <w:t>项目对环境的影响主要表现在填埋作业扬尘污染大气、渗漏液事故状态下污染土壤和地下水，通过预测与分析，本次环评针对项目各阶段可能产生的生态环境影响问题，提出了一系列保护与治理措施，使项目对环境各要素污染影响满足相关环境保护标准要求，环境影响可以接受。本</w:t>
      </w:r>
      <w:r>
        <w:rPr>
          <w:rFonts w:hint="eastAsia"/>
          <w:color w:val="auto"/>
          <w:highlight w:val="none"/>
        </w:rPr>
        <w:t>项目的建设符合</w:t>
      </w:r>
      <w:r>
        <w:rPr>
          <w:rFonts w:hint="eastAsia"/>
          <w:color w:val="auto"/>
          <w:highlight w:val="none"/>
          <w:lang w:val="en-US" w:eastAsia="zh-CN"/>
        </w:rPr>
        <w:t>国家和地方的</w:t>
      </w:r>
      <w:r>
        <w:rPr>
          <w:rFonts w:hint="eastAsia"/>
          <w:color w:val="auto"/>
          <w:highlight w:val="none"/>
        </w:rPr>
        <w:t>相关产业政策和规划</w:t>
      </w:r>
      <w:r>
        <w:rPr>
          <w:rFonts w:hint="eastAsia"/>
          <w:color w:val="auto"/>
          <w:highlight w:val="none"/>
          <w:lang w:val="zh-CN"/>
        </w:rPr>
        <w:t>，</w:t>
      </w:r>
      <w:r>
        <w:rPr>
          <w:rFonts w:hint="eastAsia"/>
          <w:color w:val="auto"/>
          <w:highlight w:val="none"/>
        </w:rPr>
        <w:t>项目</w:t>
      </w:r>
      <w:r>
        <w:rPr>
          <w:color w:val="auto"/>
          <w:highlight w:val="none"/>
        </w:rPr>
        <w:t>在认真落实报告书提出的各项</w:t>
      </w:r>
      <w:r>
        <w:rPr>
          <w:rFonts w:hint="eastAsia"/>
          <w:color w:val="auto"/>
          <w:highlight w:val="none"/>
          <w:lang w:val="en-US" w:eastAsia="zh-CN"/>
        </w:rPr>
        <w:t>污染治理、</w:t>
      </w:r>
      <w:r>
        <w:rPr>
          <w:color w:val="auto"/>
          <w:highlight w:val="none"/>
        </w:rPr>
        <w:t>环</w:t>
      </w:r>
      <w:r>
        <w:rPr>
          <w:rFonts w:hint="eastAsia"/>
          <w:color w:val="auto"/>
          <w:highlight w:val="none"/>
          <w:lang w:val="en-US" w:eastAsia="zh-CN"/>
        </w:rPr>
        <w:t>境</w:t>
      </w:r>
      <w:r>
        <w:rPr>
          <w:color w:val="auto"/>
          <w:highlight w:val="none"/>
        </w:rPr>
        <w:t>保</w:t>
      </w:r>
      <w:r>
        <w:rPr>
          <w:rFonts w:hint="eastAsia"/>
          <w:color w:val="auto"/>
          <w:highlight w:val="none"/>
          <w:lang w:val="en-US" w:eastAsia="zh-CN"/>
        </w:rPr>
        <w:t>护、生态恢复</w:t>
      </w:r>
      <w:r>
        <w:rPr>
          <w:color w:val="auto"/>
          <w:highlight w:val="none"/>
        </w:rPr>
        <w:t>、环境风险防范措施</w:t>
      </w:r>
      <w:r>
        <w:rPr>
          <w:rFonts w:hint="eastAsia"/>
          <w:color w:val="auto"/>
          <w:highlight w:val="none"/>
          <w:lang w:val="en-US" w:eastAsia="zh-CN"/>
        </w:rPr>
        <w:t>要求</w:t>
      </w:r>
      <w:r>
        <w:rPr>
          <w:color w:val="auto"/>
          <w:highlight w:val="none"/>
        </w:rPr>
        <w:t>，严格执行环保</w:t>
      </w:r>
      <w:r>
        <w:rPr>
          <w:rFonts w:hint="eastAsia"/>
          <w:color w:val="auto"/>
          <w:highlight w:val="none"/>
        </w:rPr>
        <w:t>“</w:t>
      </w:r>
      <w:r>
        <w:rPr>
          <w:color w:val="auto"/>
          <w:highlight w:val="none"/>
        </w:rPr>
        <w:t>三同时</w:t>
      </w:r>
      <w:r>
        <w:rPr>
          <w:rFonts w:hint="eastAsia"/>
          <w:color w:val="auto"/>
          <w:highlight w:val="none"/>
        </w:rPr>
        <w:t>”</w:t>
      </w:r>
      <w:r>
        <w:rPr>
          <w:color w:val="auto"/>
          <w:highlight w:val="none"/>
        </w:rPr>
        <w:t>制度</w:t>
      </w:r>
      <w:r>
        <w:rPr>
          <w:rFonts w:hint="eastAsia"/>
          <w:color w:val="auto"/>
          <w:highlight w:val="none"/>
          <w:lang w:val="en-US" w:eastAsia="zh-CN"/>
        </w:rPr>
        <w:t>并</w:t>
      </w:r>
      <w:r>
        <w:rPr>
          <w:color w:val="auto"/>
          <w:highlight w:val="none"/>
        </w:rPr>
        <w:t>加强环境管理</w:t>
      </w:r>
      <w:r>
        <w:rPr>
          <w:rFonts w:hint="eastAsia"/>
          <w:color w:val="auto"/>
          <w:highlight w:val="none"/>
          <w:lang w:val="en-US" w:eastAsia="zh-CN"/>
        </w:rPr>
        <w:t>的前提下</w:t>
      </w:r>
      <w:r>
        <w:rPr>
          <w:color w:val="auto"/>
          <w:highlight w:val="none"/>
        </w:rPr>
        <w:t>，从环境保护角度分析，项目建设可行。</w:t>
      </w:r>
    </w:p>
    <w:p>
      <w:pPr>
        <w:pStyle w:val="4"/>
        <w:ind w:firstLine="480"/>
        <w:rPr>
          <w:rFonts w:hint="eastAsia"/>
          <w:color w:val="auto"/>
          <w:highlight w:val="none"/>
        </w:rPr>
      </w:pPr>
    </w:p>
    <w:p>
      <w:pPr>
        <w:pStyle w:val="3"/>
        <w:bidi w:val="0"/>
        <w:rPr>
          <w:rFonts w:hint="eastAsia"/>
          <w:color w:val="auto"/>
          <w:highlight w:val="none"/>
        </w:rPr>
      </w:pPr>
      <w:bookmarkStart w:id="24" w:name="_Toc2177"/>
      <w:bookmarkStart w:id="25" w:name="_Toc4150"/>
      <w:r>
        <w:rPr>
          <w:rFonts w:hint="eastAsia"/>
          <w:color w:val="auto"/>
          <w:highlight w:val="none"/>
          <w:lang w:val="en-US" w:eastAsia="zh-CN"/>
        </w:rPr>
        <w:t>总则</w:t>
      </w:r>
      <w:bookmarkEnd w:id="24"/>
      <w:bookmarkEnd w:id="25"/>
    </w:p>
    <w:p>
      <w:pPr>
        <w:pStyle w:val="5"/>
        <w:bidi w:val="0"/>
        <w:rPr>
          <w:rFonts w:hint="eastAsia"/>
          <w:color w:val="auto"/>
          <w:highlight w:val="none"/>
        </w:rPr>
      </w:pPr>
      <w:bookmarkStart w:id="26" w:name="_Toc15960"/>
      <w:bookmarkStart w:id="27" w:name="_Toc15016"/>
      <w:r>
        <w:rPr>
          <w:rFonts w:hint="eastAsia"/>
          <w:color w:val="auto"/>
          <w:highlight w:val="none"/>
          <w:lang w:val="en-US" w:eastAsia="zh-CN"/>
        </w:rPr>
        <w:t>编制依据</w:t>
      </w:r>
      <w:bookmarkEnd w:id="26"/>
      <w:bookmarkEnd w:id="27"/>
    </w:p>
    <w:p>
      <w:pPr>
        <w:pStyle w:val="6"/>
        <w:bidi w:val="0"/>
        <w:rPr>
          <w:rFonts w:hint="eastAsia"/>
          <w:color w:val="auto"/>
          <w:highlight w:val="none"/>
        </w:rPr>
      </w:pPr>
      <w:r>
        <w:rPr>
          <w:rFonts w:hint="eastAsia"/>
          <w:color w:val="auto"/>
          <w:highlight w:val="none"/>
          <w:lang w:val="en-US" w:eastAsia="zh-CN"/>
        </w:rPr>
        <w:t>法律依据</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《中华人民共和国环境保护法》（2015年1月1日）；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《中华人民共和国环境影响评价法》（2018年12月29日）；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《中华人民共和国水污染防治法》（2018年1月1日）；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《中华人民共和国大气污染防治法》（2018年10月26日）；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《中华人民共和国土壤污染防治法》（2019年1月1日）；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《中华人民共和国环境噪声污染防治法》（2018年12月29日）；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《中华人民共和国固体废物污染环境防治法》（2020年</w:t>
      </w:r>
      <w:r>
        <w:rPr>
          <w:rFonts w:hint="eastAsia"/>
          <w:color w:val="auto"/>
          <w:highlight w:val="none"/>
          <w:lang w:val="en-US" w:eastAsia="zh-CN"/>
        </w:rPr>
        <w:t>9</w:t>
      </w:r>
      <w:r>
        <w:rPr>
          <w:rFonts w:hint="eastAsia" w:ascii="Times New Roman" w:hAnsi="Times New Roman" w:eastAsia="宋体"/>
          <w:color w:val="auto"/>
          <w:highlight w:val="none"/>
          <w:lang w:val="en-US" w:eastAsia="zh-CN"/>
        </w:rPr>
        <w:t>月</w:t>
      </w:r>
      <w:r>
        <w:rPr>
          <w:rFonts w:hint="eastAsia"/>
          <w:color w:val="auto"/>
          <w:highlight w:val="none"/>
          <w:lang w:val="en-US" w:eastAsia="zh-CN"/>
        </w:rPr>
        <w:t>1</w:t>
      </w:r>
      <w:r>
        <w:rPr>
          <w:rFonts w:hint="eastAsia" w:ascii="Times New Roman" w:hAnsi="Times New Roman" w:eastAsia="宋体"/>
          <w:color w:val="auto"/>
          <w:highlight w:val="none"/>
          <w:lang w:val="en-US" w:eastAsia="zh-CN"/>
        </w:rPr>
        <w:t>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《中华人民共和国水法》（2016年7月2日）；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w:t>
      </w:r>
      <w:r>
        <w:rPr>
          <w:rFonts w:hint="eastAsia"/>
          <w:color w:val="auto"/>
          <w:highlight w:val="none"/>
          <w:lang w:val="en-US" w:eastAsia="zh-CN"/>
        </w:rPr>
        <w:t>水土保持法</w:t>
      </w:r>
      <w:r>
        <w:rPr>
          <w:rFonts w:hint="eastAsia" w:ascii="Times New Roman" w:hAnsi="Times New Roman" w:eastAsia="宋体"/>
          <w:color w:val="auto"/>
          <w:highlight w:val="none"/>
          <w:lang w:val="en-US" w:eastAsia="zh-CN"/>
        </w:rPr>
        <w:t>》（201</w:t>
      </w:r>
      <w:r>
        <w:rPr>
          <w:rFonts w:hint="eastAsia"/>
          <w:color w:val="auto"/>
          <w:highlight w:val="none"/>
          <w:lang w:val="en-US" w:eastAsia="zh-CN"/>
        </w:rPr>
        <w:t>0</w:t>
      </w:r>
      <w:r>
        <w:rPr>
          <w:rFonts w:hint="eastAsia" w:ascii="Times New Roman" w:hAnsi="Times New Roman" w:eastAsia="宋体"/>
          <w:color w:val="auto"/>
          <w:highlight w:val="none"/>
          <w:lang w:val="en-US" w:eastAsia="zh-CN"/>
        </w:rPr>
        <w:t>年</w:t>
      </w:r>
      <w:r>
        <w:rPr>
          <w:rFonts w:hint="eastAsia"/>
          <w:color w:val="auto"/>
          <w:highlight w:val="none"/>
          <w:lang w:val="en-US" w:eastAsia="zh-CN"/>
        </w:rPr>
        <w:t>12</w:t>
      </w:r>
      <w:r>
        <w:rPr>
          <w:rFonts w:hint="eastAsia" w:ascii="Times New Roman" w:hAnsi="Times New Roman" w:eastAsia="宋体"/>
          <w:color w:val="auto"/>
          <w:highlight w:val="none"/>
          <w:lang w:val="en-US" w:eastAsia="zh-CN"/>
        </w:rPr>
        <w:t>月</w:t>
      </w:r>
      <w:r>
        <w:rPr>
          <w:rFonts w:hint="eastAsia"/>
          <w:color w:val="auto"/>
          <w:highlight w:val="none"/>
          <w:lang w:val="en-US" w:eastAsia="zh-CN"/>
        </w:rPr>
        <w:t>25</w:t>
      </w:r>
      <w:r>
        <w:rPr>
          <w:rFonts w:hint="eastAsia" w:ascii="Times New Roman" w:hAnsi="Times New Roman" w:eastAsia="宋体"/>
          <w:color w:val="auto"/>
          <w:highlight w:val="none"/>
          <w:lang w:val="en-US" w:eastAsia="zh-CN"/>
        </w:rPr>
        <w:t>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w:t>
      </w:r>
      <w:r>
        <w:rPr>
          <w:rFonts w:hint="eastAsia"/>
          <w:color w:val="auto"/>
          <w:highlight w:val="none"/>
          <w:lang w:val="en-US" w:eastAsia="zh-CN"/>
        </w:rPr>
        <w:t>野生动物保护</w:t>
      </w:r>
      <w:r>
        <w:rPr>
          <w:rFonts w:hint="eastAsia" w:ascii="Times New Roman" w:hAnsi="Times New Roman" w:eastAsia="宋体"/>
          <w:color w:val="auto"/>
          <w:highlight w:val="none"/>
          <w:lang w:val="en-US" w:eastAsia="zh-CN"/>
        </w:rPr>
        <w:t>》（2018年10月26日）；</w:t>
      </w:r>
    </w:p>
    <w:p>
      <w:pPr>
        <w:pStyle w:val="4"/>
        <w:keepNext w:val="0"/>
        <w:keepLines w:val="0"/>
        <w:pageBreakBefore w:val="0"/>
        <w:widowControl w:val="0"/>
        <w:numPr>
          <w:ilvl w:val="0"/>
          <w:numId w:val="2"/>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《中华人民共和国</w:t>
      </w:r>
      <w:r>
        <w:rPr>
          <w:rFonts w:hint="eastAsia"/>
          <w:color w:val="auto"/>
          <w:highlight w:val="none"/>
          <w:lang w:val="en-US" w:eastAsia="zh-CN"/>
        </w:rPr>
        <w:t>矿产资源法</w:t>
      </w:r>
      <w:r>
        <w:rPr>
          <w:rFonts w:hint="eastAsia" w:ascii="Times New Roman" w:hAnsi="Times New Roman" w:eastAsia="宋体"/>
          <w:color w:val="auto"/>
          <w:highlight w:val="none"/>
          <w:lang w:val="en-US" w:eastAsia="zh-CN"/>
        </w:rPr>
        <w:t>》（20</w:t>
      </w:r>
      <w:r>
        <w:rPr>
          <w:rFonts w:hint="eastAsia"/>
          <w:color w:val="auto"/>
          <w:highlight w:val="none"/>
          <w:lang w:val="en-US" w:eastAsia="zh-CN"/>
        </w:rPr>
        <w:t>09</w:t>
      </w:r>
      <w:r>
        <w:rPr>
          <w:rFonts w:hint="eastAsia" w:ascii="Times New Roman" w:hAnsi="Times New Roman" w:eastAsia="宋体"/>
          <w:color w:val="auto"/>
          <w:highlight w:val="none"/>
          <w:lang w:val="en-US" w:eastAsia="zh-CN"/>
        </w:rPr>
        <w:t>年</w:t>
      </w:r>
      <w:r>
        <w:rPr>
          <w:rFonts w:hint="eastAsia"/>
          <w:color w:val="auto"/>
          <w:highlight w:val="none"/>
          <w:lang w:val="en-US" w:eastAsia="zh-CN"/>
        </w:rPr>
        <w:t>8</w:t>
      </w:r>
      <w:r>
        <w:rPr>
          <w:rFonts w:hint="eastAsia" w:ascii="Times New Roman" w:hAnsi="Times New Roman" w:eastAsia="宋体"/>
          <w:color w:val="auto"/>
          <w:highlight w:val="none"/>
          <w:lang w:val="en-US" w:eastAsia="zh-CN"/>
        </w:rPr>
        <w:t>月</w:t>
      </w:r>
      <w:r>
        <w:rPr>
          <w:rFonts w:hint="eastAsia"/>
          <w:color w:val="auto"/>
          <w:highlight w:val="none"/>
          <w:lang w:val="en-US" w:eastAsia="zh-CN"/>
        </w:rPr>
        <w:t>27</w:t>
      </w:r>
      <w:r>
        <w:rPr>
          <w:rFonts w:hint="eastAsia" w:ascii="Times New Roman" w:hAnsi="Times New Roman" w:eastAsia="宋体"/>
          <w:color w:val="auto"/>
          <w:highlight w:val="none"/>
          <w:lang w:val="en-US" w:eastAsia="zh-CN"/>
        </w:rPr>
        <w:t>日）。</w:t>
      </w:r>
    </w:p>
    <w:p>
      <w:pPr>
        <w:pStyle w:val="6"/>
        <w:bidi w:val="0"/>
        <w:rPr>
          <w:rFonts w:hint="eastAsia"/>
          <w:color w:val="auto"/>
          <w:highlight w:val="none"/>
        </w:rPr>
      </w:pPr>
      <w:r>
        <w:rPr>
          <w:rFonts w:hint="eastAsia"/>
          <w:color w:val="auto"/>
          <w:highlight w:val="none"/>
          <w:lang w:val="en-US" w:eastAsia="zh-CN"/>
        </w:rPr>
        <w:t>部门规章</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《建设项目环境影响评价分类管理名录</w:t>
      </w:r>
      <w:r>
        <w:rPr>
          <w:rFonts w:hint="eastAsia"/>
          <w:color w:val="auto"/>
          <w:highlight w:val="none"/>
          <w:lang w:val="en-US" w:eastAsia="zh-CN"/>
        </w:rPr>
        <w:t>（2021年版）</w:t>
      </w:r>
      <w:r>
        <w:rPr>
          <w:rFonts w:hint="eastAsia" w:ascii="Times New Roman" w:hAnsi="Times New Roman" w:eastAsia="宋体"/>
          <w:color w:val="auto"/>
          <w:highlight w:val="none"/>
          <w:lang w:val="en-US" w:eastAsia="zh-CN"/>
        </w:rPr>
        <w:t>》（20</w:t>
      </w:r>
      <w:r>
        <w:rPr>
          <w:rFonts w:hint="eastAsia"/>
          <w:color w:val="auto"/>
          <w:highlight w:val="none"/>
          <w:lang w:val="en-US" w:eastAsia="zh-CN"/>
        </w:rPr>
        <w:t>21</w:t>
      </w:r>
      <w:r>
        <w:rPr>
          <w:rFonts w:hint="eastAsia" w:ascii="Times New Roman" w:hAnsi="Times New Roman" w:eastAsia="宋体"/>
          <w:color w:val="auto"/>
          <w:highlight w:val="none"/>
          <w:lang w:val="en-US" w:eastAsia="zh-CN"/>
        </w:rPr>
        <w:t>年</w:t>
      </w:r>
      <w:r>
        <w:rPr>
          <w:rFonts w:hint="eastAsia"/>
          <w:color w:val="auto"/>
          <w:highlight w:val="none"/>
          <w:lang w:val="en-US" w:eastAsia="zh-CN"/>
        </w:rPr>
        <w:t>1</w:t>
      </w:r>
      <w:r>
        <w:rPr>
          <w:rFonts w:hint="eastAsia" w:ascii="Times New Roman" w:hAnsi="Times New Roman" w:eastAsia="宋体"/>
          <w:color w:val="auto"/>
          <w:highlight w:val="none"/>
          <w:lang w:val="en-US" w:eastAsia="zh-CN"/>
        </w:rPr>
        <w:t>月1日）；</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《建设项目环境保护管理条例》（2017年10月1日）；</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《国务院关于印发大气污染防治行动计划的通知》（国发〔2013〕37号）；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《国务院关于印发打赢蓝天保卫战三年行动计划的通知》（国发〔2018〕22号）；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《国务院关于印发水污染防治行动计划的通知》（国发〔2015〕17号）；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《国务院关于印发土壤污染防治行动计划的通知》（国发〔2016〕31号）；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《污染地块土壤环境管理办法（试行）》（2017年7月1日）；</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《大宗固体废物综合利用实施方案》</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eastAsia="zh-CN"/>
        </w:rPr>
        <w:t>国家发展和改革委员会，2011</w:t>
      </w:r>
      <w:r>
        <w:rPr>
          <w:rFonts w:hint="eastAsia" w:ascii="Times New Roman" w:hAnsi="Times New Roman" w:eastAsia="宋体"/>
          <w:color w:val="auto"/>
          <w:highlight w:val="none"/>
          <w:lang w:val="en-US" w:eastAsia="zh-CN"/>
        </w:rPr>
        <w:t>年</w:t>
      </w:r>
      <w:r>
        <w:rPr>
          <w:rFonts w:hint="default" w:ascii="Times New Roman" w:hAnsi="Times New Roman" w:eastAsia="宋体"/>
          <w:color w:val="auto"/>
          <w:highlight w:val="none"/>
          <w:lang w:val="en-US" w:eastAsia="zh-CN"/>
        </w:rPr>
        <w:t>12</w:t>
      </w:r>
      <w:r>
        <w:rPr>
          <w:rFonts w:hint="eastAsia" w:ascii="Times New Roman" w:hAnsi="Times New Roman" w:eastAsia="宋体"/>
          <w:color w:val="auto"/>
          <w:highlight w:val="none"/>
          <w:lang w:val="en-US" w:eastAsia="zh-CN"/>
        </w:rPr>
        <w:t>月</w:t>
      </w:r>
      <w:r>
        <w:rPr>
          <w:rFonts w:hint="default" w:ascii="Times New Roman" w:hAnsi="Times New Roman" w:eastAsia="宋体"/>
          <w:color w:val="auto"/>
          <w:highlight w:val="none"/>
          <w:lang w:val="en-US" w:eastAsia="zh-CN"/>
        </w:rPr>
        <w:t>10</w:t>
      </w:r>
      <w:r>
        <w:rPr>
          <w:rFonts w:hint="eastAsia" w:ascii="Times New Roman" w:hAnsi="Times New Roman" w:eastAsia="宋体"/>
          <w:color w:val="auto"/>
          <w:highlight w:val="none"/>
          <w:lang w:val="en-US" w:eastAsia="zh-CN"/>
        </w:rPr>
        <w:t>日）；</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《中共中央国务院关于加快推进生态文明建设的意见》（2015年4月25日）；</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《国务院关于印发全国生态环境保护纲要的通知》（国发〔2000〕38号）；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《产业结构调整指导目录（2019年本）》（国家发改委令第29号）；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《环境影响评价公众参与办法》（2019年1月1日）；</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《关于印发&lt;建设项目环境影响评价信息公开机制方案&gt;的通知》（环发〔2015〕162号）；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《关于进一步加强环境影响评价管理防范环境风险的通知》（环发〔2012〕77号）；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《关于印发&lt;突发环境事件应急预案管理暂行办法&gt;的通知》（环发〔2010〕113号）；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《关于加强环境应急管理工作的意见》（环发〔2009〕130号）；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《关于切实加强风险防范严格环境影响评价管理的通知》（环发〔2012〕98号）；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《国务院关于加快发展循环经济的若干意见》（国发〔2002〕22号，2005年7月2日）；</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《国家危险废物名录</w:t>
      </w:r>
      <w:r>
        <w:rPr>
          <w:rFonts w:hint="eastAsia"/>
          <w:color w:val="auto"/>
          <w:highlight w:val="none"/>
          <w:lang w:val="en-US" w:eastAsia="zh-CN"/>
        </w:rPr>
        <w:t>（2021版）</w:t>
      </w:r>
      <w:r>
        <w:rPr>
          <w:rFonts w:hint="eastAsia" w:ascii="Times New Roman" w:hAnsi="Times New Roman" w:eastAsia="宋体"/>
          <w:color w:val="auto"/>
          <w:highlight w:val="none"/>
          <w:lang w:val="en-US" w:eastAsia="zh-CN"/>
        </w:rPr>
        <w:t>》</w:t>
      </w:r>
      <w:r>
        <w:rPr>
          <w:rFonts w:hint="eastAsia"/>
          <w:color w:val="auto"/>
          <w:highlight w:val="none"/>
          <w:lang w:val="en-US" w:eastAsia="zh-CN"/>
        </w:rPr>
        <w:t>（2021年1月1日）</w:t>
      </w:r>
      <w:r>
        <w:rPr>
          <w:rFonts w:hint="eastAsia" w:ascii="Times New Roman" w:hAnsi="Times New Roman" w:eastAsia="宋体"/>
          <w:color w:val="auto"/>
          <w:highlight w:val="none"/>
          <w:lang w:val="en-US" w:eastAsia="zh-CN"/>
        </w:rPr>
        <w:t>；</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《关于发布&lt;环境空气质量标准&gt;（</w:t>
      </w:r>
      <w:r>
        <w:rPr>
          <w:rFonts w:hint="eastAsia"/>
          <w:color w:val="auto"/>
          <w:highlight w:val="none"/>
          <w:lang w:val="en-US" w:eastAsia="zh-CN"/>
        </w:rPr>
        <w:t>GB</w:t>
      </w:r>
      <w:r>
        <w:rPr>
          <w:rFonts w:hint="eastAsia" w:ascii="Times New Roman" w:hAnsi="Times New Roman" w:eastAsia="宋体"/>
          <w:color w:val="auto"/>
          <w:highlight w:val="none"/>
          <w:lang w:val="en-US" w:eastAsia="zh-CN"/>
        </w:rPr>
        <w:t>3095-2012）修改单的公告》（生态环境部公告2018年第29号）；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《关于加强规划环境影响评价与建设项目环境影响评价联动工作的意见》（环发〔2015〕178号）；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《关于以改善环境质量为核心加强环境影响评价管理的通知》（环环评〔2016〕150号）；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《建设项目环境影响报告书（表）编制监督管理办法》（生态环境部令第9号）；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《关于开展排放口规范化整治工作的通知》（国家环保总局，环发〔1999〕24号）</w:t>
      </w:r>
      <w:r>
        <w:rPr>
          <w:rFonts w:hint="eastAsia" w:ascii="Times New Roman" w:hAnsi="Times New Roman" w:eastAsia="宋体"/>
          <w:color w:val="auto"/>
          <w:highlight w:val="none"/>
          <w:lang w:val="en-US" w:eastAsia="zh-CN"/>
        </w:rPr>
        <w:t>；</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《环境空气细颗粒物污染综合防治技术政策》（公告2013年第59号）；</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《关于执行大气污染物特别排放限值的公告》（环境保护部公告2013年第14号）</w:t>
      </w:r>
      <w:r>
        <w:rPr>
          <w:rFonts w:hint="eastAsia"/>
          <w:color w:val="auto"/>
          <w:highlight w:val="none"/>
          <w:lang w:val="en-US" w:eastAsia="zh-CN"/>
        </w:rPr>
        <w:t>；</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color w:val="auto"/>
          <w:highlight w:val="none"/>
          <w:lang w:val="en-US" w:eastAsia="zh-CN"/>
        </w:rPr>
        <w:t>《关于划定并严守生态保护红线的若干意见》（中共中央办公厅 国务院办公厅，2017年2月7日）；</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color w:val="auto"/>
          <w:highlight w:val="none"/>
          <w:lang w:val="en-US" w:eastAsia="zh-CN"/>
        </w:rPr>
        <w:t>《</w:t>
      </w:r>
      <w:r>
        <w:rPr>
          <w:rFonts w:hint="eastAsia" w:ascii="Times New Roman" w:hAnsi="Times New Roman" w:eastAsia="宋体"/>
          <w:color w:val="auto"/>
          <w:highlight w:val="none"/>
          <w:lang w:val="en-US" w:eastAsia="zh-CN"/>
        </w:rPr>
        <w:t>关于加强矿山地质环境恢复和综合治理的指导意见</w:t>
      </w:r>
      <w:r>
        <w:rPr>
          <w:rFonts w:hint="eastAsia"/>
          <w:color w:val="auto"/>
          <w:highlight w:val="none"/>
          <w:lang w:val="en-US" w:eastAsia="zh-CN"/>
        </w:rPr>
        <w:t>》（</w:t>
      </w:r>
      <w:r>
        <w:rPr>
          <w:rFonts w:hint="eastAsia" w:ascii="Times New Roman" w:hAnsi="Times New Roman" w:eastAsia="宋体"/>
          <w:color w:val="auto"/>
          <w:highlight w:val="none"/>
          <w:lang w:val="en-US" w:eastAsia="zh-CN"/>
        </w:rPr>
        <w:t>国土资发</w:t>
      </w:r>
      <w:r>
        <w:rPr>
          <w:rFonts w:hint="eastAsia"/>
          <w:color w:val="auto"/>
          <w:highlight w:val="none"/>
          <w:lang w:val="en-US" w:eastAsia="zh-CN"/>
        </w:rPr>
        <w:t>〔</w:t>
      </w:r>
      <w:r>
        <w:rPr>
          <w:rFonts w:hint="eastAsia" w:ascii="Times New Roman" w:hAnsi="Times New Roman" w:eastAsia="宋体"/>
          <w:color w:val="auto"/>
          <w:highlight w:val="none"/>
          <w:lang w:val="en-US" w:eastAsia="zh-CN"/>
        </w:rPr>
        <w:t>2016</w:t>
      </w:r>
      <w:r>
        <w:rPr>
          <w:rFonts w:hint="eastAsia"/>
          <w:color w:val="auto"/>
          <w:highlight w:val="none"/>
          <w:lang w:val="en-US" w:eastAsia="zh-CN"/>
        </w:rPr>
        <w:t>〕</w:t>
      </w:r>
      <w:r>
        <w:rPr>
          <w:rFonts w:hint="eastAsia" w:ascii="Times New Roman" w:hAnsi="Times New Roman" w:eastAsia="宋体"/>
          <w:color w:val="auto"/>
          <w:highlight w:val="none"/>
          <w:lang w:val="en-US" w:eastAsia="zh-CN"/>
        </w:rPr>
        <w:t>63号，2016年7月1日</w:t>
      </w:r>
      <w:r>
        <w:rPr>
          <w:rFonts w:hint="eastAsia"/>
          <w:color w:val="auto"/>
          <w:highlight w:val="none"/>
          <w:lang w:val="en-US" w:eastAsia="zh-CN"/>
        </w:rPr>
        <w:t>）</w:t>
      </w:r>
      <w:r>
        <w:rPr>
          <w:rFonts w:hint="eastAsia" w:ascii="Times New Roman" w:hAnsi="Times New Roman" w:eastAsia="宋体"/>
          <w:color w:val="auto"/>
          <w:highlight w:val="none"/>
          <w:lang w:val="en-US" w:eastAsia="zh-CN"/>
        </w:rPr>
        <w:t>；</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《矿山地质环境保护规定</w:t>
      </w:r>
      <w:r>
        <w:rPr>
          <w:rFonts w:hint="eastAsia"/>
          <w:color w:val="auto"/>
          <w:highlight w:val="none"/>
          <w:lang w:val="en-US" w:eastAsia="zh-CN"/>
        </w:rPr>
        <w:t>（</w:t>
      </w:r>
      <w:r>
        <w:rPr>
          <w:rFonts w:hint="eastAsia" w:ascii="Times New Roman" w:hAnsi="Times New Roman" w:eastAsia="宋体"/>
          <w:color w:val="auto"/>
          <w:highlight w:val="none"/>
          <w:lang w:val="en-US" w:eastAsia="zh-CN"/>
        </w:rPr>
        <w:t>2019年修订</w:t>
      </w:r>
      <w:r>
        <w:rPr>
          <w:rFonts w:hint="eastAsia"/>
          <w:color w:val="auto"/>
          <w:highlight w:val="none"/>
          <w:lang w:val="en-US" w:eastAsia="zh-CN"/>
        </w:rPr>
        <w:t>）</w:t>
      </w:r>
      <w:r>
        <w:rPr>
          <w:rFonts w:hint="eastAsia" w:ascii="Times New Roman" w:hAnsi="Times New Roman" w:eastAsia="宋体"/>
          <w:color w:val="auto"/>
          <w:highlight w:val="none"/>
          <w:lang w:val="en-US" w:eastAsia="zh-CN"/>
        </w:rPr>
        <w:t>》</w:t>
      </w:r>
      <w:r>
        <w:rPr>
          <w:rFonts w:hint="eastAsia"/>
          <w:color w:val="auto"/>
          <w:highlight w:val="none"/>
          <w:lang w:val="en-US" w:eastAsia="zh-CN"/>
        </w:rPr>
        <w:t>（</w:t>
      </w:r>
      <w:r>
        <w:rPr>
          <w:rFonts w:hint="eastAsia" w:ascii="Times New Roman" w:hAnsi="Times New Roman" w:eastAsia="宋体"/>
          <w:color w:val="auto"/>
          <w:highlight w:val="none"/>
          <w:lang w:val="en-US" w:eastAsia="zh-CN"/>
        </w:rPr>
        <w:t>2019年7月16日</w:t>
      </w:r>
      <w:r>
        <w:rPr>
          <w:rFonts w:hint="eastAsia"/>
          <w:color w:val="auto"/>
          <w:highlight w:val="none"/>
          <w:lang w:val="en-US" w:eastAsia="zh-CN"/>
        </w:rPr>
        <w:t>）</w:t>
      </w:r>
      <w:r>
        <w:rPr>
          <w:rFonts w:hint="eastAsia" w:ascii="Times New Roman" w:hAnsi="Times New Roman" w:eastAsia="宋体"/>
          <w:color w:val="auto"/>
          <w:highlight w:val="none"/>
          <w:lang w:val="en-US" w:eastAsia="zh-CN"/>
        </w:rPr>
        <w:t>；</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）《自然资源部关于探索利用市场化方式推进矿山生态修复的意见》</w:t>
      </w:r>
      <w:r>
        <w:rPr>
          <w:rFonts w:hint="eastAsia"/>
          <w:color w:val="auto"/>
          <w:highlight w:val="none"/>
          <w:lang w:val="en-US" w:eastAsia="zh-CN"/>
        </w:rPr>
        <w:t>（</w:t>
      </w:r>
      <w:r>
        <w:rPr>
          <w:rFonts w:hint="eastAsia" w:ascii="Times New Roman" w:hAnsi="Times New Roman" w:eastAsia="宋体"/>
          <w:color w:val="auto"/>
          <w:highlight w:val="none"/>
          <w:lang w:val="en-US" w:eastAsia="zh-CN"/>
        </w:rPr>
        <w:t>自然资源部，2019年12月17日</w:t>
      </w:r>
      <w:r>
        <w:rPr>
          <w:rFonts w:hint="eastAsia"/>
          <w:color w:val="auto"/>
          <w:highlight w:val="none"/>
          <w:lang w:val="en-US" w:eastAsia="zh-CN"/>
        </w:rPr>
        <w:t>）；</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color w:val="auto"/>
          <w:highlight w:val="none"/>
          <w:lang w:val="en-US" w:eastAsia="zh-CN"/>
        </w:rPr>
        <w:t>《关于“十四五”大宗固体废弃物综合利用的指导意见</w:t>
      </w:r>
      <w:r>
        <w:rPr>
          <w:rFonts w:hint="eastAsia"/>
          <w:color w:val="auto"/>
          <w:highlight w:val="none"/>
        </w:rPr>
        <w:t>》（</w:t>
      </w:r>
      <w:r>
        <w:rPr>
          <w:rFonts w:hint="eastAsia"/>
          <w:color w:val="auto"/>
          <w:highlight w:val="none"/>
          <w:lang w:val="en-US" w:eastAsia="zh-CN"/>
        </w:rPr>
        <w:t>发改环资〔2021〕381号</w:t>
      </w:r>
      <w:r>
        <w:rPr>
          <w:rFonts w:hint="eastAsia"/>
          <w:color w:val="auto"/>
          <w:highlight w:val="none"/>
        </w:rPr>
        <w:t>）</w:t>
      </w:r>
      <w:r>
        <w:rPr>
          <w:rFonts w:hint="eastAsia"/>
          <w:color w:val="auto"/>
          <w:highlight w:val="none"/>
          <w:lang w:val="en-US" w:eastAsia="zh-CN"/>
        </w:rPr>
        <w:t>；</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color w:val="auto"/>
          <w:highlight w:val="none"/>
          <w:lang w:val="en-US" w:eastAsia="zh-CN"/>
        </w:rPr>
        <w:t>《一般固体废物分类与代码》（GB/T39198-2020）；</w:t>
      </w:r>
    </w:p>
    <w:p>
      <w:pPr>
        <w:pStyle w:val="4"/>
        <w:keepNext w:val="0"/>
        <w:keepLines w:val="0"/>
        <w:pageBreakBefore w:val="0"/>
        <w:widowControl w:val="0"/>
        <w:numPr>
          <w:ilvl w:val="0"/>
          <w:numId w:val="3"/>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FF0000"/>
          <w:highlight w:val="none"/>
          <w:lang w:val="en-US" w:eastAsia="zh-CN"/>
        </w:rPr>
      </w:pPr>
      <w:r>
        <w:rPr>
          <w:rFonts w:hint="eastAsia"/>
          <w:color w:val="FF0000"/>
          <w:highlight w:val="none"/>
          <w:lang w:val="en-US" w:eastAsia="zh-CN"/>
        </w:rPr>
        <w:t>《中共中央国务院关于深入打好污染防治攻坚战的意见》（2021年11月2日）。</w:t>
      </w:r>
    </w:p>
    <w:p>
      <w:pPr>
        <w:pStyle w:val="6"/>
        <w:bidi w:val="0"/>
        <w:rPr>
          <w:rFonts w:hint="eastAsia"/>
          <w:color w:val="auto"/>
          <w:highlight w:val="none"/>
        </w:rPr>
      </w:pPr>
      <w:r>
        <w:rPr>
          <w:rFonts w:hint="eastAsia"/>
          <w:color w:val="auto"/>
          <w:highlight w:val="none"/>
          <w:lang w:val="en-US" w:eastAsia="zh-CN"/>
        </w:rPr>
        <w:t>地方法规</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《新疆维吾尔自治区环境保护条例》（2018年9月21日）；</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ascii="Times New Roman" w:hAnsi="Times New Roman"/>
          <w:color w:val="auto"/>
          <w:highlight w:val="none"/>
          <w:lang w:bidi="en-US"/>
        </w:rPr>
        <w:t>《新疆维吾尔自治区建设项目环境保护管理办法实施细则》</w:t>
      </w:r>
      <w:r>
        <w:rPr>
          <w:rFonts w:hint="eastAsia" w:ascii="Times New Roman" w:hAnsi="Times New Roman"/>
          <w:color w:val="auto"/>
          <w:highlight w:val="none"/>
          <w:lang w:eastAsia="zh-CN" w:bidi="en-US"/>
        </w:rPr>
        <w:t>（</w:t>
      </w:r>
      <w:r>
        <w:rPr>
          <w:rFonts w:ascii="Times New Roman" w:hAnsi="Times New Roman"/>
          <w:color w:val="auto"/>
          <w:highlight w:val="none"/>
          <w:lang w:bidi="en-US"/>
        </w:rPr>
        <w:t>新疆维吾尔自治区</w:t>
      </w:r>
      <w:r>
        <w:rPr>
          <w:rFonts w:hint="eastAsia" w:ascii="Times New Roman" w:hAnsi="Times New Roman"/>
          <w:color w:val="auto"/>
          <w:highlight w:val="none"/>
          <w:lang w:bidi="en-US"/>
        </w:rPr>
        <w:t>生态环境</w:t>
      </w:r>
      <w:r>
        <w:rPr>
          <w:rFonts w:ascii="Times New Roman" w:hAnsi="Times New Roman"/>
          <w:color w:val="auto"/>
          <w:highlight w:val="none"/>
          <w:lang w:bidi="en-US"/>
        </w:rPr>
        <w:t>局，新政发</w:t>
      </w:r>
      <w:r>
        <w:rPr>
          <w:rFonts w:hint="default" w:ascii="Times New Roman" w:hAnsi="Times New Roman" w:eastAsia="宋体"/>
          <w:color w:val="auto"/>
          <w:highlight w:val="none"/>
          <w:lang w:val="en-US" w:eastAsia="zh-CN"/>
        </w:rPr>
        <w:t>〔</w:t>
      </w:r>
      <w:r>
        <w:rPr>
          <w:rFonts w:ascii="Times New Roman" w:hAnsi="Times New Roman"/>
          <w:color w:val="auto"/>
          <w:highlight w:val="none"/>
          <w:lang w:bidi="en-US"/>
        </w:rPr>
        <w:t>2002</w:t>
      </w:r>
      <w:r>
        <w:rPr>
          <w:rFonts w:hint="default" w:ascii="Times New Roman" w:hAnsi="Times New Roman" w:eastAsia="宋体"/>
          <w:color w:val="auto"/>
          <w:highlight w:val="none"/>
          <w:lang w:val="en-US" w:eastAsia="zh-CN"/>
        </w:rPr>
        <w:t>〕</w:t>
      </w:r>
      <w:r>
        <w:rPr>
          <w:rFonts w:ascii="Times New Roman" w:hAnsi="Times New Roman"/>
          <w:color w:val="auto"/>
          <w:highlight w:val="none"/>
          <w:lang w:bidi="en-US"/>
        </w:rPr>
        <w:t>3号文</w:t>
      </w:r>
      <w:r>
        <w:rPr>
          <w:rFonts w:hint="eastAsia" w:ascii="Times New Roman" w:hAnsi="Times New Roman"/>
          <w:color w:val="auto"/>
          <w:highlight w:val="none"/>
          <w:lang w:eastAsia="zh-CN" w:bidi="en-US"/>
        </w:rPr>
        <w:t>）</w:t>
      </w:r>
      <w:r>
        <w:rPr>
          <w:rFonts w:ascii="Times New Roman" w:hAnsi="Times New Roman"/>
          <w:color w:val="auto"/>
          <w:highlight w:val="none"/>
          <w:lang w:bidi="en-US"/>
        </w:rPr>
        <w:t>；</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《新疆维吾尔自治区大气污染防治行动计划实施方案》（新政发</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2014</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35号，2014年4月17日）；</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《新疆维吾尔自治区水污染防治工作方案》（新政发</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2016</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21号，2016年2月4日）；</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《自治区打赢蓝天保卫战三年行动计划</w:t>
      </w:r>
      <w:r>
        <w:rPr>
          <w:rFonts w:hint="eastAsia"/>
          <w:color w:val="auto"/>
          <w:highlight w:val="none"/>
          <w:lang w:val="en-US" w:eastAsia="zh-CN"/>
        </w:rPr>
        <w:t>（</w:t>
      </w:r>
      <w:r>
        <w:rPr>
          <w:rFonts w:hint="eastAsia" w:ascii="Times New Roman" w:hAnsi="Times New Roman" w:eastAsia="宋体"/>
          <w:color w:val="auto"/>
          <w:highlight w:val="none"/>
          <w:lang w:val="en-US" w:eastAsia="zh-CN"/>
        </w:rPr>
        <w:t>2018-2020年</w:t>
      </w:r>
      <w:r>
        <w:rPr>
          <w:rFonts w:hint="eastAsia"/>
          <w:color w:val="auto"/>
          <w:highlight w:val="none"/>
          <w:lang w:val="en-US" w:eastAsia="zh-CN"/>
        </w:rPr>
        <w:t>）</w:t>
      </w:r>
      <w:r>
        <w:rPr>
          <w:rFonts w:hint="eastAsia" w:ascii="Times New Roman" w:hAnsi="Times New Roman" w:eastAsia="宋体"/>
          <w:color w:val="auto"/>
          <w:highlight w:val="none"/>
          <w:lang w:val="en-US" w:eastAsia="zh-CN"/>
        </w:rPr>
        <w:t>》（新政发</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2018</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66号，2018年9月20日）；</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《新疆维吾尔自治区土壤污染防治工作方案》（新政发</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2017</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25号，2017年3月1日）；</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《新疆维吾尔自治区大气污染防治条例（2019年）》；</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ascii="Times New Roman" w:hAnsi="Times New Roman"/>
          <w:color w:val="auto"/>
          <w:highlight w:val="none"/>
          <w:lang w:bidi="en-US"/>
        </w:rPr>
        <w:t>《新疆维吾尔自治区环境保护</w:t>
      </w:r>
      <w:r>
        <w:rPr>
          <w:rFonts w:hint="eastAsia" w:ascii="Times New Roman" w:hAnsi="Times New Roman"/>
          <w:color w:val="auto"/>
          <w:highlight w:val="none"/>
          <w:lang w:eastAsia="zh-CN" w:bidi="en-US"/>
        </w:rPr>
        <w:t>“</w:t>
      </w:r>
      <w:r>
        <w:rPr>
          <w:rFonts w:ascii="Times New Roman" w:hAnsi="Times New Roman"/>
          <w:color w:val="auto"/>
          <w:highlight w:val="none"/>
          <w:lang w:bidi="en-US"/>
        </w:rPr>
        <w:t>十三五</w:t>
      </w:r>
      <w:r>
        <w:rPr>
          <w:rFonts w:hint="eastAsia" w:ascii="Times New Roman" w:hAnsi="Times New Roman"/>
          <w:color w:val="auto"/>
          <w:highlight w:val="none"/>
          <w:lang w:eastAsia="zh-CN" w:bidi="en-US"/>
        </w:rPr>
        <w:t>”</w:t>
      </w:r>
      <w:r>
        <w:rPr>
          <w:rFonts w:ascii="Times New Roman" w:hAnsi="Times New Roman"/>
          <w:color w:val="auto"/>
          <w:highlight w:val="none"/>
          <w:lang w:bidi="en-US"/>
        </w:rPr>
        <w:t>规划》</w:t>
      </w:r>
      <w:r>
        <w:rPr>
          <w:rFonts w:hint="eastAsia" w:ascii="Times New Roman" w:hAnsi="Times New Roman"/>
          <w:color w:val="auto"/>
          <w:highlight w:val="none"/>
          <w:lang w:eastAsia="zh-CN" w:bidi="en-US"/>
        </w:rPr>
        <w:t>（</w:t>
      </w:r>
      <w:r>
        <w:rPr>
          <w:rFonts w:ascii="Times New Roman" w:hAnsi="Times New Roman"/>
          <w:color w:val="auto"/>
          <w:highlight w:val="none"/>
          <w:lang w:bidi="en-US"/>
        </w:rPr>
        <w:t>2017</w:t>
      </w:r>
      <w:r>
        <w:rPr>
          <w:rFonts w:hint="eastAsia" w:ascii="Times New Roman" w:hAnsi="Times New Roman"/>
          <w:color w:val="auto"/>
          <w:highlight w:val="none"/>
          <w:lang w:val="en-US" w:eastAsia="zh-CN" w:bidi="en-US"/>
        </w:rPr>
        <w:t>年</w:t>
      </w:r>
      <w:r>
        <w:rPr>
          <w:rFonts w:ascii="Times New Roman" w:hAnsi="Times New Roman"/>
          <w:color w:val="auto"/>
          <w:highlight w:val="none"/>
          <w:lang w:bidi="en-US"/>
        </w:rPr>
        <w:t>6</w:t>
      </w:r>
      <w:r>
        <w:rPr>
          <w:rFonts w:hint="eastAsia" w:ascii="Times New Roman" w:hAnsi="Times New Roman"/>
          <w:color w:val="auto"/>
          <w:highlight w:val="none"/>
          <w:lang w:val="en-US" w:eastAsia="zh-CN" w:bidi="en-US"/>
        </w:rPr>
        <w:t>月）</w:t>
      </w:r>
      <w:r>
        <w:rPr>
          <w:rFonts w:ascii="Times New Roman" w:hAnsi="Times New Roman"/>
          <w:color w:val="auto"/>
          <w:highlight w:val="none"/>
          <w:lang w:bidi="en-US"/>
        </w:rPr>
        <w:t>；</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ascii="Times New Roman" w:hAnsi="Times New Roman"/>
          <w:color w:val="auto"/>
          <w:highlight w:val="none"/>
          <w:lang w:bidi="en-US"/>
        </w:rPr>
        <w:t>《新疆维吾尔自治区突发环境事件应急预案》</w:t>
      </w:r>
      <w:r>
        <w:rPr>
          <w:rFonts w:hint="eastAsia" w:ascii="Times New Roman" w:hAnsi="Times New Roman"/>
          <w:color w:val="auto"/>
          <w:highlight w:val="none"/>
          <w:lang w:eastAsia="zh-CN" w:bidi="en-US"/>
        </w:rPr>
        <w:t>（</w:t>
      </w:r>
      <w:r>
        <w:rPr>
          <w:rFonts w:ascii="Times New Roman" w:hAnsi="Times New Roman"/>
          <w:color w:val="auto"/>
          <w:highlight w:val="none"/>
          <w:lang w:bidi="en-US"/>
        </w:rPr>
        <w:t>2014</w:t>
      </w:r>
      <w:r>
        <w:rPr>
          <w:rFonts w:hint="eastAsia" w:ascii="Times New Roman" w:hAnsi="Times New Roman"/>
          <w:color w:val="auto"/>
          <w:highlight w:val="none"/>
          <w:lang w:val="en-US" w:eastAsia="zh-CN" w:bidi="en-US"/>
        </w:rPr>
        <w:t>年</w:t>
      </w:r>
      <w:r>
        <w:rPr>
          <w:rFonts w:ascii="Times New Roman" w:hAnsi="Times New Roman"/>
          <w:color w:val="auto"/>
          <w:highlight w:val="none"/>
          <w:lang w:bidi="en-US"/>
        </w:rPr>
        <w:t>04</w:t>
      </w:r>
      <w:r>
        <w:rPr>
          <w:rFonts w:hint="eastAsia" w:ascii="Times New Roman" w:hAnsi="Times New Roman"/>
          <w:color w:val="auto"/>
          <w:highlight w:val="none"/>
          <w:lang w:val="en-US" w:eastAsia="zh-CN" w:bidi="en-US"/>
        </w:rPr>
        <w:t>月）</w:t>
      </w:r>
      <w:r>
        <w:rPr>
          <w:rFonts w:ascii="Times New Roman" w:hAnsi="Times New Roman"/>
          <w:color w:val="auto"/>
          <w:highlight w:val="none"/>
          <w:lang w:bidi="en-US"/>
        </w:rPr>
        <w:t>；</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ascii="Times New Roman" w:hAnsi="Times New Roman"/>
          <w:color w:val="auto"/>
          <w:highlight w:val="none"/>
          <w:lang w:bidi="en-US"/>
        </w:rPr>
        <w:t>《新疆维吾尔自治区主体功能区划》</w:t>
      </w:r>
      <w:r>
        <w:rPr>
          <w:rFonts w:hint="eastAsia" w:ascii="Times New Roman" w:hAnsi="Times New Roman"/>
          <w:color w:val="auto"/>
          <w:highlight w:val="none"/>
          <w:lang w:eastAsia="zh-CN" w:bidi="en-US"/>
        </w:rPr>
        <w:t>（</w:t>
      </w:r>
      <w:r>
        <w:rPr>
          <w:rFonts w:ascii="Times New Roman" w:hAnsi="Times New Roman"/>
          <w:color w:val="auto"/>
          <w:highlight w:val="none"/>
          <w:lang w:bidi="en-US"/>
        </w:rPr>
        <w:t>新政发〔2012〕107号，2012</w:t>
      </w:r>
      <w:r>
        <w:rPr>
          <w:rFonts w:hint="eastAsia" w:ascii="Times New Roman" w:hAnsi="Times New Roman"/>
          <w:color w:val="auto"/>
          <w:highlight w:val="none"/>
          <w:lang w:val="en-US" w:eastAsia="zh-CN" w:bidi="en-US"/>
        </w:rPr>
        <w:t>年</w:t>
      </w:r>
      <w:r>
        <w:rPr>
          <w:rFonts w:ascii="Times New Roman" w:hAnsi="Times New Roman"/>
          <w:color w:val="auto"/>
          <w:highlight w:val="none"/>
          <w:lang w:bidi="en-US"/>
        </w:rPr>
        <w:t>12</w:t>
      </w:r>
      <w:r>
        <w:rPr>
          <w:rFonts w:hint="eastAsia" w:ascii="Times New Roman" w:hAnsi="Times New Roman"/>
          <w:color w:val="auto"/>
          <w:highlight w:val="none"/>
          <w:lang w:val="en-US" w:eastAsia="zh-CN" w:bidi="en-US"/>
        </w:rPr>
        <w:t>月）</w:t>
      </w:r>
      <w:r>
        <w:rPr>
          <w:rFonts w:ascii="Times New Roman" w:hAnsi="Times New Roman"/>
          <w:color w:val="auto"/>
          <w:highlight w:val="none"/>
          <w:lang w:bidi="en-US"/>
        </w:rPr>
        <w:t>；</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ascii="Times New Roman" w:hAnsi="Times New Roman"/>
          <w:color w:val="auto"/>
          <w:highlight w:val="none"/>
          <w:lang w:bidi="en-US"/>
        </w:rPr>
        <w:t>《中国新疆水环境功能区划》</w:t>
      </w:r>
      <w:r>
        <w:rPr>
          <w:rFonts w:hint="eastAsia" w:ascii="Times New Roman" w:hAnsi="Times New Roman"/>
          <w:color w:val="auto"/>
          <w:highlight w:val="none"/>
          <w:lang w:eastAsia="zh-CN" w:bidi="en-US"/>
        </w:rPr>
        <w:t>（</w:t>
      </w:r>
      <w:r>
        <w:rPr>
          <w:rFonts w:ascii="Times New Roman" w:hAnsi="Times New Roman"/>
          <w:color w:val="auto"/>
          <w:highlight w:val="none"/>
          <w:lang w:bidi="en-US"/>
        </w:rPr>
        <w:t>新政函〔2012〕194号文，2002</w:t>
      </w:r>
      <w:r>
        <w:rPr>
          <w:rFonts w:hint="eastAsia" w:ascii="Times New Roman" w:hAnsi="Times New Roman"/>
          <w:color w:val="auto"/>
          <w:highlight w:val="none"/>
          <w:lang w:val="en-US" w:eastAsia="zh-CN" w:bidi="en-US"/>
        </w:rPr>
        <w:t>年</w:t>
      </w:r>
      <w:r>
        <w:rPr>
          <w:rFonts w:ascii="Times New Roman" w:hAnsi="Times New Roman"/>
          <w:color w:val="auto"/>
          <w:highlight w:val="none"/>
          <w:lang w:bidi="en-US"/>
        </w:rPr>
        <w:t>11</w:t>
      </w:r>
      <w:r>
        <w:rPr>
          <w:rFonts w:hint="eastAsia" w:ascii="Times New Roman" w:hAnsi="Times New Roman"/>
          <w:color w:val="auto"/>
          <w:highlight w:val="none"/>
          <w:lang w:val="en-US" w:eastAsia="zh-CN" w:bidi="en-US"/>
        </w:rPr>
        <w:t>月</w:t>
      </w:r>
      <w:r>
        <w:rPr>
          <w:rFonts w:ascii="Times New Roman" w:hAnsi="Times New Roman"/>
          <w:color w:val="auto"/>
          <w:highlight w:val="none"/>
          <w:lang w:bidi="en-US"/>
        </w:rPr>
        <w:t>16</w:t>
      </w:r>
      <w:r>
        <w:rPr>
          <w:rFonts w:hint="eastAsia" w:ascii="Times New Roman" w:hAnsi="Times New Roman"/>
          <w:color w:val="auto"/>
          <w:highlight w:val="none"/>
          <w:lang w:val="en-US" w:eastAsia="zh-CN" w:bidi="en-US"/>
        </w:rPr>
        <w:t>日）</w:t>
      </w:r>
      <w:r>
        <w:rPr>
          <w:rFonts w:ascii="Times New Roman" w:hAnsi="Times New Roman"/>
          <w:color w:val="auto"/>
          <w:highlight w:val="none"/>
          <w:lang w:bidi="en-US"/>
        </w:rPr>
        <w:t>；</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ascii="Times New Roman" w:hAnsi="Times New Roman"/>
          <w:color w:val="auto"/>
          <w:highlight w:val="none"/>
        </w:rPr>
        <w:t>《新疆生态功能区划》</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原</w:t>
      </w:r>
      <w:r>
        <w:rPr>
          <w:rFonts w:ascii="Times New Roman" w:hAnsi="Times New Roman"/>
          <w:color w:val="auto"/>
          <w:highlight w:val="none"/>
        </w:rPr>
        <w:t>新疆维吾尔自治区环境保护局，2006</w:t>
      </w:r>
      <w:r>
        <w:rPr>
          <w:rFonts w:hint="eastAsia" w:ascii="Times New Roman" w:hAnsi="Times New Roman"/>
          <w:color w:val="auto"/>
          <w:highlight w:val="none"/>
          <w:lang w:val="en-US" w:eastAsia="zh-CN"/>
        </w:rPr>
        <w:t>年</w:t>
      </w:r>
      <w:r>
        <w:rPr>
          <w:rFonts w:ascii="Times New Roman" w:hAnsi="Times New Roman"/>
          <w:color w:val="auto"/>
          <w:highlight w:val="none"/>
        </w:rPr>
        <w:t>8</w:t>
      </w:r>
      <w:r>
        <w:rPr>
          <w:rFonts w:hint="eastAsia" w:ascii="Times New Roman" w:hAnsi="Times New Roman"/>
          <w:color w:val="auto"/>
          <w:highlight w:val="none"/>
          <w:lang w:val="en-US" w:eastAsia="zh-CN"/>
        </w:rPr>
        <w:t>月</w:t>
      </w:r>
      <w:r>
        <w:rPr>
          <w:rFonts w:hint="eastAsia" w:ascii="Times New Roman" w:hAnsi="Times New Roman"/>
          <w:color w:val="auto"/>
          <w:highlight w:val="none"/>
          <w:lang w:eastAsia="zh-CN"/>
        </w:rPr>
        <w:t>）</w:t>
      </w:r>
      <w:r>
        <w:rPr>
          <w:rFonts w:hint="eastAsia"/>
          <w:color w:val="auto"/>
          <w:highlight w:val="none"/>
          <w:lang w:val="en-US" w:eastAsia="zh-CN"/>
        </w:rPr>
        <w:t>；</w:t>
      </w:r>
    </w:p>
    <w:p>
      <w:pPr>
        <w:pStyle w:val="4"/>
        <w:keepNext w:val="0"/>
        <w:keepLines w:val="0"/>
        <w:pageBreakBefore w:val="0"/>
        <w:widowControl w:val="0"/>
        <w:numPr>
          <w:ilvl w:val="0"/>
          <w:numId w:val="4"/>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color w:val="auto"/>
          <w:highlight w:val="none"/>
          <w:lang w:val="en-US" w:eastAsia="zh-CN"/>
        </w:rPr>
        <w:t>《关于印发&lt;新疆维吾尔自治区“三线一单”生态环境分区管控方案&gt;的通知》（新政发〔2021〕18号）。</w:t>
      </w:r>
    </w:p>
    <w:p>
      <w:pPr>
        <w:pStyle w:val="6"/>
        <w:bidi w:val="0"/>
        <w:rPr>
          <w:rFonts w:hint="eastAsia"/>
          <w:color w:val="auto"/>
          <w:highlight w:val="none"/>
        </w:rPr>
      </w:pPr>
      <w:r>
        <w:rPr>
          <w:rFonts w:hint="eastAsia"/>
          <w:color w:val="auto"/>
          <w:highlight w:val="none"/>
          <w:lang w:val="en-US" w:eastAsia="zh-CN"/>
        </w:rPr>
        <w:t>技术规范</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color w:val="auto"/>
          <w:highlight w:val="none"/>
          <w:lang w:val="en-US" w:eastAsia="zh-CN"/>
        </w:rPr>
        <w:t>《建设项目环境影响评价技术导则 总纲》（HJ2.1-2016）；</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《环境影响评价技术导则 大气环境》（HJ2.2-2018）；</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《环境影响评价技术导则 地表水环境》（HJ2.3-2018）；</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《环境影响评价技术导则 声环境》（HJ2.4-2009）；</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《环境影响评价技术导则 生态影响》（HJ19-2011）；</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《环境影响评价技术导则 地下水环境》（HJ610-2016）；</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《环境影响评价技术导则 土壤环境（试行）》（HJ964-2018）；</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color w:val="auto"/>
          <w:highlight w:val="none"/>
          <w:lang w:val="en-US" w:eastAsia="zh-CN"/>
        </w:rPr>
        <w:t>《</w:t>
      </w:r>
      <w:r>
        <w:rPr>
          <w:rFonts w:hint="eastAsia" w:ascii="Times New Roman" w:hAnsi="Times New Roman" w:eastAsia="宋体"/>
          <w:color w:val="auto"/>
          <w:highlight w:val="none"/>
          <w:lang w:val="en-US" w:eastAsia="zh-CN"/>
        </w:rPr>
        <w:t>污染源源强核算技术指南 准则</w:t>
      </w:r>
      <w:r>
        <w:rPr>
          <w:rFonts w:hint="eastAsia"/>
          <w:color w:val="auto"/>
          <w:highlight w:val="none"/>
          <w:lang w:val="en-US" w:eastAsia="zh-CN"/>
        </w:rPr>
        <w:t>》（</w:t>
      </w:r>
      <w:r>
        <w:rPr>
          <w:rFonts w:hint="eastAsia" w:ascii="Times New Roman" w:hAnsi="Times New Roman" w:eastAsia="宋体"/>
          <w:color w:val="auto"/>
          <w:highlight w:val="none"/>
          <w:lang w:val="en-US" w:eastAsia="zh-CN"/>
        </w:rPr>
        <w:t>HJ884-2018</w:t>
      </w:r>
      <w:r>
        <w:rPr>
          <w:rFonts w:hint="eastAsia"/>
          <w:color w:val="auto"/>
          <w:highlight w:val="none"/>
          <w:lang w:val="en-US" w:eastAsia="zh-CN"/>
        </w:rPr>
        <w:t>）；</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《一般工业固体废物贮存和填埋污染控制标准》</w:t>
      </w:r>
      <w:r>
        <w:rPr>
          <w:rFonts w:hint="eastAsia"/>
          <w:color w:val="auto"/>
          <w:highlight w:val="none"/>
          <w:lang w:val="en-US" w:eastAsia="zh-CN"/>
        </w:rPr>
        <w:t>（</w:t>
      </w:r>
      <w:r>
        <w:rPr>
          <w:rFonts w:hint="eastAsia" w:ascii="Times New Roman" w:hAnsi="Times New Roman" w:eastAsia="宋体"/>
          <w:color w:val="auto"/>
          <w:highlight w:val="none"/>
          <w:lang w:val="en-US" w:eastAsia="zh-CN"/>
        </w:rPr>
        <w:t>GB 18599-2020</w:t>
      </w:r>
      <w:r>
        <w:rPr>
          <w:rFonts w:hint="eastAsia"/>
          <w:color w:val="auto"/>
          <w:highlight w:val="none"/>
          <w:lang w:val="en-US" w:eastAsia="zh-CN"/>
        </w:rPr>
        <w:t>）；</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w:t>
      </w:r>
      <w:r>
        <w:rPr>
          <w:rFonts w:hint="eastAsia"/>
          <w:color w:val="auto"/>
          <w:highlight w:val="none"/>
          <w:lang w:val="en-US" w:eastAsia="zh-CN"/>
        </w:rPr>
        <w:t>固体废物处理处置工程技术导则</w:t>
      </w:r>
      <w:r>
        <w:rPr>
          <w:rFonts w:hint="eastAsia" w:ascii="Times New Roman" w:hAnsi="Times New Roman" w:eastAsia="宋体"/>
          <w:color w:val="auto"/>
          <w:highlight w:val="none"/>
          <w:lang w:val="en-US" w:eastAsia="zh-CN"/>
        </w:rPr>
        <w:t>》（HJ</w:t>
      </w:r>
      <w:r>
        <w:rPr>
          <w:rFonts w:hint="eastAsia"/>
          <w:color w:val="auto"/>
          <w:highlight w:val="none"/>
          <w:lang w:val="en-US" w:eastAsia="zh-CN"/>
        </w:rPr>
        <w:t>2035-2013</w:t>
      </w:r>
      <w:r>
        <w:rPr>
          <w:rFonts w:hint="eastAsia" w:ascii="Times New Roman" w:hAnsi="Times New Roman" w:eastAsia="宋体"/>
          <w:color w:val="auto"/>
          <w:highlight w:val="none"/>
          <w:lang w:val="en-US" w:eastAsia="zh-CN"/>
        </w:rPr>
        <w:t>）；</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《建设项目环境风险评价技术导则》（HJ169-2018）；</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《土壤环境监测技术规范》（HJ/T166-2004）；</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《地下水环境监测技术规范》（HJ/T164-2004）；</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 xml:space="preserve">《排污许可证申请与核发技术规范 </w:t>
      </w:r>
      <w:r>
        <w:rPr>
          <w:rFonts w:hint="eastAsia"/>
          <w:color w:val="auto"/>
          <w:highlight w:val="none"/>
          <w:lang w:val="en-US" w:eastAsia="zh-CN"/>
        </w:rPr>
        <w:t>工业固体废物和危险废物治理</w:t>
      </w:r>
      <w:r>
        <w:rPr>
          <w:rFonts w:hint="eastAsia" w:ascii="Times New Roman" w:hAnsi="Times New Roman" w:eastAsia="宋体"/>
          <w:color w:val="auto"/>
          <w:highlight w:val="none"/>
          <w:lang w:val="en-US" w:eastAsia="zh-CN"/>
        </w:rPr>
        <w:t>》（HJ</w:t>
      </w:r>
      <w:r>
        <w:rPr>
          <w:rFonts w:hint="eastAsia"/>
          <w:color w:val="auto"/>
          <w:highlight w:val="none"/>
          <w:lang w:val="en-US" w:eastAsia="zh-CN"/>
        </w:rPr>
        <w:t>1033-2019</w:t>
      </w:r>
      <w:r>
        <w:rPr>
          <w:rFonts w:hint="eastAsia" w:ascii="Times New Roman" w:hAnsi="Times New Roman" w:eastAsia="宋体"/>
          <w:color w:val="auto"/>
          <w:highlight w:val="none"/>
          <w:lang w:val="en-US" w:eastAsia="zh-CN"/>
        </w:rPr>
        <w:t>）；</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《大气污染治理工程技术导则》（HJ2000-2010）；</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《水污染治理工程技术导则》（HJ2015-2012）；</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《环境噪声与振动控制工程技术导则》（HJ2034-2013）；</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《场地环境调查技术导则》（HJ2.1-2016）；</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《场地环境监测技术导则》（HJ25.2-2014）；</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《污染场地环境评估技术导则》（HJ25.3-2014）；</w:t>
      </w:r>
    </w:p>
    <w:p>
      <w:pPr>
        <w:pStyle w:val="4"/>
        <w:keepNext w:val="0"/>
        <w:keepLines w:val="0"/>
        <w:pageBreakBefore w:val="0"/>
        <w:widowControl w:val="0"/>
        <w:numPr>
          <w:ilvl w:val="0"/>
          <w:numId w:val="5"/>
        </w:numPr>
        <w:tabs>
          <w:tab w:val="left" w:pos="0"/>
        </w:tabs>
        <w:kinsoku/>
        <w:wordWrap/>
        <w:overflowPunct/>
        <w:topLinePunct w:val="0"/>
        <w:autoSpaceDE/>
        <w:autoSpaceDN/>
        <w:bidi w:val="0"/>
        <w:adjustRightInd/>
        <w:snapToGrid/>
        <w:ind w:left="402" w:leftChars="0" w:firstLine="0" w:firstLineChars="0"/>
        <w:jc w:val="lef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eastAsia="zh-CN"/>
        </w:rPr>
        <w:t>污染场地土壤修复技术导则</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lang w:val="en-US" w:eastAsia="zh-CN"/>
        </w:rPr>
        <w:t>HJ25.4-2014</w:t>
      </w:r>
      <w:r>
        <w:rPr>
          <w:rFonts w:hint="eastAsia" w:ascii="Times New Roman" w:hAnsi="Times New Roman" w:eastAsia="宋体"/>
          <w:color w:val="auto"/>
          <w:highlight w:val="none"/>
          <w:lang w:val="en-US" w:eastAsia="zh-CN"/>
        </w:rPr>
        <w:t>）</w:t>
      </w:r>
      <w:r>
        <w:rPr>
          <w:rFonts w:hint="eastAsia"/>
          <w:color w:val="auto"/>
          <w:highlight w:val="none"/>
          <w:lang w:val="en-US" w:eastAsia="zh-CN"/>
        </w:rPr>
        <w:t>。</w:t>
      </w:r>
    </w:p>
    <w:p>
      <w:pPr>
        <w:pStyle w:val="6"/>
        <w:bidi w:val="0"/>
        <w:rPr>
          <w:rFonts w:hint="eastAsia"/>
          <w:color w:val="auto"/>
          <w:highlight w:val="none"/>
        </w:rPr>
      </w:pPr>
      <w:r>
        <w:rPr>
          <w:rFonts w:hint="eastAsia"/>
          <w:color w:val="auto"/>
          <w:highlight w:val="none"/>
          <w:lang w:val="en-US" w:eastAsia="zh-CN"/>
        </w:rPr>
        <w:t>项目相关资料</w:t>
      </w:r>
    </w:p>
    <w:p>
      <w:pPr>
        <w:pStyle w:val="4"/>
        <w:keepNext w:val="0"/>
        <w:keepLines w:val="0"/>
        <w:pageBreakBefore w:val="0"/>
        <w:widowControl w:val="0"/>
        <w:numPr>
          <w:ilvl w:val="0"/>
          <w:numId w:val="6"/>
        </w:numPr>
        <w:tabs>
          <w:tab w:val="left" w:pos="0"/>
        </w:tabs>
        <w:kinsoku/>
        <w:wordWrap/>
        <w:overflowPunct/>
        <w:topLinePunct w:val="0"/>
        <w:autoSpaceDE/>
        <w:autoSpaceDN/>
        <w:bidi w:val="0"/>
        <w:adjustRightInd/>
        <w:snapToGrid/>
        <w:ind w:left="402" w:leftChars="0" w:firstLine="0" w:firstLineChars="0"/>
        <w:jc w:val="left"/>
        <w:textAlignment w:val="auto"/>
        <w:rPr>
          <w:rFonts w:hint="default"/>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奇台县天山砂场治理项目可行性研究报告</w:t>
      </w:r>
      <w:r>
        <w:rPr>
          <w:rFonts w:hint="eastAsia"/>
          <w:color w:val="auto"/>
          <w:highlight w:val="none"/>
          <w:lang w:val="en-US" w:eastAsia="zh-CN"/>
        </w:rPr>
        <w:t>》（新疆博奇清新环境检测有限公司，2021年5月）；</w:t>
      </w:r>
    </w:p>
    <w:p>
      <w:pPr>
        <w:pStyle w:val="4"/>
        <w:keepNext w:val="0"/>
        <w:keepLines w:val="0"/>
        <w:pageBreakBefore w:val="0"/>
        <w:widowControl w:val="0"/>
        <w:numPr>
          <w:ilvl w:val="0"/>
          <w:numId w:val="6"/>
        </w:numPr>
        <w:tabs>
          <w:tab w:val="left" w:pos="0"/>
        </w:tabs>
        <w:kinsoku/>
        <w:wordWrap/>
        <w:overflowPunct/>
        <w:topLinePunct w:val="0"/>
        <w:autoSpaceDE/>
        <w:autoSpaceDN/>
        <w:bidi w:val="0"/>
        <w:adjustRightInd/>
        <w:snapToGrid/>
        <w:ind w:left="402" w:leftChars="0" w:firstLine="0" w:firstLineChars="0"/>
        <w:jc w:val="left"/>
        <w:textAlignment w:val="auto"/>
        <w:rPr>
          <w:rFonts w:hint="default"/>
          <w:color w:val="auto"/>
          <w:highlight w:val="none"/>
          <w:lang w:val="en-US" w:eastAsia="zh-CN"/>
        </w:rPr>
      </w:pPr>
      <w:r>
        <w:rPr>
          <w:rFonts w:hint="eastAsia"/>
          <w:color w:val="auto"/>
          <w:highlight w:val="none"/>
          <w:lang w:val="en-US" w:eastAsia="zh-CN"/>
        </w:rPr>
        <w:t>《新疆天电奇台能源有限责任公司灰渣倾倒地场地环境调查报告》（新疆立磐环保科技有限公司，2021年7月）；</w:t>
      </w:r>
    </w:p>
    <w:p>
      <w:pPr>
        <w:pStyle w:val="4"/>
        <w:keepNext w:val="0"/>
        <w:keepLines w:val="0"/>
        <w:pageBreakBefore w:val="0"/>
        <w:widowControl w:val="0"/>
        <w:numPr>
          <w:ilvl w:val="0"/>
          <w:numId w:val="6"/>
        </w:numPr>
        <w:tabs>
          <w:tab w:val="left" w:pos="0"/>
        </w:tabs>
        <w:kinsoku/>
        <w:wordWrap/>
        <w:overflowPunct/>
        <w:topLinePunct w:val="0"/>
        <w:autoSpaceDE/>
        <w:autoSpaceDN/>
        <w:bidi w:val="0"/>
        <w:adjustRightInd/>
        <w:snapToGrid/>
        <w:ind w:left="402" w:leftChars="0" w:firstLine="0" w:firstLineChars="0"/>
        <w:jc w:val="left"/>
        <w:textAlignment w:val="auto"/>
        <w:rPr>
          <w:rFonts w:hint="default"/>
          <w:color w:val="auto"/>
          <w:highlight w:val="none"/>
          <w:lang w:val="en-US" w:eastAsia="zh-CN"/>
        </w:rPr>
      </w:pPr>
      <w:r>
        <w:rPr>
          <w:rFonts w:hint="eastAsia"/>
          <w:color w:val="auto"/>
          <w:highlight w:val="none"/>
          <w:lang w:val="en-US" w:eastAsia="zh-CN"/>
        </w:rPr>
        <w:t>《奇台县瑞丰商贸有限公司奇台废渣非法倾倒现场监测报告》（新疆博奇清新环境检测有限公司，2021年7月）；</w:t>
      </w:r>
    </w:p>
    <w:p>
      <w:pPr>
        <w:pStyle w:val="4"/>
        <w:keepNext w:val="0"/>
        <w:keepLines w:val="0"/>
        <w:pageBreakBefore w:val="0"/>
        <w:widowControl w:val="0"/>
        <w:numPr>
          <w:ilvl w:val="0"/>
          <w:numId w:val="6"/>
        </w:numPr>
        <w:tabs>
          <w:tab w:val="left" w:pos="0"/>
        </w:tabs>
        <w:kinsoku/>
        <w:wordWrap/>
        <w:overflowPunct/>
        <w:topLinePunct w:val="0"/>
        <w:autoSpaceDE/>
        <w:autoSpaceDN/>
        <w:bidi w:val="0"/>
        <w:adjustRightInd/>
        <w:snapToGrid/>
        <w:ind w:left="402" w:leftChars="0" w:firstLine="0" w:firstLineChars="0"/>
        <w:jc w:val="left"/>
        <w:textAlignment w:val="auto"/>
        <w:rPr>
          <w:rFonts w:hint="default"/>
          <w:color w:val="auto"/>
          <w:highlight w:val="none"/>
          <w:lang w:val="en-US" w:eastAsia="zh-CN"/>
        </w:rPr>
      </w:pPr>
      <w:r>
        <w:rPr>
          <w:rFonts w:hint="eastAsia"/>
          <w:color w:val="auto"/>
          <w:highlight w:val="none"/>
          <w:lang w:val="en-US" w:eastAsia="zh-CN"/>
        </w:rPr>
        <w:t>《新疆天电奇台能源有限责任公司灰渣倾倒地环境损害鉴定报告》（新疆立磐环保科技有限公司，2021年8月）；</w:t>
      </w:r>
    </w:p>
    <w:p>
      <w:pPr>
        <w:pStyle w:val="4"/>
        <w:keepNext w:val="0"/>
        <w:keepLines w:val="0"/>
        <w:pageBreakBefore w:val="0"/>
        <w:widowControl w:val="0"/>
        <w:numPr>
          <w:ilvl w:val="0"/>
          <w:numId w:val="6"/>
        </w:numPr>
        <w:tabs>
          <w:tab w:val="left" w:pos="0"/>
        </w:tabs>
        <w:kinsoku/>
        <w:wordWrap/>
        <w:overflowPunct/>
        <w:topLinePunct w:val="0"/>
        <w:autoSpaceDE/>
        <w:autoSpaceDN/>
        <w:bidi w:val="0"/>
        <w:adjustRightInd/>
        <w:snapToGrid/>
        <w:ind w:left="402" w:leftChars="0" w:firstLine="0" w:firstLineChars="0"/>
        <w:jc w:val="left"/>
        <w:textAlignment w:val="auto"/>
        <w:rPr>
          <w:rFonts w:hint="default"/>
          <w:color w:val="auto"/>
          <w:highlight w:val="none"/>
          <w:lang w:val="en-US" w:eastAsia="zh-CN"/>
        </w:rPr>
      </w:pPr>
      <w:r>
        <w:rPr>
          <w:rFonts w:hint="eastAsia"/>
          <w:color w:val="auto"/>
          <w:highlight w:val="none"/>
          <w:lang w:val="en-US" w:eastAsia="zh-CN"/>
        </w:rPr>
        <w:t>《新疆奇台县瑞丰商贸有限公司非法倾倒粉煤灰和炉渣生态环境损害鉴定评估专家意见书》（2021年9月）；</w:t>
      </w:r>
    </w:p>
    <w:p>
      <w:pPr>
        <w:pStyle w:val="4"/>
        <w:keepNext w:val="0"/>
        <w:keepLines w:val="0"/>
        <w:pageBreakBefore w:val="0"/>
        <w:widowControl w:val="0"/>
        <w:numPr>
          <w:ilvl w:val="0"/>
          <w:numId w:val="6"/>
        </w:numPr>
        <w:tabs>
          <w:tab w:val="left" w:pos="0"/>
        </w:tabs>
        <w:kinsoku/>
        <w:wordWrap/>
        <w:overflowPunct/>
        <w:topLinePunct w:val="0"/>
        <w:autoSpaceDE/>
        <w:autoSpaceDN/>
        <w:bidi w:val="0"/>
        <w:adjustRightInd/>
        <w:snapToGrid/>
        <w:ind w:left="402" w:leftChars="0" w:firstLine="0" w:firstLineChars="0"/>
        <w:jc w:val="left"/>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灰渣倾倒场地治理项目</w:t>
      </w:r>
      <w:r>
        <w:rPr>
          <w:rFonts w:hint="eastAsia" w:asciiTheme="minorEastAsia" w:hAnsiTheme="minorEastAsia" w:eastAsiaTheme="minorEastAsia" w:cstheme="minorEastAsia"/>
          <w:b w:val="0"/>
          <w:bCs w:val="0"/>
          <w:color w:val="auto"/>
          <w:highlight w:val="none"/>
          <w:lang w:val="en-US" w:eastAsia="zh-CN"/>
        </w:rPr>
        <w:t>的</w:t>
      </w:r>
      <w:r>
        <w:rPr>
          <w:color w:val="auto"/>
          <w:highlight w:val="none"/>
        </w:rPr>
        <w:t>环评委托书，</w:t>
      </w:r>
      <w:r>
        <w:rPr>
          <w:rFonts w:hint="eastAsia"/>
          <w:color w:val="auto"/>
          <w:highlight w:val="none"/>
          <w:lang w:val="en-US" w:eastAsia="zh-CN"/>
        </w:rPr>
        <w:t>奇台县瑞丰商贸有限公司</w:t>
      </w:r>
      <w:r>
        <w:rPr>
          <w:color w:val="auto"/>
          <w:highlight w:val="none"/>
        </w:rPr>
        <w:t>，</w:t>
      </w:r>
      <w:r>
        <w:rPr>
          <w:rFonts w:hint="eastAsia"/>
          <w:color w:val="auto"/>
          <w:highlight w:val="none"/>
        </w:rPr>
        <w:t>202</w:t>
      </w:r>
      <w:r>
        <w:rPr>
          <w:rFonts w:hint="eastAsia"/>
          <w:color w:val="auto"/>
          <w:highlight w:val="none"/>
          <w:lang w:val="en-US" w:eastAsia="zh-CN"/>
        </w:rPr>
        <w:t>1</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p>
    <w:p>
      <w:pPr>
        <w:pStyle w:val="5"/>
        <w:bidi w:val="0"/>
        <w:rPr>
          <w:rFonts w:hint="eastAsia"/>
          <w:color w:val="auto"/>
          <w:highlight w:val="none"/>
        </w:rPr>
      </w:pPr>
      <w:bookmarkStart w:id="28" w:name="_Toc30772"/>
      <w:bookmarkStart w:id="29" w:name="_Toc31104"/>
      <w:r>
        <w:rPr>
          <w:rFonts w:hint="eastAsia"/>
          <w:color w:val="auto"/>
          <w:highlight w:val="none"/>
          <w:lang w:val="en-US" w:eastAsia="zh-CN"/>
        </w:rPr>
        <w:t>环境影响识别与评价因子筛选</w:t>
      </w:r>
      <w:bookmarkEnd w:id="28"/>
    </w:p>
    <w:p>
      <w:pPr>
        <w:pStyle w:val="6"/>
        <w:bidi w:val="0"/>
        <w:rPr>
          <w:rFonts w:hint="eastAsia"/>
          <w:color w:val="auto"/>
          <w:highlight w:val="none"/>
        </w:rPr>
      </w:pPr>
      <w:r>
        <w:rPr>
          <w:rFonts w:hint="eastAsia"/>
          <w:color w:val="auto"/>
          <w:highlight w:val="none"/>
          <w:lang w:val="en-US" w:eastAsia="zh-CN"/>
        </w:rPr>
        <w:t>环境影响因素识别</w:t>
      </w:r>
    </w:p>
    <w:p>
      <w:pPr>
        <w:pStyle w:val="4"/>
        <w:rPr>
          <w:rFonts w:hint="default" w:eastAsia="宋体"/>
          <w:color w:val="auto"/>
          <w:highlight w:val="none"/>
          <w:lang w:val="en-US" w:eastAsia="zh-CN"/>
        </w:rPr>
      </w:pPr>
      <w:r>
        <w:rPr>
          <w:rFonts w:hint="eastAsia"/>
          <w:color w:val="auto"/>
          <w:highlight w:val="none"/>
        </w:rPr>
        <w:t>根据项目特点和环境特征，本项目对环境的影响主要表现在施工期</w:t>
      </w:r>
      <w:r>
        <w:rPr>
          <w:rFonts w:hint="eastAsia"/>
          <w:color w:val="auto"/>
          <w:highlight w:val="none"/>
          <w:lang w:val="en-US" w:eastAsia="zh-CN"/>
        </w:rPr>
        <w:t>和封场后，实现对现状倾倒灰渣的治理即可，不继续接收其他一般工业固体废物，因此不存在运营期。影响因素识别结果见下表：</w:t>
      </w:r>
    </w:p>
    <w:p>
      <w:pPr>
        <w:pStyle w:val="22"/>
        <w:bidi w:val="0"/>
      </w:pPr>
      <w:r>
        <w:rPr>
          <w:rFonts w:hint="eastAsia"/>
        </w:rPr>
        <w:t>表</w:t>
      </w:r>
      <w:r>
        <w:rPr>
          <w:rFonts w:hint="eastAsia"/>
          <w:lang w:val="en-US" w:eastAsia="zh-CN"/>
        </w:rPr>
        <w:t>2.2-1</w:t>
      </w:r>
      <w:r>
        <w:rPr>
          <w:rFonts w:hint="eastAsia"/>
        </w:rPr>
        <w:t xml:space="preserve">   环境影响因素识别</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9"/>
        <w:gridCol w:w="1699"/>
        <w:gridCol w:w="57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5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影响时段</w:t>
            </w:r>
          </w:p>
        </w:tc>
        <w:tc>
          <w:tcPr>
            <w:tcW w:w="9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影响环境的活动</w:t>
            </w:r>
          </w:p>
        </w:tc>
        <w:tc>
          <w:tcPr>
            <w:tcW w:w="335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可能产生的环境影响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5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施工期</w:t>
            </w:r>
          </w:p>
        </w:tc>
        <w:tc>
          <w:tcPr>
            <w:tcW w:w="9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场地平整、防渗层铺装、灰渣装卸、转运、推平</w:t>
            </w:r>
          </w:p>
        </w:tc>
        <w:tc>
          <w:tcPr>
            <w:tcW w:w="3351" w:type="pct"/>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rPr>
            </w:pPr>
            <w:r>
              <w:rPr>
                <w:rFonts w:hint="eastAsia"/>
              </w:rPr>
              <w:t>①</w:t>
            </w:r>
            <w:r>
              <w:rPr>
                <w:rFonts w:hint="eastAsia"/>
                <w:lang w:val="en-US" w:eastAsia="zh-CN"/>
              </w:rPr>
              <w:t>场地平整、灰渣装卸、填埋以及堆放过程</w:t>
            </w:r>
            <w:r>
              <w:rPr>
                <w:rFonts w:hint="eastAsia"/>
              </w:rPr>
              <w:t>产生</w:t>
            </w:r>
            <w:r>
              <w:rPr>
                <w:rFonts w:hint="eastAsia"/>
                <w:lang w:val="en-US" w:eastAsia="zh-CN"/>
              </w:rPr>
              <w:t>扬</w:t>
            </w:r>
            <w:r>
              <w:rPr>
                <w:rFonts w:hint="eastAsia"/>
              </w:rPr>
              <w:t>尘污染。</w:t>
            </w:r>
          </w:p>
          <w:p>
            <w:pPr>
              <w:pStyle w:val="24"/>
              <w:keepNext w:val="0"/>
              <w:keepLines w:val="0"/>
              <w:suppressLineNumbers w:val="0"/>
              <w:bidi w:val="0"/>
              <w:spacing w:before="0" w:beforeAutospacing="0" w:after="0" w:afterAutospacing="0"/>
              <w:ind w:left="0" w:right="0"/>
              <w:jc w:val="left"/>
              <w:rPr>
                <w:rFonts w:hint="default"/>
              </w:rPr>
            </w:pPr>
            <w:r>
              <w:rPr>
                <w:rFonts w:hint="eastAsia"/>
              </w:rPr>
              <w:t>②施工机械作业产生噪声污染，排放尾气造成</w:t>
            </w:r>
            <w:r>
              <w:rPr>
                <w:rFonts w:hint="eastAsia"/>
                <w:lang w:val="en-US" w:eastAsia="zh-CN"/>
              </w:rPr>
              <w:t>大</w:t>
            </w:r>
            <w:r>
              <w:rPr>
                <w:rFonts w:hint="eastAsia"/>
              </w:rPr>
              <w:t>气污染。</w:t>
            </w:r>
          </w:p>
          <w:p>
            <w:pPr>
              <w:pStyle w:val="24"/>
              <w:keepNext w:val="0"/>
              <w:keepLines w:val="0"/>
              <w:suppressLineNumbers w:val="0"/>
              <w:bidi w:val="0"/>
              <w:spacing w:before="0" w:beforeAutospacing="0" w:after="0" w:afterAutospacing="0"/>
              <w:ind w:left="0" w:right="0"/>
              <w:jc w:val="left"/>
              <w:rPr>
                <w:rFonts w:hint="eastAsia"/>
              </w:rPr>
            </w:pPr>
            <w:r>
              <w:rPr>
                <w:rFonts w:hint="eastAsia"/>
              </w:rPr>
              <w:t>③</w:t>
            </w:r>
            <w:r>
              <w:rPr>
                <w:rFonts w:hint="eastAsia"/>
                <w:lang w:val="en-US" w:eastAsia="zh-CN"/>
              </w:rPr>
              <w:t>防渗层建设</w:t>
            </w:r>
            <w:r>
              <w:rPr>
                <w:rFonts w:hint="eastAsia"/>
              </w:rPr>
              <w:t>产生建筑垃圾，施工人员进场产生生活垃圾</w:t>
            </w:r>
            <w:r>
              <w:rPr>
                <w:rFonts w:hint="eastAsia"/>
                <w:lang w:val="en-US" w:eastAsia="zh-CN"/>
              </w:rPr>
              <w:t>和生活废水</w:t>
            </w:r>
            <w:r>
              <w:rPr>
                <w:rFonts w:hint="eastAsia"/>
              </w:rPr>
              <w:t>。</w:t>
            </w:r>
          </w:p>
          <w:p>
            <w:pPr>
              <w:pStyle w:val="24"/>
              <w:keepNext w:val="0"/>
              <w:keepLines w:val="0"/>
              <w:suppressLineNumbers w:val="0"/>
              <w:bidi w:val="0"/>
              <w:spacing w:before="0" w:beforeAutospacing="0" w:after="0" w:afterAutospacing="0"/>
              <w:ind w:left="0" w:right="0"/>
              <w:jc w:val="left"/>
              <w:rPr>
                <w:rFonts w:hint="eastAsia"/>
              </w:rPr>
            </w:pPr>
            <w:r>
              <w:rPr>
                <w:rFonts w:hint="default"/>
              </w:rPr>
              <w:t>④</w:t>
            </w:r>
            <w:r>
              <w:rPr>
                <w:rFonts w:hint="eastAsia"/>
                <w:lang w:val="en-US" w:eastAsia="zh-CN"/>
              </w:rPr>
              <w:t>事故状态下，渗滤液污染土壤和地下水。</w:t>
            </w:r>
          </w:p>
          <w:p>
            <w:pPr>
              <w:pStyle w:val="24"/>
              <w:keepNext w:val="0"/>
              <w:keepLines w:val="0"/>
              <w:suppressLineNumbers w:val="0"/>
              <w:bidi w:val="0"/>
              <w:spacing w:before="0" w:beforeAutospacing="0" w:after="0" w:afterAutospacing="0"/>
              <w:ind w:left="0" w:right="0"/>
              <w:jc w:val="left"/>
              <w:rPr>
                <w:rFonts w:hint="default" w:eastAsia="宋体"/>
                <w:lang w:val="en-US" w:eastAsia="zh-CN"/>
              </w:rPr>
            </w:pPr>
            <w:r>
              <w:rPr>
                <w:rFonts w:hint="eastAsia"/>
                <w:b w:val="0"/>
                <w:bCs w:val="0"/>
                <w:lang w:val="en-US" w:eastAsia="zh-CN"/>
              </w:rPr>
              <w:t>⑤</w:t>
            </w:r>
            <w:r>
              <w:rPr>
                <w:rFonts w:hint="eastAsia"/>
                <w:lang w:val="en-US" w:eastAsia="zh-CN"/>
              </w:rPr>
              <w:t>临时占地破坏地表植被，场地平整造成水土流失。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5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封场后</w:t>
            </w:r>
          </w:p>
        </w:tc>
        <w:tc>
          <w:tcPr>
            <w:tcW w:w="9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固体废物永久存放过程</w:t>
            </w:r>
          </w:p>
        </w:tc>
        <w:tc>
          <w:tcPr>
            <w:tcW w:w="3351" w:type="pct"/>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填埋堆体渗滤液污染土壤和地下水。</w:t>
            </w:r>
          </w:p>
        </w:tc>
      </w:tr>
    </w:tbl>
    <w:p>
      <w:pPr>
        <w:pStyle w:val="4"/>
        <w:bidi w:val="0"/>
        <w:rPr>
          <w:rFonts w:hint="default"/>
          <w:lang w:val="en-US"/>
        </w:rPr>
      </w:pPr>
      <w:r>
        <w:rPr>
          <w:rFonts w:hint="eastAsia"/>
          <w:lang w:val="en-US" w:eastAsia="zh-CN"/>
        </w:rPr>
        <w:t>影响程度识别结果见下表：</w:t>
      </w:r>
    </w:p>
    <w:p>
      <w:pPr>
        <w:pStyle w:val="22"/>
        <w:bidi w:val="0"/>
        <w:rPr>
          <w:rFonts w:hint="eastAsia"/>
        </w:rPr>
      </w:pPr>
      <w:r>
        <w:rPr>
          <w:rFonts w:hint="eastAsia"/>
        </w:rPr>
        <w:t>表2.2-2    环境影响结果和影响程度一览表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73"/>
        <w:gridCol w:w="1212"/>
        <w:gridCol w:w="603"/>
        <w:gridCol w:w="773"/>
        <w:gridCol w:w="773"/>
        <w:gridCol w:w="815"/>
        <w:gridCol w:w="631"/>
        <w:gridCol w:w="820"/>
        <w:gridCol w:w="1010"/>
        <w:gridCol w:w="591"/>
        <w:gridCol w:w="6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restar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影响时段</w:t>
            </w:r>
          </w:p>
        </w:tc>
        <w:tc>
          <w:tcPr>
            <w:tcW w:w="720" w:type="pct"/>
            <w:vMerge w:val="restar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影响活动</w:t>
            </w:r>
          </w:p>
        </w:tc>
        <w:tc>
          <w:tcPr>
            <w:tcW w:w="2135" w:type="pct"/>
            <w:gridSpan w:val="5"/>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自然环境</w:t>
            </w:r>
          </w:p>
        </w:tc>
        <w:tc>
          <w:tcPr>
            <w:tcW w:w="1087" w:type="pct"/>
            <w:gridSpan w:val="2"/>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rPr>
            </w:pPr>
            <w:r>
              <w:rPr>
                <w:rFonts w:hint="eastAsia"/>
              </w:rPr>
              <w:t>生态环境</w:t>
            </w:r>
          </w:p>
        </w:tc>
        <w:tc>
          <w:tcPr>
            <w:tcW w:w="715" w:type="pct"/>
            <w:gridSpan w:val="2"/>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社会环境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continue"/>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720" w:type="pct"/>
            <w:vMerge w:val="continue"/>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35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空气</w:t>
            </w: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地表水</w:t>
            </w: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地下水</w:t>
            </w:r>
          </w:p>
        </w:tc>
        <w:tc>
          <w:tcPr>
            <w:tcW w:w="48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声环境</w:t>
            </w:r>
          </w:p>
        </w:tc>
        <w:tc>
          <w:tcPr>
            <w:tcW w:w="37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土壤</w:t>
            </w:r>
          </w:p>
        </w:tc>
        <w:tc>
          <w:tcPr>
            <w:tcW w:w="487"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动植物</w:t>
            </w:r>
          </w:p>
        </w:tc>
        <w:tc>
          <w:tcPr>
            <w:tcW w:w="59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水土流失</w:t>
            </w:r>
          </w:p>
        </w:tc>
        <w:tc>
          <w:tcPr>
            <w:tcW w:w="351"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就业</w:t>
            </w:r>
          </w:p>
        </w:tc>
        <w:tc>
          <w:tcPr>
            <w:tcW w:w="36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交通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restar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施工期</w:t>
            </w:r>
          </w:p>
        </w:tc>
        <w:tc>
          <w:tcPr>
            <w:tcW w:w="72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eastAsia"/>
                <w:lang w:val="en-US" w:eastAsia="zh-CN"/>
              </w:rPr>
              <w:t>临时占地</w:t>
            </w:r>
          </w:p>
        </w:tc>
        <w:tc>
          <w:tcPr>
            <w:tcW w:w="35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p>
        </w:tc>
        <w:tc>
          <w:tcPr>
            <w:tcW w:w="48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p>
        </w:tc>
        <w:tc>
          <w:tcPr>
            <w:tcW w:w="37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p>
        </w:tc>
        <w:tc>
          <w:tcPr>
            <w:tcW w:w="487"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r>
              <w:rPr>
                <w:rFonts w:hint="eastAsia"/>
                <w:lang w:val="en-US" w:eastAsia="zh-CN"/>
              </w:rPr>
              <w:t>-2D</w:t>
            </w:r>
          </w:p>
        </w:tc>
        <w:tc>
          <w:tcPr>
            <w:tcW w:w="59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p>
        </w:tc>
        <w:tc>
          <w:tcPr>
            <w:tcW w:w="351"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p>
        </w:tc>
        <w:tc>
          <w:tcPr>
            <w:tcW w:w="36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continue"/>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72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场地平整</w:t>
            </w:r>
          </w:p>
        </w:tc>
        <w:tc>
          <w:tcPr>
            <w:tcW w:w="35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w:t>
            </w:r>
            <w:r>
              <w:rPr>
                <w:rFonts w:hint="eastAsia"/>
                <w:lang w:val="en-US" w:eastAsia="zh-CN"/>
              </w:rPr>
              <w:t>2</w:t>
            </w:r>
            <w:r>
              <w:rPr>
                <w:rFonts w:hint="eastAsia"/>
              </w:rPr>
              <w:t>D</w:t>
            </w: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8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-1D</w:t>
            </w:r>
          </w:p>
        </w:tc>
        <w:tc>
          <w:tcPr>
            <w:tcW w:w="37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87"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59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-1D</w:t>
            </w:r>
          </w:p>
        </w:tc>
        <w:tc>
          <w:tcPr>
            <w:tcW w:w="351"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+1D</w:t>
            </w:r>
          </w:p>
        </w:tc>
        <w:tc>
          <w:tcPr>
            <w:tcW w:w="36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continue"/>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72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防渗层建设</w:t>
            </w:r>
          </w:p>
        </w:tc>
        <w:tc>
          <w:tcPr>
            <w:tcW w:w="35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-1D</w:t>
            </w: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+2C</w:t>
            </w:r>
          </w:p>
        </w:tc>
        <w:tc>
          <w:tcPr>
            <w:tcW w:w="48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-1D</w:t>
            </w:r>
          </w:p>
        </w:tc>
        <w:tc>
          <w:tcPr>
            <w:tcW w:w="37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87"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59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351"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+1D</w:t>
            </w:r>
          </w:p>
        </w:tc>
        <w:tc>
          <w:tcPr>
            <w:tcW w:w="36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continue"/>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72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灰渣转运</w:t>
            </w:r>
          </w:p>
        </w:tc>
        <w:tc>
          <w:tcPr>
            <w:tcW w:w="35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w:t>
            </w:r>
            <w:r>
              <w:rPr>
                <w:rFonts w:hint="eastAsia"/>
                <w:lang w:val="en-US" w:eastAsia="zh-CN"/>
              </w:rPr>
              <w:t>2</w:t>
            </w:r>
            <w:r>
              <w:rPr>
                <w:rFonts w:hint="eastAsia"/>
              </w:rPr>
              <w:t>D</w:t>
            </w: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8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-1D</w:t>
            </w:r>
          </w:p>
        </w:tc>
        <w:tc>
          <w:tcPr>
            <w:tcW w:w="37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87"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59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351"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+1D</w:t>
            </w:r>
          </w:p>
        </w:tc>
        <w:tc>
          <w:tcPr>
            <w:tcW w:w="36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continue"/>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rPr>
            </w:pPr>
          </w:p>
        </w:tc>
        <w:tc>
          <w:tcPr>
            <w:tcW w:w="72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填埋作业</w:t>
            </w:r>
          </w:p>
        </w:tc>
        <w:tc>
          <w:tcPr>
            <w:tcW w:w="35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eastAsia"/>
              </w:rPr>
              <w:t>D</w:t>
            </w: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48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r>
              <w:rPr>
                <w:rFonts w:hint="eastAsia"/>
              </w:rPr>
              <w:t>D</w:t>
            </w:r>
          </w:p>
        </w:tc>
        <w:tc>
          <w:tcPr>
            <w:tcW w:w="37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487"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59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351"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r>
              <w:rPr>
                <w:rFonts w:hint="eastAsia"/>
              </w:rPr>
              <w:t>D</w:t>
            </w:r>
          </w:p>
        </w:tc>
        <w:tc>
          <w:tcPr>
            <w:tcW w:w="36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restar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封场</w:t>
            </w:r>
          </w:p>
        </w:tc>
        <w:tc>
          <w:tcPr>
            <w:tcW w:w="72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固废堆放</w:t>
            </w:r>
          </w:p>
        </w:tc>
        <w:tc>
          <w:tcPr>
            <w:tcW w:w="35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-1C</w:t>
            </w: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-2C</w:t>
            </w:r>
          </w:p>
        </w:tc>
        <w:tc>
          <w:tcPr>
            <w:tcW w:w="48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rPr>
            </w:pPr>
          </w:p>
        </w:tc>
        <w:tc>
          <w:tcPr>
            <w:tcW w:w="37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-1C</w:t>
            </w:r>
          </w:p>
        </w:tc>
        <w:tc>
          <w:tcPr>
            <w:tcW w:w="487"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59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rPr>
            </w:pPr>
          </w:p>
        </w:tc>
        <w:tc>
          <w:tcPr>
            <w:tcW w:w="351"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+1C</w:t>
            </w:r>
          </w:p>
        </w:tc>
        <w:tc>
          <w:tcPr>
            <w:tcW w:w="36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41" w:type="pct"/>
            <w:vMerge w:val="continue"/>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2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覆土压实</w:t>
            </w:r>
          </w:p>
        </w:tc>
        <w:tc>
          <w:tcPr>
            <w:tcW w:w="35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+1C</w:t>
            </w: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5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8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rPr>
            </w:pPr>
          </w:p>
        </w:tc>
        <w:tc>
          <w:tcPr>
            <w:tcW w:w="37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487"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599"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+1C</w:t>
            </w:r>
          </w:p>
        </w:tc>
        <w:tc>
          <w:tcPr>
            <w:tcW w:w="351"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364"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5000" w:type="pct"/>
            <w:gridSpan w:val="11"/>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jc w:val="left"/>
              <w:rPr>
                <w:rFonts w:hint="default"/>
              </w:rPr>
            </w:pPr>
            <w:r>
              <w:rPr>
                <w:rFonts w:hint="eastAsia"/>
              </w:rPr>
              <w:t>注：1、表</w:t>
            </w:r>
            <w:r>
              <w:rPr>
                <w:rFonts w:hint="eastAsia"/>
                <w:lang w:val="en-US" w:eastAsia="zh-CN"/>
              </w:rPr>
              <w:t>中</w:t>
            </w:r>
            <w:r>
              <w:rPr>
                <w:rFonts w:hint="eastAsia"/>
              </w:rPr>
              <w:t>“+”表示正效益，“</w:t>
            </w:r>
            <w:r>
              <w:rPr>
                <w:rFonts w:hint="eastAsia"/>
                <w:lang w:val="en-US" w:eastAsia="zh-CN"/>
              </w:rPr>
              <w:t>-</w:t>
            </w:r>
            <w:r>
              <w:rPr>
                <w:rFonts w:hint="eastAsia"/>
              </w:rPr>
              <w:t>”表示负效益；</w:t>
            </w:r>
          </w:p>
          <w:p>
            <w:pPr>
              <w:pStyle w:val="24"/>
              <w:keepNext w:val="0"/>
              <w:keepLines w:val="0"/>
              <w:suppressLineNumbers w:val="0"/>
              <w:bidi w:val="0"/>
              <w:spacing w:before="0" w:beforeAutospacing="0" w:after="0" w:afterAutospacing="0"/>
              <w:ind w:left="0" w:right="0"/>
              <w:jc w:val="left"/>
              <w:rPr>
                <w:rFonts w:hint="default"/>
              </w:rPr>
            </w:pPr>
            <w:r>
              <w:rPr>
                <w:rFonts w:hint="eastAsia"/>
              </w:rPr>
              <w:t>2、表中数字表示影响的相对程度，“1”表示影响较小，“2”表示影响中等，“3”表影响较大；</w:t>
            </w:r>
          </w:p>
          <w:p>
            <w:pPr>
              <w:pStyle w:val="24"/>
              <w:keepNext w:val="0"/>
              <w:keepLines w:val="0"/>
              <w:suppressLineNumbers w:val="0"/>
              <w:bidi w:val="0"/>
              <w:spacing w:before="0" w:beforeAutospacing="0" w:after="0" w:afterAutospacing="0"/>
              <w:ind w:left="0" w:right="0"/>
              <w:jc w:val="left"/>
              <w:rPr>
                <w:rFonts w:hint="default"/>
              </w:rPr>
            </w:pPr>
            <w:r>
              <w:rPr>
                <w:rFonts w:hint="eastAsia"/>
              </w:rPr>
              <w:t>3、表中“D”表示短期影响，“C”表示长期影响。</w:t>
            </w:r>
          </w:p>
        </w:tc>
      </w:tr>
    </w:tbl>
    <w:p>
      <w:pPr>
        <w:pStyle w:val="4"/>
        <w:ind w:firstLine="480"/>
        <w:rPr>
          <w:rFonts w:hint="eastAsia"/>
          <w:color w:val="auto"/>
          <w:highlight w:val="none"/>
        </w:rPr>
      </w:pPr>
      <w:r>
        <w:rPr>
          <w:color w:val="auto"/>
          <w:highlight w:val="none"/>
        </w:rPr>
        <w:t>由</w:t>
      </w:r>
      <w:r>
        <w:rPr>
          <w:rFonts w:hint="eastAsia"/>
          <w:color w:val="auto"/>
          <w:highlight w:val="none"/>
        </w:rPr>
        <w:t>上</w:t>
      </w:r>
      <w:r>
        <w:rPr>
          <w:color w:val="auto"/>
          <w:highlight w:val="none"/>
        </w:rPr>
        <w:t>表可知，本项目的建设对环境的影响是多方面的，既存在短期、局部及可恢复的影响，也存在长期</w:t>
      </w:r>
      <w:r>
        <w:rPr>
          <w:rFonts w:hint="eastAsia"/>
          <w:color w:val="auto"/>
          <w:highlight w:val="none"/>
        </w:rPr>
        <w:t>的</w:t>
      </w:r>
      <w:r>
        <w:rPr>
          <w:color w:val="auto"/>
          <w:highlight w:val="none"/>
        </w:rPr>
        <w:t>影响</w:t>
      </w:r>
      <w:r>
        <w:rPr>
          <w:rFonts w:hint="eastAsia"/>
          <w:color w:val="auto"/>
          <w:highlight w:val="none"/>
          <w:lang w:eastAsia="zh-CN"/>
        </w:rPr>
        <w:t>，</w:t>
      </w:r>
      <w:r>
        <w:rPr>
          <w:rFonts w:hint="eastAsia"/>
          <w:color w:val="auto"/>
          <w:highlight w:val="none"/>
          <w:lang w:val="en-US" w:eastAsia="zh-CN"/>
        </w:rPr>
        <w:t>既有正面影响，也有负面影响。</w:t>
      </w:r>
      <w:r>
        <w:rPr>
          <w:color w:val="auto"/>
          <w:highlight w:val="none"/>
        </w:rPr>
        <w:t>施工期主要表现在对生态</w:t>
      </w:r>
      <w:r>
        <w:rPr>
          <w:rFonts w:hint="eastAsia"/>
          <w:color w:val="auto"/>
          <w:highlight w:val="none"/>
        </w:rPr>
        <w:t>环境</w:t>
      </w:r>
      <w:r>
        <w:rPr>
          <w:rFonts w:hint="eastAsia"/>
          <w:color w:val="auto"/>
          <w:highlight w:val="none"/>
          <w:lang w:eastAsia="zh-CN"/>
        </w:rPr>
        <w:t>、</w:t>
      </w:r>
      <w:r>
        <w:rPr>
          <w:rFonts w:hint="eastAsia"/>
          <w:color w:val="auto"/>
          <w:highlight w:val="none"/>
          <w:lang w:val="en-US" w:eastAsia="zh-CN"/>
        </w:rPr>
        <w:t>大气环境、声环境和</w:t>
      </w:r>
      <w:r>
        <w:rPr>
          <w:rFonts w:hint="eastAsia"/>
          <w:color w:val="auto"/>
          <w:highlight w:val="none"/>
        </w:rPr>
        <w:t>交通情况</w:t>
      </w:r>
      <w:r>
        <w:rPr>
          <w:color w:val="auto"/>
          <w:highlight w:val="none"/>
        </w:rPr>
        <w:t>产生一定程度的负面影响，对</w:t>
      </w:r>
      <w:r>
        <w:rPr>
          <w:rFonts w:hint="eastAsia"/>
          <w:color w:val="auto"/>
          <w:highlight w:val="none"/>
        </w:rPr>
        <w:t>人口就业则表现出</w:t>
      </w:r>
      <w:r>
        <w:rPr>
          <w:color w:val="auto"/>
          <w:highlight w:val="none"/>
        </w:rPr>
        <w:t>短期</w:t>
      </w:r>
      <w:r>
        <w:rPr>
          <w:rFonts w:hint="eastAsia"/>
          <w:color w:val="auto"/>
          <w:highlight w:val="none"/>
        </w:rPr>
        <w:t>的</w:t>
      </w:r>
      <w:r>
        <w:rPr>
          <w:color w:val="auto"/>
          <w:highlight w:val="none"/>
        </w:rPr>
        <w:t>正影响。</w:t>
      </w:r>
      <w:r>
        <w:rPr>
          <w:rFonts w:hint="eastAsia"/>
          <w:color w:val="auto"/>
          <w:highlight w:val="none"/>
          <w:lang w:val="en-US" w:eastAsia="zh-CN"/>
        </w:rPr>
        <w:t>封场后覆土压实，减少裸露砂坑风力扬尘污染，防渗层的建设阻隔了灰渣对土壤和地下水污染风险，实现了对污染场地的治理。</w:t>
      </w:r>
    </w:p>
    <w:p>
      <w:pPr>
        <w:pStyle w:val="6"/>
        <w:bidi w:val="0"/>
        <w:rPr>
          <w:rFonts w:hint="eastAsia"/>
          <w:color w:val="auto"/>
          <w:highlight w:val="none"/>
        </w:rPr>
      </w:pPr>
      <w:r>
        <w:rPr>
          <w:rFonts w:hint="eastAsia"/>
          <w:color w:val="auto"/>
          <w:highlight w:val="none"/>
          <w:lang w:val="en-US" w:eastAsia="zh-CN"/>
        </w:rPr>
        <w:t>评价因子筛选</w:t>
      </w:r>
    </w:p>
    <w:p>
      <w:pPr>
        <w:pStyle w:val="4"/>
        <w:rPr>
          <w:rFonts w:hint="default"/>
          <w:color w:val="auto"/>
          <w:highlight w:val="none"/>
          <w:lang w:val="en-US" w:eastAsia="zh-CN"/>
        </w:rPr>
      </w:pPr>
      <w:r>
        <w:rPr>
          <w:rFonts w:hint="eastAsia"/>
          <w:color w:val="auto"/>
          <w:highlight w:val="none"/>
          <w:lang w:val="en-US" w:eastAsia="zh-CN"/>
        </w:rPr>
        <w:t>本项目施工期和封场后主要环境现状和影响评价因子见下表：</w:t>
      </w:r>
    </w:p>
    <w:p>
      <w:pPr>
        <w:pStyle w:val="22"/>
        <w:bidi w:val="0"/>
        <w:rPr>
          <w:rFonts w:hint="eastAsia"/>
        </w:rPr>
      </w:pPr>
      <w:r>
        <w:t>表</w:t>
      </w:r>
      <w:r>
        <w:rPr>
          <w:rFonts w:hint="eastAsia"/>
          <w:lang w:val="en-US" w:eastAsia="zh-CN"/>
        </w:rPr>
        <w:t>2.2-3</w:t>
      </w:r>
      <w:r>
        <w:rPr>
          <w:rFonts w:hint="eastAsia"/>
        </w:rPr>
        <w:t xml:space="preserve">    </w:t>
      </w:r>
      <w:r>
        <w:rPr>
          <w:rFonts w:hint="eastAsia"/>
          <w:lang w:val="en-US" w:eastAsia="zh-CN"/>
        </w:rPr>
        <w:t>评价因子筛选结果一览表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9"/>
        <w:gridCol w:w="3811"/>
        <w:gridCol w:w="32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68"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环境要素</w:t>
            </w:r>
          </w:p>
        </w:tc>
        <w:tc>
          <w:tcPr>
            <w:tcW w:w="223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现状监测（调查）因子</w:t>
            </w:r>
          </w:p>
        </w:tc>
        <w:tc>
          <w:tcPr>
            <w:tcW w:w="1895"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影响预测（分析）因子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68"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环境空气</w:t>
            </w:r>
          </w:p>
        </w:tc>
        <w:tc>
          <w:tcPr>
            <w:tcW w:w="2236"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default"/>
              </w:rPr>
              <w:t>SO</w:t>
            </w:r>
            <w:r>
              <w:rPr>
                <w:rFonts w:hint="default"/>
                <w:vertAlign w:val="subscript"/>
              </w:rPr>
              <w:t>2</w:t>
            </w:r>
            <w:r>
              <w:rPr>
                <w:rFonts w:hint="default"/>
              </w:rPr>
              <w:t>、NO</w:t>
            </w:r>
            <w:r>
              <w:rPr>
                <w:rFonts w:hint="default"/>
                <w:vertAlign w:val="subscript"/>
              </w:rPr>
              <w:t>2</w:t>
            </w:r>
            <w:r>
              <w:rPr>
                <w:rFonts w:hint="default"/>
              </w:rPr>
              <w:t>、CO、O</w:t>
            </w:r>
            <w:r>
              <w:rPr>
                <w:rFonts w:hint="default"/>
                <w:vertAlign w:val="subscript"/>
              </w:rPr>
              <w:t>3</w:t>
            </w:r>
            <w:r>
              <w:rPr>
                <w:rFonts w:hint="default"/>
              </w:rPr>
              <w:t>、PM</w:t>
            </w:r>
            <w:r>
              <w:rPr>
                <w:rFonts w:hint="default"/>
                <w:vertAlign w:val="subscript"/>
              </w:rPr>
              <w:t>2.5</w:t>
            </w:r>
            <w:r>
              <w:rPr>
                <w:rFonts w:hint="default"/>
              </w:rPr>
              <w:t>、PM</w:t>
            </w:r>
            <w:r>
              <w:rPr>
                <w:rFonts w:hint="default"/>
                <w:vertAlign w:val="subscript"/>
              </w:rPr>
              <w:t>10</w:t>
            </w:r>
            <w:r>
              <w:rPr>
                <w:rFonts w:hint="eastAsia"/>
                <w:lang w:eastAsia="zh-CN"/>
              </w:rPr>
              <w:t>，</w:t>
            </w:r>
            <w:r>
              <w:rPr>
                <w:rFonts w:hint="eastAsia"/>
                <w:lang w:val="en-US" w:eastAsia="zh-CN"/>
              </w:rPr>
              <w:t>TSP</w:t>
            </w:r>
          </w:p>
        </w:tc>
        <w:tc>
          <w:tcPr>
            <w:tcW w:w="1895"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施工作业扬尘（TSP）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68"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地下水</w:t>
            </w:r>
          </w:p>
        </w:tc>
        <w:tc>
          <w:tcPr>
            <w:tcW w:w="2236" w:type="pct"/>
            <w:shd w:val="clear" w:color="auto" w:fill="auto"/>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rPr>
              <w:t>pH值、氨氮、硝酸盐氮、亚硝酸盐氮、挥发性酚类、氰化物、砷、汞、六价铬、总硬度、铅、氟、镉、铁、锰、溶解性总固体、耗氧量、硫酸盐、氯化物、总大肠杆菌群、细菌总数</w:t>
            </w:r>
            <w:r>
              <w:rPr>
                <w:rFonts w:hint="eastAsia"/>
                <w:lang w:eastAsia="zh-CN"/>
              </w:rPr>
              <w:t>，</w:t>
            </w:r>
            <w:r>
              <w:rPr>
                <w:rFonts w:hint="eastAsia"/>
                <w:lang w:val="en-US" w:eastAsia="zh-CN"/>
              </w:rPr>
              <w:t>氟化物。八大离子：</w:t>
            </w:r>
            <w:r>
              <w:rPr>
                <w:rFonts w:hint="eastAsia"/>
                <w:color w:val="auto"/>
                <w:sz w:val="22"/>
                <w:szCs w:val="22"/>
                <w:lang w:val="en-US" w:eastAsia="zh-CN"/>
              </w:rPr>
              <w:t>K</w:t>
            </w:r>
            <w:r>
              <w:rPr>
                <w:rFonts w:hint="eastAsia"/>
                <w:color w:val="auto"/>
                <w:sz w:val="22"/>
                <w:szCs w:val="22"/>
                <w:vertAlign w:val="superscript"/>
                <w:lang w:val="en-US" w:eastAsia="zh-CN"/>
              </w:rPr>
              <w:t>+</w:t>
            </w:r>
            <w:r>
              <w:rPr>
                <w:rFonts w:hint="eastAsia"/>
                <w:color w:val="auto"/>
                <w:sz w:val="22"/>
                <w:szCs w:val="22"/>
                <w:lang w:val="en-US" w:eastAsia="zh-CN"/>
              </w:rPr>
              <w:t>、Na</w:t>
            </w:r>
            <w:r>
              <w:rPr>
                <w:rFonts w:hint="eastAsia"/>
                <w:color w:val="auto"/>
                <w:sz w:val="22"/>
                <w:szCs w:val="22"/>
                <w:vertAlign w:val="superscript"/>
                <w:lang w:val="en-US" w:eastAsia="zh-CN"/>
              </w:rPr>
              <w:t>+</w:t>
            </w:r>
            <w:r>
              <w:rPr>
                <w:rFonts w:hint="eastAsia"/>
                <w:color w:val="auto"/>
                <w:sz w:val="22"/>
                <w:szCs w:val="22"/>
                <w:lang w:val="en-US" w:eastAsia="zh-CN"/>
              </w:rPr>
              <w:t>、Ca</w:t>
            </w:r>
            <w:r>
              <w:rPr>
                <w:rFonts w:hint="eastAsia"/>
                <w:color w:val="auto"/>
                <w:sz w:val="22"/>
                <w:szCs w:val="22"/>
                <w:vertAlign w:val="superscript"/>
                <w:lang w:val="en-US" w:eastAsia="zh-CN"/>
              </w:rPr>
              <w:t>2+</w:t>
            </w:r>
            <w:r>
              <w:rPr>
                <w:rFonts w:hint="eastAsia"/>
                <w:color w:val="auto"/>
                <w:sz w:val="22"/>
                <w:szCs w:val="22"/>
                <w:lang w:val="en-US" w:eastAsia="zh-CN"/>
              </w:rPr>
              <w:t>、Mg</w:t>
            </w:r>
            <w:r>
              <w:rPr>
                <w:rFonts w:hint="eastAsia"/>
                <w:color w:val="auto"/>
                <w:sz w:val="22"/>
                <w:szCs w:val="22"/>
                <w:vertAlign w:val="superscript"/>
                <w:lang w:val="en-US" w:eastAsia="zh-CN"/>
              </w:rPr>
              <w:t>2+</w:t>
            </w:r>
            <w:r>
              <w:rPr>
                <w:rFonts w:hint="eastAsia"/>
                <w:color w:val="auto"/>
                <w:sz w:val="22"/>
                <w:szCs w:val="22"/>
                <w:lang w:val="en-US" w:eastAsia="zh-CN"/>
              </w:rPr>
              <w:t>、CO</w:t>
            </w:r>
            <w:r>
              <w:rPr>
                <w:rFonts w:hint="eastAsia"/>
                <w:color w:val="auto"/>
                <w:sz w:val="22"/>
                <w:szCs w:val="22"/>
                <w:vertAlign w:val="subscript"/>
                <w:lang w:val="en-US" w:eastAsia="zh-CN"/>
              </w:rPr>
              <w:t>3</w:t>
            </w:r>
            <w:r>
              <w:rPr>
                <w:rFonts w:hint="eastAsia"/>
                <w:color w:val="auto"/>
                <w:sz w:val="22"/>
                <w:szCs w:val="22"/>
                <w:vertAlign w:val="superscript"/>
                <w:lang w:val="en-US" w:eastAsia="zh-CN"/>
              </w:rPr>
              <w:t>2-</w:t>
            </w:r>
            <w:r>
              <w:rPr>
                <w:rFonts w:hint="eastAsia"/>
                <w:color w:val="auto"/>
                <w:sz w:val="22"/>
                <w:szCs w:val="22"/>
                <w:lang w:val="en-US" w:eastAsia="zh-CN"/>
              </w:rPr>
              <w:t>、HCO</w:t>
            </w:r>
            <w:r>
              <w:rPr>
                <w:rFonts w:hint="eastAsia"/>
                <w:color w:val="auto"/>
                <w:sz w:val="22"/>
                <w:szCs w:val="22"/>
                <w:vertAlign w:val="subscript"/>
                <w:lang w:val="en-US" w:eastAsia="zh-CN"/>
              </w:rPr>
              <w:t>3</w:t>
            </w:r>
            <w:r>
              <w:rPr>
                <w:rFonts w:hint="eastAsia"/>
                <w:color w:val="auto"/>
                <w:sz w:val="22"/>
                <w:szCs w:val="22"/>
                <w:vertAlign w:val="superscript"/>
                <w:lang w:val="en-US" w:eastAsia="zh-CN"/>
              </w:rPr>
              <w:t>-</w:t>
            </w:r>
            <w:r>
              <w:rPr>
                <w:rFonts w:hint="eastAsia"/>
                <w:color w:val="auto"/>
                <w:sz w:val="22"/>
                <w:szCs w:val="22"/>
                <w:lang w:val="en-US" w:eastAsia="zh-CN"/>
              </w:rPr>
              <w:t>、Cl</w:t>
            </w:r>
            <w:r>
              <w:rPr>
                <w:rFonts w:hint="eastAsia"/>
                <w:color w:val="auto"/>
                <w:sz w:val="22"/>
                <w:szCs w:val="22"/>
                <w:vertAlign w:val="superscript"/>
                <w:lang w:val="en-US" w:eastAsia="zh-CN"/>
              </w:rPr>
              <w:t>-</w:t>
            </w:r>
            <w:r>
              <w:rPr>
                <w:rFonts w:hint="eastAsia"/>
                <w:color w:val="auto"/>
                <w:sz w:val="22"/>
                <w:szCs w:val="22"/>
                <w:lang w:val="en-US" w:eastAsia="zh-CN"/>
              </w:rPr>
              <w:t>、SO</w:t>
            </w:r>
            <w:r>
              <w:rPr>
                <w:rFonts w:hint="eastAsia"/>
                <w:color w:val="auto"/>
                <w:sz w:val="22"/>
                <w:szCs w:val="22"/>
                <w:vertAlign w:val="subscript"/>
                <w:lang w:val="en-US" w:eastAsia="zh-CN"/>
              </w:rPr>
              <w:t>4</w:t>
            </w:r>
            <w:r>
              <w:rPr>
                <w:rFonts w:hint="eastAsia"/>
                <w:color w:val="auto"/>
                <w:sz w:val="22"/>
                <w:szCs w:val="22"/>
                <w:vertAlign w:val="superscript"/>
                <w:lang w:val="en-US" w:eastAsia="zh-CN"/>
              </w:rPr>
              <w:t>2-</w:t>
            </w:r>
            <w:r>
              <w:rPr>
                <w:rFonts w:hint="eastAsia"/>
                <w:lang w:val="en-US" w:eastAsia="zh-CN"/>
              </w:rPr>
              <w:t>。</w:t>
            </w:r>
          </w:p>
        </w:tc>
        <w:tc>
          <w:tcPr>
            <w:tcW w:w="1895" w:type="pct"/>
            <w:shd w:val="clear" w:color="auto" w:fill="auto"/>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渗滤液：pH、SS、CODcr、氟化物、硝酸盐、亚硝酸盐、硫化物、砷、铅、铬、六价铬、铜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68"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声环境</w:t>
            </w:r>
          </w:p>
        </w:tc>
        <w:tc>
          <w:tcPr>
            <w:tcW w:w="2236"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Ld、Ln</w:t>
            </w:r>
          </w:p>
        </w:tc>
        <w:tc>
          <w:tcPr>
            <w:tcW w:w="1895" w:type="pct"/>
            <w:vAlign w:val="center"/>
          </w:tcPr>
          <w:p>
            <w:pPr>
              <w:pStyle w:val="24"/>
              <w:keepNext w:val="0"/>
              <w:keepLines w:val="0"/>
              <w:suppressLineNumbers w:val="0"/>
              <w:bidi w:val="0"/>
              <w:spacing w:before="0" w:beforeAutospacing="0" w:after="0" w:afterAutospacing="0"/>
              <w:ind w:left="0" w:right="0"/>
              <w:jc w:val="left"/>
              <w:rPr>
                <w:rFonts w:hint="eastAsia"/>
              </w:rPr>
            </w:pPr>
            <w:r>
              <w:rPr>
                <w:rFonts w:hint="eastAsia"/>
                <w:lang w:val="en-US" w:eastAsia="zh-CN"/>
              </w:rPr>
              <w:t>施工机械噪声：Ld、Ln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68"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生态环境</w:t>
            </w:r>
          </w:p>
        </w:tc>
        <w:tc>
          <w:tcPr>
            <w:tcW w:w="2236" w:type="pct"/>
            <w:vAlign w:val="center"/>
          </w:tcPr>
          <w:p>
            <w:pPr>
              <w:pStyle w:val="24"/>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土地利用、动植物、水土流失</w:t>
            </w:r>
          </w:p>
        </w:tc>
        <w:tc>
          <w:tcPr>
            <w:tcW w:w="1895"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占地、动植物、水土流失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68"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土壤环境</w:t>
            </w:r>
          </w:p>
        </w:tc>
        <w:tc>
          <w:tcPr>
            <w:tcW w:w="2236" w:type="pct"/>
            <w:vAlign w:val="center"/>
          </w:tcPr>
          <w:p>
            <w:pPr>
              <w:pStyle w:val="24"/>
              <w:keepNext w:val="0"/>
              <w:keepLines w:val="0"/>
              <w:suppressLineNumbers w:val="0"/>
              <w:bidi w:val="0"/>
              <w:spacing w:before="0" w:beforeAutospacing="0" w:after="0" w:afterAutospacing="0"/>
              <w:ind w:left="0" w:right="0"/>
              <w:jc w:val="left"/>
              <w:rPr>
                <w:rFonts w:hint="default"/>
              </w:rPr>
            </w:pPr>
            <w:r>
              <w:rPr>
                <w:rFonts w:hint="eastAsia"/>
              </w:rPr>
              <w:t>砷、镉、铬</w:t>
            </w:r>
            <w:r>
              <w:rPr>
                <w:rFonts w:hint="eastAsia"/>
                <w:lang w:eastAsia="zh-CN"/>
              </w:rPr>
              <w:t>（</w:t>
            </w:r>
            <w:r>
              <w:rPr>
                <w:rFonts w:hint="eastAsia"/>
              </w:rPr>
              <w:t>六价</w:t>
            </w:r>
            <w:r>
              <w:rPr>
                <w:rFonts w:hint="eastAsia"/>
                <w:lang w:eastAsia="zh-CN"/>
              </w:rPr>
              <w:t>）</w:t>
            </w:r>
            <w:r>
              <w:rPr>
                <w:rFonts w:hint="eastAsia"/>
              </w:rPr>
              <w:t>、铜、铅、汞、镍、四氯化碳、氯仿、氯甲烷、</w:t>
            </w:r>
            <w:r>
              <w:rPr>
                <w:rFonts w:hint="default"/>
              </w:rPr>
              <w:t>1</w:t>
            </w:r>
            <w:r>
              <w:rPr>
                <w:rFonts w:hint="eastAsia"/>
              </w:rPr>
              <w:t>,</w:t>
            </w:r>
            <w:r>
              <w:rPr>
                <w:rFonts w:hint="default"/>
              </w:rPr>
              <w:t>1二氯乙烷、1</w:t>
            </w:r>
            <w:r>
              <w:rPr>
                <w:rFonts w:hint="eastAsia"/>
              </w:rPr>
              <w:t>,</w:t>
            </w:r>
            <w:r>
              <w:rPr>
                <w:rFonts w:hint="default"/>
              </w:rPr>
              <w:t>2-二氯乙烷、1</w:t>
            </w:r>
            <w:r>
              <w:rPr>
                <w:rFonts w:hint="eastAsia"/>
              </w:rPr>
              <w:t>,</w:t>
            </w:r>
            <w:r>
              <w:rPr>
                <w:rFonts w:hint="default"/>
              </w:rPr>
              <w:t>1-二氯乙烯、顺-1</w:t>
            </w:r>
            <w:r>
              <w:rPr>
                <w:rFonts w:hint="eastAsia"/>
              </w:rPr>
              <w:t>,</w:t>
            </w:r>
            <w:r>
              <w:rPr>
                <w:rFonts w:hint="default"/>
              </w:rPr>
              <w:t>2-二氯乙烯、反-1</w:t>
            </w:r>
            <w:r>
              <w:rPr>
                <w:rFonts w:hint="eastAsia"/>
              </w:rPr>
              <w:t>,</w:t>
            </w:r>
            <w:r>
              <w:rPr>
                <w:rFonts w:hint="default"/>
              </w:rPr>
              <w:t>2-二氯乙烯、二氯甲烷、1</w:t>
            </w:r>
            <w:r>
              <w:rPr>
                <w:rFonts w:hint="eastAsia"/>
              </w:rPr>
              <w:t>,</w:t>
            </w:r>
            <w:r>
              <w:rPr>
                <w:rFonts w:hint="default"/>
              </w:rPr>
              <w:t>2-二氯丙烷、1</w:t>
            </w:r>
            <w:r>
              <w:rPr>
                <w:rFonts w:hint="eastAsia"/>
              </w:rPr>
              <w:t>,</w:t>
            </w:r>
            <w:r>
              <w:rPr>
                <w:rFonts w:hint="default"/>
              </w:rPr>
              <w:t>1</w:t>
            </w:r>
            <w:r>
              <w:rPr>
                <w:rFonts w:hint="eastAsia"/>
              </w:rPr>
              <w:t>,</w:t>
            </w:r>
            <w:r>
              <w:rPr>
                <w:rFonts w:hint="default"/>
              </w:rPr>
              <w:t>1</w:t>
            </w:r>
            <w:r>
              <w:rPr>
                <w:rFonts w:hint="eastAsia"/>
              </w:rPr>
              <w:t>,</w:t>
            </w:r>
            <w:r>
              <w:rPr>
                <w:rFonts w:hint="default"/>
              </w:rPr>
              <w:t>2-四氯</w:t>
            </w:r>
            <w:r>
              <w:rPr>
                <w:rFonts w:hint="eastAsia"/>
              </w:rPr>
              <w:t>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p>
        </w:tc>
        <w:tc>
          <w:tcPr>
            <w:tcW w:w="1895"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color w:val="FF0000"/>
                <w:lang w:val="en-US" w:eastAsia="zh-CN"/>
              </w:rPr>
              <w:t>汞、</w:t>
            </w:r>
            <w:r>
              <w:rPr>
                <w:rFonts w:hint="eastAsia"/>
                <w:lang w:val="en-US" w:eastAsia="zh-CN"/>
              </w:rPr>
              <w:t>砷、铅、镍、铜、六价铬</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68"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固体废物</w:t>
            </w:r>
          </w:p>
        </w:tc>
        <w:tc>
          <w:tcPr>
            <w:tcW w:w="4131" w:type="pct"/>
            <w:gridSpan w:val="2"/>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建筑施工垃圾，生活垃圾。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68"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环境风险</w:t>
            </w:r>
          </w:p>
        </w:tc>
        <w:tc>
          <w:tcPr>
            <w:tcW w:w="4131" w:type="pct"/>
            <w:gridSpan w:val="2"/>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防渗层破损发生渗漏污染地下水。</w:t>
            </w:r>
          </w:p>
        </w:tc>
      </w:tr>
    </w:tbl>
    <w:p>
      <w:pPr>
        <w:pStyle w:val="5"/>
        <w:bidi w:val="0"/>
        <w:rPr>
          <w:rFonts w:hint="eastAsia"/>
          <w:color w:val="auto"/>
          <w:highlight w:val="none"/>
        </w:rPr>
      </w:pPr>
      <w:bookmarkStart w:id="30" w:name="_Toc5947"/>
      <w:r>
        <w:rPr>
          <w:rFonts w:hint="eastAsia"/>
          <w:color w:val="auto"/>
          <w:highlight w:val="none"/>
          <w:lang w:val="en-US" w:eastAsia="zh-CN"/>
        </w:rPr>
        <w:t>环境功能区划与评价标准</w:t>
      </w:r>
      <w:bookmarkEnd w:id="30"/>
    </w:p>
    <w:p>
      <w:pPr>
        <w:pStyle w:val="6"/>
        <w:bidi w:val="0"/>
        <w:rPr>
          <w:rFonts w:hint="eastAsia"/>
        </w:rPr>
      </w:pPr>
      <w:bookmarkStart w:id="31" w:name="_Toc11318"/>
      <w:r>
        <w:rPr>
          <w:rFonts w:hint="eastAsia"/>
          <w:lang w:val="en-US" w:eastAsia="zh-CN"/>
        </w:rPr>
        <w:t>环境功能区划</w:t>
      </w:r>
      <w:bookmarkEnd w:id="31"/>
    </w:p>
    <w:p>
      <w:pPr>
        <w:pStyle w:val="4"/>
        <w:ind w:firstLine="480"/>
        <w:rPr>
          <w:rFonts w:hint="default" w:eastAsia="宋体"/>
          <w:color w:val="auto"/>
          <w:highlight w:val="none"/>
          <w:lang w:val="en-US" w:eastAsia="zh-CN"/>
        </w:rPr>
      </w:pPr>
      <w:r>
        <w:rPr>
          <w:rFonts w:hint="eastAsia"/>
          <w:color w:val="auto"/>
          <w:highlight w:val="none"/>
          <w:lang w:val="en-US" w:eastAsia="zh-CN"/>
        </w:rPr>
        <w:t>项目区占地不涉及</w:t>
      </w:r>
      <w:r>
        <w:rPr>
          <w:rFonts w:hint="eastAsia"/>
          <w:color w:val="auto"/>
          <w:highlight w:val="none"/>
        </w:rPr>
        <w:t>自然保护区、基本农田保护区</w:t>
      </w:r>
      <w:r>
        <w:rPr>
          <w:rFonts w:hint="eastAsia"/>
          <w:color w:val="auto"/>
          <w:highlight w:val="none"/>
          <w:lang w:eastAsia="zh-CN"/>
        </w:rPr>
        <w:t>、</w:t>
      </w:r>
      <w:r>
        <w:rPr>
          <w:rFonts w:hint="eastAsia"/>
          <w:color w:val="auto"/>
          <w:highlight w:val="none"/>
        </w:rPr>
        <w:t>风景名胜区和其他需要特殊保护的区域</w:t>
      </w:r>
      <w:r>
        <w:rPr>
          <w:rFonts w:hint="eastAsia"/>
          <w:color w:val="auto"/>
          <w:highlight w:val="none"/>
          <w:lang w:eastAsia="zh-CN"/>
        </w:rPr>
        <w:t>，</w:t>
      </w:r>
      <w:r>
        <w:rPr>
          <w:rFonts w:hint="eastAsia"/>
          <w:color w:val="auto"/>
          <w:highlight w:val="none"/>
          <w:lang w:val="en-US" w:eastAsia="zh-CN"/>
        </w:rPr>
        <w:t>各环境要素功能区划判定如下：</w:t>
      </w:r>
    </w:p>
    <w:p>
      <w:pPr>
        <w:pStyle w:val="4"/>
        <w:ind w:firstLine="480"/>
        <w:rPr>
          <w:rFonts w:hint="eastAsia"/>
          <w:color w:val="auto"/>
          <w:highlight w:val="none"/>
          <w:lang w:val="en-US" w:eastAsia="zh-CN"/>
        </w:rPr>
      </w:pPr>
      <w:r>
        <w:rPr>
          <w:rFonts w:hint="eastAsia"/>
          <w:color w:val="auto"/>
          <w:highlight w:val="none"/>
          <w:lang w:val="en-US" w:eastAsia="zh-CN"/>
        </w:rPr>
        <w:t>（1）大气环境功能区划</w:t>
      </w:r>
    </w:p>
    <w:p>
      <w:pPr>
        <w:pStyle w:val="4"/>
        <w:ind w:firstLine="480"/>
        <w:rPr>
          <w:rFonts w:hint="default"/>
          <w:color w:val="auto"/>
          <w:highlight w:val="none"/>
          <w:lang w:val="en-US" w:eastAsia="zh-CN"/>
        </w:rPr>
      </w:pPr>
      <w:r>
        <w:rPr>
          <w:rFonts w:hint="default"/>
          <w:color w:val="auto"/>
          <w:highlight w:val="none"/>
          <w:lang w:val="en-US" w:eastAsia="zh-CN"/>
        </w:rPr>
        <w:t>根据《环境空气质量标准》（GB3095-2012），二类区为居住区、商业交通居民混合区、文化区、工业区和农村地区。项目所处区域为农村地区，属二类区。</w:t>
      </w:r>
    </w:p>
    <w:p>
      <w:pPr>
        <w:pStyle w:val="4"/>
        <w:ind w:firstLine="480"/>
        <w:rPr>
          <w:rFonts w:hint="default"/>
          <w:color w:val="auto"/>
          <w:highlight w:val="none"/>
          <w:lang w:val="en-US" w:eastAsia="zh-CN"/>
        </w:rPr>
      </w:pPr>
      <w:r>
        <w:rPr>
          <w:rFonts w:hint="eastAsia"/>
          <w:color w:val="auto"/>
          <w:highlight w:val="none"/>
          <w:lang w:val="en-US" w:eastAsia="zh-CN"/>
        </w:rPr>
        <w:t>（2）地表水环境功能区划</w:t>
      </w:r>
    </w:p>
    <w:p>
      <w:pPr>
        <w:pStyle w:val="4"/>
        <w:ind w:firstLine="480"/>
        <w:rPr>
          <w:rFonts w:hint="eastAsia"/>
          <w:color w:val="auto"/>
          <w:highlight w:val="none"/>
          <w:lang w:val="en-US" w:eastAsia="zh-CN"/>
        </w:rPr>
      </w:pPr>
      <w:r>
        <w:rPr>
          <w:rFonts w:hint="eastAsia"/>
          <w:color w:val="auto"/>
          <w:highlight w:val="none"/>
          <w:lang w:val="en-US" w:eastAsia="zh-CN"/>
        </w:rPr>
        <w:t>距离本项目最近的地表水体为项目区西侧的达板河冲沟，距离本项目最近距离2.3km，根据《新疆水环境功能区划》，达板河并划定地表水环境功能。</w:t>
      </w:r>
    </w:p>
    <w:p>
      <w:pPr>
        <w:pStyle w:val="4"/>
        <w:ind w:firstLine="480"/>
        <w:rPr>
          <w:rFonts w:hint="default"/>
          <w:color w:val="auto"/>
          <w:highlight w:val="none"/>
          <w:lang w:val="en-US" w:eastAsia="zh-CN"/>
        </w:rPr>
      </w:pPr>
      <w:r>
        <w:rPr>
          <w:rFonts w:hint="eastAsia"/>
          <w:color w:val="auto"/>
          <w:highlight w:val="none"/>
          <w:lang w:val="en-US" w:eastAsia="zh-CN"/>
        </w:rPr>
        <w:t>（3）地下水环境质量类别</w:t>
      </w:r>
    </w:p>
    <w:p>
      <w:pPr>
        <w:pStyle w:val="4"/>
        <w:ind w:firstLine="480"/>
        <w:rPr>
          <w:rFonts w:hint="default"/>
          <w:color w:val="auto"/>
          <w:highlight w:val="none"/>
          <w:lang w:val="en-US" w:eastAsia="zh-CN"/>
        </w:rPr>
      </w:pPr>
      <w:r>
        <w:rPr>
          <w:rFonts w:hint="eastAsia"/>
          <w:color w:val="auto"/>
          <w:highlight w:val="none"/>
          <w:lang w:val="en-US" w:eastAsia="zh-CN"/>
        </w:rPr>
        <w:t>本项目所在区域地下水环境质量未分类，根据</w:t>
      </w:r>
      <w:r>
        <w:rPr>
          <w:rFonts w:hint="default"/>
          <w:color w:val="auto"/>
          <w:highlight w:val="none"/>
        </w:rPr>
        <w:t>《地下水质量标准》（</w:t>
      </w:r>
      <w:r>
        <w:rPr>
          <w:rFonts w:hint="eastAsia"/>
          <w:color w:val="auto"/>
          <w:highlight w:val="none"/>
          <w:lang w:eastAsia="zh-CN"/>
        </w:rPr>
        <w:t>GB</w:t>
      </w:r>
      <w:r>
        <w:rPr>
          <w:rFonts w:hint="default"/>
          <w:color w:val="auto"/>
          <w:highlight w:val="none"/>
        </w:rPr>
        <w:t>/T14848-2017）</w:t>
      </w:r>
      <w:r>
        <w:rPr>
          <w:rFonts w:hint="eastAsia"/>
          <w:color w:val="auto"/>
          <w:highlight w:val="none"/>
          <w:lang w:eastAsia="zh-CN"/>
        </w:rPr>
        <w:t>，</w:t>
      </w:r>
      <w:r>
        <w:rPr>
          <w:rFonts w:hint="eastAsia"/>
          <w:color w:val="auto"/>
          <w:highlight w:val="none"/>
          <w:lang w:val="en-US" w:eastAsia="zh-CN"/>
        </w:rPr>
        <w:t>判定其适用于</w:t>
      </w:r>
      <w:r>
        <w:rPr>
          <w:rFonts w:hint="default"/>
          <w:color w:val="auto"/>
          <w:highlight w:val="none"/>
        </w:rPr>
        <w:t>Ⅲ类标准</w:t>
      </w:r>
      <w:r>
        <w:rPr>
          <w:rFonts w:hint="eastAsia"/>
          <w:color w:val="auto"/>
          <w:highlight w:val="none"/>
          <w:lang w:eastAsia="zh-CN"/>
        </w:rPr>
        <w:t>。</w:t>
      </w:r>
    </w:p>
    <w:p>
      <w:pPr>
        <w:pStyle w:val="4"/>
        <w:ind w:firstLine="480"/>
        <w:rPr>
          <w:rFonts w:hint="eastAsia"/>
          <w:color w:val="auto"/>
          <w:highlight w:val="none"/>
          <w:lang w:val="en-US" w:eastAsia="zh-CN"/>
        </w:rPr>
      </w:pPr>
      <w:r>
        <w:rPr>
          <w:rFonts w:hint="eastAsia"/>
          <w:color w:val="auto"/>
          <w:highlight w:val="none"/>
          <w:lang w:val="en-US" w:eastAsia="zh-CN"/>
        </w:rPr>
        <w:t>（4）声环境功能区</w:t>
      </w:r>
    </w:p>
    <w:p>
      <w:pPr>
        <w:pStyle w:val="4"/>
        <w:ind w:firstLine="480"/>
        <w:rPr>
          <w:rFonts w:hint="default" w:eastAsia="宋体"/>
          <w:color w:val="auto"/>
          <w:highlight w:val="none"/>
          <w:lang w:val="en-US" w:eastAsia="zh-CN"/>
        </w:rPr>
      </w:pPr>
      <w:r>
        <w:rPr>
          <w:rFonts w:hint="eastAsia"/>
          <w:color w:val="auto"/>
          <w:highlight w:val="none"/>
          <w:lang w:val="en-US" w:eastAsia="zh-CN"/>
        </w:rPr>
        <w:t>本项目所在区域未划定声环境功能区，本项目所在区域为有交通干线（G7京新高速）通过的村庄，与G7京新高速距离250m，超过40m，根据《声环境功能区划分技术规范》（GB/T15190-2014）以及</w:t>
      </w:r>
      <w:r>
        <w:rPr>
          <w:rFonts w:hint="eastAsia"/>
          <w:color w:val="auto"/>
          <w:highlight w:val="none"/>
        </w:rPr>
        <w:t>《声环境质量标准》（</w:t>
      </w:r>
      <w:r>
        <w:rPr>
          <w:rFonts w:hint="eastAsia"/>
          <w:color w:val="auto"/>
          <w:highlight w:val="none"/>
          <w:lang w:eastAsia="zh-CN"/>
        </w:rPr>
        <w:t>GB</w:t>
      </w:r>
      <w:r>
        <w:rPr>
          <w:rFonts w:hint="eastAsia"/>
          <w:color w:val="auto"/>
          <w:highlight w:val="none"/>
        </w:rPr>
        <w:t>3096-2008）</w:t>
      </w:r>
      <w:r>
        <w:rPr>
          <w:rFonts w:hint="eastAsia"/>
          <w:color w:val="auto"/>
          <w:highlight w:val="none"/>
          <w:lang w:val="en-US" w:eastAsia="zh-CN"/>
        </w:rPr>
        <w:t>，判定项目所在区域属于2类功能区。</w:t>
      </w:r>
    </w:p>
    <w:p>
      <w:pPr>
        <w:pStyle w:val="4"/>
        <w:ind w:firstLine="480"/>
        <w:rPr>
          <w:rFonts w:hint="eastAsia"/>
          <w:color w:val="auto"/>
          <w:highlight w:val="none"/>
          <w:lang w:val="en-US" w:eastAsia="zh-CN"/>
        </w:rPr>
      </w:pPr>
      <w:r>
        <w:rPr>
          <w:rFonts w:hint="eastAsia"/>
          <w:color w:val="auto"/>
          <w:highlight w:val="none"/>
          <w:lang w:val="en-US" w:eastAsia="zh-CN"/>
        </w:rPr>
        <w:t>（5）土壤环境功能区</w:t>
      </w:r>
    </w:p>
    <w:p>
      <w:pPr>
        <w:pStyle w:val="4"/>
        <w:ind w:firstLine="480"/>
        <w:rPr>
          <w:rFonts w:hint="default"/>
          <w:color w:val="auto"/>
          <w:highlight w:val="none"/>
          <w:lang w:val="en-US" w:eastAsia="zh-CN"/>
        </w:rPr>
      </w:pPr>
      <w:r>
        <w:rPr>
          <w:rFonts w:hint="eastAsia"/>
          <w:color w:val="auto"/>
          <w:highlight w:val="none"/>
          <w:lang w:val="en-US" w:eastAsia="zh-CN"/>
        </w:rPr>
        <w:t>项目占地红线范围内为工矿用地，周边为耕地和低覆盖度荒草地，</w:t>
      </w:r>
      <w:r>
        <w:rPr>
          <w:rFonts w:hint="eastAsia"/>
          <w:color w:val="auto"/>
          <w:lang w:val="en-US" w:eastAsia="zh-CN"/>
        </w:rPr>
        <w:t>项目区执行</w:t>
      </w:r>
      <w:r>
        <w:rPr>
          <w:rFonts w:hint="default"/>
          <w:color w:val="auto"/>
        </w:rPr>
        <w:t>《土壤环境质量标准 建设用地土壤污染风险管控标准》第二类用地筛选值</w:t>
      </w:r>
      <w:r>
        <w:rPr>
          <w:rFonts w:hint="eastAsia"/>
          <w:color w:val="auto"/>
          <w:lang w:eastAsia="zh-CN"/>
        </w:rPr>
        <w:t>，</w:t>
      </w:r>
      <w:r>
        <w:rPr>
          <w:rFonts w:hint="eastAsia"/>
          <w:color w:val="auto"/>
          <w:lang w:val="en-US" w:eastAsia="zh-CN"/>
        </w:rPr>
        <w:t>项目区周边区域执行以及</w:t>
      </w:r>
      <w:r>
        <w:rPr>
          <w:rFonts w:hint="default"/>
          <w:color w:val="auto"/>
        </w:rPr>
        <w:t xml:space="preserve">《土壤环境质量标准 </w:t>
      </w:r>
      <w:r>
        <w:rPr>
          <w:rFonts w:hint="eastAsia"/>
          <w:color w:val="auto"/>
          <w:lang w:val="en-US" w:eastAsia="zh-CN"/>
        </w:rPr>
        <w:t>农</w:t>
      </w:r>
      <w:r>
        <w:rPr>
          <w:rFonts w:hint="default"/>
          <w:color w:val="auto"/>
        </w:rPr>
        <w:t>用地土壤污染风险管控标准》（</w:t>
      </w:r>
      <w:r>
        <w:rPr>
          <w:rFonts w:hint="eastAsia"/>
          <w:color w:val="auto"/>
          <w:lang w:eastAsia="zh-CN"/>
        </w:rPr>
        <w:t>GB</w:t>
      </w:r>
      <w:r>
        <w:rPr>
          <w:rFonts w:hint="eastAsia"/>
          <w:color w:val="auto"/>
          <w:lang w:val="en-US" w:eastAsia="zh-CN"/>
        </w:rPr>
        <w:t>15618</w:t>
      </w:r>
      <w:r>
        <w:rPr>
          <w:rFonts w:hint="default"/>
          <w:color w:val="auto"/>
        </w:rPr>
        <w:t>-2018）筛选值</w:t>
      </w:r>
      <w:r>
        <w:rPr>
          <w:rFonts w:hint="eastAsia"/>
          <w:color w:val="auto"/>
          <w:lang w:eastAsia="zh-CN"/>
        </w:rPr>
        <w:t>。</w:t>
      </w:r>
    </w:p>
    <w:p>
      <w:pPr>
        <w:pStyle w:val="4"/>
        <w:ind w:firstLine="480"/>
        <w:rPr>
          <w:rFonts w:hint="eastAsia"/>
          <w:color w:val="auto"/>
          <w:highlight w:val="none"/>
          <w:lang w:val="en-US" w:eastAsia="zh-CN"/>
        </w:rPr>
      </w:pPr>
      <w:r>
        <w:rPr>
          <w:rFonts w:hint="eastAsia"/>
          <w:color w:val="auto"/>
          <w:highlight w:val="none"/>
          <w:lang w:val="en-US" w:eastAsia="zh-CN"/>
        </w:rPr>
        <w:t>（6）生态功能区</w:t>
      </w:r>
    </w:p>
    <w:p>
      <w:pPr>
        <w:pStyle w:val="4"/>
        <w:bidi w:val="0"/>
        <w:rPr>
          <w:rFonts w:hint="eastAsia"/>
          <w:color w:val="FF0000"/>
          <w:highlight w:val="none"/>
          <w:lang w:val="en-US" w:eastAsia="zh-CN"/>
        </w:rPr>
      </w:pPr>
      <w:r>
        <w:rPr>
          <w:rFonts w:hint="eastAsia"/>
          <w:color w:val="auto"/>
          <w:highlight w:val="none"/>
        </w:rPr>
        <w:t>根据《新疆生态功能区划》，</w:t>
      </w:r>
      <w:r>
        <w:rPr>
          <w:rFonts w:hint="eastAsia"/>
          <w:color w:val="auto"/>
          <w:highlight w:val="none"/>
          <w:lang w:val="en-US" w:eastAsia="zh-CN"/>
        </w:rPr>
        <w:t>项目所在区域生态</w:t>
      </w:r>
      <w:r>
        <w:rPr>
          <w:rFonts w:hint="eastAsia"/>
          <w:color w:val="auto"/>
          <w:highlight w:val="none"/>
        </w:rPr>
        <w:t>功能区</w:t>
      </w:r>
      <w:r>
        <w:rPr>
          <w:rFonts w:hint="eastAsia"/>
          <w:color w:val="auto"/>
          <w:highlight w:val="none"/>
          <w:lang w:val="en-US" w:eastAsia="zh-CN"/>
        </w:rPr>
        <w:t>为“</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准噶尔盆地温性荒漠也绿洲农业生态区——</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准噶尔盆地南部荒漠绿洲农业生态亚区——28.阜康—木垒绿洲农业、荒漠草地保护生态功能区”。</w:t>
      </w:r>
    </w:p>
    <w:p>
      <w:pPr>
        <w:pStyle w:val="4"/>
        <w:ind w:firstLine="480"/>
        <w:rPr>
          <w:color w:val="auto"/>
          <w:highlight w:val="none"/>
        </w:rPr>
      </w:pPr>
      <w:r>
        <w:rPr>
          <w:rFonts w:hint="eastAsia"/>
          <w:color w:val="auto"/>
          <w:highlight w:val="none"/>
          <w:lang w:val="en-US" w:eastAsia="zh-CN"/>
        </w:rPr>
        <w:t>项目所涉及各环境要素</w:t>
      </w:r>
      <w:r>
        <w:rPr>
          <w:rFonts w:hint="eastAsia"/>
          <w:color w:val="auto"/>
          <w:highlight w:val="none"/>
        </w:rPr>
        <w:t>主要环境功能属性见下表：</w:t>
      </w:r>
    </w:p>
    <w:p>
      <w:pPr>
        <w:pStyle w:val="22"/>
        <w:bidi w:val="0"/>
        <w:rPr>
          <w:color w:val="auto"/>
        </w:rPr>
      </w:pPr>
      <w:r>
        <w:rPr>
          <w:rFonts w:hint="eastAsia"/>
          <w:color w:val="auto"/>
        </w:rPr>
        <w:t>表2.</w:t>
      </w:r>
      <w:r>
        <w:rPr>
          <w:rFonts w:hint="eastAsia"/>
          <w:color w:val="auto"/>
          <w:lang w:val="en-US" w:eastAsia="zh-CN"/>
        </w:rPr>
        <w:t>3</w:t>
      </w:r>
      <w:r>
        <w:rPr>
          <w:rFonts w:hint="eastAsia"/>
          <w:color w:val="auto"/>
        </w:rPr>
        <w:t>-1    区域环境功能属性一览表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23"/>
        <w:gridCol w:w="2014"/>
        <w:gridCol w:w="1324"/>
        <w:gridCol w:w="43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序号</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功能区类别</w:t>
            </w:r>
          </w:p>
        </w:tc>
        <w:tc>
          <w:tcPr>
            <w:tcW w:w="3334"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项目区域功能区分类及执行标准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大气功能区</w:t>
            </w:r>
          </w:p>
        </w:tc>
        <w:tc>
          <w:tcPr>
            <w:tcW w:w="77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二类区</w:t>
            </w:r>
          </w:p>
        </w:tc>
        <w:tc>
          <w:tcPr>
            <w:tcW w:w="255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rPr>
              <w:t>《环境空气质量标准》（</w:t>
            </w:r>
            <w:r>
              <w:rPr>
                <w:rFonts w:hint="eastAsia"/>
                <w:color w:val="auto"/>
                <w:lang w:eastAsia="zh-CN"/>
              </w:rPr>
              <w:t>GB</w:t>
            </w:r>
            <w:r>
              <w:rPr>
                <w:rFonts w:hint="eastAsia"/>
                <w:color w:val="auto"/>
              </w:rPr>
              <w:t>3095-2012）及修改单</w:t>
            </w:r>
            <w:r>
              <w:rPr>
                <w:rFonts w:hint="default"/>
                <w:color w:val="auto"/>
              </w:rPr>
              <w:t>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2</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地表水环境功能区</w:t>
            </w:r>
          </w:p>
        </w:tc>
        <w:tc>
          <w:tcPr>
            <w:tcW w:w="3334"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达坂河，未划定水环境功能区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地下</w:t>
            </w:r>
            <w:r>
              <w:rPr>
                <w:rFonts w:hint="default"/>
                <w:color w:val="auto"/>
              </w:rPr>
              <w:t>水</w:t>
            </w:r>
            <w:r>
              <w:rPr>
                <w:rFonts w:hint="eastAsia"/>
                <w:color w:val="auto"/>
                <w:lang w:val="en-US" w:eastAsia="zh-CN"/>
              </w:rPr>
              <w:t>环境质量类别</w:t>
            </w:r>
          </w:p>
        </w:tc>
        <w:tc>
          <w:tcPr>
            <w:tcW w:w="77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非饮用水水源保护区</w:t>
            </w:r>
          </w:p>
        </w:tc>
        <w:tc>
          <w:tcPr>
            <w:tcW w:w="255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地下水执行《地下水质量标准》（</w:t>
            </w:r>
            <w:r>
              <w:rPr>
                <w:rFonts w:hint="eastAsia"/>
                <w:color w:val="auto"/>
                <w:lang w:eastAsia="zh-CN"/>
              </w:rPr>
              <w:t>GB</w:t>
            </w:r>
            <w:r>
              <w:rPr>
                <w:rFonts w:hint="default"/>
                <w:color w:val="auto"/>
              </w:rPr>
              <w:t>/T14848-2017）Ⅲ类标准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4</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声环境功能区</w:t>
            </w:r>
          </w:p>
        </w:tc>
        <w:tc>
          <w:tcPr>
            <w:tcW w:w="77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类区</w:t>
            </w:r>
          </w:p>
        </w:tc>
        <w:tc>
          <w:tcPr>
            <w:tcW w:w="255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《声环境质量标准》（</w:t>
            </w:r>
            <w:r>
              <w:rPr>
                <w:rFonts w:hint="eastAsia"/>
                <w:color w:val="auto"/>
                <w:lang w:eastAsia="zh-CN"/>
              </w:rPr>
              <w:t>GB</w:t>
            </w:r>
            <w:r>
              <w:rPr>
                <w:rFonts w:hint="default"/>
                <w:color w:val="auto"/>
              </w:rPr>
              <w:t>3096-2008）</w:t>
            </w:r>
            <w:r>
              <w:rPr>
                <w:rFonts w:hint="eastAsia"/>
                <w:color w:val="auto"/>
                <w:lang w:val="en-US" w:eastAsia="zh-CN"/>
              </w:rPr>
              <w:t>2</w:t>
            </w:r>
            <w:r>
              <w:rPr>
                <w:rFonts w:hint="default"/>
                <w:color w:val="auto"/>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vMerge w:val="restar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5</w:t>
            </w:r>
          </w:p>
        </w:tc>
        <w:tc>
          <w:tcPr>
            <w:tcW w:w="1182" w:type="pct"/>
            <w:vMerge w:val="restar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土壤环境功能区</w:t>
            </w:r>
          </w:p>
        </w:tc>
        <w:tc>
          <w:tcPr>
            <w:tcW w:w="77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项目区</w:t>
            </w:r>
          </w:p>
        </w:tc>
        <w:tc>
          <w:tcPr>
            <w:tcW w:w="255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《土壤环境质量标准 建设用地土壤污染风险管控标准》（</w:t>
            </w:r>
            <w:r>
              <w:rPr>
                <w:rFonts w:hint="eastAsia"/>
                <w:color w:val="auto"/>
                <w:lang w:eastAsia="zh-CN"/>
              </w:rPr>
              <w:t>GB</w:t>
            </w:r>
            <w:r>
              <w:rPr>
                <w:rFonts w:hint="default"/>
                <w:color w:val="auto"/>
              </w:rPr>
              <w:t>36600-2018）第二类用地筛选值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p>
        </w:tc>
        <w:tc>
          <w:tcPr>
            <w:tcW w:w="1182" w:type="pct"/>
            <w:vMerge w:val="continue"/>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p>
        </w:tc>
        <w:tc>
          <w:tcPr>
            <w:tcW w:w="77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周边耕地与荒草地</w:t>
            </w:r>
          </w:p>
        </w:tc>
        <w:tc>
          <w:tcPr>
            <w:tcW w:w="2557"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 xml:space="preserve">《土壤环境质量标准 </w:t>
            </w:r>
            <w:r>
              <w:rPr>
                <w:rFonts w:hint="eastAsia"/>
                <w:color w:val="auto"/>
                <w:lang w:val="en-US" w:eastAsia="zh-CN"/>
              </w:rPr>
              <w:t>农</w:t>
            </w:r>
            <w:r>
              <w:rPr>
                <w:rFonts w:hint="default"/>
                <w:color w:val="auto"/>
              </w:rPr>
              <w:t>用地土壤污染风险管控标准》（</w:t>
            </w:r>
            <w:r>
              <w:rPr>
                <w:rFonts w:hint="eastAsia"/>
                <w:color w:val="auto"/>
                <w:lang w:eastAsia="zh-CN"/>
              </w:rPr>
              <w:t>GB</w:t>
            </w:r>
            <w:r>
              <w:rPr>
                <w:rFonts w:hint="eastAsia"/>
                <w:color w:val="auto"/>
                <w:lang w:val="en-US" w:eastAsia="zh-CN"/>
              </w:rPr>
              <w:t>15618</w:t>
            </w:r>
            <w:r>
              <w:rPr>
                <w:rFonts w:hint="default"/>
                <w:color w:val="auto"/>
              </w:rPr>
              <w:t>-2018）筛选值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6</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基本农田保护区</w:t>
            </w:r>
          </w:p>
        </w:tc>
        <w:tc>
          <w:tcPr>
            <w:tcW w:w="3334"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7</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风景名胜保护区</w:t>
            </w:r>
          </w:p>
        </w:tc>
        <w:tc>
          <w:tcPr>
            <w:tcW w:w="3334"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8</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水库库区</w:t>
            </w:r>
          </w:p>
        </w:tc>
        <w:tc>
          <w:tcPr>
            <w:tcW w:w="3334"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9</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天然气管道干管区</w:t>
            </w:r>
          </w:p>
        </w:tc>
        <w:tc>
          <w:tcPr>
            <w:tcW w:w="3334"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8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10</w:t>
            </w:r>
          </w:p>
        </w:tc>
        <w:tc>
          <w:tcPr>
            <w:tcW w:w="118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rPr>
            </w:pPr>
            <w:r>
              <w:rPr>
                <w:rFonts w:hint="default"/>
                <w:color w:val="auto"/>
              </w:rPr>
              <w:t>大气控制区</w:t>
            </w:r>
          </w:p>
        </w:tc>
        <w:tc>
          <w:tcPr>
            <w:tcW w:w="3334"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否</w:t>
            </w:r>
          </w:p>
        </w:tc>
      </w:tr>
    </w:tbl>
    <w:p>
      <w:pPr>
        <w:pStyle w:val="4"/>
        <w:bidi w:val="0"/>
        <w:rPr>
          <w:color w:val="auto"/>
          <w:highlight w:val="none"/>
        </w:rPr>
      </w:pPr>
      <w:r>
        <w:rPr>
          <w:rFonts w:hint="eastAsia"/>
          <w:color w:val="auto"/>
          <w:highlight w:val="none"/>
          <w:lang w:val="en-US" w:eastAsia="zh-CN"/>
        </w:rPr>
        <w:t>区域生态</w:t>
      </w:r>
      <w:r>
        <w:rPr>
          <w:rFonts w:hint="eastAsia"/>
          <w:color w:val="auto"/>
          <w:highlight w:val="none"/>
        </w:rPr>
        <w:t>特征见下表：</w:t>
      </w:r>
    </w:p>
    <w:p>
      <w:pPr>
        <w:pStyle w:val="22"/>
        <w:bidi w:val="0"/>
        <w:rPr>
          <w:color w:val="auto"/>
        </w:rPr>
      </w:pPr>
      <w:r>
        <w:rPr>
          <w:rFonts w:hint="eastAsia"/>
          <w:color w:val="auto"/>
        </w:rPr>
        <w:t>表</w:t>
      </w:r>
      <w:r>
        <w:rPr>
          <w:rFonts w:hint="eastAsia"/>
          <w:color w:val="auto"/>
          <w:lang w:val="en-US" w:eastAsia="zh-CN"/>
        </w:rPr>
        <w:t>2.3</w:t>
      </w:r>
      <w:r>
        <w:rPr>
          <w:rFonts w:hint="eastAsia"/>
          <w:color w:val="auto"/>
        </w:rPr>
        <w:t>-</w:t>
      </w:r>
      <w:r>
        <w:rPr>
          <w:rFonts w:hint="eastAsia"/>
          <w:color w:val="auto"/>
          <w:lang w:val="en-US" w:eastAsia="zh-CN"/>
        </w:rPr>
        <w:t>2</w:t>
      </w:r>
      <w:r>
        <w:rPr>
          <w:rFonts w:hint="eastAsia"/>
          <w:color w:val="auto"/>
        </w:rPr>
        <w:t xml:space="preserve">    生态功能区主要特征</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110"/>
        <w:gridCol w:w="54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82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rPr>
              <w:t>名称</w:t>
            </w:r>
          </w:p>
        </w:tc>
        <w:tc>
          <w:tcPr>
            <w:tcW w:w="31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rPr>
              <w:t>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2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rPr>
              <w:t>主要生态服务功能</w:t>
            </w:r>
          </w:p>
        </w:tc>
        <w:tc>
          <w:tcPr>
            <w:tcW w:w="31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农牧业产品生产、人居环境、荒</w:t>
            </w:r>
            <w:r>
              <w:rPr>
                <w:rFonts w:hint="eastAsia"/>
                <w:color w:val="auto"/>
                <w:lang w:val="en-US" w:eastAsia="zh-CN"/>
              </w:rPr>
              <w:t>漠</w:t>
            </w:r>
            <w:r>
              <w:rPr>
                <w:rFonts w:hint="eastAsia"/>
                <w:color w:val="auto"/>
              </w:rPr>
              <w:t>化控制</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2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rPr>
              <w:t>主要生态环境问题</w:t>
            </w:r>
          </w:p>
        </w:tc>
        <w:tc>
          <w:tcPr>
            <w:tcW w:w="31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地下水超采、荒漠植被退化、沙漠化威胁、局部土</w:t>
            </w:r>
            <w:r>
              <w:rPr>
                <w:rFonts w:hint="eastAsia"/>
                <w:color w:val="auto"/>
                <w:lang w:val="en-US" w:eastAsia="zh-CN"/>
              </w:rPr>
              <w:t>壤</w:t>
            </w:r>
            <w:r>
              <w:rPr>
                <w:rFonts w:hint="eastAsia"/>
                <w:color w:val="auto"/>
              </w:rPr>
              <w:t>盐</w:t>
            </w:r>
            <w:r>
              <w:rPr>
                <w:rFonts w:hint="eastAsia"/>
                <w:color w:val="auto"/>
                <w:lang w:val="en-US" w:eastAsia="zh-CN"/>
              </w:rPr>
              <w:t>渍</w:t>
            </w:r>
            <w:r>
              <w:rPr>
                <w:rFonts w:hint="eastAsia"/>
                <w:color w:val="auto"/>
              </w:rPr>
              <w:t>化、河流萎缩、滥开荒地</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2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主要生态敏感因子、敏感程度</w:t>
            </w:r>
          </w:p>
        </w:tc>
        <w:tc>
          <w:tcPr>
            <w:tcW w:w="31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生物多样性及其生境中度敏感，土壤侵蚀轻度敏感，土地沙漠化中度敏感，土壤盐渍化轻度敏感。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2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rPr>
              <w:t>主要保护目标</w:t>
            </w:r>
          </w:p>
        </w:tc>
        <w:tc>
          <w:tcPr>
            <w:tcW w:w="31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保护基本农田、保护荒</w:t>
            </w:r>
            <w:r>
              <w:rPr>
                <w:rFonts w:hint="eastAsia"/>
                <w:color w:val="auto"/>
                <w:lang w:val="en-US" w:eastAsia="zh-CN"/>
              </w:rPr>
              <w:t>漠</w:t>
            </w:r>
            <w:r>
              <w:rPr>
                <w:rFonts w:hint="eastAsia"/>
                <w:color w:val="auto"/>
              </w:rPr>
              <w:t>植被</w:t>
            </w:r>
            <w:r>
              <w:rPr>
                <w:rFonts w:hint="eastAsia"/>
                <w:color w:val="auto"/>
                <w:lang w:eastAsia="zh-CN"/>
              </w:rPr>
              <w:t>、</w:t>
            </w:r>
            <w:r>
              <w:rPr>
                <w:rFonts w:hint="eastAsia"/>
                <w:color w:val="auto"/>
              </w:rPr>
              <w:t>保护土壤环</w:t>
            </w:r>
            <w:r>
              <w:rPr>
                <w:rFonts w:hint="eastAsia"/>
                <w:color w:val="auto"/>
                <w:lang w:val="en-US" w:eastAsia="zh-CN"/>
              </w:rPr>
              <w:t>境质量</w:t>
            </w:r>
            <w:r>
              <w:rPr>
                <w:rFonts w:hint="eastAsia"/>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2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rPr>
              <w:t>主要保护措施</w:t>
            </w:r>
          </w:p>
        </w:tc>
        <w:tc>
          <w:tcPr>
            <w:tcW w:w="31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节水灌溉、草场休牧、对坡耕地和沙化土地实施退耕还牧（草），在水源无保障、植被稀少、生态脆弱地带禁止开荒、加强农田投入品的使用管理。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2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rPr>
            </w:pPr>
            <w:r>
              <w:rPr>
                <w:rFonts w:hint="eastAsia"/>
                <w:color w:val="auto"/>
              </w:rPr>
              <w:t>适宜发展方向</w:t>
            </w:r>
          </w:p>
        </w:tc>
        <w:tc>
          <w:tcPr>
            <w:tcW w:w="31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农牧结合，发展优质、高效特色农业和畜牧业。</w:t>
            </w:r>
          </w:p>
        </w:tc>
      </w:tr>
      <w:bookmarkEnd w:id="29"/>
    </w:tbl>
    <w:p>
      <w:pPr>
        <w:pStyle w:val="6"/>
        <w:bidi w:val="0"/>
        <w:rPr>
          <w:rFonts w:hint="eastAsia"/>
          <w:color w:val="auto"/>
          <w:highlight w:val="none"/>
        </w:rPr>
      </w:pPr>
      <w:r>
        <w:rPr>
          <w:rFonts w:hint="eastAsia"/>
          <w:color w:val="auto"/>
          <w:highlight w:val="none"/>
          <w:lang w:val="en-US" w:eastAsia="zh-CN"/>
        </w:rPr>
        <w:t>评价标准</w:t>
      </w:r>
    </w:p>
    <w:p>
      <w:pPr>
        <w:pStyle w:val="7"/>
        <w:bidi w:val="0"/>
        <w:rPr>
          <w:rFonts w:hint="eastAsia"/>
          <w:color w:val="auto"/>
          <w:highlight w:val="none"/>
        </w:rPr>
      </w:pPr>
      <w:r>
        <w:rPr>
          <w:rFonts w:hint="eastAsia"/>
          <w:color w:val="auto"/>
          <w:highlight w:val="none"/>
          <w:lang w:val="en-US" w:eastAsia="zh-CN"/>
        </w:rPr>
        <w:t>环境质量标准</w:t>
      </w:r>
    </w:p>
    <w:p>
      <w:pPr>
        <w:pStyle w:val="22"/>
        <w:bidi w:val="0"/>
        <w:rPr>
          <w:rFonts w:hint="eastAsia"/>
        </w:rPr>
      </w:pPr>
      <w:r>
        <w:t>表</w:t>
      </w:r>
      <w:r>
        <w:rPr>
          <w:rFonts w:hint="eastAsia"/>
          <w:lang w:val="en-US" w:eastAsia="zh-CN"/>
        </w:rPr>
        <w:t>2.3-3</w:t>
      </w:r>
      <w:r>
        <w:rPr>
          <w:rFonts w:hint="eastAsia"/>
        </w:rPr>
        <w:t xml:space="preserve">    </w:t>
      </w:r>
      <w:r>
        <w:rPr>
          <w:rFonts w:hint="eastAsia"/>
          <w:lang w:val="en-US" w:eastAsia="zh-CN"/>
        </w:rPr>
        <w:t>大气</w:t>
      </w:r>
      <w:r>
        <w:t>环境质量标准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67"/>
        <w:gridCol w:w="1214"/>
        <w:gridCol w:w="1600"/>
        <w:gridCol w:w="1503"/>
        <w:gridCol w:w="28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80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污染物名称</w:t>
            </w:r>
          </w:p>
        </w:tc>
        <w:tc>
          <w:tcPr>
            <w:tcW w:w="71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单位</w:t>
            </w: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取值时间</w:t>
            </w:r>
          </w:p>
        </w:tc>
        <w:tc>
          <w:tcPr>
            <w:tcW w:w="882"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标准</w:t>
            </w:r>
            <w:r>
              <w:rPr>
                <w:rFonts w:hint="eastAsia"/>
                <w:lang w:val="en-US" w:eastAsia="zh-CN"/>
              </w:rPr>
              <w:t>值</w:t>
            </w:r>
          </w:p>
        </w:tc>
        <w:tc>
          <w:tcPr>
            <w:tcW w:w="166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SO</w:t>
            </w:r>
            <w:r>
              <w:rPr>
                <w:rFonts w:hint="eastAsia"/>
                <w:vertAlign w:val="subscript"/>
                <w:lang w:val="en-US" w:eastAsia="zh-CN"/>
              </w:rPr>
              <w:t>2</w:t>
            </w:r>
          </w:p>
        </w:tc>
        <w:tc>
          <w:tcPr>
            <w:tcW w:w="712" w:type="pct"/>
            <w:vMerge w:val="restart"/>
            <w:vAlign w:val="center"/>
          </w:tcPr>
          <w:p>
            <w:pPr>
              <w:pStyle w:val="24"/>
              <w:keepNext w:val="0"/>
              <w:keepLines w:val="0"/>
              <w:suppressLineNumbers w:val="0"/>
              <w:bidi w:val="0"/>
              <w:spacing w:before="0" w:beforeAutospacing="0" w:after="0" w:afterAutospacing="0"/>
              <w:ind w:left="0" w:right="0"/>
              <w:rPr>
                <w:rFonts w:hint="default"/>
              </w:rPr>
            </w:pPr>
            <w:r>
              <w:rPr>
                <w:rFonts w:hint="default"/>
              </w:rPr>
              <w:t>μg/m</w:t>
            </w:r>
            <w:r>
              <w:rPr>
                <w:rFonts w:hint="default"/>
                <w:vertAlign w:val="superscript"/>
              </w:rPr>
              <w:t>3</w:t>
            </w: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60</w:t>
            </w:r>
          </w:p>
        </w:tc>
        <w:tc>
          <w:tcPr>
            <w:tcW w:w="1663" w:type="pct"/>
            <w:vMerge w:val="restar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《环境空气质量标准》（</w:t>
            </w:r>
            <w:r>
              <w:rPr>
                <w:rFonts w:hint="eastAsia"/>
                <w:lang w:eastAsia="zh-CN"/>
              </w:rPr>
              <w:t>GB</w:t>
            </w:r>
            <w:r>
              <w:rPr>
                <w:rFonts w:hint="default"/>
              </w:rPr>
              <w:t>3095-2012）</w:t>
            </w:r>
            <w:r>
              <w:rPr>
                <w:rFonts w:hint="eastAsia"/>
              </w:rPr>
              <w:t>及</w:t>
            </w:r>
            <w:r>
              <w:rPr>
                <w:rFonts w:hint="eastAsia"/>
                <w:lang w:val="en-US" w:eastAsia="zh-CN"/>
              </w:rPr>
              <w:t>其</w:t>
            </w:r>
            <w:r>
              <w:rPr>
                <w:rFonts w:hint="eastAsia"/>
              </w:rPr>
              <w:t>修改单</w:t>
            </w:r>
            <w:r>
              <w:rPr>
                <w:rFonts w:hint="default"/>
              </w:rPr>
              <w:t>二级</w:t>
            </w:r>
            <w:r>
              <w:rPr>
                <w:rFonts w:hint="eastAsia"/>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NO</w:t>
            </w:r>
            <w:r>
              <w:rPr>
                <w:rFonts w:hint="eastAsia"/>
                <w:vertAlign w:val="subscript"/>
                <w:lang w:val="en-US" w:eastAsia="zh-CN"/>
              </w:rPr>
              <w:t>2</w:t>
            </w:r>
          </w:p>
        </w:tc>
        <w:tc>
          <w:tcPr>
            <w:tcW w:w="712" w:type="pct"/>
            <w:vMerge w:val="restart"/>
            <w:vAlign w:val="center"/>
          </w:tcPr>
          <w:p>
            <w:pPr>
              <w:pStyle w:val="24"/>
              <w:keepNext w:val="0"/>
              <w:keepLines w:val="0"/>
              <w:suppressLineNumbers w:val="0"/>
              <w:bidi w:val="0"/>
              <w:spacing w:before="0" w:beforeAutospacing="0" w:after="0" w:afterAutospacing="0"/>
              <w:ind w:left="0" w:right="0"/>
              <w:rPr>
                <w:rFonts w:hint="default"/>
              </w:rPr>
            </w:pPr>
            <w:r>
              <w:rPr>
                <w:rFonts w:hint="default"/>
              </w:rPr>
              <w:t>μg/m</w:t>
            </w:r>
            <w:r>
              <w:rPr>
                <w:rFonts w:hint="default"/>
                <w:vertAlign w:val="superscript"/>
              </w:rPr>
              <w:t>3</w:t>
            </w: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24h平均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CO</w:t>
            </w:r>
          </w:p>
        </w:tc>
        <w:tc>
          <w:tcPr>
            <w:tcW w:w="712" w:type="pct"/>
            <w:vMerge w:val="restart"/>
            <w:vAlign w:val="center"/>
          </w:tcPr>
          <w:p>
            <w:pPr>
              <w:pStyle w:val="24"/>
              <w:keepNext w:val="0"/>
              <w:keepLines w:val="0"/>
              <w:suppressLineNumbers w:val="0"/>
              <w:bidi w:val="0"/>
              <w:spacing w:before="0" w:beforeAutospacing="0" w:after="0" w:afterAutospacing="0"/>
              <w:ind w:left="0" w:right="0"/>
              <w:rPr>
                <w:rFonts w:hint="eastAsia" w:eastAsia="宋体"/>
                <w:lang w:eastAsia="zh-CN"/>
              </w:rPr>
            </w:pPr>
            <w:r>
              <w:rPr>
                <w:rFonts w:hint="default"/>
              </w:rPr>
              <w:t>mg/m</w:t>
            </w:r>
            <w:r>
              <w:rPr>
                <w:rFonts w:hint="eastAsia"/>
                <w:vertAlign w:val="superscript"/>
                <w:lang w:val="en-US" w:eastAsia="zh-CN"/>
              </w:rPr>
              <w:t>3</w:t>
            </w: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24h平均</w:t>
            </w:r>
          </w:p>
        </w:tc>
        <w:tc>
          <w:tcPr>
            <w:tcW w:w="882"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O</w:t>
            </w:r>
            <w:r>
              <w:rPr>
                <w:rFonts w:hint="eastAsia"/>
                <w:vertAlign w:val="subscript"/>
                <w:lang w:val="en-US" w:eastAsia="zh-CN"/>
              </w:rPr>
              <w:t>3</w:t>
            </w:r>
          </w:p>
        </w:tc>
        <w:tc>
          <w:tcPr>
            <w:tcW w:w="712" w:type="pct"/>
            <w:vMerge w:val="restart"/>
            <w:vAlign w:val="center"/>
          </w:tcPr>
          <w:p>
            <w:pPr>
              <w:pStyle w:val="24"/>
              <w:keepNext w:val="0"/>
              <w:keepLines w:val="0"/>
              <w:suppressLineNumbers w:val="0"/>
              <w:bidi w:val="0"/>
              <w:spacing w:before="0" w:beforeAutospacing="0" w:after="0" w:afterAutospacing="0"/>
              <w:ind w:left="0" w:right="0"/>
              <w:rPr>
                <w:rFonts w:hint="default"/>
              </w:rPr>
            </w:pPr>
            <w:r>
              <w:rPr>
                <w:rFonts w:hint="default"/>
              </w:rPr>
              <w:t>μg/m</w:t>
            </w:r>
            <w:r>
              <w:rPr>
                <w:rFonts w:hint="default"/>
                <w:vertAlign w:val="superscript"/>
              </w:rPr>
              <w:t>3</w:t>
            </w: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日最大8h平均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160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PM</w:t>
            </w:r>
            <w:r>
              <w:rPr>
                <w:rFonts w:hint="eastAsia"/>
                <w:vertAlign w:val="subscript"/>
                <w:lang w:val="en-US" w:eastAsia="zh-CN"/>
              </w:rPr>
              <w:t>10</w:t>
            </w:r>
          </w:p>
        </w:tc>
        <w:tc>
          <w:tcPr>
            <w:tcW w:w="712" w:type="pct"/>
            <w:vMerge w:val="restart"/>
            <w:vAlign w:val="center"/>
          </w:tcPr>
          <w:p>
            <w:pPr>
              <w:pStyle w:val="24"/>
              <w:keepNext w:val="0"/>
              <w:keepLines w:val="0"/>
              <w:suppressLineNumbers w:val="0"/>
              <w:bidi w:val="0"/>
              <w:spacing w:before="0" w:beforeAutospacing="0" w:after="0" w:afterAutospacing="0"/>
              <w:ind w:left="0" w:right="0"/>
              <w:rPr>
                <w:rFonts w:hint="default"/>
              </w:rPr>
            </w:pPr>
            <w:r>
              <w:rPr>
                <w:rFonts w:hint="default"/>
              </w:rPr>
              <w:t>μg/m</w:t>
            </w:r>
            <w:r>
              <w:rPr>
                <w:rFonts w:hint="default"/>
                <w:vertAlign w:val="superscript"/>
              </w:rPr>
              <w:t>3</w:t>
            </w: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24h平均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PM</w:t>
            </w:r>
            <w:r>
              <w:rPr>
                <w:rFonts w:hint="eastAsia"/>
                <w:vertAlign w:val="subscript"/>
                <w:lang w:val="en-US" w:eastAsia="zh-CN"/>
              </w:rPr>
              <w:t>2.5</w:t>
            </w:r>
          </w:p>
        </w:tc>
        <w:tc>
          <w:tcPr>
            <w:tcW w:w="712" w:type="pct"/>
            <w:vMerge w:val="restart"/>
            <w:vAlign w:val="center"/>
          </w:tcPr>
          <w:p>
            <w:pPr>
              <w:pStyle w:val="24"/>
              <w:keepNext w:val="0"/>
              <w:keepLines w:val="0"/>
              <w:suppressLineNumbers w:val="0"/>
              <w:bidi w:val="0"/>
              <w:spacing w:before="0" w:beforeAutospacing="0" w:after="0" w:afterAutospacing="0"/>
              <w:ind w:left="0" w:right="0"/>
              <w:rPr>
                <w:rFonts w:hint="default"/>
              </w:rPr>
            </w:pPr>
            <w:r>
              <w:rPr>
                <w:rFonts w:hint="default"/>
              </w:rPr>
              <w:t>μg/m</w:t>
            </w:r>
            <w:r>
              <w:rPr>
                <w:rFonts w:hint="default"/>
                <w:vertAlign w:val="superscript"/>
              </w:rPr>
              <w:t>3</w:t>
            </w:r>
          </w:p>
        </w:tc>
        <w:tc>
          <w:tcPr>
            <w:tcW w:w="9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35</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24h平均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75</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TSP</w:t>
            </w:r>
          </w:p>
        </w:tc>
        <w:tc>
          <w:tcPr>
            <w:tcW w:w="712" w:type="pct"/>
            <w:vMerge w:val="restart"/>
            <w:vAlign w:val="center"/>
          </w:tcPr>
          <w:p>
            <w:pPr>
              <w:pStyle w:val="24"/>
              <w:keepNext w:val="0"/>
              <w:keepLines w:val="0"/>
              <w:suppressLineNumbers w:val="0"/>
              <w:bidi w:val="0"/>
              <w:spacing w:before="0" w:beforeAutospacing="0" w:after="0" w:afterAutospacing="0"/>
              <w:ind w:left="0" w:right="0"/>
              <w:rPr>
                <w:rFonts w:hint="default"/>
              </w:rPr>
            </w:pPr>
            <w:r>
              <w:rPr>
                <w:rFonts w:hint="default"/>
              </w:rPr>
              <w:t>μg/m</w:t>
            </w:r>
            <w:r>
              <w:rPr>
                <w:rFonts w:hint="default"/>
                <w:vertAlign w:val="superscript"/>
              </w:rPr>
              <w:t>3</w:t>
            </w:r>
          </w:p>
        </w:tc>
        <w:tc>
          <w:tcPr>
            <w:tcW w:w="939"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年平均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02"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2"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c>
          <w:tcPr>
            <w:tcW w:w="939"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24h平均</w:t>
            </w:r>
          </w:p>
        </w:tc>
        <w:tc>
          <w:tcPr>
            <w:tcW w:w="882"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300</w:t>
            </w:r>
          </w:p>
        </w:tc>
        <w:tc>
          <w:tcPr>
            <w:tcW w:w="1663"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bl>
    <w:p>
      <w:pPr>
        <w:pStyle w:val="22"/>
        <w:bidi w:val="0"/>
        <w:rPr>
          <w:rFonts w:hint="eastAsia"/>
        </w:rPr>
      </w:pPr>
      <w:r>
        <w:t>表</w:t>
      </w:r>
      <w:r>
        <w:rPr>
          <w:rFonts w:hint="eastAsia"/>
          <w:lang w:val="en-US" w:eastAsia="zh-CN"/>
        </w:rPr>
        <w:t>2.3-4</w:t>
      </w:r>
      <w:r>
        <w:rPr>
          <w:rFonts w:hint="eastAsia"/>
        </w:rPr>
        <w:t xml:space="preserve">    </w:t>
      </w:r>
      <w:r>
        <w:rPr>
          <w:rFonts w:hint="eastAsia"/>
          <w:lang w:val="en-US" w:eastAsia="zh-CN"/>
        </w:rPr>
        <w:t>地下水</w:t>
      </w:r>
      <w:r>
        <w:t>环境质量标准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48"/>
        <w:gridCol w:w="1745"/>
        <w:gridCol w:w="1692"/>
        <w:gridCol w:w="26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23" w:hRule="atLeast"/>
          <w:tblHeader/>
          <w:jc w:val="center"/>
        </w:trPr>
        <w:tc>
          <w:tcPr>
            <w:tcW w:w="143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污染物名称</w:t>
            </w:r>
          </w:p>
        </w:tc>
        <w:tc>
          <w:tcPr>
            <w:tcW w:w="102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单位</w:t>
            </w:r>
          </w:p>
        </w:tc>
        <w:tc>
          <w:tcPr>
            <w:tcW w:w="993"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标准</w:t>
            </w:r>
            <w:r>
              <w:rPr>
                <w:rFonts w:hint="eastAsia"/>
                <w:lang w:val="en-US" w:eastAsia="zh-CN"/>
              </w:rPr>
              <w:t>值</w:t>
            </w:r>
          </w:p>
        </w:tc>
        <w:tc>
          <w:tcPr>
            <w:tcW w:w="1545"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pH</w:t>
            </w:r>
          </w:p>
        </w:tc>
        <w:tc>
          <w:tcPr>
            <w:tcW w:w="102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无量纲</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6.5</w:t>
            </w:r>
            <w:r>
              <w:rPr>
                <w:rFonts w:hint="default" w:ascii="Times New Roman" w:hAnsi="Times New Roman" w:cs="Times New Roman"/>
              </w:rPr>
              <w:t>~</w:t>
            </w:r>
            <w:r>
              <w:rPr>
                <w:rFonts w:hint="default"/>
              </w:rPr>
              <w:t>8.5</w:t>
            </w:r>
          </w:p>
        </w:tc>
        <w:tc>
          <w:tcPr>
            <w:tcW w:w="1545"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《地下水质量标准》（</w:t>
            </w:r>
            <w:r>
              <w:rPr>
                <w:rFonts w:hint="eastAsia"/>
                <w:lang w:eastAsia="zh-CN"/>
              </w:rPr>
              <w:t>GB</w:t>
            </w:r>
            <w:r>
              <w:rPr>
                <w:rFonts w:hint="default"/>
              </w:rPr>
              <w:t>/T14848-2017）</w:t>
            </w:r>
            <w:r>
              <w:rPr>
                <w:rFonts w:hint="default"/>
                <w:lang w:eastAsia="zh-CN"/>
              </w:rPr>
              <w:t>Ⅲ</w:t>
            </w:r>
            <w:r>
              <w:rPr>
                <w:rFonts w:hint="eastAsia"/>
                <w:lang w:val="en-US" w:eastAsia="zh-CN"/>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氨氮</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≤0.50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硝酸盐</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≤20.0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亚硝酸盐</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≤1.00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挥发性酚类</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≤0.002</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氰化物</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≤0.05</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砷</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≤0.01</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汞</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≤0.001</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铬（六价）</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≤0.05</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总硬度</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≤450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铅</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≤0.01</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氟</w:t>
            </w:r>
            <w:r>
              <w:rPr>
                <w:rFonts w:hint="eastAsia"/>
                <w:lang w:val="en-US" w:eastAsia="zh-CN"/>
              </w:rPr>
              <w:t>化物</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≤1.0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镉</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≤0.005</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铁</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≤0.03</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锰</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≤0.10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溶解性总固体</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≤1000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耗氧量</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≤3.0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硫酸盐</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≤250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氯化物</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mg/L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≤250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总大肠菌群</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MPNb/100mL或CFUc/100mL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≤3.0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43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细菌总数/菌落总数</w:t>
            </w:r>
          </w:p>
        </w:tc>
        <w:tc>
          <w:tcPr>
            <w:tcW w:w="1024"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rPr>
              <w:t>CFU/mL</w:t>
            </w:r>
          </w:p>
        </w:tc>
        <w:tc>
          <w:tcPr>
            <w:tcW w:w="99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≤100</w:t>
            </w:r>
          </w:p>
        </w:tc>
        <w:tc>
          <w:tcPr>
            <w:tcW w:w="154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bl>
    <w:p>
      <w:pPr>
        <w:pStyle w:val="22"/>
        <w:bidi w:val="0"/>
        <w:rPr>
          <w:rFonts w:hint="eastAsia"/>
        </w:rPr>
      </w:pPr>
      <w:r>
        <w:t>表</w:t>
      </w:r>
      <w:r>
        <w:rPr>
          <w:rFonts w:hint="eastAsia"/>
          <w:lang w:val="en-US" w:eastAsia="zh-CN"/>
        </w:rPr>
        <w:t>2.3-5</w:t>
      </w:r>
      <w:r>
        <w:rPr>
          <w:rFonts w:hint="eastAsia"/>
        </w:rPr>
        <w:t xml:space="preserve">    </w:t>
      </w:r>
      <w:r>
        <w:rPr>
          <w:rFonts w:hint="eastAsia"/>
          <w:lang w:val="en-US" w:eastAsia="zh-CN"/>
        </w:rPr>
        <w:t>建设用地 土壤</w:t>
      </w:r>
      <w:r>
        <w:t>环境质量标准</w:t>
      </w:r>
      <w:r>
        <w:rPr>
          <w:rFonts w:hint="eastAsia"/>
        </w:rPr>
        <w:t>（</w:t>
      </w:r>
      <w:r>
        <w:rPr>
          <w:rFonts w:hint="eastAsia"/>
          <w:lang w:eastAsia="zh-CN"/>
        </w:rPr>
        <w:t>GB</w:t>
      </w:r>
      <w:r>
        <w:rPr>
          <w:rFonts w:hint="eastAsia"/>
        </w:rPr>
        <w:t>36600-2018）  单位：mg/kg</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36"/>
        <w:gridCol w:w="2626"/>
        <w:gridCol w:w="2445"/>
        <w:gridCol w:w="26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序号</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污染物项目</w:t>
            </w:r>
          </w:p>
        </w:tc>
        <w:tc>
          <w:tcPr>
            <w:tcW w:w="1435"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CAS编号</w:t>
            </w:r>
          </w:p>
        </w:tc>
        <w:tc>
          <w:tcPr>
            <w:tcW w:w="153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第二类用地筛选值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重金属和无机物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砷</w:t>
            </w:r>
          </w:p>
        </w:tc>
        <w:tc>
          <w:tcPr>
            <w:tcW w:w="1435"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7440-38-2</w:t>
            </w:r>
          </w:p>
        </w:tc>
        <w:tc>
          <w:tcPr>
            <w:tcW w:w="153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2</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镉</w:t>
            </w:r>
          </w:p>
        </w:tc>
        <w:tc>
          <w:tcPr>
            <w:tcW w:w="1435"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7440-43-9</w:t>
            </w:r>
          </w:p>
        </w:tc>
        <w:tc>
          <w:tcPr>
            <w:tcW w:w="153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3</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铬（六价）</w:t>
            </w:r>
          </w:p>
        </w:tc>
        <w:tc>
          <w:tcPr>
            <w:tcW w:w="1435"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18540-29-9</w:t>
            </w:r>
          </w:p>
        </w:tc>
        <w:tc>
          <w:tcPr>
            <w:tcW w:w="153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4</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铜</w:t>
            </w:r>
          </w:p>
        </w:tc>
        <w:tc>
          <w:tcPr>
            <w:tcW w:w="1435"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7440-50-8</w:t>
            </w:r>
          </w:p>
        </w:tc>
        <w:tc>
          <w:tcPr>
            <w:tcW w:w="153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18000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5</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铅</w:t>
            </w:r>
          </w:p>
        </w:tc>
        <w:tc>
          <w:tcPr>
            <w:tcW w:w="1435"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7439-92-1</w:t>
            </w:r>
          </w:p>
        </w:tc>
        <w:tc>
          <w:tcPr>
            <w:tcW w:w="153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6</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汞</w:t>
            </w:r>
          </w:p>
        </w:tc>
        <w:tc>
          <w:tcPr>
            <w:tcW w:w="1435"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7439-97-6</w:t>
            </w:r>
          </w:p>
        </w:tc>
        <w:tc>
          <w:tcPr>
            <w:tcW w:w="153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7</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镍</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7440-02-0</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挥发性有机物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8</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四氯化碳</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53-23-5</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9</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氯仿</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67-66-3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10</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氯甲烷</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74-87-3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11</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w:t>
            </w:r>
            <w:r>
              <w:rPr>
                <w:rFonts w:hint="eastAsia"/>
                <w:lang w:val="en-US" w:eastAsia="zh-CN"/>
              </w:rPr>
              <w:t>,</w:t>
            </w:r>
            <w:r>
              <w:rPr>
                <w:rFonts w:hint="default"/>
              </w:rPr>
              <w:t>1-二氯乙烷</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74-34-3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12</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w:t>
            </w:r>
            <w:r>
              <w:rPr>
                <w:rFonts w:hint="eastAsia"/>
                <w:lang w:eastAsia="zh-CN"/>
              </w:rPr>
              <w:t>,</w:t>
            </w:r>
            <w:r>
              <w:rPr>
                <w:rFonts w:hint="default"/>
              </w:rPr>
              <w:t>2-二氯乙烷</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107-06-2</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13</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w:t>
            </w:r>
            <w:r>
              <w:rPr>
                <w:rFonts w:hint="eastAsia"/>
                <w:lang w:eastAsia="zh-CN"/>
              </w:rPr>
              <w:t>,</w:t>
            </w:r>
            <w:r>
              <w:rPr>
                <w:rFonts w:hint="default"/>
              </w:rPr>
              <w:t>1-二氯乙烯</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75-35-4</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14</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顺-1</w:t>
            </w:r>
            <w:r>
              <w:rPr>
                <w:rFonts w:hint="eastAsia"/>
                <w:lang w:eastAsia="zh-CN"/>
              </w:rPr>
              <w:t>,</w:t>
            </w:r>
            <w:r>
              <w:rPr>
                <w:rFonts w:hint="default"/>
              </w:rPr>
              <w:t>2-二氯乙烯</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156-59-2</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15</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反-1</w:t>
            </w:r>
            <w:r>
              <w:rPr>
                <w:rFonts w:hint="eastAsia"/>
                <w:lang w:eastAsia="zh-CN"/>
              </w:rPr>
              <w:t>,</w:t>
            </w:r>
            <w:r>
              <w:rPr>
                <w:rFonts w:hint="default"/>
              </w:rPr>
              <w:t>2-二氯乙烯</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156-60-5</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16</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二氯甲烷</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75-09-2</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616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17</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w:t>
            </w:r>
            <w:r>
              <w:rPr>
                <w:rFonts w:hint="eastAsia"/>
                <w:lang w:eastAsia="zh-CN"/>
              </w:rPr>
              <w:t>,</w:t>
            </w:r>
            <w:r>
              <w:rPr>
                <w:rFonts w:hint="default"/>
              </w:rPr>
              <w:t>2-二氯丙烷</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78-87-5</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kern w:val="2"/>
                <w:sz w:val="21"/>
                <w:szCs w:val="21"/>
                <w:lang w:val="en-US" w:eastAsia="zh-CN" w:bidi="ar-SA"/>
              </w:rPr>
            </w:pPr>
            <w:r>
              <w:rPr>
                <w:rFonts w:hint="default"/>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18</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w:t>
            </w:r>
            <w:r>
              <w:rPr>
                <w:rFonts w:hint="eastAsia"/>
                <w:lang w:eastAsia="zh-CN"/>
              </w:rPr>
              <w:t>,</w:t>
            </w:r>
            <w:r>
              <w:rPr>
                <w:rFonts w:hint="default"/>
              </w:rPr>
              <w:t>1</w:t>
            </w:r>
            <w:r>
              <w:rPr>
                <w:rFonts w:hint="eastAsia"/>
                <w:lang w:eastAsia="zh-CN"/>
              </w:rPr>
              <w:t>,</w:t>
            </w:r>
            <w:r>
              <w:rPr>
                <w:rFonts w:hint="default"/>
              </w:rPr>
              <w:t>1</w:t>
            </w:r>
            <w:r>
              <w:rPr>
                <w:rFonts w:hint="eastAsia"/>
                <w:lang w:eastAsia="zh-CN"/>
              </w:rPr>
              <w:t>,</w:t>
            </w:r>
            <w:r>
              <w:rPr>
                <w:rFonts w:hint="default"/>
              </w:rPr>
              <w:t>2-四氯乙烷</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630-20-6</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19</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w:t>
            </w:r>
            <w:r>
              <w:rPr>
                <w:rFonts w:hint="eastAsia"/>
                <w:lang w:eastAsia="zh-CN"/>
              </w:rPr>
              <w:t>,</w:t>
            </w:r>
            <w:r>
              <w:rPr>
                <w:rFonts w:hint="default"/>
              </w:rPr>
              <w:t>1</w:t>
            </w:r>
            <w:r>
              <w:rPr>
                <w:rFonts w:hint="eastAsia"/>
                <w:lang w:eastAsia="zh-CN"/>
              </w:rPr>
              <w:t>,</w:t>
            </w:r>
            <w:r>
              <w:rPr>
                <w:rFonts w:hint="default"/>
              </w:rPr>
              <w:t>2</w:t>
            </w:r>
            <w:r>
              <w:rPr>
                <w:rFonts w:hint="eastAsia"/>
                <w:lang w:eastAsia="zh-CN"/>
              </w:rPr>
              <w:t>,</w:t>
            </w:r>
            <w:r>
              <w:rPr>
                <w:rFonts w:hint="default"/>
              </w:rPr>
              <w:t>2-四氯乙烷</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79-34-5</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20</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四氯乙烯</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127-18-4</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21</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1</w:t>
            </w:r>
            <w:r>
              <w:rPr>
                <w:rFonts w:hint="eastAsia"/>
                <w:lang w:eastAsia="zh-CN"/>
              </w:rPr>
              <w:t>,</w:t>
            </w:r>
            <w:r>
              <w:rPr>
                <w:rFonts w:hint="default"/>
              </w:rPr>
              <w:t>1</w:t>
            </w:r>
            <w:r>
              <w:rPr>
                <w:rFonts w:hint="eastAsia"/>
                <w:lang w:eastAsia="zh-CN"/>
              </w:rPr>
              <w:t>,</w:t>
            </w:r>
            <w:r>
              <w:rPr>
                <w:rFonts w:hint="default"/>
              </w:rPr>
              <w:t>1-三氯乙烷</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71-55-6</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840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22</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1</w:t>
            </w:r>
            <w:r>
              <w:rPr>
                <w:rFonts w:hint="eastAsia"/>
                <w:lang w:eastAsia="zh-CN"/>
              </w:rPr>
              <w:t>,</w:t>
            </w:r>
            <w:r>
              <w:rPr>
                <w:rFonts w:hint="default"/>
              </w:rPr>
              <w:t>1</w:t>
            </w:r>
            <w:r>
              <w:rPr>
                <w:rFonts w:hint="eastAsia"/>
                <w:lang w:eastAsia="zh-CN"/>
              </w:rPr>
              <w:t>,</w:t>
            </w:r>
            <w:r>
              <w:rPr>
                <w:rFonts w:hint="default"/>
              </w:rPr>
              <w:t>2-三氯乙烷</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79-00-5</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23</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三氯乙烯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79-01-6</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24</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1</w:t>
            </w:r>
            <w:r>
              <w:rPr>
                <w:rFonts w:hint="eastAsia"/>
                <w:lang w:eastAsia="zh-CN"/>
              </w:rPr>
              <w:t>,</w:t>
            </w:r>
            <w:r>
              <w:rPr>
                <w:rFonts w:hint="default"/>
              </w:rPr>
              <w:t>2</w:t>
            </w:r>
            <w:r>
              <w:rPr>
                <w:rFonts w:hint="eastAsia"/>
                <w:lang w:eastAsia="zh-CN"/>
              </w:rPr>
              <w:t>,</w:t>
            </w:r>
            <w:r>
              <w:rPr>
                <w:rFonts w:hint="default"/>
              </w:rPr>
              <w:t>3-三氯丙烷</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96-18-4</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25</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氯乙烯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75-01-4</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26</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71-43-2</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27</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氯苯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108-90-7</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270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28</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1</w:t>
            </w:r>
            <w:r>
              <w:rPr>
                <w:rFonts w:hint="eastAsia"/>
                <w:lang w:eastAsia="zh-CN"/>
              </w:rPr>
              <w:t>,</w:t>
            </w:r>
            <w:r>
              <w:rPr>
                <w:rFonts w:hint="default"/>
              </w:rPr>
              <w:t>2-二氯苯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95-50-1</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29</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1</w:t>
            </w:r>
            <w:r>
              <w:rPr>
                <w:rFonts w:hint="eastAsia"/>
                <w:lang w:eastAsia="zh-CN"/>
              </w:rPr>
              <w:t>,</w:t>
            </w:r>
            <w:r>
              <w:rPr>
                <w:rFonts w:hint="default"/>
              </w:rPr>
              <w:t>4-二氯苯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106-46-7</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30</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乙苯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100-41-4</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31</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苯乙烯</w:t>
            </w:r>
          </w:p>
        </w:tc>
        <w:tc>
          <w:tcPr>
            <w:tcW w:w="1435"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100-42-5</w:t>
            </w:r>
          </w:p>
        </w:tc>
        <w:tc>
          <w:tcPr>
            <w:tcW w:w="153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32</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甲苯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108-88-3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33</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间二甲苯+对二甲苯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108-38-3，106-42-3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34</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邻二甲苯</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95-47-6</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半挥发性有机物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35</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硝基苯</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98-95-3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36</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苯胺</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62-53-3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37</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2-氯酚</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95-57-8</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2256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38</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苯并[a]蒽</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56-55-3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39</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苯并[a]芘</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50-32-8</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40</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苯并[b]荧蒽</w:t>
            </w:r>
          </w:p>
        </w:tc>
        <w:tc>
          <w:tcPr>
            <w:tcW w:w="1435" w:type="pct"/>
            <w:tcBorders>
              <w:tl2br w:val="nil"/>
              <w:tr2bl w:val="nil"/>
            </w:tcBorders>
            <w:shd w:val="clear" w:color="auto" w:fill="auto"/>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205-9-2</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41</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苯并[k]荧蒽</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207-08-9</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42</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䓛</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218-01-9</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43</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二苯并[a</w:t>
            </w:r>
            <w:r>
              <w:rPr>
                <w:rFonts w:hint="eastAsia"/>
                <w:lang w:eastAsia="zh-CN"/>
              </w:rPr>
              <w:t>,</w:t>
            </w:r>
            <w:r>
              <w:rPr>
                <w:rFonts w:hint="default"/>
              </w:rPr>
              <w:t>h]蒽</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53-70-3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44</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茚并[1</w:t>
            </w:r>
            <w:r>
              <w:rPr>
                <w:rFonts w:hint="eastAsia"/>
                <w:lang w:eastAsia="zh-CN"/>
              </w:rPr>
              <w:t>,</w:t>
            </w:r>
            <w:r>
              <w:rPr>
                <w:rFonts w:hint="default"/>
              </w:rPr>
              <w:t>2</w:t>
            </w:r>
            <w:r>
              <w:rPr>
                <w:rFonts w:hint="eastAsia"/>
                <w:lang w:eastAsia="zh-CN"/>
              </w:rPr>
              <w:t>,</w:t>
            </w:r>
            <w:r>
              <w:rPr>
                <w:rFonts w:hint="default"/>
              </w:rPr>
              <w:t>3</w:t>
            </w:r>
            <w:r>
              <w:rPr>
                <w:rFonts w:hint="eastAsia"/>
                <w:lang w:eastAsia="zh-CN"/>
              </w:rPr>
              <w:t>,</w:t>
            </w:r>
            <w:r>
              <w:rPr>
                <w:rFonts w:hint="default"/>
              </w:rPr>
              <w:t>-cd]芘</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193-39-5</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9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45</w:t>
            </w:r>
          </w:p>
        </w:tc>
        <w:tc>
          <w:tcPr>
            <w:tcW w:w="1541"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萘</w:t>
            </w:r>
          </w:p>
        </w:tc>
        <w:tc>
          <w:tcPr>
            <w:tcW w:w="1435"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91-20-3</w:t>
            </w:r>
          </w:p>
        </w:tc>
        <w:tc>
          <w:tcPr>
            <w:tcW w:w="1532" w:type="pct"/>
            <w:tcBorders>
              <w:tl2br w:val="nil"/>
              <w:tr2bl w:val="nil"/>
            </w:tcBorders>
            <w:shd w:val="clear" w:color="auto" w:fill="auto"/>
            <w:vAlign w:val="top"/>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rPr>
              <w:t>70</w:t>
            </w:r>
          </w:p>
        </w:tc>
      </w:tr>
    </w:tbl>
    <w:p>
      <w:pPr>
        <w:pStyle w:val="22"/>
        <w:bidi w:val="0"/>
        <w:rPr>
          <w:rFonts w:hint="eastAsia"/>
        </w:rPr>
      </w:pPr>
      <w:r>
        <w:t>表</w:t>
      </w:r>
      <w:r>
        <w:rPr>
          <w:rFonts w:hint="eastAsia"/>
          <w:lang w:val="en-US" w:eastAsia="zh-CN"/>
        </w:rPr>
        <w:t>2.3-6</w:t>
      </w:r>
      <w:r>
        <w:rPr>
          <w:rFonts w:hint="eastAsia"/>
        </w:rPr>
        <w:t xml:space="preserve">   </w:t>
      </w:r>
      <w:r>
        <w:rPr>
          <w:rFonts w:hint="eastAsia"/>
          <w:lang w:val="en-US" w:eastAsia="zh-CN"/>
        </w:rPr>
        <w:t>农用地 土壤</w:t>
      </w:r>
      <w:r>
        <w:t>环境质量标准</w:t>
      </w:r>
      <w:r>
        <w:rPr>
          <w:rFonts w:hint="eastAsia"/>
        </w:rPr>
        <w:t>（</w:t>
      </w:r>
      <w:r>
        <w:rPr>
          <w:rFonts w:hint="eastAsia"/>
          <w:lang w:eastAsia="zh-CN"/>
        </w:rPr>
        <w:t>GB</w:t>
      </w:r>
      <w:r>
        <w:rPr>
          <w:rFonts w:hint="eastAsia"/>
          <w:lang w:val="en-US" w:eastAsia="zh-CN"/>
        </w:rPr>
        <w:t>15618</w:t>
      </w:r>
      <w:r>
        <w:rPr>
          <w:rFonts w:hint="eastAsia"/>
        </w:rPr>
        <w:t>-2018）  单位：mg/kg</w:t>
      </w:r>
    </w:p>
    <w:tbl>
      <w:tblPr>
        <w:tblStyle w:val="16"/>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1546"/>
        <w:gridCol w:w="1556"/>
        <w:gridCol w:w="1556"/>
        <w:gridCol w:w="1556"/>
        <w:gridCol w:w="15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433" w:type="pct"/>
            <w:vMerge w:val="restar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序号</w:t>
            </w:r>
          </w:p>
        </w:tc>
        <w:tc>
          <w:tcPr>
            <w:tcW w:w="908" w:type="pct"/>
            <w:vMerge w:val="restar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污染物项目</w:t>
            </w:r>
          </w:p>
        </w:tc>
        <w:tc>
          <w:tcPr>
            <w:tcW w:w="3658" w:type="pct"/>
            <w:gridSpan w:val="4"/>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风险筛选值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vMerge w:val="continue"/>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p>
        </w:tc>
        <w:tc>
          <w:tcPr>
            <w:tcW w:w="908" w:type="pct"/>
            <w:vMerge w:val="continue"/>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pH≤5.5</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5.5&lt;pH≤6.5</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6.5&lt;pH≤7.5</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pH</w:t>
            </w:r>
            <w:r>
              <w:rPr>
                <w:rFonts w:hint="default" w:ascii="Times New Roman" w:hAnsi="Times New Roman" w:cs="Times New Roman"/>
                <w:lang w:val="en-US" w:eastAsia="zh-CN"/>
              </w:rPr>
              <w:t>＞</w:t>
            </w:r>
            <w:r>
              <w:rPr>
                <w:rFonts w:hint="eastAsia"/>
                <w:lang w:val="en-US" w:eastAsia="zh-CN"/>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w:t>
            </w:r>
          </w:p>
        </w:tc>
        <w:tc>
          <w:tcPr>
            <w:tcW w:w="90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镉</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0.4</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0.6</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90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汞</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1.8</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w:t>
            </w:r>
          </w:p>
        </w:tc>
        <w:tc>
          <w:tcPr>
            <w:tcW w:w="90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砷</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30</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w:t>
            </w:r>
          </w:p>
        </w:tc>
        <w:tc>
          <w:tcPr>
            <w:tcW w:w="90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铅</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120</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90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铬</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w:t>
            </w:r>
          </w:p>
        </w:tc>
        <w:tc>
          <w:tcPr>
            <w:tcW w:w="90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铜</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100</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w:t>
            </w:r>
          </w:p>
        </w:tc>
        <w:tc>
          <w:tcPr>
            <w:tcW w:w="90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镍</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100</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w:t>
            </w:r>
          </w:p>
        </w:tc>
        <w:tc>
          <w:tcPr>
            <w:tcW w:w="90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锌</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w:t>
            </w:r>
          </w:p>
        </w:tc>
        <w:tc>
          <w:tcPr>
            <w:tcW w:w="913"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250</w:t>
            </w:r>
          </w:p>
        </w:tc>
        <w:tc>
          <w:tcPr>
            <w:tcW w:w="918"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300</w:t>
            </w:r>
          </w:p>
        </w:tc>
      </w:tr>
    </w:tbl>
    <w:p>
      <w:pPr>
        <w:pStyle w:val="22"/>
        <w:bidi w:val="0"/>
        <w:rPr>
          <w:rFonts w:hint="eastAsia"/>
        </w:rPr>
      </w:pPr>
      <w:r>
        <w:t>表</w:t>
      </w:r>
      <w:r>
        <w:rPr>
          <w:rFonts w:hint="eastAsia"/>
          <w:lang w:val="en-US" w:eastAsia="zh-CN"/>
        </w:rPr>
        <w:t>2.3-7</w:t>
      </w:r>
      <w:r>
        <w:rPr>
          <w:rFonts w:hint="eastAsia"/>
        </w:rPr>
        <w:t xml:space="preserve">    </w:t>
      </w:r>
      <w:r>
        <w:rPr>
          <w:rFonts w:hint="eastAsia"/>
          <w:lang w:val="en-US" w:eastAsia="zh-CN"/>
        </w:rPr>
        <w:t>声环境质量</w:t>
      </w:r>
      <w:r>
        <w:t>标准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71"/>
        <w:gridCol w:w="1500"/>
        <w:gridCol w:w="2068"/>
        <w:gridCol w:w="31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0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w:t>
            </w:r>
          </w:p>
        </w:tc>
        <w:tc>
          <w:tcPr>
            <w:tcW w:w="880"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单位</w:t>
            </w:r>
          </w:p>
        </w:tc>
        <w:tc>
          <w:tcPr>
            <w:tcW w:w="1213"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标准值</w:t>
            </w:r>
          </w:p>
        </w:tc>
        <w:tc>
          <w:tcPr>
            <w:tcW w:w="1865"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昼间</w:t>
            </w:r>
          </w:p>
        </w:tc>
        <w:tc>
          <w:tcPr>
            <w:tcW w:w="880"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dB（A）</w:t>
            </w:r>
          </w:p>
        </w:tc>
        <w:tc>
          <w:tcPr>
            <w:tcW w:w="121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60</w:t>
            </w:r>
          </w:p>
        </w:tc>
        <w:tc>
          <w:tcPr>
            <w:tcW w:w="1865"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《声环境质量标准》（GB3096-2008）2类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39"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夜间</w:t>
            </w:r>
          </w:p>
        </w:tc>
        <w:tc>
          <w:tcPr>
            <w:tcW w:w="880"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dB（A）</w:t>
            </w:r>
          </w:p>
        </w:tc>
        <w:tc>
          <w:tcPr>
            <w:tcW w:w="1213"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1865"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bl>
    <w:p>
      <w:pPr>
        <w:pStyle w:val="7"/>
        <w:bidi w:val="0"/>
        <w:rPr>
          <w:rFonts w:hint="eastAsia"/>
          <w:color w:val="auto"/>
          <w:highlight w:val="none"/>
        </w:rPr>
      </w:pPr>
      <w:r>
        <w:rPr>
          <w:rFonts w:hint="eastAsia"/>
          <w:color w:val="auto"/>
          <w:highlight w:val="none"/>
          <w:lang w:val="en-US" w:eastAsia="zh-CN"/>
        </w:rPr>
        <w:t>污染物排放标准</w:t>
      </w:r>
    </w:p>
    <w:p>
      <w:pPr>
        <w:pStyle w:val="4"/>
        <w:rPr>
          <w:rFonts w:hint="default"/>
          <w:color w:val="auto"/>
          <w:highlight w:val="none"/>
          <w:lang w:val="en-US" w:eastAsia="zh-CN"/>
        </w:rPr>
      </w:pPr>
      <w:r>
        <w:rPr>
          <w:rFonts w:hint="eastAsia"/>
          <w:color w:val="auto"/>
          <w:highlight w:val="none"/>
          <w:lang w:val="en-US" w:eastAsia="zh-CN"/>
        </w:rPr>
        <w:t>本项目不生产运营，施工期污染物排放标准如下表：</w:t>
      </w:r>
    </w:p>
    <w:p>
      <w:pPr>
        <w:pStyle w:val="22"/>
        <w:bidi w:val="0"/>
        <w:rPr>
          <w:rFonts w:hint="eastAsia"/>
        </w:rPr>
      </w:pPr>
      <w:r>
        <w:t>表</w:t>
      </w:r>
      <w:r>
        <w:rPr>
          <w:rFonts w:hint="eastAsia"/>
          <w:lang w:val="en-US" w:eastAsia="zh-CN"/>
        </w:rPr>
        <w:t>2.3-8</w:t>
      </w:r>
      <w:r>
        <w:rPr>
          <w:rFonts w:hint="eastAsia"/>
        </w:rPr>
        <w:t xml:space="preserve">    </w:t>
      </w:r>
      <w:r>
        <w:rPr>
          <w:rFonts w:hint="eastAsia"/>
          <w:lang w:val="en-US" w:eastAsia="zh-CN"/>
        </w:rPr>
        <w:t>施工期污染物排放</w:t>
      </w:r>
      <w:r>
        <w:t>标准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9"/>
        <w:gridCol w:w="777"/>
        <w:gridCol w:w="883"/>
        <w:gridCol w:w="1099"/>
        <w:gridCol w:w="1118"/>
        <w:gridCol w:w="948"/>
        <w:gridCol w:w="29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23" w:hRule="atLeast"/>
          <w:tblHeader/>
          <w:jc w:val="center"/>
        </w:trPr>
        <w:tc>
          <w:tcPr>
            <w:tcW w:w="457"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类别</w:t>
            </w:r>
          </w:p>
        </w:tc>
        <w:tc>
          <w:tcPr>
            <w:tcW w:w="974" w:type="pct"/>
            <w:gridSpan w:val="2"/>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控制点位</w:t>
            </w:r>
          </w:p>
        </w:tc>
        <w:tc>
          <w:tcPr>
            <w:tcW w:w="645"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单位</w:t>
            </w:r>
          </w:p>
        </w:tc>
        <w:tc>
          <w:tcPr>
            <w:tcW w:w="65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污染因子</w:t>
            </w:r>
          </w:p>
        </w:tc>
        <w:tc>
          <w:tcPr>
            <w:tcW w:w="55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限值</w:t>
            </w:r>
          </w:p>
        </w:tc>
        <w:tc>
          <w:tcPr>
            <w:tcW w:w="1710"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457"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废气</w:t>
            </w:r>
          </w:p>
        </w:tc>
        <w:tc>
          <w:tcPr>
            <w:tcW w:w="45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施工场界</w:t>
            </w:r>
          </w:p>
        </w:tc>
        <w:tc>
          <w:tcPr>
            <w:tcW w:w="518"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无组织</w:t>
            </w:r>
          </w:p>
        </w:tc>
        <w:tc>
          <w:tcPr>
            <w:tcW w:w="645"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mg/m</w:t>
            </w:r>
            <w:r>
              <w:rPr>
                <w:rFonts w:hint="default"/>
                <w:vertAlign w:val="superscript"/>
              </w:rPr>
              <w:t>3</w:t>
            </w:r>
          </w:p>
        </w:tc>
        <w:tc>
          <w:tcPr>
            <w:tcW w:w="65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颗粒物</w:t>
            </w:r>
          </w:p>
        </w:tc>
        <w:tc>
          <w:tcPr>
            <w:tcW w:w="55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1710"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《大气污染物综合排放标准》（</w:t>
            </w:r>
            <w:r>
              <w:rPr>
                <w:rFonts w:hint="eastAsia"/>
                <w:lang w:eastAsia="zh-CN"/>
              </w:rPr>
              <w:t>GB</w:t>
            </w:r>
            <w:r>
              <w:rPr>
                <w:rFonts w:hint="default"/>
              </w:rPr>
              <w:t>16297-1996）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457" w:type="pct"/>
            <w:vMerge w:val="restar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噪声</w:t>
            </w:r>
          </w:p>
        </w:tc>
        <w:tc>
          <w:tcPr>
            <w:tcW w:w="456" w:type="pct"/>
            <w:vMerge w:val="restar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施工场界</w:t>
            </w:r>
          </w:p>
        </w:tc>
        <w:tc>
          <w:tcPr>
            <w:tcW w:w="518"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昼间</w:t>
            </w:r>
          </w:p>
        </w:tc>
        <w:tc>
          <w:tcPr>
            <w:tcW w:w="645"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dB（A）</w:t>
            </w:r>
          </w:p>
        </w:tc>
        <w:tc>
          <w:tcPr>
            <w:tcW w:w="65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L</w:t>
            </w:r>
            <w:r>
              <w:rPr>
                <w:rFonts w:hint="eastAsia"/>
                <w:vertAlign w:val="subscript"/>
                <w:lang w:val="en-US" w:eastAsia="zh-CN"/>
              </w:rPr>
              <w:t>Aeq</w:t>
            </w:r>
          </w:p>
        </w:tc>
        <w:tc>
          <w:tcPr>
            <w:tcW w:w="55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1710" w:type="pct"/>
            <w:vMerge w:val="restart"/>
            <w:vAlign w:val="center"/>
          </w:tcPr>
          <w:p>
            <w:pPr>
              <w:pStyle w:val="24"/>
              <w:keepNext w:val="0"/>
              <w:keepLines w:val="0"/>
              <w:suppressLineNumbers w:val="0"/>
              <w:bidi w:val="0"/>
              <w:spacing w:before="0" w:beforeAutospacing="0" w:after="0" w:afterAutospacing="0"/>
              <w:ind w:left="0" w:right="0"/>
              <w:rPr>
                <w:rFonts w:hint="default"/>
              </w:rPr>
            </w:pPr>
            <w:r>
              <w:rPr>
                <w:rFonts w:hint="default"/>
              </w:rPr>
              <w:t>《建筑施工场界环境噪声排放标准》（</w:t>
            </w:r>
            <w:r>
              <w:rPr>
                <w:rFonts w:hint="eastAsia"/>
                <w:lang w:eastAsia="zh-CN"/>
              </w:rPr>
              <w:t>GB</w:t>
            </w:r>
            <w:r>
              <w:rPr>
                <w:rFonts w:hint="default"/>
              </w:rPr>
              <w:t>12523-2011）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457"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56"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518"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夜间</w:t>
            </w:r>
          </w:p>
        </w:tc>
        <w:tc>
          <w:tcPr>
            <w:tcW w:w="645"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dB（A）</w:t>
            </w:r>
          </w:p>
        </w:tc>
        <w:tc>
          <w:tcPr>
            <w:tcW w:w="656" w:type="pct"/>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L</w:t>
            </w:r>
            <w:r>
              <w:rPr>
                <w:rFonts w:hint="eastAsia"/>
                <w:vertAlign w:val="subscript"/>
                <w:lang w:val="en-US" w:eastAsia="zh-CN"/>
              </w:rPr>
              <w:t>Aeq</w:t>
            </w:r>
          </w:p>
        </w:tc>
        <w:tc>
          <w:tcPr>
            <w:tcW w:w="556"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55</w:t>
            </w:r>
          </w:p>
        </w:tc>
        <w:tc>
          <w:tcPr>
            <w:tcW w:w="1710" w:type="pct"/>
            <w:vMerge w:val="continue"/>
            <w:vAlign w:val="center"/>
          </w:tcPr>
          <w:p>
            <w:pPr>
              <w:pStyle w:val="24"/>
              <w:keepNext w:val="0"/>
              <w:keepLines w:val="0"/>
              <w:suppressLineNumbers w:val="0"/>
              <w:bidi w:val="0"/>
              <w:spacing w:before="0" w:beforeAutospacing="0" w:after="0" w:afterAutospacing="0"/>
              <w:ind w:left="0" w:right="0"/>
              <w:rPr>
                <w:rFonts w:hint="default"/>
              </w:rPr>
            </w:pPr>
          </w:p>
        </w:tc>
      </w:tr>
    </w:tbl>
    <w:p>
      <w:pPr>
        <w:pStyle w:val="5"/>
        <w:bidi w:val="0"/>
        <w:rPr>
          <w:rFonts w:hint="eastAsia"/>
          <w:color w:val="auto"/>
          <w:highlight w:val="none"/>
        </w:rPr>
      </w:pPr>
      <w:bookmarkStart w:id="32" w:name="_Toc30738"/>
      <w:bookmarkStart w:id="33" w:name="_Toc6097"/>
      <w:r>
        <w:rPr>
          <w:rFonts w:hint="eastAsia"/>
          <w:color w:val="auto"/>
          <w:highlight w:val="none"/>
          <w:lang w:val="en-US" w:eastAsia="zh-CN"/>
        </w:rPr>
        <w:t>评价工作等级和评价范围</w:t>
      </w:r>
      <w:bookmarkEnd w:id="32"/>
      <w:bookmarkEnd w:id="33"/>
    </w:p>
    <w:p>
      <w:pPr>
        <w:pStyle w:val="6"/>
        <w:bidi w:val="0"/>
        <w:rPr>
          <w:rFonts w:hint="eastAsia"/>
          <w:color w:val="auto"/>
          <w:highlight w:val="none"/>
        </w:rPr>
      </w:pPr>
      <w:r>
        <w:rPr>
          <w:rFonts w:hint="eastAsia"/>
          <w:color w:val="auto"/>
          <w:highlight w:val="none"/>
          <w:lang w:val="en-US" w:eastAsia="zh-CN"/>
        </w:rPr>
        <w:t>评价工作等级</w:t>
      </w:r>
    </w:p>
    <w:p>
      <w:pPr>
        <w:pStyle w:val="7"/>
        <w:bidi w:val="0"/>
        <w:rPr>
          <w:rFonts w:hint="eastAsia"/>
          <w:color w:val="auto"/>
          <w:highlight w:val="none"/>
        </w:rPr>
      </w:pPr>
      <w:r>
        <w:rPr>
          <w:rFonts w:hint="eastAsia"/>
          <w:color w:val="auto"/>
          <w:highlight w:val="none"/>
          <w:lang w:val="en-US" w:eastAsia="zh-CN"/>
        </w:rPr>
        <w:t>大气环境评价工作等级</w:t>
      </w:r>
    </w:p>
    <w:p>
      <w:pPr>
        <w:pStyle w:val="4"/>
        <w:bidi w:val="0"/>
        <w:rPr>
          <w:color w:val="auto"/>
          <w:highlight w:val="none"/>
        </w:rPr>
      </w:pPr>
      <w:r>
        <w:rPr>
          <w:color w:val="auto"/>
          <w:highlight w:val="none"/>
        </w:rPr>
        <w:t>根据《环境影响评价技术导则 大气环境》（HJ2.2-2018）</w:t>
      </w:r>
      <w:r>
        <w:rPr>
          <w:rFonts w:hint="eastAsia"/>
          <w:color w:val="auto"/>
          <w:highlight w:val="none"/>
        </w:rPr>
        <w:t>，选择项目污染源正常排放的主要污染物及排放参数，采用附录A推荐模型中估算模型</w:t>
      </w:r>
      <w:r>
        <w:rPr>
          <w:color w:val="auto"/>
          <w:highlight w:val="none"/>
          <w:lang w:val="zh-CN"/>
        </w:rPr>
        <w:t>AERSCREEN</w:t>
      </w:r>
      <w:r>
        <w:rPr>
          <w:rFonts w:hint="eastAsia"/>
          <w:color w:val="auto"/>
          <w:highlight w:val="none"/>
        </w:rPr>
        <w:t>分别计算项目各污染源的最大环境影响，计算其最大浓度</w:t>
      </w:r>
      <w:r>
        <w:rPr>
          <w:rFonts w:hint="eastAsia"/>
          <w:color w:val="auto"/>
          <w:highlight w:val="none"/>
          <w:lang w:val="en-US" w:eastAsia="zh-CN"/>
        </w:rPr>
        <w:t>占</w:t>
      </w:r>
      <w:r>
        <w:rPr>
          <w:rFonts w:hint="eastAsia"/>
          <w:color w:val="auto"/>
          <w:highlight w:val="none"/>
        </w:rPr>
        <w:t>标率，然后按评价工作分级判据进行分级。</w:t>
      </w:r>
    </w:p>
    <w:p>
      <w:pPr>
        <w:pStyle w:val="4"/>
        <w:ind w:firstLine="480"/>
        <w:rPr>
          <w:color w:val="auto"/>
          <w:highlight w:val="none"/>
          <w:lang w:val="zh-CN"/>
        </w:rPr>
      </w:pPr>
      <w:r>
        <w:rPr>
          <w:rFonts w:hint="eastAsia"/>
          <w:color w:val="auto"/>
          <w:highlight w:val="none"/>
        </w:rPr>
        <w:t>最大地面空气质量浓度占标率</w:t>
      </w:r>
      <w:r>
        <w:rPr>
          <w:color w:val="auto"/>
          <w:highlight w:val="none"/>
        </w:rPr>
        <w:t>P</w:t>
      </w:r>
      <w:r>
        <w:rPr>
          <w:rFonts w:hint="eastAsia"/>
          <w:color w:val="auto"/>
          <w:highlight w:val="none"/>
          <w:vertAlign w:val="subscript"/>
        </w:rPr>
        <w:t>i</w:t>
      </w:r>
      <w:r>
        <w:rPr>
          <w:rFonts w:hint="eastAsia"/>
          <w:color w:val="auto"/>
          <w:highlight w:val="none"/>
        </w:rPr>
        <w:t>（第i个污染物，简称“最大浓度占标率”）定义见公式：</w:t>
      </w:r>
    </w:p>
    <w:p>
      <w:pPr>
        <w:pStyle w:val="4"/>
        <w:ind w:firstLine="0" w:firstLineChars="0"/>
        <w:jc w:val="center"/>
        <w:rPr>
          <w:color w:val="auto"/>
          <w:highlight w:val="none"/>
          <w:lang w:val="zh-CN"/>
        </w:rPr>
      </w:pPr>
      <w:r>
        <w:rPr>
          <w:color w:val="auto"/>
          <w:highlight w:val="none"/>
          <w:lang w:val="zh-CN"/>
        </w:rPr>
        <w:object>
          <v:shape id="_x0000_i1025" o:spt="75" type="#_x0000_t75" style="height:33.75pt;width:78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p>
    <w:p>
      <w:pPr>
        <w:pStyle w:val="4"/>
        <w:ind w:firstLine="480"/>
        <w:rPr>
          <w:color w:val="auto"/>
          <w:highlight w:val="none"/>
          <w:lang w:val="zh-CN"/>
        </w:rPr>
      </w:pPr>
      <w:r>
        <w:rPr>
          <w:color w:val="auto"/>
          <w:highlight w:val="none"/>
          <w:lang w:val="zh-CN"/>
        </w:rPr>
        <w:t>式中：</w:t>
      </w:r>
    </w:p>
    <w:p>
      <w:pPr>
        <w:pStyle w:val="4"/>
        <w:ind w:firstLine="480"/>
        <w:rPr>
          <w:color w:val="auto"/>
          <w:highlight w:val="none"/>
          <w:lang w:val="zh-CN"/>
        </w:rPr>
      </w:pPr>
      <w:r>
        <w:rPr>
          <w:color w:val="auto"/>
          <w:highlight w:val="none"/>
          <w:lang w:val="zh-CN"/>
        </w:rPr>
        <w:t>P</w:t>
      </w:r>
      <w:r>
        <w:rPr>
          <w:color w:val="auto"/>
          <w:highlight w:val="none"/>
          <w:vertAlign w:val="subscript"/>
          <w:lang w:val="zh-CN"/>
        </w:rPr>
        <w:t>i</w:t>
      </w:r>
      <w:r>
        <w:rPr>
          <w:color w:val="auto"/>
          <w:highlight w:val="none"/>
          <w:lang w:val="zh-CN"/>
        </w:rPr>
        <w:t>——第i个污染物的最大地面空气质量浓度占标率，%；</w:t>
      </w:r>
    </w:p>
    <w:p>
      <w:pPr>
        <w:pStyle w:val="4"/>
        <w:ind w:firstLine="480"/>
        <w:rPr>
          <w:color w:val="auto"/>
          <w:highlight w:val="none"/>
          <w:lang w:val="zh-CN"/>
        </w:rPr>
      </w:pPr>
      <w:r>
        <w:rPr>
          <w:color w:val="auto"/>
          <w:highlight w:val="none"/>
          <w:lang w:val="zh-CN"/>
        </w:rPr>
        <w:t>C</w:t>
      </w:r>
      <w:r>
        <w:rPr>
          <w:color w:val="auto"/>
          <w:highlight w:val="none"/>
          <w:vertAlign w:val="subscript"/>
          <w:lang w:val="zh-CN"/>
        </w:rPr>
        <w:t>i</w:t>
      </w:r>
      <w:r>
        <w:rPr>
          <w:color w:val="auto"/>
          <w:highlight w:val="none"/>
          <w:lang w:val="zh-CN"/>
        </w:rPr>
        <w:t>——采用估算模型计算出的第i个污染物的最大1h地面空气质量浓度，μg/m</w:t>
      </w:r>
      <w:r>
        <w:rPr>
          <w:color w:val="auto"/>
          <w:highlight w:val="none"/>
          <w:vertAlign w:val="superscript"/>
          <w:lang w:val="zh-CN"/>
        </w:rPr>
        <w:t>3</w:t>
      </w:r>
      <w:r>
        <w:rPr>
          <w:color w:val="auto"/>
          <w:highlight w:val="none"/>
          <w:lang w:val="zh-CN"/>
        </w:rPr>
        <w:t>；</w:t>
      </w:r>
    </w:p>
    <w:p>
      <w:pPr>
        <w:pStyle w:val="4"/>
        <w:ind w:firstLine="480"/>
        <w:rPr>
          <w:color w:val="auto"/>
          <w:highlight w:val="none"/>
          <w:lang w:val="zh-CN"/>
        </w:rPr>
      </w:pPr>
      <w:r>
        <w:rPr>
          <w:color w:val="auto"/>
          <w:highlight w:val="none"/>
          <w:lang w:val="zh-CN"/>
        </w:rPr>
        <w:t>C</w:t>
      </w:r>
      <w:r>
        <w:rPr>
          <w:color w:val="auto"/>
          <w:highlight w:val="none"/>
          <w:vertAlign w:val="subscript"/>
          <w:lang w:val="zh-CN"/>
        </w:rPr>
        <w:t>oi</w:t>
      </w:r>
      <w:r>
        <w:rPr>
          <w:color w:val="auto"/>
          <w:highlight w:val="none"/>
          <w:lang w:val="zh-CN"/>
        </w:rPr>
        <w:t>——第i个污染物的环境空气质量浓度标准，μg/m</w:t>
      </w:r>
      <w:r>
        <w:rPr>
          <w:color w:val="auto"/>
          <w:highlight w:val="none"/>
          <w:vertAlign w:val="superscript"/>
          <w:lang w:val="zh-CN"/>
        </w:rPr>
        <w:t>3</w:t>
      </w:r>
      <w:r>
        <w:rPr>
          <w:color w:val="auto"/>
          <w:highlight w:val="none"/>
          <w:lang w:val="zh-CN"/>
        </w:rPr>
        <w:t>。</w:t>
      </w:r>
      <w:r>
        <w:rPr>
          <w:rFonts w:hint="eastAsia"/>
          <w:color w:val="auto"/>
          <w:highlight w:val="none"/>
          <w:lang w:val="zh-CN"/>
        </w:rPr>
        <w:t>（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pPr>
        <w:pStyle w:val="4"/>
        <w:ind w:firstLine="480"/>
        <w:rPr>
          <w:color w:val="auto"/>
          <w:highlight w:val="none"/>
          <w:lang w:val="zh-CN"/>
        </w:rPr>
      </w:pPr>
      <w:r>
        <w:rPr>
          <w:rFonts w:hint="eastAsia"/>
          <w:color w:val="auto"/>
          <w:highlight w:val="none"/>
          <w:lang w:val="en-US" w:eastAsia="zh-CN"/>
        </w:rPr>
        <w:t>大气环境</w:t>
      </w:r>
      <w:r>
        <w:rPr>
          <w:rFonts w:hint="eastAsia"/>
          <w:color w:val="auto"/>
          <w:highlight w:val="none"/>
          <w:lang w:val="zh-CN"/>
        </w:rPr>
        <w:t>评价</w:t>
      </w:r>
      <w:r>
        <w:rPr>
          <w:rFonts w:hint="eastAsia"/>
          <w:color w:val="auto"/>
          <w:highlight w:val="none"/>
          <w:lang w:val="en-US" w:eastAsia="zh-CN"/>
        </w:rPr>
        <w:t>等级</w:t>
      </w:r>
      <w:r>
        <w:rPr>
          <w:rFonts w:hint="eastAsia"/>
          <w:color w:val="auto"/>
          <w:highlight w:val="none"/>
          <w:lang w:val="zh-CN"/>
        </w:rPr>
        <w:t>判据</w:t>
      </w:r>
      <w:r>
        <w:rPr>
          <w:rFonts w:hint="eastAsia"/>
          <w:color w:val="auto"/>
          <w:highlight w:val="none"/>
        </w:rPr>
        <w:t>如下</w:t>
      </w:r>
      <w:r>
        <w:rPr>
          <w:rFonts w:hint="eastAsia"/>
          <w:color w:val="auto"/>
          <w:highlight w:val="none"/>
          <w:lang w:val="zh-CN"/>
        </w:rPr>
        <w:t>表：</w:t>
      </w:r>
    </w:p>
    <w:p>
      <w:pPr>
        <w:pStyle w:val="22"/>
        <w:bidi w:val="0"/>
      </w:pPr>
      <w:r>
        <w:rPr>
          <w:rFonts w:hint="eastAsia"/>
        </w:rPr>
        <w:t>表2.</w:t>
      </w:r>
      <w:r>
        <w:rPr>
          <w:rFonts w:hint="eastAsia"/>
          <w:lang w:val="en-US" w:eastAsia="zh-CN"/>
        </w:rPr>
        <w:t>4-1</w:t>
      </w:r>
      <w:r>
        <w:rPr>
          <w:rFonts w:hint="eastAsia"/>
        </w:rPr>
        <w:t xml:space="preserve">    评价等级判别表</w:t>
      </w:r>
    </w:p>
    <w:tbl>
      <w:tblPr>
        <w:tblStyle w:val="17"/>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282"/>
        <w:gridCol w:w="52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9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评价工作等级</w:t>
            </w:r>
          </w:p>
        </w:tc>
        <w:tc>
          <w:tcPr>
            <w:tcW w:w="307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评价工作分级判据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一级</w:t>
            </w:r>
          </w:p>
        </w:tc>
        <w:tc>
          <w:tcPr>
            <w:tcW w:w="307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Pmax≥10%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二级</w:t>
            </w:r>
          </w:p>
        </w:tc>
        <w:tc>
          <w:tcPr>
            <w:tcW w:w="307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1%≤Pmax</w:t>
            </w:r>
            <w:r>
              <w:rPr>
                <w:rFonts w:hint="eastAsia"/>
              </w:rPr>
              <w:t>&lt;</w:t>
            </w:r>
            <w:r>
              <w:rPr>
                <w:rFonts w:hint="default"/>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三级</w:t>
            </w:r>
          </w:p>
        </w:tc>
        <w:tc>
          <w:tcPr>
            <w:tcW w:w="307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Pmax</w:t>
            </w:r>
            <w:r>
              <w:rPr>
                <w:rFonts w:hint="eastAsia"/>
              </w:rPr>
              <w:t>&lt;</w:t>
            </w:r>
            <w:r>
              <w:rPr>
                <w:rFonts w:hint="default"/>
              </w:rPr>
              <w:t>1%</w:t>
            </w:r>
          </w:p>
        </w:tc>
      </w:tr>
    </w:tbl>
    <w:p>
      <w:pPr>
        <w:pStyle w:val="4"/>
        <w:ind w:firstLine="480"/>
        <w:rPr>
          <w:color w:val="auto"/>
          <w:highlight w:val="none"/>
        </w:rPr>
      </w:pPr>
      <w:r>
        <w:rPr>
          <w:rFonts w:hint="eastAsia"/>
          <w:color w:val="auto"/>
          <w:highlight w:val="none"/>
        </w:rPr>
        <w:t>采用《环境影响评价技术导则 大气环境》（HJ2.2-2018）附录A推荐模型中的估算模型，</w:t>
      </w:r>
      <w:r>
        <w:rPr>
          <w:color w:val="auto"/>
          <w:highlight w:val="none"/>
        </w:rPr>
        <w:t>估算模式参数见</w:t>
      </w:r>
      <w:r>
        <w:rPr>
          <w:rFonts w:hint="eastAsia"/>
          <w:color w:val="auto"/>
          <w:highlight w:val="none"/>
        </w:rPr>
        <w:t>下</w:t>
      </w:r>
      <w:r>
        <w:rPr>
          <w:color w:val="auto"/>
          <w:highlight w:val="none"/>
        </w:rPr>
        <w:t>表</w:t>
      </w:r>
      <w:r>
        <w:rPr>
          <w:rFonts w:hint="eastAsia"/>
          <w:color w:val="auto"/>
          <w:highlight w:val="none"/>
        </w:rPr>
        <w:t>：</w:t>
      </w:r>
    </w:p>
    <w:p>
      <w:pPr>
        <w:pStyle w:val="22"/>
        <w:bidi w:val="0"/>
      </w:pPr>
      <w:r>
        <w:rPr>
          <w:rFonts w:hint="eastAsia"/>
        </w:rPr>
        <w:t>表2.</w:t>
      </w:r>
      <w:r>
        <w:rPr>
          <w:rFonts w:hint="eastAsia"/>
          <w:lang w:val="en-US" w:eastAsia="zh-CN"/>
        </w:rPr>
        <w:t>4-2</w:t>
      </w:r>
      <w:r>
        <w:rPr>
          <w:rFonts w:hint="eastAsia"/>
        </w:rPr>
        <w:t xml:space="preserve">    </w:t>
      </w:r>
      <w:r>
        <w:t>估算模式参数一览表</w:t>
      </w:r>
    </w:p>
    <w:tbl>
      <w:tblPr>
        <w:tblStyle w:val="17"/>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89"/>
        <w:gridCol w:w="2901"/>
        <w:gridCol w:w="27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trPr>
        <w:tc>
          <w:tcPr>
            <w:tcW w:w="3397"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参数</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95"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城市/农村选项</w:t>
            </w:r>
          </w:p>
        </w:tc>
        <w:tc>
          <w:tcPr>
            <w:tcW w:w="17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城市/农村</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9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17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人口数（城市选项时）</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397"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最高环境温度/℃</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397"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最低环境温度/℃</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397"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土地利用类型</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农田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397"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区域湿度条件</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干燥气候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95"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是否考虑地形</w:t>
            </w:r>
          </w:p>
        </w:tc>
        <w:tc>
          <w:tcPr>
            <w:tcW w:w="17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考虑地形</w:t>
            </w:r>
          </w:p>
        </w:tc>
        <w:tc>
          <w:tcPr>
            <w:tcW w:w="1602" w:type="pct"/>
            <w:tcBorders>
              <w:tl2br w:val="nil"/>
              <w:tr2bl w:val="nil"/>
            </w:tcBorders>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rPr>
            </w:pPr>
            <w:r>
              <w:rPr>
                <w:rFonts w:hint="eastAsia"/>
                <w:lang w:eastAsia="zh-CN"/>
              </w:rPr>
              <w:sym w:font="Wingdings 2" w:char="0052"/>
            </w:r>
            <w:r>
              <w:rPr>
                <w:rFonts w:hint="default"/>
              </w:rPr>
              <w:t xml:space="preserve">是 </w:t>
            </w:r>
            <w:r>
              <w:rPr>
                <w:rFonts w:hint="eastAsia"/>
                <w:lang w:eastAsia="zh-CN"/>
              </w:rPr>
              <w:sym w:font="Wingdings 2" w:char="00A3"/>
            </w: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9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17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地形数据分辨率</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90m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95"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是否考虑岸线熏烟</w:t>
            </w:r>
          </w:p>
        </w:tc>
        <w:tc>
          <w:tcPr>
            <w:tcW w:w="17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考虑岸线熏烟</w:t>
            </w:r>
          </w:p>
        </w:tc>
        <w:tc>
          <w:tcPr>
            <w:tcW w:w="1602" w:type="pct"/>
            <w:tcBorders>
              <w:tl2br w:val="nil"/>
              <w:tr2bl w:val="nil"/>
            </w:tcBorders>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rPr>
            </w:pPr>
            <w:r>
              <w:rPr>
                <w:rFonts w:hint="eastAsia"/>
                <w:lang w:eastAsia="zh-CN"/>
              </w:rPr>
              <w:t>□</w:t>
            </w:r>
            <w:r>
              <w:rPr>
                <w:rFonts w:hint="default"/>
              </w:rPr>
              <w:t xml:space="preserve">是 </w:t>
            </w:r>
            <w:r>
              <w:rPr>
                <w:rFonts w:hint="eastAsia"/>
                <w:lang w:eastAsia="zh-CN"/>
              </w:rPr>
              <w:sym w:font="Wingdings 2" w:char="0052"/>
            </w: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9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17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岸线距离/km</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69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17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岸线方向/°</w:t>
            </w:r>
          </w:p>
        </w:tc>
        <w:tc>
          <w:tcPr>
            <w:tcW w:w="160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w:t>
            </w:r>
          </w:p>
        </w:tc>
      </w:tr>
    </w:tbl>
    <w:p>
      <w:pPr>
        <w:pStyle w:val="4"/>
        <w:ind w:firstLine="480"/>
        <w:rPr>
          <w:rFonts w:hint="eastAsia"/>
          <w:color w:val="auto"/>
          <w:highlight w:val="none"/>
          <w:lang w:val="en-US" w:eastAsia="zh-CN"/>
        </w:rPr>
      </w:pPr>
      <w:r>
        <w:rPr>
          <w:color w:val="auto"/>
          <w:highlight w:val="none"/>
        </w:rPr>
        <w:t>根据本项目工程分析结果，选择正常工况下主要污染物排放参数</w:t>
      </w:r>
      <w:r>
        <w:rPr>
          <w:rFonts w:hint="eastAsia"/>
          <w:color w:val="auto"/>
          <w:highlight w:val="none"/>
        </w:rPr>
        <w:t>（</w:t>
      </w:r>
      <w:r>
        <w:rPr>
          <w:rFonts w:hint="eastAsia"/>
          <w:color w:val="auto"/>
          <w:highlight w:val="none"/>
          <w:lang w:val="en-US" w:eastAsia="zh-CN"/>
        </w:rPr>
        <w:t>见工程分析</w:t>
      </w:r>
      <w:r>
        <w:rPr>
          <w:rFonts w:hint="eastAsia"/>
          <w:color w:val="auto"/>
          <w:highlight w:val="none"/>
        </w:rPr>
        <w:t>）</w:t>
      </w:r>
      <w:r>
        <w:rPr>
          <w:color w:val="auto"/>
          <w:highlight w:val="none"/>
        </w:rPr>
        <w:t>，采取估算模式</w:t>
      </w:r>
      <w:r>
        <w:rPr>
          <w:rFonts w:hint="eastAsia"/>
          <w:color w:val="auto"/>
          <w:highlight w:val="none"/>
          <w:lang w:eastAsia="zh-CN"/>
        </w:rPr>
        <w:t>（</w:t>
      </w:r>
      <w:r>
        <w:rPr>
          <w:rFonts w:hint="eastAsia"/>
          <w:color w:val="auto"/>
          <w:highlight w:val="none"/>
          <w:lang w:val="en-US" w:eastAsia="zh-CN"/>
        </w:rPr>
        <w:t>AERSCREEN）</w:t>
      </w:r>
      <w:r>
        <w:rPr>
          <w:color w:val="auto"/>
          <w:highlight w:val="none"/>
        </w:rPr>
        <w:t>计算大气污染物的最大影响程度和最远影响范围</w:t>
      </w:r>
      <w:r>
        <w:rPr>
          <w:rFonts w:hint="eastAsia"/>
          <w:color w:val="auto"/>
          <w:highlight w:val="none"/>
          <w:lang w:eastAsia="zh-CN"/>
        </w:rPr>
        <w:t>，</w:t>
      </w:r>
      <w:r>
        <w:rPr>
          <w:rFonts w:hint="eastAsia"/>
          <w:color w:val="auto"/>
          <w:highlight w:val="none"/>
          <w:lang w:val="en-US" w:eastAsia="zh-CN"/>
        </w:rPr>
        <w:t>按评价工作等级判据进行分级，判定本项目大气环境影响评价工作等级为二级。计算结果与等级判定见下表：</w:t>
      </w:r>
    </w:p>
    <w:p>
      <w:pPr>
        <w:pStyle w:val="22"/>
        <w:bidi w:val="0"/>
      </w:pPr>
      <w:r>
        <w:rPr>
          <w:rFonts w:hint="eastAsia"/>
        </w:rPr>
        <w:t>表2.</w:t>
      </w:r>
      <w:r>
        <w:rPr>
          <w:rFonts w:hint="eastAsia"/>
          <w:lang w:val="en-US" w:eastAsia="zh-CN"/>
        </w:rPr>
        <w:t>4</w:t>
      </w:r>
      <w:r>
        <w:rPr>
          <w:rFonts w:hint="eastAsia"/>
        </w:rPr>
        <w:t>-</w:t>
      </w:r>
      <w:r>
        <w:rPr>
          <w:rFonts w:hint="eastAsia"/>
          <w:lang w:val="en-US" w:eastAsia="zh-CN"/>
        </w:rPr>
        <w:t>3</w:t>
      </w:r>
      <w:r>
        <w:rPr>
          <w:rFonts w:hint="eastAsia"/>
        </w:rPr>
        <w:t xml:space="preserve">    </w:t>
      </w:r>
      <w:r>
        <w:t>大气环境评价工作等级判</w:t>
      </w:r>
      <w:r>
        <w:rPr>
          <w:rFonts w:hint="eastAsia"/>
        </w:rPr>
        <w:t>定结果</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82"/>
        <w:gridCol w:w="831"/>
        <w:gridCol w:w="981"/>
        <w:gridCol w:w="1213"/>
        <w:gridCol w:w="1144"/>
        <w:gridCol w:w="1039"/>
        <w:gridCol w:w="951"/>
        <w:gridCol w:w="8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 w:hRule="atLeast"/>
          <w:tblHeader/>
          <w:jc w:val="center"/>
        </w:trPr>
        <w:tc>
          <w:tcPr>
            <w:tcW w:w="8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污染源</w:t>
            </w:r>
          </w:p>
        </w:tc>
        <w:tc>
          <w:tcPr>
            <w:tcW w:w="48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排放形式</w:t>
            </w:r>
          </w:p>
        </w:tc>
        <w:tc>
          <w:tcPr>
            <w:tcW w:w="57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评价因子</w:t>
            </w:r>
          </w:p>
        </w:tc>
        <w:tc>
          <w:tcPr>
            <w:tcW w:w="71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C</w:t>
            </w:r>
            <w:r>
              <w:rPr>
                <w:rFonts w:hint="eastAsia"/>
                <w:lang w:val="en-US" w:eastAsia="zh-CN"/>
              </w:rPr>
              <w:t>max</w:t>
            </w:r>
            <w:r>
              <w:rPr>
                <w:rFonts w:hint="default"/>
              </w:rPr>
              <w:t>（μg/m</w:t>
            </w:r>
            <w:r>
              <w:rPr>
                <w:rFonts w:hint="default"/>
                <w:vertAlign w:val="superscript"/>
              </w:rPr>
              <w:t>3</w:t>
            </w:r>
            <w:r>
              <w:rPr>
                <w:rFonts w:hint="default"/>
              </w:rPr>
              <w:t>）</w:t>
            </w:r>
          </w:p>
        </w:tc>
        <w:tc>
          <w:tcPr>
            <w:tcW w:w="67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w:t>
            </w:r>
            <w:r>
              <w:rPr>
                <w:rFonts w:hint="default"/>
              </w:rPr>
              <w:t>（μg/m</w:t>
            </w:r>
            <w:r>
              <w:rPr>
                <w:rFonts w:hint="default"/>
                <w:vertAlign w:val="superscript"/>
              </w:rPr>
              <w:t>3</w:t>
            </w:r>
            <w:r>
              <w:rPr>
                <w:rFonts w:hint="default"/>
              </w:rPr>
              <w:t>）</w:t>
            </w:r>
          </w:p>
        </w:tc>
        <w:tc>
          <w:tcPr>
            <w:tcW w:w="6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Pmax（%）</w:t>
            </w:r>
          </w:p>
        </w:tc>
        <w:tc>
          <w:tcPr>
            <w:tcW w:w="55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D10%（m）</w:t>
            </w:r>
          </w:p>
        </w:tc>
        <w:tc>
          <w:tcPr>
            <w:tcW w:w="51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评价等级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 w:hRule="atLeast"/>
          <w:tblHeader/>
          <w:jc w:val="center"/>
        </w:trPr>
        <w:tc>
          <w:tcPr>
            <w:tcW w:w="8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填埋堆场</w:t>
            </w:r>
          </w:p>
        </w:tc>
        <w:tc>
          <w:tcPr>
            <w:tcW w:w="48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面源</w:t>
            </w:r>
          </w:p>
        </w:tc>
        <w:tc>
          <w:tcPr>
            <w:tcW w:w="57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TSP</w:t>
            </w:r>
          </w:p>
        </w:tc>
        <w:tc>
          <w:tcPr>
            <w:tcW w:w="71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87.87</w:t>
            </w:r>
          </w:p>
        </w:tc>
        <w:tc>
          <w:tcPr>
            <w:tcW w:w="67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900</w:t>
            </w:r>
          </w:p>
        </w:tc>
        <w:tc>
          <w:tcPr>
            <w:tcW w:w="6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8.64</w:t>
            </w:r>
          </w:p>
        </w:tc>
        <w:tc>
          <w:tcPr>
            <w:tcW w:w="55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w:t>
            </w:r>
          </w:p>
        </w:tc>
        <w:tc>
          <w:tcPr>
            <w:tcW w:w="51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二级</w:t>
            </w:r>
          </w:p>
        </w:tc>
      </w:tr>
    </w:tbl>
    <w:p>
      <w:pPr>
        <w:pStyle w:val="7"/>
        <w:bidi w:val="0"/>
        <w:rPr>
          <w:rFonts w:hint="eastAsia"/>
          <w:color w:val="auto"/>
          <w:highlight w:val="none"/>
        </w:rPr>
      </w:pPr>
      <w:r>
        <w:rPr>
          <w:rFonts w:hint="eastAsia"/>
          <w:color w:val="auto"/>
          <w:highlight w:val="none"/>
          <w:lang w:val="en-US" w:eastAsia="zh-CN"/>
        </w:rPr>
        <w:t>地表水环境评价工作等级</w:t>
      </w:r>
    </w:p>
    <w:p>
      <w:pPr>
        <w:pStyle w:val="4"/>
        <w:rPr>
          <w:rFonts w:hint="eastAsia"/>
          <w:color w:val="auto"/>
          <w:highlight w:val="none"/>
        </w:rPr>
      </w:pPr>
      <w:r>
        <w:rPr>
          <w:rFonts w:hint="eastAsia"/>
          <w:color w:val="auto"/>
          <w:highlight w:val="none"/>
          <w:lang w:val="en-US" w:eastAsia="zh-CN"/>
        </w:rPr>
        <w:t>施工及回填作业工作人员生活依托周边居民区设施，项目区不产生生活污水，不进行地表水环境影响评价。</w:t>
      </w:r>
    </w:p>
    <w:p>
      <w:pPr>
        <w:pStyle w:val="7"/>
        <w:bidi w:val="0"/>
        <w:rPr>
          <w:rFonts w:hint="eastAsia"/>
          <w:color w:val="auto"/>
          <w:highlight w:val="none"/>
        </w:rPr>
      </w:pPr>
      <w:r>
        <w:rPr>
          <w:rFonts w:hint="eastAsia"/>
          <w:color w:val="auto"/>
          <w:highlight w:val="none"/>
          <w:lang w:val="en-US" w:eastAsia="zh-CN"/>
        </w:rPr>
        <w:t>地下水环境评价工作等级</w:t>
      </w:r>
    </w:p>
    <w:p>
      <w:pPr>
        <w:pStyle w:val="4"/>
        <w:ind w:firstLine="480"/>
        <w:rPr>
          <w:rFonts w:hint="eastAsia"/>
          <w:color w:val="auto"/>
          <w:highlight w:val="none"/>
        </w:rPr>
      </w:pPr>
      <w:r>
        <w:rPr>
          <w:rFonts w:hint="eastAsia"/>
          <w:color w:val="auto"/>
          <w:highlight w:val="none"/>
        </w:rPr>
        <w:t>根据《环境影响评价技术导则 地下水环境》（HJ610-2016）附录A中地下水环境影响评价行业分类表，</w:t>
      </w:r>
      <w:r>
        <w:rPr>
          <w:rFonts w:hint="eastAsia"/>
          <w:color w:val="auto"/>
          <w:highlight w:val="none"/>
          <w:lang w:val="en-US" w:eastAsia="zh-CN"/>
        </w:rPr>
        <w:t>本项目属“U城镇基础设施及房地产——152、工业固体废物（含污泥）集中处置”，填埋粉煤灰及炉渣属第</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类一般工业固体废物，地下水项目类别为</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w:t>
      </w:r>
      <w:r>
        <w:rPr>
          <w:rFonts w:hint="eastAsia"/>
          <w:color w:val="auto"/>
          <w:highlight w:val="none"/>
        </w:rPr>
        <w:t>。</w:t>
      </w:r>
    </w:p>
    <w:p>
      <w:pPr>
        <w:pStyle w:val="4"/>
        <w:ind w:firstLine="480"/>
        <w:rPr>
          <w:rFonts w:hint="default" w:eastAsia="宋体"/>
          <w:color w:val="auto"/>
          <w:highlight w:val="none"/>
          <w:lang w:val="en-US" w:eastAsia="zh-CN"/>
        </w:rPr>
      </w:pPr>
      <w:r>
        <w:rPr>
          <w:rFonts w:hint="eastAsia"/>
          <w:color w:val="auto"/>
          <w:highlight w:val="none"/>
          <w:lang w:val="en-US" w:eastAsia="zh-CN"/>
        </w:rPr>
        <w:t>评价区不涉及</w:t>
      </w:r>
      <w:r>
        <w:rPr>
          <w:color w:val="auto"/>
          <w:highlight w:val="none"/>
        </w:rPr>
        <w:t>集中式饮用水水源准保护区</w:t>
      </w:r>
      <w:r>
        <w:rPr>
          <w:rFonts w:hint="eastAsia"/>
          <w:color w:val="auto"/>
          <w:highlight w:val="none"/>
          <w:lang w:val="en-US" w:eastAsia="zh-CN"/>
        </w:rPr>
        <w:t>及补给径流区</w:t>
      </w:r>
      <w:r>
        <w:rPr>
          <w:color w:val="auto"/>
          <w:highlight w:val="none"/>
        </w:rPr>
        <w:t>、除集中式饮用水水源以外的国家或地方政府设定的与地下水环境相关的其它保护区，不属于地下水环境敏感区，依据《环境影响评价技术导则-地下水环境》（HJ610-2016）中的地下水环境敏感程度分级表及建设项目评价工作等级分级表，确定项目地下水评价等级为</w:t>
      </w:r>
      <w:r>
        <w:rPr>
          <w:rFonts w:hint="eastAsia"/>
          <w:color w:val="auto"/>
          <w:highlight w:val="none"/>
          <w:lang w:val="en-US" w:eastAsia="zh-CN"/>
        </w:rPr>
        <w:t>三</w:t>
      </w:r>
      <w:r>
        <w:rPr>
          <w:color w:val="auto"/>
          <w:highlight w:val="none"/>
        </w:rPr>
        <w:t>级。</w:t>
      </w:r>
      <w:r>
        <w:rPr>
          <w:rFonts w:hint="eastAsia"/>
          <w:color w:val="auto"/>
          <w:highlight w:val="none"/>
          <w:lang w:val="en-US" w:eastAsia="zh-CN"/>
        </w:rPr>
        <w:t>地下水环境敏感程度与评价等级判定依据如下表：</w:t>
      </w:r>
    </w:p>
    <w:p>
      <w:pPr>
        <w:pStyle w:val="22"/>
        <w:bidi w:val="0"/>
      </w:pPr>
      <w:r>
        <w:rPr>
          <w:rFonts w:hint="eastAsia"/>
        </w:rPr>
        <w:t>表2.</w:t>
      </w:r>
      <w:r>
        <w:rPr>
          <w:rFonts w:hint="eastAsia"/>
          <w:lang w:val="en-US" w:eastAsia="zh-CN"/>
        </w:rPr>
        <w:t>4-4</w:t>
      </w:r>
      <w:r>
        <w:rPr>
          <w:rFonts w:hint="eastAsia"/>
        </w:rPr>
        <w:t xml:space="preserve">    </w:t>
      </w:r>
      <w:r>
        <w:t>地下水环境敏感程度分级</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3"/>
        <w:gridCol w:w="75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7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分级</w:t>
            </w:r>
          </w:p>
        </w:tc>
        <w:tc>
          <w:tcPr>
            <w:tcW w:w="442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项目场地的地下水环境敏感特征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敏感</w:t>
            </w:r>
          </w:p>
        </w:tc>
        <w:tc>
          <w:tcPr>
            <w:tcW w:w="4428" w:type="pct"/>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rPr>
            </w:pPr>
            <w:r>
              <w:rPr>
                <w:rFonts w:hint="eastAsia"/>
              </w:rPr>
              <w:t>集中式饮用水水源（包括已建成的在用、备用、应急水源地，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较敏感</w:t>
            </w:r>
          </w:p>
        </w:tc>
        <w:tc>
          <w:tcPr>
            <w:tcW w:w="4428" w:type="pct"/>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rPr>
            </w:pPr>
            <w:r>
              <w:rPr>
                <w:rFonts w:hint="eastAsia"/>
              </w:rPr>
              <w:t>集中式饮用水水源（包括已建成的在用、备用、应急水源，在建和规划的饮用水水源）准保护区以外的补给径流区；未划定准保护区的集中式饮用水水源，其保护区以外的补给径流区；分散式饮用水水源地；特殊地下水资源（矿泉水、温泉等）保护区以外的分布区等其它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7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不敏感</w:t>
            </w:r>
          </w:p>
        </w:tc>
        <w:tc>
          <w:tcPr>
            <w:tcW w:w="4428" w:type="pct"/>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rPr>
            </w:pPr>
            <w:r>
              <w:rPr>
                <w:rFonts w:hint="eastAsia"/>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rPr>
            </w:pPr>
            <w:r>
              <w:rPr>
                <w:rFonts w:hint="eastAsia"/>
              </w:rPr>
              <w:t>注：“环境敏感区”是指《建设项目环境影响评价分类管理名录》中所界定的涉及地下水的环境敏感区。</w:t>
            </w:r>
          </w:p>
        </w:tc>
      </w:tr>
    </w:tbl>
    <w:p>
      <w:pPr>
        <w:pStyle w:val="22"/>
        <w:bidi w:val="0"/>
      </w:pPr>
      <w:r>
        <w:rPr>
          <w:rFonts w:hint="eastAsia"/>
        </w:rPr>
        <w:t>表2.</w:t>
      </w:r>
      <w:r>
        <w:rPr>
          <w:rFonts w:hint="eastAsia"/>
          <w:lang w:val="en-US" w:eastAsia="zh-CN"/>
        </w:rPr>
        <w:t>4-5</w:t>
      </w:r>
      <w:r>
        <w:rPr>
          <w:rFonts w:hint="eastAsia"/>
        </w:rPr>
        <w:t xml:space="preserve">    </w:t>
      </w:r>
      <w:r>
        <w:t>地下水环境影响评价工作等级划分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l2br w:val="single" w:color="auto" w:sz="6" w:space="0"/>
            </w:tcBorders>
          </w:tcPr>
          <w:p>
            <w:pPr>
              <w:pStyle w:val="24"/>
              <w:keepNext w:val="0"/>
              <w:keepLines w:val="0"/>
              <w:suppressLineNumbers w:val="0"/>
              <w:bidi w:val="0"/>
              <w:spacing w:before="0" w:beforeAutospacing="0" w:after="0" w:afterAutospacing="0"/>
              <w:ind w:left="0" w:right="0"/>
              <w:jc w:val="right"/>
              <w:rPr>
                <w:rFonts w:hint="default"/>
              </w:rPr>
            </w:pPr>
            <w:r>
              <w:rPr>
                <w:rFonts w:hint="default"/>
              </w:rPr>
              <w:t>项目类别</w:t>
            </w:r>
          </w:p>
          <w:p>
            <w:pPr>
              <w:pStyle w:val="24"/>
              <w:keepNext w:val="0"/>
              <w:keepLines w:val="0"/>
              <w:suppressLineNumbers w:val="0"/>
              <w:bidi w:val="0"/>
              <w:spacing w:before="0" w:beforeAutospacing="0" w:after="0" w:afterAutospacing="0"/>
              <w:ind w:left="0" w:right="0"/>
              <w:jc w:val="left"/>
              <w:rPr>
                <w:rFonts w:hint="default"/>
              </w:rPr>
            </w:pPr>
            <w:r>
              <w:rPr>
                <w:rFonts w:hint="default"/>
              </w:rPr>
              <w:t>环境敏感程度</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I类项目</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II类项目</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III类项目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敏感</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较敏感</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不敏感</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本项目</w:t>
            </w:r>
          </w:p>
        </w:tc>
        <w:tc>
          <w:tcPr>
            <w:tcW w:w="2500"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II类项目</w:t>
            </w:r>
            <w:r>
              <w:rPr>
                <w:rFonts w:hint="eastAsia"/>
              </w:rPr>
              <w:t>，环境不敏感</w:t>
            </w:r>
          </w:p>
        </w:tc>
        <w:tc>
          <w:tcPr>
            <w:tcW w:w="125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三</w:t>
            </w:r>
            <w:r>
              <w:rPr>
                <w:rFonts w:hint="eastAsia"/>
              </w:rPr>
              <w:t>级评价</w:t>
            </w:r>
          </w:p>
        </w:tc>
      </w:tr>
    </w:tbl>
    <w:p>
      <w:pPr>
        <w:pStyle w:val="7"/>
        <w:bidi w:val="0"/>
        <w:rPr>
          <w:rFonts w:hint="eastAsia"/>
          <w:color w:val="auto"/>
          <w:highlight w:val="none"/>
        </w:rPr>
      </w:pPr>
      <w:r>
        <w:rPr>
          <w:rFonts w:hint="eastAsia"/>
          <w:color w:val="auto"/>
          <w:highlight w:val="none"/>
          <w:lang w:val="en-US" w:eastAsia="zh-CN"/>
        </w:rPr>
        <w:t>声环境评价工作等级</w:t>
      </w:r>
    </w:p>
    <w:p>
      <w:pPr>
        <w:pStyle w:val="4"/>
        <w:ind w:firstLine="480"/>
        <w:rPr>
          <w:color w:val="auto"/>
          <w:highlight w:val="none"/>
        </w:rPr>
      </w:pPr>
      <w:r>
        <w:rPr>
          <w:rFonts w:hint="eastAsia"/>
          <w:color w:val="auto"/>
          <w:highlight w:val="none"/>
        </w:rPr>
        <w:t>根据《声环境功能区划分技术规范》（</w:t>
      </w:r>
      <w:r>
        <w:rPr>
          <w:rFonts w:hint="eastAsia"/>
          <w:color w:val="auto"/>
          <w:highlight w:val="none"/>
          <w:lang w:eastAsia="zh-CN"/>
        </w:rPr>
        <w:t>GB</w:t>
      </w:r>
      <w:r>
        <w:rPr>
          <w:rFonts w:hint="eastAsia"/>
          <w:color w:val="auto"/>
          <w:highlight w:val="none"/>
        </w:rPr>
        <w:t>/T15190-2014），项目区执行《声环境质量标准》（</w:t>
      </w:r>
      <w:r>
        <w:rPr>
          <w:rFonts w:hint="eastAsia"/>
          <w:color w:val="auto"/>
          <w:highlight w:val="none"/>
          <w:lang w:eastAsia="zh-CN"/>
        </w:rPr>
        <w:t>GB</w:t>
      </w:r>
      <w:r>
        <w:rPr>
          <w:rFonts w:hint="eastAsia"/>
          <w:color w:val="auto"/>
          <w:highlight w:val="none"/>
        </w:rPr>
        <w:t>3096-2008）的</w:t>
      </w:r>
      <w:r>
        <w:rPr>
          <w:rFonts w:hint="eastAsia"/>
          <w:color w:val="auto"/>
          <w:highlight w:val="none"/>
          <w:lang w:val="en-US" w:eastAsia="zh-CN"/>
        </w:rPr>
        <w:t>2</w:t>
      </w:r>
      <w:r>
        <w:rPr>
          <w:rFonts w:hint="eastAsia"/>
          <w:color w:val="auto"/>
          <w:highlight w:val="none"/>
        </w:rPr>
        <w:t>类标准。根据《环境影响评价技术导则</w:t>
      </w:r>
      <w:r>
        <w:rPr>
          <w:rFonts w:hint="eastAsia"/>
          <w:color w:val="auto"/>
          <w:highlight w:val="none"/>
          <w:lang w:val="en-US" w:eastAsia="zh-CN"/>
        </w:rPr>
        <w:t xml:space="preserve"> </w:t>
      </w:r>
      <w:r>
        <w:rPr>
          <w:rFonts w:hint="eastAsia"/>
          <w:color w:val="auto"/>
          <w:highlight w:val="none"/>
        </w:rPr>
        <w:t>声环境》（HJ2.4-2009），结合本</w:t>
      </w:r>
      <w:r>
        <w:rPr>
          <w:color w:val="auto"/>
          <w:highlight w:val="none"/>
        </w:rPr>
        <w:t>项目</w:t>
      </w:r>
      <w:r>
        <w:rPr>
          <w:rFonts w:hint="eastAsia"/>
          <w:color w:val="auto"/>
          <w:highlight w:val="none"/>
        </w:rPr>
        <w:t>噪声源强和项目所在地声环境特点，</w:t>
      </w:r>
      <w:r>
        <w:rPr>
          <w:rFonts w:hint="eastAsia"/>
          <w:color w:val="auto"/>
          <w:highlight w:val="none"/>
          <w:lang w:val="en-US" w:eastAsia="zh-CN"/>
        </w:rPr>
        <w:t>项目区评价范围内无声环境敏感目标，</w:t>
      </w:r>
      <w:r>
        <w:rPr>
          <w:rFonts w:hint="eastAsia"/>
          <w:color w:val="auto"/>
          <w:highlight w:val="none"/>
        </w:rPr>
        <w:t>判定</w:t>
      </w:r>
      <w:r>
        <w:rPr>
          <w:color w:val="auto"/>
          <w:highlight w:val="none"/>
        </w:rPr>
        <w:t>声环境评价工作等级为</w:t>
      </w:r>
      <w:r>
        <w:rPr>
          <w:rFonts w:hint="eastAsia"/>
          <w:color w:val="auto"/>
          <w:highlight w:val="none"/>
          <w:lang w:val="en-US" w:eastAsia="zh-CN"/>
        </w:rPr>
        <w:t>二</w:t>
      </w:r>
      <w:r>
        <w:rPr>
          <w:color w:val="auto"/>
          <w:highlight w:val="none"/>
        </w:rPr>
        <w:t>级</w:t>
      </w:r>
      <w:r>
        <w:rPr>
          <w:rFonts w:hint="eastAsia"/>
          <w:color w:val="auto"/>
          <w:highlight w:val="none"/>
        </w:rPr>
        <w:t>。</w:t>
      </w:r>
      <w:r>
        <w:rPr>
          <w:rFonts w:hint="eastAsia"/>
          <w:color w:val="auto"/>
          <w:highlight w:val="none"/>
          <w:lang w:val="en-US" w:eastAsia="zh-CN"/>
        </w:rPr>
        <w:t>声环境评价</w:t>
      </w:r>
      <w:r>
        <w:rPr>
          <w:color w:val="auto"/>
          <w:highlight w:val="none"/>
        </w:rPr>
        <w:t>等级判定</w:t>
      </w:r>
      <w:r>
        <w:rPr>
          <w:rFonts w:hint="eastAsia"/>
          <w:color w:val="auto"/>
          <w:highlight w:val="none"/>
          <w:lang w:val="en-US" w:eastAsia="zh-CN"/>
        </w:rPr>
        <w:t>依据</w:t>
      </w:r>
      <w:r>
        <w:rPr>
          <w:color w:val="auto"/>
          <w:highlight w:val="none"/>
        </w:rPr>
        <w:t>见</w:t>
      </w:r>
      <w:r>
        <w:rPr>
          <w:rFonts w:hint="eastAsia"/>
          <w:color w:val="auto"/>
          <w:highlight w:val="none"/>
        </w:rPr>
        <w:t>下表：</w:t>
      </w:r>
    </w:p>
    <w:p>
      <w:pPr>
        <w:pStyle w:val="22"/>
        <w:bidi w:val="0"/>
      </w:pPr>
      <w:r>
        <w:rPr>
          <w:rFonts w:hint="eastAsia"/>
        </w:rPr>
        <w:t>表2.</w:t>
      </w:r>
      <w:r>
        <w:rPr>
          <w:rFonts w:hint="eastAsia"/>
          <w:lang w:val="en-US" w:eastAsia="zh-CN"/>
        </w:rPr>
        <w:t>4-6</w:t>
      </w:r>
      <w:r>
        <w:rPr>
          <w:rFonts w:hint="eastAsia"/>
        </w:rPr>
        <w:t xml:space="preserve">   </w:t>
      </w:r>
      <w:r>
        <w:t>环境噪声影响评价工作等级判定依据表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774"/>
        <w:gridCol w:w="1831"/>
        <w:gridCol w:w="2920"/>
        <w:gridCol w:w="18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10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评价等级</w:t>
            </w:r>
            <w:r>
              <w:rPr>
                <w:rFonts w:hint="default"/>
              </w:rPr>
              <w:t>判别依据</w:t>
            </w:r>
          </w:p>
        </w:tc>
        <w:tc>
          <w:tcPr>
            <w:tcW w:w="109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声环境功能区类别</w:t>
            </w:r>
          </w:p>
        </w:tc>
        <w:tc>
          <w:tcPr>
            <w:tcW w:w="17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项目建设前后评价范围内</w:t>
            </w:r>
          </w:p>
          <w:p>
            <w:pPr>
              <w:pStyle w:val="24"/>
              <w:keepNext w:val="0"/>
              <w:keepLines w:val="0"/>
              <w:suppressLineNumbers w:val="0"/>
              <w:bidi w:val="0"/>
              <w:spacing w:before="0" w:beforeAutospacing="0" w:after="0" w:afterAutospacing="0"/>
              <w:ind w:left="0" w:right="0"/>
              <w:rPr>
                <w:rFonts w:hint="default"/>
              </w:rPr>
            </w:pPr>
            <w:r>
              <w:rPr>
                <w:rFonts w:hint="default"/>
              </w:rPr>
              <w:t>敏感目标噪声级增高量</w:t>
            </w:r>
          </w:p>
        </w:tc>
        <w:tc>
          <w:tcPr>
            <w:tcW w:w="10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受噪声影响</w:t>
            </w:r>
          </w:p>
          <w:p>
            <w:pPr>
              <w:pStyle w:val="24"/>
              <w:keepNext w:val="0"/>
              <w:keepLines w:val="0"/>
              <w:suppressLineNumbers w:val="0"/>
              <w:bidi w:val="0"/>
              <w:spacing w:before="0" w:beforeAutospacing="0" w:after="0" w:afterAutospacing="0"/>
              <w:ind w:left="0" w:right="0"/>
              <w:rPr>
                <w:rFonts w:hint="default"/>
              </w:rPr>
            </w:pPr>
            <w:r>
              <w:rPr>
                <w:rFonts w:hint="default"/>
              </w:rPr>
              <w:t>范围内的人口数量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一级评价</w:t>
            </w:r>
          </w:p>
        </w:tc>
        <w:tc>
          <w:tcPr>
            <w:tcW w:w="109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0类</w:t>
            </w:r>
          </w:p>
        </w:tc>
        <w:tc>
          <w:tcPr>
            <w:tcW w:w="17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大于5dB</w:t>
            </w:r>
            <w:r>
              <w:rPr>
                <w:rFonts w:hint="default"/>
              </w:rPr>
              <w:t>（A）[</w:t>
            </w:r>
            <w:r>
              <w:rPr>
                <w:rFonts w:hint="eastAsia"/>
              </w:rPr>
              <w:t>不含5dB(A)</w:t>
            </w:r>
            <w:r>
              <w:rPr>
                <w:rFonts w:hint="default"/>
              </w:rPr>
              <w:t>]</w:t>
            </w:r>
          </w:p>
        </w:tc>
        <w:tc>
          <w:tcPr>
            <w:tcW w:w="10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显著增多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二级评价</w:t>
            </w:r>
          </w:p>
        </w:tc>
        <w:tc>
          <w:tcPr>
            <w:tcW w:w="109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1类、2类</w:t>
            </w:r>
          </w:p>
        </w:tc>
        <w:tc>
          <w:tcPr>
            <w:tcW w:w="17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3</w:t>
            </w:r>
            <w:r>
              <w:rPr>
                <w:rFonts w:hint="eastAsia"/>
                <w:lang w:eastAsia="zh-CN"/>
              </w:rPr>
              <w:t>~</w:t>
            </w:r>
            <w:r>
              <w:rPr>
                <w:rFonts w:hint="eastAsia"/>
              </w:rPr>
              <w:t>5dB</w:t>
            </w:r>
            <w:r>
              <w:rPr>
                <w:rFonts w:hint="default"/>
              </w:rPr>
              <w:t>（A）[</w:t>
            </w:r>
            <w:r>
              <w:rPr>
                <w:rFonts w:hint="eastAsia"/>
              </w:rPr>
              <w:t>含5dB(A)</w:t>
            </w:r>
            <w:r>
              <w:rPr>
                <w:rFonts w:hint="default"/>
              </w:rPr>
              <w:t>]</w:t>
            </w:r>
          </w:p>
        </w:tc>
        <w:tc>
          <w:tcPr>
            <w:tcW w:w="10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增加较多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三</w:t>
            </w:r>
            <w:r>
              <w:rPr>
                <w:rFonts w:hint="default"/>
              </w:rPr>
              <w:t>级评价</w:t>
            </w:r>
          </w:p>
        </w:tc>
        <w:tc>
          <w:tcPr>
            <w:tcW w:w="109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3</w:t>
            </w:r>
            <w:r>
              <w:rPr>
                <w:rFonts w:hint="default"/>
              </w:rPr>
              <w:t>类</w:t>
            </w:r>
            <w:r>
              <w:rPr>
                <w:rFonts w:hint="eastAsia"/>
              </w:rPr>
              <w:t>、4类</w:t>
            </w:r>
          </w:p>
        </w:tc>
        <w:tc>
          <w:tcPr>
            <w:tcW w:w="17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小于3dB（A）[</w:t>
            </w:r>
            <w:r>
              <w:rPr>
                <w:rFonts w:hint="eastAsia"/>
              </w:rPr>
              <w:t>不含3dB(A)</w:t>
            </w:r>
            <w:r>
              <w:rPr>
                <w:rFonts w:hint="default"/>
              </w:rPr>
              <w:t>]</w:t>
            </w:r>
          </w:p>
        </w:tc>
        <w:tc>
          <w:tcPr>
            <w:tcW w:w="10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变化不大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0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本</w:t>
            </w:r>
            <w:r>
              <w:rPr>
                <w:rFonts w:hint="eastAsia"/>
              </w:rPr>
              <w:t>项目</w:t>
            </w:r>
          </w:p>
        </w:tc>
        <w:tc>
          <w:tcPr>
            <w:tcW w:w="2841"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default"/>
              </w:rPr>
              <w:t>类</w:t>
            </w:r>
            <w:r>
              <w:rPr>
                <w:rFonts w:hint="eastAsia"/>
                <w:lang w:val="en-US" w:eastAsia="zh-CN"/>
              </w:rPr>
              <w:t>功能区/评价范围内无敏感目标/人口数量0</w:t>
            </w:r>
          </w:p>
        </w:tc>
        <w:tc>
          <w:tcPr>
            <w:tcW w:w="10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二</w:t>
            </w:r>
            <w:r>
              <w:rPr>
                <w:rFonts w:hint="default"/>
              </w:rPr>
              <w:t>级</w:t>
            </w:r>
          </w:p>
        </w:tc>
      </w:tr>
    </w:tbl>
    <w:p>
      <w:pPr>
        <w:pStyle w:val="7"/>
        <w:bidi w:val="0"/>
        <w:rPr>
          <w:rFonts w:hint="eastAsia"/>
          <w:color w:val="auto"/>
          <w:highlight w:val="none"/>
        </w:rPr>
      </w:pPr>
      <w:r>
        <w:rPr>
          <w:rFonts w:hint="eastAsia"/>
          <w:color w:val="auto"/>
          <w:highlight w:val="none"/>
          <w:lang w:val="en-US" w:eastAsia="zh-CN"/>
        </w:rPr>
        <w:t>土壤环境评价工作等级</w:t>
      </w:r>
    </w:p>
    <w:p>
      <w:pPr>
        <w:pStyle w:val="4"/>
        <w:ind w:firstLine="48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1）土壤影响源及影响因子识别</w:t>
      </w:r>
    </w:p>
    <w:p>
      <w:pPr>
        <w:pStyle w:val="4"/>
        <w:ind w:firstLine="480"/>
        <w:rPr>
          <w:rFonts w:hint="eastAsia"/>
          <w:color w:val="auto"/>
          <w:highlight w:val="none"/>
          <w:lang w:val="en-US" w:eastAsia="zh-CN"/>
        </w:rPr>
      </w:pPr>
      <w:r>
        <w:rPr>
          <w:rFonts w:hint="eastAsia"/>
          <w:color w:val="auto"/>
          <w:highlight w:val="none"/>
          <w:lang w:val="en-US" w:eastAsia="zh-CN"/>
        </w:rPr>
        <w:t>土壤环境影响源及影响因子识别见下表：</w:t>
      </w:r>
    </w:p>
    <w:p>
      <w:pPr>
        <w:pStyle w:val="22"/>
        <w:bidi w:val="0"/>
      </w:pPr>
      <w:r>
        <w:rPr>
          <w:rFonts w:hint="eastAsia"/>
        </w:rPr>
        <w:t>表2.</w:t>
      </w:r>
      <w:r>
        <w:rPr>
          <w:rFonts w:hint="eastAsia"/>
          <w:lang w:val="en-US" w:eastAsia="zh-CN"/>
        </w:rPr>
        <w:t>4-7</w:t>
      </w:r>
      <w:r>
        <w:rPr>
          <w:rFonts w:hint="eastAsia"/>
        </w:rPr>
        <w:t xml:space="preserve">   土壤环境影响源及影响因子识别</w:t>
      </w:r>
      <w:r>
        <w:t>表</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391"/>
        <w:gridCol w:w="1392"/>
        <w:gridCol w:w="1392"/>
        <w:gridCol w:w="1644"/>
        <w:gridCol w:w="1434"/>
        <w:gridCol w:w="11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8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污染源</w:t>
            </w:r>
          </w:p>
        </w:tc>
        <w:tc>
          <w:tcPr>
            <w:tcW w:w="8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工艺流程/节点</w:t>
            </w:r>
          </w:p>
        </w:tc>
        <w:tc>
          <w:tcPr>
            <w:tcW w:w="8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污染途径</w:t>
            </w:r>
          </w:p>
        </w:tc>
        <w:tc>
          <w:tcPr>
            <w:tcW w:w="9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全部污染物指标</w:t>
            </w:r>
          </w:p>
        </w:tc>
        <w:tc>
          <w:tcPr>
            <w:tcW w:w="85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特征因子</w:t>
            </w:r>
          </w:p>
        </w:tc>
        <w:tc>
          <w:tcPr>
            <w:tcW w:w="66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32"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填埋堆体</w:t>
            </w:r>
          </w:p>
        </w:tc>
        <w:tc>
          <w:tcPr>
            <w:tcW w:w="8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填埋作业</w:t>
            </w:r>
          </w:p>
        </w:tc>
        <w:tc>
          <w:tcPr>
            <w:tcW w:w="8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大气沉降</w:t>
            </w:r>
          </w:p>
        </w:tc>
        <w:tc>
          <w:tcPr>
            <w:tcW w:w="983"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砷、铅、镍、铜、六价铬</w:t>
            </w:r>
          </w:p>
        </w:tc>
        <w:tc>
          <w:tcPr>
            <w:tcW w:w="857"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砷、铅、镍、铜、六价铬</w:t>
            </w:r>
          </w:p>
        </w:tc>
        <w:tc>
          <w:tcPr>
            <w:tcW w:w="660"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832"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8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渗滤液渗漏</w:t>
            </w:r>
          </w:p>
        </w:tc>
        <w:tc>
          <w:tcPr>
            <w:tcW w:w="8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垂直入渗</w:t>
            </w:r>
          </w:p>
        </w:tc>
        <w:tc>
          <w:tcPr>
            <w:tcW w:w="983"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85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660"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r>
    </w:tbl>
    <w:p>
      <w:pPr>
        <w:pStyle w:val="4"/>
        <w:ind w:firstLine="48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）土壤环境影响行业类别</w:t>
      </w:r>
    </w:p>
    <w:p>
      <w:pPr>
        <w:pStyle w:val="4"/>
        <w:ind w:firstLine="480"/>
        <w:rPr>
          <w:rFonts w:hint="eastAsia"/>
          <w:color w:val="auto"/>
          <w:highlight w:val="none"/>
          <w:lang w:eastAsia="zh-CN"/>
        </w:rPr>
      </w:pPr>
      <w:r>
        <w:rPr>
          <w:rFonts w:hint="eastAsia"/>
          <w:color w:val="auto"/>
          <w:highlight w:val="none"/>
        </w:rPr>
        <w:t>本项目属于土壤评价行业分类中的</w:t>
      </w:r>
      <w:r>
        <w:rPr>
          <w:rFonts w:hint="eastAsia"/>
          <w:color w:val="auto"/>
          <w:highlight w:val="none"/>
          <w:lang w:val="en-US" w:eastAsia="zh-CN"/>
        </w:rPr>
        <w:t>“环境和公共设施管理业——采取填埋和焚烧方式的一般工业固体废物处置及综合利用”</w:t>
      </w:r>
      <w:r>
        <w:rPr>
          <w:rFonts w:hint="eastAsia"/>
          <w:color w:val="auto"/>
          <w:highlight w:val="none"/>
        </w:rPr>
        <w:t>行业，为</w:t>
      </w:r>
      <w:r>
        <w:rPr>
          <w:rFonts w:hint="default" w:ascii="Times New Roman" w:hAnsi="Times New Roman" w:cs="Times New Roman"/>
          <w:color w:val="auto"/>
          <w:highlight w:val="none"/>
          <w:lang w:eastAsia="zh-CN"/>
        </w:rPr>
        <w:t>Ⅱ</w:t>
      </w:r>
      <w:r>
        <w:rPr>
          <w:rFonts w:hint="eastAsia"/>
          <w:color w:val="auto"/>
          <w:highlight w:val="none"/>
        </w:rPr>
        <w:t>类项目</w:t>
      </w:r>
      <w:r>
        <w:rPr>
          <w:rFonts w:hint="eastAsia"/>
          <w:color w:val="auto"/>
          <w:highlight w:val="none"/>
          <w:lang w:eastAsia="zh-CN"/>
        </w:rPr>
        <w:t>。</w:t>
      </w:r>
    </w:p>
    <w:p>
      <w:pPr>
        <w:pStyle w:val="4"/>
        <w:ind w:firstLine="48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）土壤环境敏感程度</w:t>
      </w:r>
    </w:p>
    <w:p>
      <w:pPr>
        <w:pStyle w:val="4"/>
        <w:ind w:firstLine="480"/>
        <w:rPr>
          <w:rFonts w:hint="default" w:eastAsia="宋体"/>
          <w:color w:val="auto"/>
          <w:highlight w:val="none"/>
          <w:lang w:val="en-US" w:eastAsia="zh-CN"/>
        </w:rPr>
      </w:pPr>
      <w:r>
        <w:rPr>
          <w:rFonts w:hint="eastAsia"/>
          <w:color w:val="auto"/>
          <w:highlight w:val="none"/>
          <w:lang w:val="en-US" w:eastAsia="zh-CN"/>
        </w:rPr>
        <w:t>本项目</w:t>
      </w:r>
      <w:r>
        <w:rPr>
          <w:rFonts w:hint="eastAsia"/>
          <w:color w:val="auto"/>
          <w:highlight w:val="none"/>
        </w:rPr>
        <w:t>土壤环境影响类型为污染影响型</w:t>
      </w:r>
      <w:r>
        <w:rPr>
          <w:rFonts w:hint="eastAsia"/>
          <w:color w:val="auto"/>
          <w:highlight w:val="none"/>
          <w:lang w:eastAsia="zh-CN"/>
        </w:rPr>
        <w:t>，</w:t>
      </w:r>
      <w:r>
        <w:rPr>
          <w:rFonts w:hint="eastAsia"/>
          <w:color w:val="auto"/>
          <w:highlight w:val="none"/>
          <w:lang w:val="en-US" w:eastAsia="zh-CN"/>
        </w:rPr>
        <w:t>污染区面积5700m</w:t>
      </w:r>
      <w:r>
        <w:rPr>
          <w:rFonts w:hint="eastAsia"/>
          <w:color w:val="auto"/>
          <w:highlight w:val="none"/>
          <w:vertAlign w:val="superscript"/>
          <w:lang w:val="en-US" w:eastAsia="zh-CN"/>
        </w:rPr>
        <w:t>2</w:t>
      </w:r>
      <w:r>
        <w:rPr>
          <w:rFonts w:hint="eastAsia"/>
          <w:color w:val="auto"/>
          <w:highlight w:val="none"/>
          <w:lang w:val="en-US" w:eastAsia="zh-CN"/>
        </w:rPr>
        <w:t>，就地回填的采砂坑坑底面积11075m</w:t>
      </w:r>
      <w:r>
        <w:rPr>
          <w:rFonts w:hint="eastAsia"/>
          <w:color w:val="auto"/>
          <w:highlight w:val="none"/>
          <w:vertAlign w:val="superscript"/>
          <w:lang w:val="en-US" w:eastAsia="zh-CN"/>
        </w:rPr>
        <w:t>2</w:t>
      </w:r>
      <w:r>
        <w:rPr>
          <w:rFonts w:hint="eastAsia"/>
          <w:color w:val="auto"/>
          <w:highlight w:val="none"/>
          <w:lang w:val="en-US" w:eastAsia="zh-CN"/>
        </w:rPr>
        <w:t>，坑口面积26183m</w:t>
      </w:r>
      <w:r>
        <w:rPr>
          <w:rFonts w:hint="eastAsia"/>
          <w:color w:val="auto"/>
          <w:highlight w:val="none"/>
          <w:vertAlign w:val="superscript"/>
          <w:lang w:val="en-US" w:eastAsia="zh-CN"/>
        </w:rPr>
        <w:t>2</w:t>
      </w:r>
      <w:r>
        <w:rPr>
          <w:rFonts w:hint="eastAsia"/>
          <w:color w:val="auto"/>
          <w:highlight w:val="none"/>
          <w:vertAlign w:val="baseline"/>
          <w:lang w:val="en-US" w:eastAsia="zh-CN"/>
        </w:rPr>
        <w:t>，均</w:t>
      </w:r>
      <w:r>
        <w:rPr>
          <w:rFonts w:hint="default" w:ascii="Times New Roman" w:hAnsi="Times New Roman" w:cs="Times New Roman"/>
          <w:color w:val="auto"/>
          <w:highlight w:val="none"/>
          <w:vertAlign w:val="baseline"/>
          <w:lang w:val="en-US" w:eastAsia="zh-CN"/>
        </w:rPr>
        <w:t>&lt;</w:t>
      </w:r>
      <w:r>
        <w:rPr>
          <w:rFonts w:hint="eastAsia"/>
          <w:color w:val="auto"/>
          <w:highlight w:val="none"/>
          <w:vertAlign w:val="baseline"/>
          <w:lang w:val="en-US" w:eastAsia="zh-CN"/>
        </w:rPr>
        <w:t>5hm</w:t>
      </w:r>
      <w:r>
        <w:rPr>
          <w:rFonts w:hint="eastAsia"/>
          <w:color w:val="auto"/>
          <w:highlight w:val="none"/>
          <w:vertAlign w:val="superscript"/>
          <w:lang w:val="en-US" w:eastAsia="zh-CN"/>
        </w:rPr>
        <w:t>2</w:t>
      </w:r>
      <w:r>
        <w:rPr>
          <w:rFonts w:hint="eastAsia"/>
          <w:color w:val="auto"/>
          <w:highlight w:val="none"/>
          <w:lang w:val="en-US" w:eastAsia="zh-CN"/>
        </w:rPr>
        <w:t>，占地规模属于“小型”，</w:t>
      </w:r>
      <w:r>
        <w:rPr>
          <w:rFonts w:hint="eastAsia"/>
          <w:color w:val="auto"/>
          <w:highlight w:val="none"/>
        </w:rPr>
        <w:t>项目</w:t>
      </w:r>
      <w:r>
        <w:rPr>
          <w:rFonts w:hint="eastAsia"/>
          <w:color w:val="auto"/>
          <w:highlight w:val="none"/>
          <w:lang w:val="en-US" w:eastAsia="zh-CN"/>
        </w:rPr>
        <w:t>区</w:t>
      </w:r>
      <w:r>
        <w:rPr>
          <w:rFonts w:hint="eastAsia"/>
          <w:color w:val="auto"/>
          <w:highlight w:val="none"/>
        </w:rPr>
        <w:t>周边</w:t>
      </w:r>
      <w:r>
        <w:rPr>
          <w:rFonts w:hint="eastAsia"/>
          <w:color w:val="auto"/>
          <w:highlight w:val="none"/>
          <w:lang w:val="en-US" w:eastAsia="zh-CN"/>
        </w:rPr>
        <w:t>0.05km范围内</w:t>
      </w:r>
      <w:r>
        <w:rPr>
          <w:rFonts w:hint="eastAsia"/>
          <w:color w:val="auto"/>
          <w:highlight w:val="none"/>
          <w:lang w:eastAsia="zh-CN"/>
        </w:rPr>
        <w:t>（</w:t>
      </w:r>
      <w:r>
        <w:rPr>
          <w:rFonts w:hint="eastAsia"/>
          <w:color w:val="auto"/>
          <w:highlight w:val="none"/>
          <w:lang w:val="en-US" w:eastAsia="zh-CN"/>
        </w:rPr>
        <w:t>评价范围内）</w:t>
      </w:r>
      <w:r>
        <w:rPr>
          <w:rFonts w:hint="eastAsia"/>
          <w:color w:val="auto"/>
          <w:highlight w:val="none"/>
        </w:rPr>
        <w:t>为</w:t>
      </w:r>
      <w:r>
        <w:rPr>
          <w:rFonts w:hint="eastAsia"/>
          <w:color w:val="auto"/>
          <w:highlight w:val="none"/>
          <w:lang w:val="en-US" w:eastAsia="zh-CN"/>
        </w:rPr>
        <w:t>低覆盖度荒草地，</w:t>
      </w:r>
      <w:r>
        <w:rPr>
          <w:rFonts w:hint="eastAsia"/>
          <w:color w:val="auto"/>
          <w:highlight w:val="none"/>
        </w:rPr>
        <w:t>土壤敏感</w:t>
      </w:r>
      <w:r>
        <w:rPr>
          <w:rFonts w:hint="eastAsia"/>
          <w:color w:val="auto"/>
          <w:highlight w:val="none"/>
          <w:lang w:val="en-US" w:eastAsia="zh-CN"/>
        </w:rPr>
        <w:t>程度</w:t>
      </w:r>
      <w:r>
        <w:rPr>
          <w:rFonts w:hint="eastAsia"/>
          <w:color w:val="auto"/>
          <w:highlight w:val="none"/>
        </w:rPr>
        <w:t>为</w:t>
      </w:r>
      <w:r>
        <w:rPr>
          <w:rFonts w:hint="eastAsia"/>
          <w:color w:val="auto"/>
          <w:highlight w:val="none"/>
          <w:lang w:eastAsia="zh-CN"/>
        </w:rPr>
        <w:t>“</w:t>
      </w:r>
      <w:r>
        <w:rPr>
          <w:rFonts w:hint="eastAsia"/>
          <w:color w:val="auto"/>
          <w:highlight w:val="none"/>
          <w:lang w:val="en-US" w:eastAsia="zh-CN"/>
        </w:rPr>
        <w:t>较</w:t>
      </w:r>
      <w:r>
        <w:rPr>
          <w:rFonts w:hint="eastAsia"/>
          <w:color w:val="auto"/>
          <w:highlight w:val="none"/>
        </w:rPr>
        <w:t>敏感</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土壤环境敏感程度判定依据如下表：</w:t>
      </w:r>
    </w:p>
    <w:p>
      <w:pPr>
        <w:pStyle w:val="22"/>
        <w:bidi w:val="0"/>
      </w:pPr>
      <w:r>
        <w:rPr>
          <w:rFonts w:hint="eastAsia"/>
        </w:rPr>
        <w:t>表2.</w:t>
      </w:r>
      <w:r>
        <w:rPr>
          <w:rFonts w:hint="eastAsia"/>
          <w:lang w:val="en-US" w:eastAsia="zh-CN"/>
        </w:rPr>
        <w:t>4-8</w:t>
      </w:r>
      <w:r>
        <w:rPr>
          <w:rFonts w:hint="eastAsia"/>
        </w:rPr>
        <w:t xml:space="preserve">    污染影响型敏感程度分级</w:t>
      </w:r>
      <w:r>
        <w:t>表</w:t>
      </w:r>
    </w:p>
    <w:tbl>
      <w:tblPr>
        <w:tblStyle w:val="16"/>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644"/>
        <w:gridCol w:w="67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9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敏感程度</w:t>
            </w:r>
          </w:p>
        </w:tc>
        <w:tc>
          <w:tcPr>
            <w:tcW w:w="401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判别依据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敏感</w:t>
            </w:r>
          </w:p>
        </w:tc>
        <w:tc>
          <w:tcPr>
            <w:tcW w:w="401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建</w:t>
            </w:r>
            <w:r>
              <w:rPr>
                <w:rFonts w:hint="default"/>
              </w:rPr>
              <w:t>设项目周边存在耕地、园地、牧草地、饮用水水源地或居民区、学校、医院、疗养院、养老院等土壤环境保护目标的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较敏感</w:t>
            </w:r>
          </w:p>
        </w:tc>
        <w:tc>
          <w:tcPr>
            <w:tcW w:w="401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不敏感</w:t>
            </w:r>
          </w:p>
        </w:tc>
        <w:tc>
          <w:tcPr>
            <w:tcW w:w="401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其他情况</w:t>
            </w:r>
          </w:p>
        </w:tc>
      </w:tr>
    </w:tbl>
    <w:p>
      <w:pPr>
        <w:pStyle w:val="4"/>
        <w:ind w:firstLine="48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）土壤环境影响评价等级判定</w:t>
      </w:r>
    </w:p>
    <w:p>
      <w:pPr>
        <w:pStyle w:val="4"/>
        <w:ind w:firstLine="480"/>
        <w:rPr>
          <w:color w:val="auto"/>
          <w:highlight w:val="none"/>
        </w:rPr>
      </w:pPr>
      <w:r>
        <w:rPr>
          <w:rFonts w:hint="eastAsia"/>
          <w:color w:val="auto"/>
          <w:highlight w:val="none"/>
        </w:rPr>
        <w:t>本项目土壤环境影响评价等级判定为</w:t>
      </w:r>
      <w:r>
        <w:rPr>
          <w:rFonts w:hint="eastAsia"/>
          <w:color w:val="auto"/>
          <w:highlight w:val="none"/>
          <w:lang w:val="en-US" w:eastAsia="zh-CN"/>
        </w:rPr>
        <w:t>三级</w:t>
      </w:r>
      <w:r>
        <w:rPr>
          <w:rFonts w:hint="eastAsia"/>
          <w:color w:val="auto"/>
          <w:highlight w:val="none"/>
        </w:rPr>
        <w:t>。污染影响型土壤环境评价等级判别依据如下表：</w:t>
      </w:r>
    </w:p>
    <w:p>
      <w:pPr>
        <w:pStyle w:val="22"/>
        <w:bidi w:val="0"/>
      </w:pPr>
      <w:r>
        <w:rPr>
          <w:rFonts w:hint="eastAsia"/>
        </w:rPr>
        <w:t>表2.</w:t>
      </w:r>
      <w:r>
        <w:rPr>
          <w:rFonts w:hint="eastAsia"/>
          <w:lang w:val="en-US" w:eastAsia="zh-CN"/>
        </w:rPr>
        <w:t>4-9</w:t>
      </w:r>
      <w:r>
        <w:rPr>
          <w:rFonts w:hint="eastAsia"/>
        </w:rPr>
        <w:t xml:space="preserve">    污染影响型评价工作等级划分</w:t>
      </w:r>
      <w:r>
        <w:t>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93"/>
        <w:gridCol w:w="677"/>
        <w:gridCol w:w="680"/>
        <w:gridCol w:w="680"/>
        <w:gridCol w:w="680"/>
        <w:gridCol w:w="680"/>
        <w:gridCol w:w="682"/>
        <w:gridCol w:w="680"/>
        <w:gridCol w:w="680"/>
        <w:gridCol w:w="6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405"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jc w:val="right"/>
              <w:rPr>
                <w:rFonts w:hint="default"/>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741680</wp:posOffset>
                      </wp:positionH>
                      <wp:positionV relativeFrom="paragraph">
                        <wp:posOffset>-1905</wp:posOffset>
                      </wp:positionV>
                      <wp:extent cx="684530" cy="570230"/>
                      <wp:effectExtent l="3175" t="3810" r="17145" b="16510"/>
                      <wp:wrapNone/>
                      <wp:docPr id="50" name="直接连接符 50"/>
                      <wp:cNvGraphicFramePr/>
                      <a:graphic xmlns:a="http://schemas.openxmlformats.org/drawingml/2006/main">
                        <a:graphicData uri="http://schemas.microsoft.com/office/word/2010/wordprocessingShape">
                          <wps:wsp>
                            <wps:cNvCnPr/>
                            <wps:spPr>
                              <a:xfrm>
                                <a:off x="0" y="0"/>
                                <a:ext cx="684530" cy="570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8.4pt;margin-top:-0.15pt;height:44.9pt;width:53.9pt;z-index:251661312;mso-width-relative:page;mso-height-relative:page;" filled="f" stroked="t" coordsize="21600,21600" o:gfxdata="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HDXN1wAAAAgBAAAPAAAAAAAAAAEAIAAAACIAAABkcnMv&#10;ZG93bnJldi54bWxQSwECFAAUAAAACACHTuJA3Ul1cMsBAABpAwAADgAAAAAAAAABACAAAAAmAQAA&#10;ZHJzL2Uyb0RvYy54bWxQSwUGAAAAAAYABgBZAQAAYwUAAAAA&#10;">
                      <v:fill on="f" focussize="0,0"/>
                      <v:stroke weight="0.5pt" color="#000000 [3200]" miterlimit="8" joinstyle="miter"/>
                      <v:imagedata o:title=""/>
                      <o:lock v:ext="edit" aspectratio="f"/>
                    </v:line>
                  </w:pict>
                </mc:Fallback>
              </mc:AlternateContent>
            </w:r>
            <w:r>
              <w:rPr>
                <w:rFonts w:hint="eastAsia"/>
              </w:rPr>
              <w:t>占地规模</w:t>
            </w:r>
          </w:p>
          <w:p>
            <w:pPr>
              <w:pStyle w:val="24"/>
              <w:keepNext w:val="0"/>
              <w:keepLines w:val="0"/>
              <w:suppressLineNumbers w:val="0"/>
              <w:bidi w:val="0"/>
              <w:spacing w:before="0" w:beforeAutospacing="0" w:after="0" w:afterAutospacing="0"/>
              <w:ind w:left="0" w:right="0"/>
              <w:rPr>
                <w:rFonts w:hint="default"/>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81915</wp:posOffset>
                      </wp:positionV>
                      <wp:extent cx="1525270" cy="290195"/>
                      <wp:effectExtent l="635" t="4445" r="17145" b="10160"/>
                      <wp:wrapNone/>
                      <wp:docPr id="51" name="直接箭头连接符 51"/>
                      <wp:cNvGraphicFramePr/>
                      <a:graphic xmlns:a="http://schemas.openxmlformats.org/drawingml/2006/main">
                        <a:graphicData uri="http://schemas.microsoft.com/office/word/2010/wordprocessingShape">
                          <wps:wsp>
                            <wps:cNvCnPr/>
                            <wps:spPr>
                              <a:xfrm>
                                <a:off x="0" y="0"/>
                                <a:ext cx="1525270" cy="29019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3pt;margin-top:6.45pt;height:22.85pt;width:120.1pt;z-index:251662336;mso-width-relative:page;mso-height-relative:page;" filled="f" stroked="t" coordsize="21600,21600" o:gfxdata="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M4MNgAAAAJAQAADwAAAAAAAAABACAAAAAiAAAAZHJzL2Rvd25y&#10;ZXYueG1sUEsBAhQAFAAAAAgAh07iQGQuLYD+AQAA0gMAAA4AAAAAAAAAAQAgAAAAJwEAAGRycy9l&#10;Mm9Eb2MueG1sUEsFBgAAAAAGAAYAWQEAAJcFAAAAAA==&#10;">
                      <v:fill on="f" focussize="0,0"/>
                      <v:stroke weight="0.5pt" color="#000000 [3200]" miterlimit="8" joinstyle="miter"/>
                      <v:imagedata o:title=""/>
                      <o:lock v:ext="edit" aspectratio="f"/>
                    </v:shape>
                  </w:pict>
                </mc:Fallback>
              </mc:AlternateContent>
            </w:r>
            <w:r>
              <w:rPr>
                <w:rFonts w:hint="eastAsia"/>
              </w:rPr>
              <w:t>评价工作等级</w:t>
            </w:r>
          </w:p>
          <w:p>
            <w:pPr>
              <w:pStyle w:val="24"/>
              <w:keepNext w:val="0"/>
              <w:keepLines w:val="0"/>
              <w:suppressLineNumbers w:val="0"/>
              <w:bidi w:val="0"/>
              <w:spacing w:before="0" w:beforeAutospacing="0" w:after="0" w:afterAutospacing="0"/>
              <w:ind w:left="0" w:right="0"/>
              <w:jc w:val="left"/>
              <w:rPr>
                <w:rFonts w:hint="default"/>
              </w:rPr>
            </w:pPr>
            <w:r>
              <w:rPr>
                <w:rFonts w:hint="default"/>
              </w:rPr>
              <w:t>敏感程度</w:t>
            </w:r>
          </w:p>
        </w:tc>
        <w:tc>
          <w:tcPr>
            <w:tcW w:w="1196"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Ⅰ类</w:t>
            </w:r>
          </w:p>
        </w:tc>
        <w:tc>
          <w:tcPr>
            <w:tcW w:w="1198"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eastAsia="zh-CN"/>
              </w:rPr>
              <w:t>Ⅱ</w:t>
            </w:r>
            <w:r>
              <w:rPr>
                <w:rFonts w:hint="default"/>
              </w:rPr>
              <w:t>类</w:t>
            </w:r>
          </w:p>
        </w:tc>
        <w:tc>
          <w:tcPr>
            <w:tcW w:w="1199"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Ⅲ类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atLeast"/>
          <w:tblHeader/>
        </w:trPr>
        <w:tc>
          <w:tcPr>
            <w:tcW w:w="140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39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中</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小</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中</w:t>
            </w:r>
          </w:p>
        </w:tc>
        <w:tc>
          <w:tcPr>
            <w:tcW w:w="40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小</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中</w:t>
            </w:r>
          </w:p>
        </w:tc>
        <w:tc>
          <w:tcPr>
            <w:tcW w:w="4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敏感</w:t>
            </w:r>
          </w:p>
        </w:tc>
        <w:tc>
          <w:tcPr>
            <w:tcW w:w="39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40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三级</w:t>
            </w:r>
          </w:p>
        </w:tc>
        <w:tc>
          <w:tcPr>
            <w:tcW w:w="4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较敏感</w:t>
            </w:r>
          </w:p>
        </w:tc>
        <w:tc>
          <w:tcPr>
            <w:tcW w:w="39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40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b/>
                <w:bCs/>
              </w:rPr>
              <w:t>三级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三级</w:t>
            </w:r>
          </w:p>
        </w:tc>
        <w:tc>
          <w:tcPr>
            <w:tcW w:w="4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0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不敏感</w:t>
            </w:r>
          </w:p>
        </w:tc>
        <w:tc>
          <w:tcPr>
            <w:tcW w:w="39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三级</w:t>
            </w:r>
          </w:p>
        </w:tc>
        <w:tc>
          <w:tcPr>
            <w:tcW w:w="40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b w:val="0"/>
                <w:bCs w:val="0"/>
              </w:rPr>
              <w:t>三级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三级</w:t>
            </w:r>
          </w:p>
        </w:tc>
        <w:tc>
          <w:tcPr>
            <w:tcW w:w="3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w:t>
            </w:r>
          </w:p>
        </w:tc>
        <w:tc>
          <w:tcPr>
            <w:tcW w:w="40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10"/>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rPr>
            </w:pPr>
            <w:r>
              <w:rPr>
                <w:rFonts w:hint="default"/>
              </w:rPr>
              <w:t>注：“—”表示可不开展土壤环境影响评价工作。</w:t>
            </w:r>
          </w:p>
        </w:tc>
      </w:tr>
    </w:tbl>
    <w:p>
      <w:pPr>
        <w:pStyle w:val="7"/>
        <w:bidi w:val="0"/>
        <w:rPr>
          <w:rFonts w:hint="eastAsia"/>
          <w:color w:val="auto"/>
          <w:highlight w:val="none"/>
        </w:rPr>
      </w:pPr>
      <w:r>
        <w:rPr>
          <w:rFonts w:hint="eastAsia"/>
          <w:color w:val="auto"/>
          <w:highlight w:val="none"/>
          <w:lang w:val="en-US" w:eastAsia="zh-CN"/>
        </w:rPr>
        <w:t>生态环境评价工作等级</w:t>
      </w:r>
    </w:p>
    <w:p>
      <w:pPr>
        <w:pStyle w:val="4"/>
        <w:rPr>
          <w:rFonts w:hint="eastAsia"/>
          <w:color w:val="auto"/>
          <w:highlight w:val="none"/>
          <w:lang w:val="en-US" w:eastAsia="zh-CN"/>
        </w:rPr>
      </w:pPr>
      <w:r>
        <w:rPr>
          <w:color w:val="auto"/>
          <w:highlight w:val="none"/>
        </w:rPr>
        <w:t>本项目</w:t>
      </w:r>
      <w:r>
        <w:rPr>
          <w:rFonts w:hint="eastAsia"/>
          <w:color w:val="auto"/>
          <w:highlight w:val="none"/>
          <w:lang w:val="en-US" w:eastAsia="zh-CN"/>
        </w:rPr>
        <w:t>污染区面积5700m</w:t>
      </w:r>
      <w:r>
        <w:rPr>
          <w:rFonts w:hint="eastAsia"/>
          <w:color w:val="auto"/>
          <w:highlight w:val="none"/>
          <w:vertAlign w:val="superscript"/>
          <w:lang w:val="en-US" w:eastAsia="zh-CN"/>
        </w:rPr>
        <w:t>2</w:t>
      </w:r>
      <w:r>
        <w:rPr>
          <w:rFonts w:hint="eastAsia"/>
          <w:color w:val="auto"/>
          <w:highlight w:val="none"/>
          <w:lang w:val="en-US" w:eastAsia="zh-CN"/>
        </w:rPr>
        <w:t>，就地回填的采砂坑坑底面积11075m</w:t>
      </w:r>
      <w:r>
        <w:rPr>
          <w:rFonts w:hint="eastAsia"/>
          <w:color w:val="auto"/>
          <w:highlight w:val="none"/>
          <w:vertAlign w:val="superscript"/>
          <w:lang w:val="en-US" w:eastAsia="zh-CN"/>
        </w:rPr>
        <w:t>2</w:t>
      </w:r>
      <w:r>
        <w:rPr>
          <w:rFonts w:hint="eastAsia"/>
          <w:color w:val="auto"/>
          <w:highlight w:val="none"/>
          <w:lang w:val="en-US" w:eastAsia="zh-CN"/>
        </w:rPr>
        <w:t>，坑口面积26183m</w:t>
      </w:r>
      <w:r>
        <w:rPr>
          <w:rFonts w:hint="eastAsia"/>
          <w:color w:val="auto"/>
          <w:highlight w:val="none"/>
          <w:vertAlign w:val="superscript"/>
          <w:lang w:val="en-US" w:eastAsia="zh-CN"/>
        </w:rPr>
        <w:t>2</w:t>
      </w:r>
      <w:r>
        <w:rPr>
          <w:rFonts w:hint="eastAsia"/>
          <w:color w:val="auto"/>
          <w:highlight w:val="none"/>
          <w:vertAlign w:val="baseline"/>
          <w:lang w:val="en-US" w:eastAsia="zh-CN"/>
        </w:rPr>
        <w:t>，均</w:t>
      </w:r>
      <w:r>
        <w:rPr>
          <w:rFonts w:hint="default" w:ascii="Times New Roman" w:hAnsi="Times New Roman" w:cs="Times New Roman"/>
          <w:color w:val="auto"/>
          <w:sz w:val="24"/>
          <w:highlight w:val="none"/>
        </w:rPr>
        <w:t>&lt;</w:t>
      </w:r>
      <w:r>
        <w:rPr>
          <w:color w:val="auto"/>
          <w:sz w:val="24"/>
          <w:highlight w:val="none"/>
        </w:rPr>
        <w:t>2km</w:t>
      </w:r>
      <w:r>
        <w:rPr>
          <w:color w:val="auto"/>
          <w:sz w:val="24"/>
          <w:highlight w:val="none"/>
          <w:vertAlign w:val="superscript"/>
        </w:rPr>
        <w:t>2</w:t>
      </w:r>
      <w:r>
        <w:rPr>
          <w:color w:val="auto"/>
          <w:sz w:val="24"/>
          <w:highlight w:val="none"/>
        </w:rPr>
        <w:t>，评价</w:t>
      </w:r>
      <w:r>
        <w:rPr>
          <w:rFonts w:hint="eastAsia"/>
          <w:color w:val="auto"/>
          <w:sz w:val="24"/>
          <w:highlight w:val="none"/>
          <w:lang w:val="en-US" w:eastAsia="zh-CN"/>
        </w:rPr>
        <w:t>范围</w:t>
      </w:r>
      <w:r>
        <w:rPr>
          <w:color w:val="auto"/>
          <w:sz w:val="24"/>
          <w:highlight w:val="none"/>
        </w:rPr>
        <w:t>内无自然保护区、风景名胜区和水源保护区等特殊生态敏感区和重要生态敏感区，属于一般区域。</w:t>
      </w:r>
      <w:r>
        <w:rPr>
          <w:rFonts w:hint="eastAsia"/>
          <w:color w:val="auto"/>
          <w:highlight w:val="none"/>
          <w:lang w:val="en-US" w:eastAsia="zh-CN"/>
        </w:rPr>
        <w:t>根据</w:t>
      </w:r>
      <w:r>
        <w:rPr>
          <w:color w:val="auto"/>
          <w:highlight w:val="none"/>
        </w:rPr>
        <w:t>《环境影响评价技术导则</w:t>
      </w:r>
      <w:r>
        <w:rPr>
          <w:rFonts w:hint="eastAsia"/>
          <w:color w:val="auto"/>
          <w:highlight w:val="none"/>
          <w:lang w:val="en-US" w:eastAsia="zh-CN"/>
        </w:rPr>
        <w:t xml:space="preserve"> </w:t>
      </w:r>
      <w:r>
        <w:rPr>
          <w:color w:val="auto"/>
          <w:highlight w:val="none"/>
        </w:rPr>
        <w:t>生态环境》（HJ19-2011）</w:t>
      </w:r>
      <w:r>
        <w:rPr>
          <w:rFonts w:hint="eastAsia"/>
          <w:color w:val="auto"/>
          <w:highlight w:val="none"/>
          <w:lang w:val="en-US" w:eastAsia="zh-CN"/>
        </w:rPr>
        <w:t>确定生态环境评价工作等级为三级。等级判定依据见下表：</w:t>
      </w:r>
    </w:p>
    <w:p>
      <w:pPr>
        <w:pStyle w:val="22"/>
        <w:bidi w:val="0"/>
      </w:pPr>
      <w:r>
        <w:rPr>
          <w:rFonts w:hint="eastAsia"/>
        </w:rPr>
        <w:t>表2.</w:t>
      </w:r>
      <w:r>
        <w:rPr>
          <w:rFonts w:hint="eastAsia"/>
          <w:lang w:val="en-US" w:eastAsia="zh-CN"/>
        </w:rPr>
        <w:t>4-10</w:t>
      </w:r>
      <w:r>
        <w:rPr>
          <w:rFonts w:hint="eastAsia"/>
        </w:rPr>
        <w:t xml:space="preserve">    </w:t>
      </w:r>
      <w:r>
        <w:rPr>
          <w:rFonts w:hint="eastAsia"/>
          <w:lang w:val="en-US" w:eastAsia="zh-CN"/>
        </w:rPr>
        <w:t>生态</w:t>
      </w:r>
      <w:r>
        <w:rPr>
          <w:rFonts w:hint="eastAsia"/>
        </w:rPr>
        <w:t>影响型评价工作等级划分</w:t>
      </w:r>
      <w:r>
        <w:t>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57"/>
        <w:gridCol w:w="2253"/>
        <w:gridCol w:w="2253"/>
        <w:gridCol w:w="22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1"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影响区域生态敏感性</w:t>
            </w:r>
          </w:p>
        </w:tc>
        <w:tc>
          <w:tcPr>
            <w:tcW w:w="3968"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工程占地（水域）范围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1"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13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面积</w:t>
            </w:r>
            <w:r>
              <w:rPr>
                <w:rFonts w:hint="default"/>
                <w:lang w:val="en-US" w:eastAsia="zh-CN"/>
              </w:rPr>
              <w:t>≥</w:t>
            </w:r>
            <w:r>
              <w:rPr>
                <w:rFonts w:hint="eastAsia"/>
                <w:lang w:val="en-US" w:eastAsia="zh-CN"/>
              </w:rPr>
              <w:t>20km</w:t>
            </w:r>
            <w:r>
              <w:rPr>
                <w:rFonts w:hint="eastAsia"/>
                <w:vertAlign w:val="superscript"/>
                <w:lang w:val="en-US" w:eastAsia="zh-CN"/>
              </w:rPr>
              <w:t>2</w:t>
            </w:r>
          </w:p>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或长度</w:t>
            </w:r>
            <w:r>
              <w:rPr>
                <w:rFonts w:hint="default"/>
                <w:lang w:val="en-US" w:eastAsia="zh-CN"/>
              </w:rPr>
              <w:t>≥</w:t>
            </w:r>
            <w:r>
              <w:rPr>
                <w:rFonts w:hint="eastAsia"/>
                <w:lang w:val="en-US" w:eastAsia="zh-CN"/>
              </w:rPr>
              <w:t>100km</w:t>
            </w:r>
          </w:p>
        </w:tc>
        <w:tc>
          <w:tcPr>
            <w:tcW w:w="13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rPr>
              <w:t>面积2km</w:t>
            </w:r>
            <w:r>
              <w:rPr>
                <w:rFonts w:hint="eastAsia"/>
                <w:vertAlign w:val="superscript"/>
              </w:rPr>
              <w:t>2</w:t>
            </w:r>
            <w:r>
              <w:rPr>
                <w:rFonts w:hint="eastAsia"/>
              </w:rPr>
              <w:t>~20km</w:t>
            </w:r>
            <w:r>
              <w:rPr>
                <w:rFonts w:hint="eastAsia"/>
                <w:vertAlign w:val="superscript"/>
              </w:rPr>
              <w:t>2</w:t>
            </w:r>
          </w:p>
          <w:p>
            <w:pPr>
              <w:pStyle w:val="24"/>
              <w:keepNext w:val="0"/>
              <w:keepLines w:val="0"/>
              <w:suppressLineNumbers w:val="0"/>
              <w:bidi w:val="0"/>
              <w:spacing w:before="0" w:beforeAutospacing="0" w:after="0" w:afterAutospacing="0"/>
              <w:ind w:left="0" w:right="0"/>
              <w:rPr>
                <w:rFonts w:hint="default"/>
              </w:rPr>
            </w:pPr>
            <w:r>
              <w:rPr>
                <w:rFonts w:hint="eastAsia"/>
              </w:rPr>
              <w:t>或长度50km~100km</w:t>
            </w:r>
          </w:p>
        </w:tc>
        <w:tc>
          <w:tcPr>
            <w:tcW w:w="132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rPr>
              <w:t>面积</w:t>
            </w:r>
            <w:r>
              <w:rPr>
                <w:rFonts w:hint="default"/>
              </w:rPr>
              <w:t>≤</w:t>
            </w:r>
            <w:r>
              <w:rPr>
                <w:rFonts w:hint="eastAsia"/>
              </w:rPr>
              <w:t>2km</w:t>
            </w:r>
            <w:r>
              <w:rPr>
                <w:rFonts w:hint="eastAsia"/>
                <w:vertAlign w:val="superscript"/>
              </w:rPr>
              <w:t>2</w:t>
            </w:r>
          </w:p>
          <w:p>
            <w:pPr>
              <w:pStyle w:val="24"/>
              <w:keepNext w:val="0"/>
              <w:keepLines w:val="0"/>
              <w:suppressLineNumbers w:val="0"/>
              <w:bidi w:val="0"/>
              <w:spacing w:before="0" w:beforeAutospacing="0" w:after="0" w:afterAutospacing="0"/>
              <w:ind w:left="0" w:right="0"/>
              <w:rPr>
                <w:rFonts w:hint="default"/>
              </w:rPr>
            </w:pPr>
            <w:r>
              <w:rPr>
                <w:rFonts w:hint="eastAsia"/>
              </w:rPr>
              <w:t>或长度</w:t>
            </w:r>
            <w:r>
              <w:rPr>
                <w:rFonts w:hint="default"/>
              </w:rPr>
              <w:t>≤</w:t>
            </w:r>
            <w:r>
              <w:rPr>
                <w:rFonts w:hint="eastAsia"/>
              </w:rPr>
              <w:t>50km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特殊生态敏感区</w:t>
            </w:r>
          </w:p>
        </w:tc>
        <w:tc>
          <w:tcPr>
            <w:tcW w:w="13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一级</w:t>
            </w:r>
          </w:p>
        </w:tc>
        <w:tc>
          <w:tcPr>
            <w:tcW w:w="13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一级</w:t>
            </w:r>
          </w:p>
        </w:tc>
        <w:tc>
          <w:tcPr>
            <w:tcW w:w="132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重要生态敏感区</w:t>
            </w:r>
          </w:p>
        </w:tc>
        <w:tc>
          <w:tcPr>
            <w:tcW w:w="13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一级</w:t>
            </w:r>
          </w:p>
        </w:tc>
        <w:tc>
          <w:tcPr>
            <w:tcW w:w="13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二级</w:t>
            </w:r>
          </w:p>
        </w:tc>
        <w:tc>
          <w:tcPr>
            <w:tcW w:w="132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一般区域</w:t>
            </w:r>
          </w:p>
        </w:tc>
        <w:tc>
          <w:tcPr>
            <w:tcW w:w="13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二级</w:t>
            </w:r>
          </w:p>
        </w:tc>
        <w:tc>
          <w:tcPr>
            <w:tcW w:w="13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三级</w:t>
            </w:r>
          </w:p>
        </w:tc>
        <w:tc>
          <w:tcPr>
            <w:tcW w:w="132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b/>
                <w:bCs/>
                <w:lang w:val="en-US" w:eastAsia="zh-CN"/>
              </w:rPr>
              <w:t>三级</w:t>
            </w:r>
          </w:p>
        </w:tc>
      </w:tr>
    </w:tbl>
    <w:p>
      <w:pPr>
        <w:pStyle w:val="7"/>
        <w:bidi w:val="0"/>
        <w:rPr>
          <w:rFonts w:hint="eastAsia"/>
          <w:color w:val="auto"/>
          <w:highlight w:val="none"/>
        </w:rPr>
      </w:pPr>
      <w:r>
        <w:rPr>
          <w:rFonts w:hint="eastAsia"/>
          <w:color w:val="auto"/>
          <w:highlight w:val="none"/>
          <w:lang w:val="en-US" w:eastAsia="zh-CN"/>
        </w:rPr>
        <w:t>环境风险评价工作等级</w:t>
      </w:r>
    </w:p>
    <w:p>
      <w:pPr>
        <w:pStyle w:val="4"/>
        <w:rPr>
          <w:rFonts w:hint="eastAsia"/>
          <w:color w:val="auto"/>
          <w:highlight w:val="none"/>
        </w:rPr>
      </w:pPr>
      <w:r>
        <w:rPr>
          <w:rFonts w:hint="eastAsia"/>
          <w:color w:val="auto"/>
          <w:highlight w:val="none"/>
          <w:lang w:val="en-US" w:eastAsia="zh-CN"/>
        </w:rPr>
        <w:t>本项目不涉及《建设项目环境风险评价技术导则》（HJ169-2018）中规定的有毒有害、易燃易爆危险物质，环境风险潜势为</w:t>
      </w:r>
      <w:r>
        <w:rPr>
          <w:color w:val="auto"/>
          <w:highlight w:val="none"/>
        </w:rPr>
        <w:t>I</w:t>
      </w:r>
      <w:r>
        <w:rPr>
          <w:rFonts w:hint="eastAsia"/>
          <w:color w:val="auto"/>
          <w:highlight w:val="none"/>
          <w:lang w:eastAsia="zh-CN"/>
        </w:rPr>
        <w:t>，</w:t>
      </w:r>
      <w:r>
        <w:rPr>
          <w:rFonts w:hint="eastAsia"/>
          <w:color w:val="auto"/>
          <w:highlight w:val="none"/>
          <w:lang w:val="en-US" w:eastAsia="zh-CN"/>
        </w:rPr>
        <w:t>判定本项目环境风险评价等级为“简单分析”。</w:t>
      </w:r>
      <w:r>
        <w:rPr>
          <w:rFonts w:hint="eastAsia"/>
          <w:color w:val="auto"/>
          <w:highlight w:val="none"/>
        </w:rPr>
        <w:t>环境风险等级判定</w:t>
      </w:r>
      <w:r>
        <w:rPr>
          <w:rFonts w:hint="eastAsia"/>
          <w:color w:val="auto"/>
          <w:highlight w:val="none"/>
          <w:lang w:val="en-US" w:eastAsia="zh-CN"/>
        </w:rPr>
        <w:t>依据</w:t>
      </w:r>
      <w:r>
        <w:rPr>
          <w:rFonts w:hint="eastAsia"/>
          <w:color w:val="auto"/>
          <w:highlight w:val="none"/>
        </w:rPr>
        <w:t>见下表：</w:t>
      </w:r>
    </w:p>
    <w:p>
      <w:pPr>
        <w:pStyle w:val="22"/>
        <w:bidi w:val="0"/>
      </w:pPr>
      <w:r>
        <w:rPr>
          <w:rFonts w:hint="eastAsia"/>
        </w:rPr>
        <w:t>表</w:t>
      </w:r>
      <w:r>
        <w:rPr>
          <w:rFonts w:hint="eastAsia"/>
          <w:lang w:val="en-US" w:eastAsia="zh-CN"/>
        </w:rPr>
        <w:t>2.4-11</w:t>
      </w:r>
      <w:r>
        <w:rPr>
          <w:rFonts w:hint="eastAsia"/>
        </w:rPr>
        <w:t xml:space="preserve">    </w:t>
      </w:r>
      <w:r>
        <w:t>环境风险评价工作等级划分表</w:t>
      </w:r>
    </w:p>
    <w:tbl>
      <w:tblPr>
        <w:tblStyle w:val="16"/>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82"/>
        <w:gridCol w:w="1492"/>
        <w:gridCol w:w="1785"/>
        <w:gridCol w:w="1785"/>
        <w:gridCol w:w="16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环境风险潜势</w:t>
            </w:r>
          </w:p>
        </w:tc>
        <w:tc>
          <w:tcPr>
            <w:tcW w:w="87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ascii="Times New Roman" w:hAnsi="Times New Roman" w:cs="Times New Roman"/>
              </w:rPr>
              <w:t>IV、IV+</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III</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default" w:ascii="Times New Roman" w:hAnsi="Times New Roman" w:cs="Times New Roman"/>
                <w:lang w:eastAsia="zh-CN"/>
              </w:rPr>
              <w:t>Ⅱ</w:t>
            </w:r>
          </w:p>
        </w:tc>
        <w:tc>
          <w:tcPr>
            <w:tcW w:w="98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评价工作等级</w:t>
            </w:r>
          </w:p>
        </w:tc>
        <w:tc>
          <w:tcPr>
            <w:tcW w:w="87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w:t>
            </w:r>
          </w:p>
        </w:tc>
        <w:tc>
          <w:tcPr>
            <w:tcW w:w="98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b/>
                <w:bCs/>
              </w:rPr>
              <w:t>简单分析a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000" w:type="pct"/>
            <w:gridSpan w:val="5"/>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rPr>
            </w:pPr>
            <w:r>
              <w:rPr>
                <w:rFonts w:hint="default"/>
              </w:rPr>
              <w:t>a是相对于详细评价工作内容而言，在描述危险物质、环境影响途径、环境危险后果、风险防范措施等方面给出定性的说明。</w:t>
            </w:r>
          </w:p>
        </w:tc>
      </w:tr>
    </w:tbl>
    <w:p>
      <w:pPr>
        <w:pStyle w:val="6"/>
        <w:bidi w:val="0"/>
        <w:rPr>
          <w:rFonts w:hint="eastAsia"/>
          <w:color w:val="auto"/>
          <w:highlight w:val="none"/>
        </w:rPr>
      </w:pPr>
      <w:r>
        <w:rPr>
          <w:rFonts w:hint="eastAsia"/>
          <w:color w:val="auto"/>
          <w:highlight w:val="none"/>
          <w:lang w:val="en-US" w:eastAsia="zh-CN"/>
        </w:rPr>
        <w:t>评价范围</w:t>
      </w:r>
    </w:p>
    <w:p>
      <w:pPr>
        <w:pStyle w:val="7"/>
        <w:bidi w:val="0"/>
        <w:rPr>
          <w:rFonts w:hint="eastAsia"/>
          <w:color w:val="auto"/>
          <w:highlight w:val="none"/>
        </w:rPr>
      </w:pPr>
      <w:r>
        <w:rPr>
          <w:rFonts w:hint="eastAsia"/>
          <w:color w:val="auto"/>
          <w:highlight w:val="none"/>
          <w:lang w:val="en-US" w:eastAsia="zh-CN"/>
        </w:rPr>
        <w:t>大气环境评价范围</w:t>
      </w:r>
    </w:p>
    <w:p>
      <w:pPr>
        <w:pStyle w:val="4"/>
        <w:ind w:firstLine="480"/>
        <w:rPr>
          <w:color w:val="auto"/>
          <w:highlight w:val="none"/>
        </w:rPr>
      </w:pPr>
      <w:r>
        <w:rPr>
          <w:rFonts w:hint="eastAsia"/>
          <w:color w:val="auto"/>
          <w:highlight w:val="none"/>
        </w:rPr>
        <w:t>本项目</w:t>
      </w:r>
      <w:r>
        <w:rPr>
          <w:rFonts w:hint="eastAsia"/>
          <w:color w:val="auto"/>
          <w:highlight w:val="none"/>
          <w:lang w:val="en-US" w:eastAsia="zh-CN"/>
        </w:rPr>
        <w:t>大气影响预测</w:t>
      </w:r>
      <w:r>
        <w:rPr>
          <w:rFonts w:hint="eastAsia"/>
          <w:color w:val="auto"/>
          <w:highlight w:val="none"/>
        </w:rPr>
        <w:t>P</w:t>
      </w:r>
      <w:r>
        <w:rPr>
          <w:rFonts w:hint="eastAsia"/>
          <w:color w:val="auto"/>
          <w:highlight w:val="none"/>
          <w:vertAlign w:val="subscript"/>
        </w:rPr>
        <w:t>max</w:t>
      </w:r>
      <w:r>
        <w:rPr>
          <w:rFonts w:hint="eastAsia"/>
          <w:color w:val="auto"/>
          <w:highlight w:val="none"/>
        </w:rPr>
        <w:t>为</w:t>
      </w:r>
      <w:r>
        <w:rPr>
          <w:rFonts w:hint="eastAsia"/>
          <w:color w:val="auto"/>
          <w:highlight w:val="none"/>
          <w:lang w:val="en-US" w:eastAsia="zh-CN"/>
        </w:rPr>
        <w:t>9.76%</w:t>
      </w:r>
      <w:r>
        <w:rPr>
          <w:rFonts w:hint="eastAsia"/>
          <w:color w:val="auto"/>
          <w:highlight w:val="none"/>
        </w:rPr>
        <w:t>，大气环境影响评价为</w:t>
      </w:r>
      <w:r>
        <w:rPr>
          <w:rFonts w:hint="eastAsia"/>
          <w:color w:val="auto"/>
          <w:highlight w:val="none"/>
          <w:lang w:val="en-US" w:eastAsia="zh-CN"/>
        </w:rPr>
        <w:t>二</w:t>
      </w:r>
      <w:r>
        <w:rPr>
          <w:rFonts w:hint="eastAsia"/>
          <w:color w:val="auto"/>
          <w:highlight w:val="none"/>
        </w:rPr>
        <w:t>级评价，根据《环境影响评价技术导则 大气环境》（HJ2.2-2018）确定本项目大气环境评价范围为以项目区为中心，边长为</w:t>
      </w:r>
      <w:r>
        <w:rPr>
          <w:rFonts w:hint="eastAsia"/>
          <w:color w:val="auto"/>
          <w:highlight w:val="none"/>
          <w:lang w:val="en-US" w:eastAsia="zh-CN"/>
        </w:rPr>
        <w:t>5</w:t>
      </w:r>
      <w:r>
        <w:rPr>
          <w:rFonts w:hint="eastAsia"/>
          <w:color w:val="auto"/>
          <w:highlight w:val="none"/>
        </w:rPr>
        <w:t>km的矩形区域。</w:t>
      </w:r>
    </w:p>
    <w:p>
      <w:pPr>
        <w:pStyle w:val="7"/>
        <w:bidi w:val="0"/>
        <w:rPr>
          <w:rFonts w:hint="eastAsia"/>
          <w:color w:val="auto"/>
          <w:highlight w:val="none"/>
        </w:rPr>
      </w:pPr>
      <w:r>
        <w:rPr>
          <w:rFonts w:hint="eastAsia"/>
          <w:color w:val="auto"/>
          <w:highlight w:val="none"/>
          <w:lang w:val="en-US" w:eastAsia="zh-CN"/>
        </w:rPr>
        <w:t>地下水环境评价范围</w:t>
      </w:r>
    </w:p>
    <w:p>
      <w:pPr>
        <w:pStyle w:val="4"/>
        <w:ind w:firstLine="480"/>
        <w:rPr>
          <w:color w:val="auto"/>
          <w:highlight w:val="none"/>
        </w:rPr>
      </w:pPr>
      <w:r>
        <w:rPr>
          <w:rFonts w:hint="eastAsia"/>
          <w:color w:val="auto"/>
          <w:highlight w:val="none"/>
        </w:rPr>
        <w:t>项目区域地下水总的径流趋势为自</w:t>
      </w:r>
      <w:r>
        <w:rPr>
          <w:rFonts w:hint="eastAsia"/>
          <w:color w:val="auto"/>
          <w:highlight w:val="none"/>
          <w:lang w:val="en-US" w:eastAsia="zh-CN"/>
        </w:rPr>
        <w:t>东南</w:t>
      </w:r>
      <w:r>
        <w:rPr>
          <w:rFonts w:hint="eastAsia"/>
          <w:color w:val="auto"/>
          <w:highlight w:val="none"/>
        </w:rPr>
        <w:t>向</w:t>
      </w:r>
      <w:r>
        <w:rPr>
          <w:rFonts w:hint="eastAsia"/>
          <w:color w:val="auto"/>
          <w:highlight w:val="none"/>
          <w:lang w:val="en-US" w:eastAsia="zh-CN"/>
        </w:rPr>
        <w:t>西北</w:t>
      </w:r>
      <w:r>
        <w:rPr>
          <w:rFonts w:hint="eastAsia"/>
          <w:color w:val="auto"/>
          <w:highlight w:val="none"/>
        </w:rPr>
        <w:t>。本项目地下水环境影响评价为</w:t>
      </w:r>
      <w:r>
        <w:rPr>
          <w:rFonts w:hint="eastAsia"/>
          <w:color w:val="auto"/>
          <w:highlight w:val="none"/>
          <w:lang w:val="en-US" w:eastAsia="zh-CN"/>
        </w:rPr>
        <w:t>三</w:t>
      </w:r>
      <w:r>
        <w:rPr>
          <w:rFonts w:hint="eastAsia"/>
          <w:color w:val="auto"/>
          <w:highlight w:val="none"/>
        </w:rPr>
        <w:t>级评价，</w:t>
      </w:r>
      <w:r>
        <w:rPr>
          <w:rFonts w:hint="eastAsia"/>
          <w:color w:val="auto"/>
          <w:highlight w:val="none"/>
          <w:lang w:val="en-US" w:eastAsia="zh-CN"/>
        </w:rPr>
        <w:t>该区域不涉及饮用水取水口等地下水敏感目标，</w:t>
      </w:r>
      <w:r>
        <w:rPr>
          <w:rFonts w:hint="eastAsia"/>
          <w:color w:val="auto"/>
          <w:highlight w:val="none"/>
        </w:rPr>
        <w:t>用查表法确定本项目的地下水评价范围为：以项目区中心为起点，下游3km、两侧0.75km、上游1km矩形区域，评价面积为6km</w:t>
      </w:r>
      <w:r>
        <w:rPr>
          <w:rFonts w:hint="eastAsia"/>
          <w:color w:val="auto"/>
          <w:highlight w:val="none"/>
          <w:vertAlign w:val="superscript"/>
        </w:rPr>
        <w:t>2</w:t>
      </w:r>
      <w:r>
        <w:rPr>
          <w:rFonts w:hint="eastAsia"/>
          <w:color w:val="auto"/>
          <w:highlight w:val="none"/>
        </w:rPr>
        <w:t>。评价范围判定情况见下表：</w:t>
      </w:r>
    </w:p>
    <w:p>
      <w:pPr>
        <w:pStyle w:val="22"/>
        <w:bidi w:val="0"/>
      </w:pPr>
      <w:r>
        <w:rPr>
          <w:rFonts w:hint="eastAsia"/>
        </w:rPr>
        <w:t>表2.</w:t>
      </w:r>
      <w:r>
        <w:rPr>
          <w:rFonts w:hint="eastAsia"/>
          <w:lang w:val="en-US" w:eastAsia="zh-CN"/>
        </w:rPr>
        <w:t>4-12</w:t>
      </w:r>
      <w:r>
        <w:rPr>
          <w:rFonts w:hint="eastAsia"/>
        </w:rPr>
        <w:t xml:space="preserve">    地下水环境现状调查评价范围参照表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9"/>
        <w:gridCol w:w="2839"/>
        <w:gridCol w:w="28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评价等级</w:t>
            </w:r>
          </w:p>
        </w:tc>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调查评价面积（km</w:t>
            </w:r>
            <w:r>
              <w:rPr>
                <w:rFonts w:hint="eastAsia"/>
                <w:vertAlign w:val="superscript"/>
              </w:rPr>
              <w:t>2</w:t>
            </w:r>
            <w:r>
              <w:rPr>
                <w:rFonts w:hint="eastAsia"/>
              </w:rPr>
              <w:t>）</w:t>
            </w:r>
          </w:p>
        </w:tc>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一级</w:t>
            </w:r>
          </w:p>
        </w:tc>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w:t>
            </w:r>
            <w:r>
              <w:rPr>
                <w:rFonts w:hint="eastAsia"/>
              </w:rPr>
              <w:t>20</w:t>
            </w:r>
          </w:p>
        </w:tc>
        <w:tc>
          <w:tcPr>
            <w:tcW w:w="1666"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应包括重要的地下水环境保护目标，必要时适当扩大范围。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二级</w:t>
            </w:r>
          </w:p>
        </w:tc>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6</w:t>
            </w:r>
            <w:r>
              <w:rPr>
                <w:rFonts w:hint="eastAsia"/>
                <w:lang w:val="en-US" w:eastAsia="zh-CN"/>
              </w:rPr>
              <w:t>~</w:t>
            </w:r>
            <w:r>
              <w:rPr>
                <w:rFonts w:hint="eastAsia"/>
              </w:rPr>
              <w:t>20</w:t>
            </w:r>
          </w:p>
        </w:tc>
        <w:tc>
          <w:tcPr>
            <w:tcW w:w="1666"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三级</w:t>
            </w:r>
          </w:p>
        </w:tc>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w:t>
            </w:r>
            <w:r>
              <w:rPr>
                <w:rFonts w:hint="eastAsia"/>
              </w:rPr>
              <w:t>6</w:t>
            </w:r>
          </w:p>
        </w:tc>
        <w:tc>
          <w:tcPr>
            <w:tcW w:w="1666"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本项目评价范围</w:t>
            </w:r>
          </w:p>
        </w:tc>
        <w:tc>
          <w:tcPr>
            <w:tcW w:w="3333"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6km</w:t>
            </w:r>
            <w:r>
              <w:rPr>
                <w:rFonts w:hint="eastAsia"/>
                <w:vertAlign w:val="superscript"/>
              </w:rPr>
              <w:t>2</w:t>
            </w:r>
          </w:p>
        </w:tc>
      </w:tr>
    </w:tbl>
    <w:p>
      <w:pPr>
        <w:pStyle w:val="7"/>
        <w:bidi w:val="0"/>
        <w:rPr>
          <w:rFonts w:hint="eastAsia"/>
          <w:color w:val="auto"/>
          <w:highlight w:val="none"/>
        </w:rPr>
      </w:pPr>
      <w:r>
        <w:rPr>
          <w:rFonts w:hint="eastAsia"/>
          <w:color w:val="auto"/>
          <w:highlight w:val="none"/>
          <w:lang w:val="en-US" w:eastAsia="zh-CN"/>
        </w:rPr>
        <w:t>声环境评价范围</w:t>
      </w:r>
    </w:p>
    <w:p>
      <w:pPr>
        <w:pStyle w:val="4"/>
        <w:rPr>
          <w:rFonts w:hint="eastAsia"/>
          <w:color w:val="auto"/>
          <w:highlight w:val="none"/>
        </w:rPr>
      </w:pPr>
      <w:r>
        <w:rPr>
          <w:rFonts w:hint="eastAsia"/>
          <w:color w:val="auto"/>
          <w:highlight w:val="none"/>
        </w:rPr>
        <w:t>项目</w:t>
      </w:r>
      <w:r>
        <w:rPr>
          <w:rFonts w:hint="eastAsia"/>
          <w:color w:val="auto"/>
          <w:highlight w:val="none"/>
          <w:lang w:val="en-US" w:eastAsia="zh-CN"/>
        </w:rPr>
        <w:t>北侧250m临G7京新高速，东南侧与达坂河5村最近距离1500m，声环境评价等级为二级</w:t>
      </w:r>
      <w:r>
        <w:rPr>
          <w:rFonts w:hint="eastAsia"/>
          <w:color w:val="auto"/>
          <w:highlight w:val="none"/>
          <w:lang w:eastAsia="zh-CN"/>
        </w:rPr>
        <w:t>，</w:t>
      </w:r>
      <w:r>
        <w:rPr>
          <w:rFonts w:hint="eastAsia"/>
          <w:color w:val="auto"/>
          <w:highlight w:val="none"/>
        </w:rPr>
        <w:t>根据《环境影响评价技术导则 声环境》（HJ2.4-2009）确定本项目声环境评价范围为项目区厂界至厂界外200m区域。</w:t>
      </w:r>
    </w:p>
    <w:p>
      <w:pPr>
        <w:pStyle w:val="7"/>
        <w:bidi w:val="0"/>
        <w:rPr>
          <w:rFonts w:hint="eastAsia"/>
          <w:color w:val="auto"/>
          <w:highlight w:val="none"/>
        </w:rPr>
      </w:pPr>
      <w:r>
        <w:rPr>
          <w:rFonts w:hint="eastAsia"/>
          <w:color w:val="auto"/>
          <w:highlight w:val="none"/>
          <w:lang w:val="en-US" w:eastAsia="zh-CN"/>
        </w:rPr>
        <w:t>土壤环境评价范围</w:t>
      </w:r>
    </w:p>
    <w:p>
      <w:pPr>
        <w:pStyle w:val="4"/>
        <w:ind w:firstLine="480"/>
        <w:rPr>
          <w:color w:val="auto"/>
          <w:highlight w:val="none"/>
        </w:rPr>
      </w:pPr>
      <w:r>
        <w:rPr>
          <w:rFonts w:hint="eastAsia"/>
          <w:color w:val="auto"/>
          <w:highlight w:val="none"/>
        </w:rPr>
        <w:t>本项目为污染影响型建设项目，</w:t>
      </w:r>
      <w:r>
        <w:rPr>
          <w:rFonts w:hint="eastAsia"/>
          <w:color w:val="auto"/>
          <w:highlight w:val="none"/>
          <w:lang w:val="en-US" w:eastAsia="zh-CN"/>
        </w:rPr>
        <w:t>评价等级为三级</w:t>
      </w:r>
      <w:r>
        <w:rPr>
          <w:rFonts w:hint="eastAsia"/>
          <w:color w:val="auto"/>
          <w:highlight w:val="none"/>
        </w:rPr>
        <w:t>，</w:t>
      </w:r>
      <w:r>
        <w:rPr>
          <w:rFonts w:hint="eastAsia"/>
          <w:color w:val="auto"/>
          <w:highlight w:val="none"/>
          <w:lang w:val="en-US" w:eastAsia="zh-CN"/>
        </w:rPr>
        <w:t>评价范围为</w:t>
      </w:r>
      <w:r>
        <w:rPr>
          <w:rFonts w:hint="eastAsia"/>
          <w:color w:val="FF0000"/>
          <w:highlight w:val="none"/>
          <w:lang w:val="en-US" w:eastAsia="zh-CN"/>
        </w:rPr>
        <w:t>占地区域</w:t>
      </w:r>
      <w:r>
        <w:rPr>
          <w:rFonts w:hint="eastAsia"/>
          <w:color w:val="auto"/>
          <w:highlight w:val="none"/>
          <w:lang w:val="en-US" w:eastAsia="zh-CN"/>
        </w:rPr>
        <w:t>及项目区外50m范围内。</w:t>
      </w:r>
    </w:p>
    <w:p>
      <w:pPr>
        <w:pStyle w:val="7"/>
        <w:bidi w:val="0"/>
        <w:rPr>
          <w:rFonts w:hint="eastAsia"/>
          <w:color w:val="auto"/>
          <w:highlight w:val="none"/>
        </w:rPr>
      </w:pPr>
      <w:r>
        <w:rPr>
          <w:rFonts w:hint="eastAsia"/>
          <w:color w:val="auto"/>
          <w:highlight w:val="none"/>
          <w:lang w:val="en-US" w:eastAsia="zh-CN"/>
        </w:rPr>
        <w:t>生态环境评价范围</w:t>
      </w:r>
    </w:p>
    <w:p>
      <w:pPr>
        <w:pStyle w:val="4"/>
        <w:rPr>
          <w:rFonts w:hint="eastAsia" w:eastAsia="宋体"/>
          <w:color w:val="auto"/>
          <w:highlight w:val="none"/>
          <w:lang w:eastAsia="zh-CN"/>
        </w:rPr>
      </w:pPr>
      <w:r>
        <w:rPr>
          <w:rFonts w:hint="eastAsia"/>
          <w:color w:val="auto"/>
          <w:highlight w:val="none"/>
        </w:rPr>
        <w:t>考虑本项目</w:t>
      </w:r>
      <w:r>
        <w:rPr>
          <w:rFonts w:hint="eastAsia"/>
          <w:color w:val="auto"/>
          <w:highlight w:val="none"/>
          <w:lang w:val="en-US" w:eastAsia="zh-CN"/>
        </w:rPr>
        <w:t>主要</w:t>
      </w:r>
      <w:r>
        <w:rPr>
          <w:rFonts w:hint="eastAsia"/>
          <w:color w:val="auto"/>
          <w:highlight w:val="none"/>
        </w:rPr>
        <w:t>为污染影响型建设项目，周围无重要生态环境保护目标，对生态环境的影响主要集中在施工期，因此，项目建设影响涉及区域主要为项目区及用地红线外1000m</w:t>
      </w:r>
      <w:r>
        <w:rPr>
          <w:rFonts w:hint="eastAsia"/>
          <w:color w:val="auto"/>
          <w:highlight w:val="none"/>
          <w:lang w:val="en-US" w:eastAsia="zh-CN"/>
        </w:rPr>
        <w:t>范围</w:t>
      </w:r>
      <w:r>
        <w:rPr>
          <w:rFonts w:hint="eastAsia"/>
          <w:color w:val="auto"/>
          <w:highlight w:val="none"/>
          <w:lang w:eastAsia="zh-CN"/>
        </w:rPr>
        <w:t>。</w:t>
      </w:r>
    </w:p>
    <w:p>
      <w:pPr>
        <w:pStyle w:val="7"/>
        <w:bidi w:val="0"/>
        <w:rPr>
          <w:rFonts w:hint="eastAsia"/>
          <w:color w:val="auto"/>
          <w:highlight w:val="none"/>
        </w:rPr>
      </w:pPr>
      <w:r>
        <w:rPr>
          <w:rFonts w:hint="eastAsia"/>
          <w:color w:val="auto"/>
          <w:highlight w:val="none"/>
          <w:lang w:val="en-US" w:eastAsia="zh-CN"/>
        </w:rPr>
        <w:t>环境风险评价范围</w:t>
      </w:r>
    </w:p>
    <w:p>
      <w:pPr>
        <w:pStyle w:val="4"/>
        <w:ind w:firstLine="480"/>
        <w:rPr>
          <w:color w:val="auto"/>
          <w:highlight w:val="none"/>
        </w:rPr>
      </w:pPr>
      <w:r>
        <w:rPr>
          <w:rFonts w:hint="eastAsia"/>
          <w:color w:val="auto"/>
          <w:highlight w:val="none"/>
        </w:rPr>
        <w:t>根据《建设项目环境风险评价技术导则》（HJ169-2018）</w:t>
      </w:r>
      <w:r>
        <w:rPr>
          <w:rFonts w:hint="eastAsia"/>
          <w:color w:val="auto"/>
          <w:highlight w:val="none"/>
          <w:lang w:eastAsia="zh-CN"/>
        </w:rPr>
        <w:t>，</w:t>
      </w:r>
      <w:r>
        <w:rPr>
          <w:rFonts w:hint="eastAsia"/>
          <w:color w:val="auto"/>
          <w:highlight w:val="none"/>
        </w:rPr>
        <w:t>本项目大气</w:t>
      </w:r>
      <w:r>
        <w:rPr>
          <w:rFonts w:hint="eastAsia"/>
          <w:color w:val="auto"/>
          <w:highlight w:val="none"/>
          <w:lang w:val="en-US" w:eastAsia="zh-CN"/>
        </w:rPr>
        <w:t>风险评价为简单分析，参照风险三级评价标准确定大气风险评价范围为边界外3km；项目废水间接排放，没有直接排放口，地表水风险不评价，不设评价范围；地下水风险</w:t>
      </w:r>
      <w:r>
        <w:rPr>
          <w:rFonts w:hint="eastAsia"/>
          <w:color w:val="auto"/>
          <w:highlight w:val="none"/>
        </w:rPr>
        <w:t>评价</w:t>
      </w:r>
      <w:r>
        <w:rPr>
          <w:rFonts w:hint="eastAsia"/>
          <w:color w:val="auto"/>
          <w:highlight w:val="none"/>
          <w:lang w:val="en-US" w:eastAsia="zh-CN"/>
        </w:rPr>
        <w:t>范围与地下水评价范围一致，即</w:t>
      </w:r>
      <w:r>
        <w:rPr>
          <w:rFonts w:hint="eastAsia"/>
          <w:color w:val="auto"/>
          <w:highlight w:val="none"/>
        </w:rPr>
        <w:t>以项目区中心为起点，下游3km、两侧0.75km、上游1km矩形区域。</w:t>
      </w:r>
    </w:p>
    <w:p>
      <w:pPr>
        <w:pStyle w:val="6"/>
        <w:bidi w:val="0"/>
        <w:rPr>
          <w:rFonts w:hint="eastAsia"/>
          <w:color w:val="auto"/>
          <w:highlight w:val="none"/>
          <w:lang w:val="en-US" w:eastAsia="zh-CN"/>
        </w:rPr>
      </w:pPr>
      <w:r>
        <w:rPr>
          <w:rFonts w:hint="eastAsia"/>
          <w:color w:val="auto"/>
          <w:highlight w:val="none"/>
          <w:lang w:val="en-US" w:eastAsia="zh-CN"/>
        </w:rPr>
        <w:t>各环境要素评价等级与范围汇总</w:t>
      </w:r>
    </w:p>
    <w:p>
      <w:pPr>
        <w:pStyle w:val="4"/>
        <w:rPr>
          <w:rFonts w:hint="eastAsia" w:eastAsia="宋体"/>
          <w:color w:val="auto"/>
          <w:highlight w:val="none"/>
          <w:lang w:eastAsia="zh-CN"/>
        </w:rPr>
      </w:pPr>
      <w:r>
        <w:rPr>
          <w:rFonts w:hint="eastAsia"/>
          <w:color w:val="auto"/>
          <w:highlight w:val="none"/>
        </w:rPr>
        <w:t>本项目</w:t>
      </w:r>
      <w:r>
        <w:rPr>
          <w:rFonts w:hint="eastAsia"/>
          <w:color w:val="auto"/>
          <w:highlight w:val="none"/>
          <w:lang w:val="en-US" w:eastAsia="zh-CN"/>
        </w:rPr>
        <w:t>各</w:t>
      </w:r>
      <w:r>
        <w:rPr>
          <w:rFonts w:hint="eastAsia"/>
          <w:color w:val="auto"/>
          <w:highlight w:val="none"/>
        </w:rPr>
        <w:t>环境</w:t>
      </w:r>
      <w:r>
        <w:rPr>
          <w:rFonts w:hint="eastAsia"/>
          <w:color w:val="auto"/>
          <w:highlight w:val="none"/>
          <w:lang w:val="en-US" w:eastAsia="zh-CN"/>
        </w:rPr>
        <w:t>要素</w:t>
      </w:r>
      <w:r>
        <w:rPr>
          <w:rFonts w:hint="eastAsia"/>
          <w:color w:val="auto"/>
          <w:highlight w:val="none"/>
        </w:rPr>
        <w:t>评价范围见</w:t>
      </w:r>
      <w:r>
        <w:rPr>
          <w:rFonts w:hint="eastAsia"/>
          <w:color w:val="auto"/>
          <w:highlight w:val="none"/>
          <w:lang w:val="en-US" w:eastAsia="zh-CN"/>
        </w:rPr>
        <w:t>下</w:t>
      </w:r>
      <w:r>
        <w:rPr>
          <w:rFonts w:hint="eastAsia"/>
          <w:color w:val="auto"/>
          <w:highlight w:val="none"/>
        </w:rPr>
        <w:t>表</w:t>
      </w:r>
      <w:r>
        <w:rPr>
          <w:rFonts w:hint="eastAsia"/>
          <w:color w:val="auto"/>
          <w:highlight w:val="none"/>
          <w:lang w:val="en-US" w:eastAsia="zh-CN"/>
        </w:rPr>
        <w:t>：</w:t>
      </w:r>
    </w:p>
    <w:p>
      <w:pPr>
        <w:pStyle w:val="22"/>
        <w:bidi w:val="0"/>
      </w:pPr>
      <w:r>
        <w:rPr>
          <w:rFonts w:hint="eastAsia"/>
        </w:rPr>
        <w:t>表2.</w:t>
      </w:r>
      <w:r>
        <w:rPr>
          <w:rFonts w:hint="eastAsia"/>
          <w:lang w:val="en-US" w:eastAsia="zh-CN"/>
        </w:rPr>
        <w:t>4-13</w:t>
      </w:r>
      <w:r>
        <w:rPr>
          <w:rFonts w:hint="eastAsia"/>
        </w:rPr>
        <w:t xml:space="preserve">    </w:t>
      </w:r>
      <w:r>
        <w:t>环境</w:t>
      </w:r>
      <w:r>
        <w:rPr>
          <w:rFonts w:hint="eastAsia"/>
        </w:rPr>
        <w:t>影响评价范围一览表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9"/>
        <w:gridCol w:w="869"/>
        <w:gridCol w:w="1142"/>
        <w:gridCol w:w="58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85"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环境要素</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评价等级</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评价范围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5"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大气</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二</w:t>
            </w:r>
            <w:r>
              <w:rPr>
                <w:rFonts w:hint="eastAsia"/>
              </w:rPr>
              <w:t>级</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拟建项目污染源为中心，边长为5km的矩形区域。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5"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地下水</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三</w:t>
            </w:r>
            <w:r>
              <w:rPr>
                <w:rFonts w:hint="eastAsia"/>
              </w:rPr>
              <w:t>级</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rPr>
              <w:t>评价面积为6km</w:t>
            </w:r>
            <w:r>
              <w:rPr>
                <w:rFonts w:hint="eastAsia"/>
                <w:vertAlign w:val="superscript"/>
              </w:rPr>
              <w:t>2</w:t>
            </w:r>
            <w:r>
              <w:rPr>
                <w:rFonts w:hint="eastAsia"/>
              </w:rPr>
              <w:t>。以项目区中心为起点，下游3km、两侧0.75km、上游1km矩形区域</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5"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声环境</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二</w:t>
            </w:r>
            <w:r>
              <w:rPr>
                <w:rFonts w:hint="eastAsia"/>
              </w:rPr>
              <w:t>级</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拟建项目厂界外200m范围内。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5"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土壤环境</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三级</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项目区厂界外50m范围内。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5"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生态环境</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简单分析</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rPr>
              <w:t>工程占地范围向外延伸1000m</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环境风险</w:t>
            </w:r>
          </w:p>
        </w:tc>
        <w:tc>
          <w:tcPr>
            <w:tcW w:w="5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大气</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简单分析</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rPr>
              <w:t>以拟建项目厂址中心为中心，外扩</w:t>
            </w:r>
            <w:r>
              <w:rPr>
                <w:rFonts w:hint="eastAsia"/>
                <w:lang w:val="en-US" w:eastAsia="zh-CN"/>
              </w:rPr>
              <w:t>3</w:t>
            </w:r>
            <w:r>
              <w:rPr>
                <w:rFonts w:hint="eastAsia"/>
              </w:rPr>
              <w:t>km的范围</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p>
        </w:tc>
        <w:tc>
          <w:tcPr>
            <w:tcW w:w="5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地表水</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不评价</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5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地下水</w:t>
            </w:r>
          </w:p>
        </w:tc>
        <w:tc>
          <w:tcPr>
            <w:tcW w:w="6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rPr>
            </w:pPr>
            <w:r>
              <w:rPr>
                <w:rFonts w:hint="eastAsia"/>
                <w:lang w:val="en-US" w:eastAsia="zh-CN"/>
              </w:rPr>
              <w:t>简单分析</w:t>
            </w:r>
          </w:p>
        </w:tc>
        <w:tc>
          <w:tcPr>
            <w:tcW w:w="34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以项目区中心为起点，下游3km、两侧0.75km、上游1km矩形区域。</w:t>
            </w:r>
          </w:p>
        </w:tc>
      </w:tr>
    </w:tbl>
    <w:p>
      <w:pPr>
        <w:pStyle w:val="5"/>
        <w:bidi w:val="0"/>
        <w:rPr>
          <w:rFonts w:hint="eastAsia"/>
          <w:color w:val="auto"/>
          <w:highlight w:val="none"/>
        </w:rPr>
      </w:pPr>
      <w:bookmarkStart w:id="34" w:name="_Toc17646"/>
      <w:bookmarkStart w:id="35" w:name="_Toc3325"/>
      <w:r>
        <w:rPr>
          <w:rFonts w:hint="eastAsia"/>
          <w:color w:val="auto"/>
          <w:highlight w:val="none"/>
          <w:lang w:val="en-US" w:eastAsia="zh-CN"/>
        </w:rPr>
        <w:t>主要环境保护目标</w:t>
      </w:r>
      <w:bookmarkEnd w:id="34"/>
      <w:bookmarkEnd w:id="35"/>
    </w:p>
    <w:p>
      <w:pPr>
        <w:pStyle w:val="4"/>
        <w:ind w:firstLine="480"/>
        <w:rPr>
          <w:color w:val="auto"/>
          <w:highlight w:val="none"/>
        </w:rPr>
      </w:pPr>
      <w:r>
        <w:rPr>
          <w:rFonts w:hint="eastAsia"/>
          <w:color w:val="auto"/>
          <w:highlight w:val="none"/>
        </w:rPr>
        <w:t>（1）大气环境</w:t>
      </w:r>
    </w:p>
    <w:p>
      <w:pPr>
        <w:pStyle w:val="4"/>
        <w:ind w:firstLine="480"/>
        <w:rPr>
          <w:rFonts w:hint="eastAsia"/>
          <w:color w:val="auto"/>
          <w:highlight w:val="none"/>
        </w:rPr>
      </w:pPr>
      <w:r>
        <w:rPr>
          <w:rFonts w:hint="eastAsia"/>
          <w:color w:val="auto"/>
          <w:highlight w:val="none"/>
          <w:lang w:val="en-US" w:eastAsia="zh-CN"/>
        </w:rPr>
        <w:t>根据《环境影响评价技术导则 大气环境》（HJ2.2-2018），环境空气保护目标指：自然保护区、风景名胜区、居住区、文化区和农村地区中人群较集中的区域。本项目厂界外2500m范围内所涉及大气环境保护目标如下表：</w:t>
      </w:r>
    </w:p>
    <w:p>
      <w:pPr>
        <w:pStyle w:val="22"/>
        <w:bidi w:val="0"/>
        <w:rPr>
          <w:rFonts w:hint="eastAsia"/>
          <w:lang w:eastAsia="zh-CN"/>
        </w:rPr>
      </w:pPr>
      <w:r>
        <w:rPr>
          <w:rFonts w:hint="eastAsia"/>
        </w:rPr>
        <w:t xml:space="preserve">表2.5-1    </w:t>
      </w:r>
      <w:r>
        <w:rPr>
          <w:rFonts w:hint="eastAsia"/>
          <w:lang w:val="en-US" w:eastAsia="zh-CN"/>
        </w:rPr>
        <w:t>大气环境保护目标</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7"/>
        <w:gridCol w:w="882"/>
        <w:gridCol w:w="786"/>
        <w:gridCol w:w="1151"/>
        <w:gridCol w:w="1132"/>
        <w:gridCol w:w="1016"/>
        <w:gridCol w:w="950"/>
        <w:gridCol w:w="11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6"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名称</w:t>
            </w:r>
          </w:p>
        </w:tc>
        <w:tc>
          <w:tcPr>
            <w:tcW w:w="978"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坐标</w:t>
            </w:r>
          </w:p>
        </w:tc>
        <w:tc>
          <w:tcPr>
            <w:tcW w:w="675"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保护对象</w:t>
            </w:r>
          </w:p>
        </w:tc>
        <w:tc>
          <w:tcPr>
            <w:tcW w:w="664"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保护内容</w:t>
            </w:r>
          </w:p>
        </w:tc>
        <w:tc>
          <w:tcPr>
            <w:tcW w:w="596"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环境功能区</w:t>
            </w:r>
          </w:p>
        </w:tc>
        <w:tc>
          <w:tcPr>
            <w:tcW w:w="557"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相对厂址方位</w:t>
            </w:r>
          </w:p>
        </w:tc>
        <w:tc>
          <w:tcPr>
            <w:tcW w:w="660"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相对厂址距离/m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6"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5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X</w:t>
            </w:r>
          </w:p>
        </w:tc>
        <w:tc>
          <w:tcPr>
            <w:tcW w:w="4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Y</w:t>
            </w:r>
          </w:p>
        </w:tc>
        <w:tc>
          <w:tcPr>
            <w:tcW w:w="67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64"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596"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55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60"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达坂河5村</w:t>
            </w:r>
          </w:p>
        </w:tc>
        <w:tc>
          <w:tcPr>
            <w:tcW w:w="5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1450</w:t>
            </w:r>
          </w:p>
        </w:tc>
        <w:tc>
          <w:tcPr>
            <w:tcW w:w="4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-150</w:t>
            </w:r>
          </w:p>
        </w:tc>
        <w:tc>
          <w:tcPr>
            <w:tcW w:w="6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664"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大气环境质量</w:t>
            </w:r>
          </w:p>
        </w:tc>
        <w:tc>
          <w:tcPr>
            <w:tcW w:w="596"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二类</w:t>
            </w:r>
          </w:p>
        </w:tc>
        <w:tc>
          <w:tcPr>
            <w:tcW w:w="55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东南</w:t>
            </w:r>
          </w:p>
        </w:tc>
        <w:tc>
          <w:tcPr>
            <w:tcW w:w="66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达坂河11村</w:t>
            </w:r>
          </w:p>
        </w:tc>
        <w:tc>
          <w:tcPr>
            <w:tcW w:w="5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-700</w:t>
            </w:r>
          </w:p>
        </w:tc>
        <w:tc>
          <w:tcPr>
            <w:tcW w:w="4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-1800</w:t>
            </w:r>
          </w:p>
        </w:tc>
        <w:tc>
          <w:tcPr>
            <w:tcW w:w="6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664"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596"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55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西南</w:t>
            </w:r>
          </w:p>
        </w:tc>
        <w:tc>
          <w:tcPr>
            <w:tcW w:w="66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2000</w:t>
            </w:r>
          </w:p>
        </w:tc>
      </w:tr>
    </w:tbl>
    <w:p>
      <w:pPr>
        <w:pStyle w:val="4"/>
        <w:ind w:firstLine="480"/>
        <w:rPr>
          <w:color w:val="auto"/>
          <w:highlight w:val="none"/>
        </w:rPr>
      </w:pPr>
      <w:r>
        <w:rPr>
          <w:rFonts w:hint="eastAsia"/>
          <w:color w:val="auto"/>
          <w:highlight w:val="none"/>
          <w:lang w:val="en-US" w:eastAsia="zh-CN"/>
        </w:rPr>
        <w:t>（2）</w:t>
      </w:r>
      <w:r>
        <w:rPr>
          <w:rFonts w:hint="eastAsia"/>
          <w:color w:val="auto"/>
          <w:highlight w:val="none"/>
        </w:rPr>
        <w:t>地下水环境</w:t>
      </w:r>
    </w:p>
    <w:p>
      <w:pPr>
        <w:pStyle w:val="4"/>
        <w:keepNext w:val="0"/>
        <w:keepLines w:val="0"/>
        <w:pageBreakBefore w:val="0"/>
        <w:widowControl w:val="0"/>
        <w:kinsoku/>
        <w:wordWrap/>
        <w:overflowPunct/>
        <w:topLinePunct w:val="0"/>
        <w:autoSpaceDE/>
        <w:bidi w:val="0"/>
        <w:snapToGrid/>
        <w:rPr>
          <w:rFonts w:hint="eastAsia"/>
          <w:color w:val="000000"/>
          <w:lang w:val="en-US" w:eastAsia="zh-CN"/>
        </w:rPr>
      </w:pPr>
      <w:r>
        <w:rPr>
          <w:rFonts w:hint="eastAsia"/>
          <w:color w:val="auto"/>
          <w:highlight w:val="none"/>
          <w:lang w:val="en-US" w:eastAsia="zh-CN"/>
        </w:rPr>
        <w:t>根据《环境影响评价技术导则 地下水环境》（HJ610-2016），地下水环境保护目标是指：</w:t>
      </w:r>
      <w:r>
        <w:rPr>
          <w:rFonts w:hint="eastAsia"/>
          <w:color w:val="000000"/>
          <w:lang w:val="en-US" w:eastAsia="zh-CN"/>
        </w:rPr>
        <w:t>潜水含水层和可能受建设项目影响且具有饮用水开发利用价值的含水层，集中式饮用水水源和分散式饮用水水源地，以及《建设项目环境影响评价分类管理名录》中所界定的涉及地下水的环境敏感区。</w:t>
      </w:r>
    </w:p>
    <w:p>
      <w:pPr>
        <w:pStyle w:val="4"/>
        <w:keepNext w:val="0"/>
        <w:keepLines w:val="0"/>
        <w:pageBreakBefore w:val="0"/>
        <w:widowControl w:val="0"/>
        <w:kinsoku/>
        <w:wordWrap/>
        <w:overflowPunct/>
        <w:topLinePunct w:val="0"/>
        <w:autoSpaceDE/>
        <w:bidi w:val="0"/>
        <w:snapToGrid/>
        <w:rPr>
          <w:rFonts w:hint="eastAsia"/>
          <w:color w:val="000000"/>
          <w:lang w:val="en-US" w:eastAsia="zh-CN"/>
        </w:rPr>
      </w:pPr>
      <w:r>
        <w:rPr>
          <w:rFonts w:hint="eastAsia"/>
          <w:color w:val="000000"/>
          <w:lang w:val="en-US" w:eastAsia="zh-CN"/>
        </w:rPr>
        <w:t>本项目地下水评价范围内无地下水集中式饮用水水源和热水、矿泉水、温泉等特殊地下水资源，无地下水环境保护目标。</w:t>
      </w:r>
    </w:p>
    <w:p>
      <w:pPr>
        <w:pStyle w:val="4"/>
        <w:ind w:firstLine="48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）声环境</w:t>
      </w:r>
    </w:p>
    <w:p>
      <w:pPr>
        <w:pStyle w:val="4"/>
        <w:ind w:firstLine="480"/>
        <w:rPr>
          <w:rFonts w:hint="default" w:eastAsia="宋体"/>
          <w:color w:val="auto"/>
          <w:highlight w:val="none"/>
          <w:lang w:val="en-US" w:eastAsia="zh-CN"/>
        </w:rPr>
      </w:pPr>
      <w:r>
        <w:rPr>
          <w:rFonts w:hint="eastAsia"/>
          <w:color w:val="auto"/>
          <w:highlight w:val="none"/>
          <w:lang w:val="en-US" w:eastAsia="zh-CN"/>
        </w:rPr>
        <w:t>根据《环境影响评价技术导则 声环境》（HJ2.4-2009），声环境敏感目标是指：医院、学校、机关、科研单位、住宅、自然保护区等对噪声敏感的建筑物或区域。</w:t>
      </w:r>
    </w:p>
    <w:p>
      <w:pPr>
        <w:pStyle w:val="4"/>
        <w:ind w:firstLine="480"/>
        <w:rPr>
          <w:rFonts w:hint="default" w:eastAsia="宋体"/>
          <w:color w:val="auto"/>
          <w:highlight w:val="none"/>
          <w:lang w:val="en-US" w:eastAsia="zh-CN"/>
        </w:rPr>
      </w:pPr>
      <w:r>
        <w:rPr>
          <w:rFonts w:hint="eastAsia"/>
          <w:color w:val="auto"/>
          <w:highlight w:val="none"/>
          <w:lang w:val="en-US" w:eastAsia="zh-CN"/>
        </w:rPr>
        <w:t>本项目与最近的声环境敏感点1500m（东南侧达坂河5村），评价范围（200m）内无声环境敏感目标。</w:t>
      </w:r>
    </w:p>
    <w:p>
      <w:pPr>
        <w:pStyle w:val="4"/>
        <w:ind w:firstLine="480"/>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土壤环境</w:t>
      </w:r>
    </w:p>
    <w:p>
      <w:pPr>
        <w:pStyle w:val="4"/>
        <w:ind w:firstLine="480"/>
        <w:rPr>
          <w:rFonts w:hint="default"/>
          <w:color w:val="auto"/>
          <w:highlight w:val="none"/>
          <w:lang w:val="en-US" w:eastAsia="zh-CN"/>
        </w:rPr>
      </w:pPr>
      <w:r>
        <w:rPr>
          <w:rFonts w:hint="eastAsia"/>
          <w:color w:val="auto"/>
          <w:highlight w:val="none"/>
          <w:lang w:val="en-US" w:eastAsia="zh-CN"/>
        </w:rPr>
        <w:t>根据《环境影响评价技术导则 土壤环境（试行）》（HJ964-2018），土壤环境敏感目标是指：可能受人为活动影响的、与土壤环境相关的敏感区或对象。针对污染影响型项目，土壤环境敏感主要指：耕地、园地、牧草地、饮用水水源地或居民区、学校、医院、疗养院、养老院等。</w:t>
      </w:r>
    </w:p>
    <w:p>
      <w:pPr>
        <w:pStyle w:val="4"/>
        <w:ind w:firstLine="480"/>
        <w:rPr>
          <w:rFonts w:hint="eastAsia"/>
          <w:color w:val="auto"/>
          <w:highlight w:val="none"/>
          <w:lang w:val="en-US" w:eastAsia="zh-CN"/>
        </w:rPr>
      </w:pPr>
      <w:r>
        <w:rPr>
          <w:rFonts w:hint="eastAsia"/>
          <w:color w:val="auto"/>
          <w:highlight w:val="none"/>
          <w:lang w:val="en-US" w:eastAsia="zh-CN"/>
        </w:rPr>
        <w:t>本项目周边评价范围（50m）内为低覆盖度荒草地，敏感特征判定为“较敏感”，应保证本项目扬尘及渗滤液不对其产生较大影响，保证项目建设后其土壤质量仍满足《土壤环境质量标准 农用地土壤污染风险管控标准》</w:t>
      </w:r>
      <w:r>
        <w:rPr>
          <w:rFonts w:hint="default"/>
          <w:color w:val="auto"/>
        </w:rPr>
        <w:t>（</w:t>
      </w:r>
      <w:r>
        <w:rPr>
          <w:rFonts w:hint="eastAsia"/>
          <w:color w:val="auto"/>
          <w:lang w:eastAsia="zh-CN"/>
        </w:rPr>
        <w:t>GB</w:t>
      </w:r>
      <w:r>
        <w:rPr>
          <w:rFonts w:hint="eastAsia"/>
          <w:color w:val="auto"/>
          <w:lang w:val="en-US" w:eastAsia="zh-CN"/>
        </w:rPr>
        <w:t>15618</w:t>
      </w:r>
      <w:r>
        <w:rPr>
          <w:rFonts w:hint="default"/>
          <w:color w:val="auto"/>
        </w:rPr>
        <w:t>-2018）</w:t>
      </w:r>
      <w:r>
        <w:rPr>
          <w:rFonts w:hint="eastAsia"/>
          <w:color w:val="auto"/>
          <w:lang w:val="en-US" w:eastAsia="zh-CN"/>
        </w:rPr>
        <w:t>筛选值要求</w:t>
      </w:r>
      <w:r>
        <w:rPr>
          <w:rFonts w:hint="eastAsia"/>
          <w:color w:val="auto"/>
          <w:highlight w:val="none"/>
          <w:lang w:val="en-US" w:eastAsia="zh-CN"/>
        </w:rPr>
        <w:t>。</w:t>
      </w:r>
    </w:p>
    <w:p>
      <w:pPr>
        <w:pStyle w:val="4"/>
        <w:ind w:firstLine="48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）生态环境</w:t>
      </w:r>
    </w:p>
    <w:p>
      <w:pPr>
        <w:pStyle w:val="4"/>
        <w:ind w:firstLine="480"/>
        <w:rPr>
          <w:rFonts w:hint="default"/>
          <w:color w:val="000000"/>
          <w:lang w:val="en-US" w:eastAsia="zh-CN"/>
        </w:rPr>
      </w:pPr>
      <w:r>
        <w:rPr>
          <w:rFonts w:hint="eastAsia"/>
          <w:color w:val="000000"/>
          <w:lang w:val="en-US" w:eastAsia="zh-CN"/>
        </w:rPr>
        <w:t>根据《环境影响评价技术导则 生态影响》（HJ19-2011），生态环境敏感目标包括两类，分别是特殊生态敏感区和重要生态敏感区。特殊生态敏感区是指：自然保护区、世界文化和自然遗产地等。重要生态敏感区是指：风景名胜区、森林公园、地质公园、重要湿地、原始天然林、珍稀濒危野生动植物天然集中分布区重要水生生物的自然产卵场及索饵场、越冬场和洄游通道、天然渔场等。</w:t>
      </w:r>
    </w:p>
    <w:p>
      <w:pPr>
        <w:pStyle w:val="4"/>
        <w:ind w:firstLine="480"/>
        <w:rPr>
          <w:rFonts w:hint="eastAsia"/>
          <w:color w:val="auto"/>
          <w:highlight w:val="none"/>
          <w:lang w:val="en-US" w:eastAsia="zh-CN"/>
        </w:rPr>
      </w:pPr>
      <w:r>
        <w:rPr>
          <w:rFonts w:hint="eastAsia"/>
          <w:color w:val="000000"/>
          <w:lang w:val="en-US" w:eastAsia="zh-CN"/>
        </w:rPr>
        <w:t>本项目用地及周边评价范围内无自然保护区、世界文化和自然遗产地等特殊生态敏感区，无风景名胜区、森林公园、地质公园、重要湿地、原始天然林、珍稀濒危野生动植物天然集中分布区、重要水生生物的自然产卵场及索饵场、越冬场和洄游通道、天然渔场等重要生态敏感区，无生态环境保护目标。</w:t>
      </w:r>
    </w:p>
    <w:p>
      <w:pPr>
        <w:pStyle w:val="4"/>
        <w:ind w:firstLine="480"/>
        <w:rPr>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rPr>
        <w:t>环境风险</w:t>
      </w:r>
    </w:p>
    <w:p>
      <w:pPr>
        <w:pStyle w:val="4"/>
        <w:keepNext w:val="0"/>
        <w:keepLines w:val="0"/>
        <w:pageBreakBefore w:val="0"/>
        <w:widowControl w:val="0"/>
        <w:kinsoku/>
        <w:wordWrap/>
        <w:overflowPunct/>
        <w:topLinePunct w:val="0"/>
        <w:autoSpaceDE/>
        <w:bidi w:val="0"/>
        <w:snapToGrid/>
        <w:rPr>
          <w:rFonts w:hint="eastAsia"/>
          <w:color w:val="auto"/>
          <w:highlight w:val="none"/>
          <w:lang w:val="en-US" w:eastAsia="zh-CN"/>
        </w:rPr>
      </w:pPr>
      <w:r>
        <w:rPr>
          <w:rFonts w:hint="eastAsia"/>
          <w:color w:val="000000"/>
          <w:highlight w:val="none"/>
          <w:lang w:val="en-US" w:eastAsia="zh-CN"/>
        </w:rPr>
        <w:t>根据《建设项目环境影响评价分类管理名录》（部令第44号，2018年修正版）风险敏感目标定义及描述，结合环境风险评价区域范围的环境特征以及危险物质可能影响的途径，评价范围内</w:t>
      </w:r>
      <w:r>
        <w:rPr>
          <w:rFonts w:hint="eastAsia"/>
          <w:color w:val="auto"/>
          <w:highlight w:val="none"/>
          <w:lang w:val="en-US" w:eastAsia="zh-CN"/>
        </w:rPr>
        <w:t>环境风险敏感目标为：</w:t>
      </w:r>
    </w:p>
    <w:p>
      <w:pPr>
        <w:pStyle w:val="22"/>
        <w:bidi w:val="0"/>
        <w:rPr>
          <w:rFonts w:hint="eastAsia" w:eastAsia="宋体"/>
          <w:color w:val="auto"/>
          <w:highlight w:val="none"/>
          <w:lang w:val="en-US" w:eastAsia="zh-CN"/>
        </w:rPr>
      </w:pPr>
      <w:r>
        <w:rPr>
          <w:rFonts w:hint="eastAsia" w:eastAsia="宋体"/>
          <w:color w:val="auto"/>
          <w:highlight w:val="none"/>
          <w:lang w:val="en-US" w:eastAsia="zh-CN"/>
        </w:rPr>
        <w:t>表</w:t>
      </w:r>
      <w:r>
        <w:rPr>
          <w:rFonts w:hint="eastAsia"/>
          <w:color w:val="auto"/>
          <w:highlight w:val="none"/>
          <w:lang w:val="en-US" w:eastAsia="zh-CN"/>
        </w:rPr>
        <w:t>2.5-2</w:t>
      </w:r>
      <w:r>
        <w:rPr>
          <w:rFonts w:hint="eastAsia" w:eastAsia="宋体"/>
          <w:color w:val="auto"/>
          <w:highlight w:val="none"/>
          <w:lang w:val="en-US" w:eastAsia="zh-CN"/>
        </w:rPr>
        <w:t xml:space="preserve">   建设项目环境</w:t>
      </w:r>
      <w:r>
        <w:rPr>
          <w:rFonts w:hint="eastAsia"/>
          <w:color w:val="auto"/>
          <w:highlight w:val="none"/>
          <w:lang w:val="en-US" w:eastAsia="zh-CN"/>
        </w:rPr>
        <w:t>风险</w:t>
      </w:r>
      <w:r>
        <w:rPr>
          <w:rFonts w:hint="eastAsia" w:eastAsia="宋体"/>
          <w:color w:val="auto"/>
          <w:highlight w:val="none"/>
          <w:lang w:val="en-US" w:eastAsia="zh-CN"/>
        </w:rPr>
        <w:t>敏感特征表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694"/>
        <w:gridCol w:w="69"/>
        <w:gridCol w:w="1478"/>
        <w:gridCol w:w="80"/>
        <w:gridCol w:w="176"/>
        <w:gridCol w:w="999"/>
        <w:gridCol w:w="480"/>
        <w:gridCol w:w="756"/>
        <w:gridCol w:w="266"/>
        <w:gridCol w:w="1088"/>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top w:val="single" w:color="auto" w:sz="12" w:space="0"/>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类别</w:t>
            </w:r>
          </w:p>
        </w:tc>
        <w:tc>
          <w:tcPr>
            <w:tcW w:w="4529" w:type="pct"/>
            <w:gridSpan w:val="11"/>
            <w:tcBorders>
              <w:top w:val="single" w:color="auto" w:sz="12" w:space="0"/>
              <w:righ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restart"/>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环境空气</w:t>
            </w:r>
          </w:p>
        </w:tc>
        <w:tc>
          <w:tcPr>
            <w:tcW w:w="4529" w:type="pct"/>
            <w:gridSpan w:val="11"/>
            <w:tcBorders>
              <w:righ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厂址周边5km范围内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序号</w:t>
            </w:r>
          </w:p>
        </w:tc>
        <w:tc>
          <w:tcPr>
            <w:tcW w:w="908" w:type="pct"/>
            <w:gridSpan w:val="2"/>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敏感目标名称</w:t>
            </w:r>
          </w:p>
        </w:tc>
        <w:tc>
          <w:tcPr>
            <w:tcW w:w="1017" w:type="pct"/>
            <w:gridSpan w:val="4"/>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相对方位</w:t>
            </w:r>
          </w:p>
        </w:tc>
        <w:tc>
          <w:tcPr>
            <w:tcW w:w="600" w:type="pct"/>
            <w:gridSpan w:val="2"/>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距离/m</w:t>
            </w:r>
          </w:p>
        </w:tc>
        <w:tc>
          <w:tcPr>
            <w:tcW w:w="638" w:type="pct"/>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属性</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908"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达坂河5村</w:t>
            </w:r>
          </w:p>
        </w:tc>
        <w:tc>
          <w:tcPr>
            <w:tcW w:w="1017" w:type="pct"/>
            <w:gridSpan w:val="4"/>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东南</w:t>
            </w:r>
          </w:p>
        </w:tc>
        <w:tc>
          <w:tcPr>
            <w:tcW w:w="600"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1500</w:t>
            </w:r>
          </w:p>
        </w:tc>
        <w:tc>
          <w:tcPr>
            <w:tcW w:w="638"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908"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达坂河11村</w:t>
            </w:r>
          </w:p>
        </w:tc>
        <w:tc>
          <w:tcPr>
            <w:tcW w:w="1017" w:type="pct"/>
            <w:gridSpan w:val="4"/>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西南</w:t>
            </w:r>
          </w:p>
        </w:tc>
        <w:tc>
          <w:tcPr>
            <w:tcW w:w="600"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2000</w:t>
            </w:r>
          </w:p>
        </w:tc>
        <w:tc>
          <w:tcPr>
            <w:tcW w:w="638"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w:t>
            </w:r>
          </w:p>
        </w:tc>
        <w:tc>
          <w:tcPr>
            <w:tcW w:w="908" w:type="pct"/>
            <w:gridSpan w:val="2"/>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第六师一○八团团部</w:t>
            </w:r>
          </w:p>
        </w:tc>
        <w:tc>
          <w:tcPr>
            <w:tcW w:w="1017" w:type="pct"/>
            <w:gridSpan w:val="4"/>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color w:val="auto"/>
                <w:highlight w:val="none"/>
                <w:lang w:val="en-US" w:eastAsia="zh-CN"/>
              </w:rPr>
              <w:t>北</w:t>
            </w:r>
          </w:p>
        </w:tc>
        <w:tc>
          <w:tcPr>
            <w:tcW w:w="600"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2700</w:t>
            </w:r>
          </w:p>
        </w:tc>
        <w:tc>
          <w:tcPr>
            <w:tcW w:w="638"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w:t>
            </w:r>
          </w:p>
        </w:tc>
        <w:tc>
          <w:tcPr>
            <w:tcW w:w="908"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曹家庄</w:t>
            </w:r>
          </w:p>
        </w:tc>
        <w:tc>
          <w:tcPr>
            <w:tcW w:w="1017" w:type="pct"/>
            <w:gridSpan w:val="4"/>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东南</w:t>
            </w:r>
          </w:p>
        </w:tc>
        <w:tc>
          <w:tcPr>
            <w:tcW w:w="600"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3300</w:t>
            </w:r>
          </w:p>
        </w:tc>
        <w:tc>
          <w:tcPr>
            <w:tcW w:w="638"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w:t>
            </w:r>
          </w:p>
        </w:tc>
        <w:tc>
          <w:tcPr>
            <w:tcW w:w="908"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达坂河村</w:t>
            </w:r>
          </w:p>
        </w:tc>
        <w:tc>
          <w:tcPr>
            <w:tcW w:w="1017" w:type="pct"/>
            <w:gridSpan w:val="4"/>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东南</w:t>
            </w:r>
          </w:p>
        </w:tc>
        <w:tc>
          <w:tcPr>
            <w:tcW w:w="600"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4800</w:t>
            </w:r>
          </w:p>
        </w:tc>
        <w:tc>
          <w:tcPr>
            <w:tcW w:w="638"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w:t>
            </w:r>
          </w:p>
        </w:tc>
        <w:tc>
          <w:tcPr>
            <w:tcW w:w="908"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十三户村</w:t>
            </w:r>
          </w:p>
        </w:tc>
        <w:tc>
          <w:tcPr>
            <w:tcW w:w="1017" w:type="pct"/>
            <w:gridSpan w:val="4"/>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西</w:t>
            </w:r>
          </w:p>
        </w:tc>
        <w:tc>
          <w:tcPr>
            <w:tcW w:w="600"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2800</w:t>
            </w:r>
          </w:p>
        </w:tc>
        <w:tc>
          <w:tcPr>
            <w:tcW w:w="638"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w:t>
            </w:r>
          </w:p>
        </w:tc>
        <w:tc>
          <w:tcPr>
            <w:tcW w:w="908"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牧场村</w:t>
            </w:r>
          </w:p>
        </w:tc>
        <w:tc>
          <w:tcPr>
            <w:tcW w:w="1017" w:type="pct"/>
            <w:gridSpan w:val="4"/>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北</w:t>
            </w:r>
          </w:p>
        </w:tc>
        <w:tc>
          <w:tcPr>
            <w:tcW w:w="600"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4800</w:t>
            </w:r>
          </w:p>
        </w:tc>
        <w:tc>
          <w:tcPr>
            <w:tcW w:w="638"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居住区</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3572" w:type="pct"/>
            <w:gridSpan w:val="10"/>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厂址周边500m范围内人口数小计</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3572" w:type="pct"/>
            <w:gridSpan w:val="10"/>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厂址周边5km范围内人口数小计</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4155人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3572" w:type="pct"/>
            <w:gridSpan w:val="10"/>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大气环境敏感程度E值</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restart"/>
            <w:tcBorders>
              <w:lef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地表水</w:t>
            </w:r>
          </w:p>
        </w:tc>
        <w:tc>
          <w:tcPr>
            <w:tcW w:w="4529" w:type="pct"/>
            <w:gridSpan w:val="11"/>
            <w:tcBorders>
              <w:righ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受纳水体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47"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序号</w:t>
            </w:r>
          </w:p>
        </w:tc>
        <w:tc>
          <w:tcPr>
            <w:tcW w:w="1017" w:type="pct"/>
            <w:gridSpan w:val="3"/>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受纳水体名称</w:t>
            </w:r>
          </w:p>
        </w:tc>
        <w:tc>
          <w:tcPr>
            <w:tcW w:w="1311" w:type="pct"/>
            <w:gridSpan w:val="3"/>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排放水水域环境功能</w:t>
            </w:r>
          </w:p>
        </w:tc>
        <w:tc>
          <w:tcPr>
            <w:tcW w:w="1752" w:type="pct"/>
            <w:gridSpan w:val="3"/>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24h内流经范围/km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47"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017" w:type="pct"/>
            <w:gridSpan w:val="3"/>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无</w:t>
            </w:r>
          </w:p>
        </w:tc>
        <w:tc>
          <w:tcPr>
            <w:tcW w:w="1311" w:type="pct"/>
            <w:gridSpan w:val="3"/>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1752" w:type="pct"/>
            <w:gridSpan w:val="3"/>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3572" w:type="pct"/>
            <w:gridSpan w:val="10"/>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地表水环境敏感程度</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restart"/>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地下水</w:t>
            </w:r>
          </w:p>
        </w:tc>
        <w:tc>
          <w:tcPr>
            <w:tcW w:w="407" w:type="pct"/>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序号</w:t>
            </w:r>
          </w:p>
        </w:tc>
        <w:tc>
          <w:tcPr>
            <w:tcW w:w="955" w:type="pct"/>
            <w:gridSpan w:val="3"/>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环境敏感区名称</w:t>
            </w:r>
          </w:p>
        </w:tc>
        <w:tc>
          <w:tcPr>
            <w:tcW w:w="689" w:type="pct"/>
            <w:gridSpan w:val="2"/>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环境敏感特征</w:t>
            </w:r>
          </w:p>
        </w:tc>
        <w:tc>
          <w:tcPr>
            <w:tcW w:w="725" w:type="pct"/>
            <w:gridSpan w:val="2"/>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水质目标</w:t>
            </w:r>
          </w:p>
        </w:tc>
        <w:tc>
          <w:tcPr>
            <w:tcW w:w="795" w:type="pct"/>
            <w:gridSpan w:val="2"/>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包气带防污性能</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与下游厂界距离/m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407" w:type="pct"/>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955" w:type="pct"/>
            <w:gridSpan w:val="3"/>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不敏感G3</w:t>
            </w:r>
          </w:p>
        </w:tc>
        <w:tc>
          <w:tcPr>
            <w:tcW w:w="689"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其它地区</w:t>
            </w:r>
          </w:p>
        </w:tc>
        <w:tc>
          <w:tcPr>
            <w:tcW w:w="725" w:type="pct"/>
            <w:gridSpan w:val="2"/>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Ⅲ</w:t>
            </w:r>
            <w:r>
              <w:rPr>
                <w:rFonts w:hint="eastAsia"/>
                <w:lang w:val="en-US" w:eastAsia="zh-CN"/>
              </w:rPr>
              <w:t>类</w:t>
            </w:r>
          </w:p>
        </w:tc>
        <w:tc>
          <w:tcPr>
            <w:tcW w:w="795" w:type="pct"/>
            <w:gridSpan w:val="2"/>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957"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tcBorders>
              <w:left w:val="nil"/>
              <w:bottom w:val="single" w:color="auto" w:sz="12" w:space="0"/>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3572" w:type="pct"/>
            <w:gridSpan w:val="10"/>
            <w:tcBorders>
              <w:bottom w:val="single" w:color="auto" w:sz="12" w:space="0"/>
            </w:tcBorders>
            <w:noWrap w:val="0"/>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地下水环境敏感程度E值</w:t>
            </w:r>
          </w:p>
        </w:tc>
        <w:tc>
          <w:tcPr>
            <w:tcW w:w="957" w:type="pct"/>
            <w:tcBorders>
              <w:bottom w:val="single" w:color="auto" w:sz="12" w:space="0"/>
              <w:right w:val="nil"/>
            </w:tcBorders>
            <w:noWrap w:val="0"/>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E3</w:t>
            </w:r>
          </w:p>
        </w:tc>
      </w:tr>
    </w:tbl>
    <w:p>
      <w:pPr>
        <w:pStyle w:val="4"/>
        <w:ind w:firstLine="480"/>
        <w:rPr>
          <w:color w:val="auto"/>
          <w:highlight w:val="none"/>
        </w:rPr>
      </w:pPr>
      <w:r>
        <w:rPr>
          <w:rFonts w:hint="eastAsia"/>
          <w:color w:val="auto"/>
          <w:highlight w:val="none"/>
          <w:shd w:val="clear"/>
          <w:lang w:val="en-US" w:eastAsia="zh-CN"/>
        </w:rPr>
        <w:t>评价范围</w:t>
      </w:r>
      <w:r>
        <w:rPr>
          <w:rFonts w:hint="eastAsia"/>
          <w:color w:val="auto"/>
          <w:highlight w:val="none"/>
          <w:shd w:val="clear"/>
        </w:rPr>
        <w:t>环境敏感目标分布见附图</w:t>
      </w:r>
      <w:r>
        <w:rPr>
          <w:rFonts w:hint="eastAsia"/>
          <w:color w:val="auto"/>
          <w:highlight w:val="none"/>
          <w:shd w:val="clear"/>
          <w:lang w:val="en-US" w:eastAsia="zh-CN"/>
        </w:rPr>
        <w:t>4</w:t>
      </w:r>
      <w:r>
        <w:rPr>
          <w:rFonts w:hint="eastAsia"/>
          <w:color w:val="auto"/>
          <w:highlight w:val="none"/>
          <w:shd w:val="clear"/>
        </w:rPr>
        <w:t>。</w:t>
      </w:r>
    </w:p>
    <w:p>
      <w:pPr>
        <w:pStyle w:val="3"/>
        <w:bidi w:val="0"/>
        <w:rPr>
          <w:rFonts w:hint="eastAsia"/>
          <w:color w:val="auto"/>
          <w:highlight w:val="none"/>
        </w:rPr>
      </w:pPr>
      <w:bookmarkStart w:id="36" w:name="_Toc5210"/>
      <w:bookmarkStart w:id="37" w:name="_Toc19774"/>
      <w:r>
        <w:rPr>
          <w:rFonts w:hint="eastAsia"/>
          <w:color w:val="auto"/>
          <w:highlight w:val="none"/>
          <w:lang w:val="en-US" w:eastAsia="zh-CN"/>
        </w:rPr>
        <w:t>建设项目工程分析</w:t>
      </w:r>
      <w:bookmarkEnd w:id="36"/>
      <w:bookmarkEnd w:id="37"/>
    </w:p>
    <w:p>
      <w:pPr>
        <w:pStyle w:val="6"/>
        <w:bidi w:val="0"/>
        <w:rPr>
          <w:rFonts w:hint="eastAsia"/>
          <w:color w:val="auto"/>
          <w:highlight w:val="none"/>
        </w:rPr>
      </w:pPr>
      <w:r>
        <w:rPr>
          <w:rFonts w:hint="eastAsia"/>
          <w:color w:val="auto"/>
          <w:highlight w:val="none"/>
          <w:lang w:val="en-US" w:eastAsia="zh-CN"/>
        </w:rPr>
        <w:t>项目基本情况</w:t>
      </w:r>
    </w:p>
    <w:p>
      <w:pPr>
        <w:pStyle w:val="4"/>
        <w:rPr>
          <w:rFonts w:hint="eastAsia"/>
          <w:color w:val="auto"/>
          <w:highlight w:val="none"/>
          <w:lang w:val="en-US" w:eastAsia="zh-CN"/>
        </w:rPr>
      </w:pPr>
      <w:r>
        <w:rPr>
          <w:rFonts w:hint="eastAsia"/>
          <w:color w:val="auto"/>
          <w:highlight w:val="none"/>
          <w:lang w:val="en-US" w:eastAsia="zh-CN"/>
        </w:rPr>
        <w:t>项目名称：灰渣倾倒场地治理项目</w:t>
      </w:r>
    </w:p>
    <w:p>
      <w:pPr>
        <w:pStyle w:val="4"/>
        <w:rPr>
          <w:rFonts w:hint="default"/>
          <w:color w:val="auto"/>
          <w:highlight w:val="none"/>
          <w:lang w:val="en-US" w:eastAsia="zh-CN"/>
        </w:rPr>
      </w:pPr>
      <w:r>
        <w:rPr>
          <w:rFonts w:hint="eastAsia"/>
          <w:color w:val="auto"/>
          <w:highlight w:val="none"/>
          <w:lang w:val="en-US" w:eastAsia="zh-CN"/>
        </w:rPr>
        <w:t>建设单位：奇台县瑞丰商贸有限公司</w:t>
      </w:r>
    </w:p>
    <w:p>
      <w:pPr>
        <w:pStyle w:val="4"/>
        <w:rPr>
          <w:rFonts w:hint="default"/>
          <w:color w:val="auto"/>
          <w:highlight w:val="none"/>
          <w:lang w:val="en-US" w:eastAsia="zh-CN"/>
        </w:rPr>
      </w:pPr>
      <w:r>
        <w:rPr>
          <w:rFonts w:hint="eastAsia"/>
          <w:color w:val="auto"/>
          <w:highlight w:val="none"/>
          <w:lang w:val="en-US" w:eastAsia="zh-CN"/>
        </w:rPr>
        <w:t>建设性质：新建</w:t>
      </w:r>
    </w:p>
    <w:p>
      <w:pPr>
        <w:pStyle w:val="4"/>
        <w:rPr>
          <w:rFonts w:hint="default" w:eastAsia="宋体"/>
          <w:color w:val="auto"/>
          <w:highlight w:val="none"/>
          <w:lang w:val="en-US" w:eastAsia="zh-CN"/>
        </w:rPr>
      </w:pPr>
      <w:r>
        <w:rPr>
          <w:rFonts w:hint="eastAsia"/>
          <w:color w:val="auto"/>
          <w:highlight w:val="none"/>
          <w:lang w:val="en-US" w:eastAsia="zh-CN"/>
        </w:rPr>
        <w:t>建设地点：</w:t>
      </w:r>
      <w:r>
        <w:rPr>
          <w:rFonts w:hint="eastAsia"/>
          <w:color w:val="auto"/>
          <w:highlight w:val="none"/>
          <w:lang w:eastAsia="zh-CN"/>
        </w:rPr>
        <w:t>奇台县吉布库镇达坂河村</w:t>
      </w:r>
      <w:r>
        <w:rPr>
          <w:rFonts w:hint="eastAsia"/>
          <w:color w:val="auto"/>
          <w:highlight w:val="none"/>
          <w:lang w:val="en-US" w:eastAsia="zh-CN"/>
        </w:rPr>
        <w:t>。</w:t>
      </w:r>
    </w:p>
    <w:p>
      <w:pPr>
        <w:pStyle w:val="4"/>
        <w:rPr>
          <w:rFonts w:hint="eastAsia" w:ascii="Times New Roman" w:hAnsi="Times New Roman" w:cs="Times New Roman"/>
          <w:color w:val="auto"/>
          <w:highlight w:val="none"/>
          <w:lang w:val="en-US" w:eastAsia="zh-CN"/>
        </w:rPr>
      </w:pPr>
      <w:r>
        <w:rPr>
          <w:rFonts w:hint="eastAsia"/>
          <w:color w:val="auto"/>
          <w:highlight w:val="none"/>
          <w:lang w:val="en-US" w:eastAsia="zh-CN"/>
        </w:rPr>
        <w:t>地理位置坐标</w:t>
      </w:r>
      <w:r>
        <w:rPr>
          <w:rFonts w:hint="default" w:ascii="Times New Roman" w:hAnsi="Times New Roman" w:cs="Times New Roman"/>
          <w:color w:val="auto"/>
          <w:highlight w:val="none"/>
          <w:lang w:val="en-US" w:eastAsia="zh-CN"/>
        </w:rPr>
        <w:t>：</w:t>
      </w:r>
      <w:r>
        <w:rPr>
          <w:rFonts w:hint="eastAsia"/>
          <w:color w:val="auto"/>
          <w:highlight w:val="none"/>
          <w:lang w:val="en-US" w:eastAsia="zh-CN"/>
        </w:rPr>
        <w:t>本项目中心地理位置坐标为E：</w:t>
      </w:r>
      <w:r>
        <w:rPr>
          <w:rFonts w:hint="default" w:ascii="Times New Roman" w:hAnsi="Times New Roman" w:cs="Times New Roman"/>
          <w:color w:val="auto"/>
          <w:highlight w:val="none"/>
          <w:lang w:val="en-US" w:eastAsia="zh-CN"/>
        </w:rPr>
        <w:t>89°30′</w:t>
      </w:r>
      <w:r>
        <w:rPr>
          <w:rFonts w:hint="eastAsia" w:cs="Times New Roman"/>
          <w:color w:val="auto"/>
          <w:highlight w:val="none"/>
          <w:lang w:val="en-US" w:eastAsia="zh-CN"/>
        </w:rPr>
        <w:t>27.515</w:t>
      </w:r>
      <w:r>
        <w:rPr>
          <w:rFonts w:hint="default" w:ascii="Times New Roman" w:hAnsi="Times New Roman" w:cs="Times New Roman"/>
          <w:color w:val="auto"/>
          <w:highlight w:val="none"/>
          <w:lang w:val="en-US" w:eastAsia="zh-CN"/>
        </w:rPr>
        <w:t>″</w:t>
      </w:r>
      <w:r>
        <w:rPr>
          <w:rFonts w:hint="eastAsia"/>
          <w:color w:val="auto"/>
          <w:highlight w:val="none"/>
          <w:lang w:val="en-US" w:eastAsia="zh-CN"/>
        </w:rPr>
        <w:t>，N：</w:t>
      </w:r>
      <w:r>
        <w:rPr>
          <w:rFonts w:hint="default" w:ascii="Times New Roman" w:hAnsi="Times New Roman" w:cs="Times New Roman"/>
          <w:color w:val="auto"/>
          <w:highlight w:val="none"/>
          <w:lang w:val="en-US" w:eastAsia="zh-CN"/>
        </w:rPr>
        <w:t>43°54′38.409″</w:t>
      </w:r>
      <w:r>
        <w:rPr>
          <w:rFonts w:hint="eastAsia" w:ascii="Times New Roman" w:hAnsi="Times New Roman" w:cs="Times New Roman"/>
          <w:color w:val="auto"/>
          <w:highlight w:val="none"/>
          <w:lang w:val="en-US" w:eastAsia="zh-CN"/>
        </w:rPr>
        <w:t>。项目地理位置见附图1。</w:t>
      </w:r>
    </w:p>
    <w:p>
      <w:pPr>
        <w:pStyle w:val="4"/>
        <w:rPr>
          <w:rFonts w:hint="default" w:cs="Times New Roman"/>
          <w:color w:val="auto"/>
          <w:highlight w:val="none"/>
          <w:lang w:val="en-US" w:eastAsia="zh-CN"/>
        </w:rPr>
      </w:pPr>
      <w:r>
        <w:rPr>
          <w:rFonts w:hint="eastAsia"/>
          <w:color w:val="auto"/>
          <w:highlight w:val="none"/>
          <w:lang w:val="en-US" w:eastAsia="zh-CN"/>
        </w:rPr>
        <w:t>周边关系：</w:t>
      </w:r>
      <w:r>
        <w:rPr>
          <w:rFonts w:hint="eastAsia" w:cs="Times New Roman"/>
          <w:color w:val="auto"/>
          <w:highlight w:val="none"/>
          <w:lang w:val="en-US" w:eastAsia="zh-CN"/>
        </w:rPr>
        <w:t>项目区南侧隔路和东、西侧区域为奇台县历史遗留采砂坑，目前正在筹备建设一般工业固体废物填埋场对其进行生态恢复治理。项目区北侧为低覆盖度荒草地，距G7京新高速和奇台县建成区最近距离分别为250m和8km，东南侧550m和1500m处分别为吉布库养殖区和达坂河5村，西南侧2000m处为达坂河11村。周边关系见附图2。</w:t>
      </w:r>
    </w:p>
    <w:p>
      <w:pPr>
        <w:pStyle w:val="4"/>
        <w:rPr>
          <w:rFonts w:hint="default"/>
          <w:color w:val="auto"/>
          <w:highlight w:val="none"/>
          <w:lang w:val="en-US" w:eastAsia="zh-CN"/>
        </w:rPr>
      </w:pPr>
      <w:r>
        <w:rPr>
          <w:rFonts w:hint="eastAsia"/>
          <w:color w:val="auto"/>
          <w:highlight w:val="none"/>
          <w:lang w:val="en-US" w:eastAsia="zh-CN"/>
        </w:rPr>
        <w:t>项目投资：项目总投资86万元，其中环保投资38.5万元，占项目总投资44.8%。</w:t>
      </w:r>
    </w:p>
    <w:p>
      <w:pPr>
        <w:pStyle w:val="4"/>
        <w:rPr>
          <w:rFonts w:hint="default"/>
          <w:color w:val="auto"/>
          <w:highlight w:val="none"/>
          <w:lang w:val="en-US" w:eastAsia="zh-CN"/>
        </w:rPr>
      </w:pPr>
      <w:r>
        <w:rPr>
          <w:rFonts w:hint="eastAsia"/>
          <w:color w:val="auto"/>
          <w:highlight w:val="none"/>
          <w:lang w:val="en-US" w:eastAsia="zh-CN"/>
        </w:rPr>
        <w:t>建设规模：</w:t>
      </w:r>
      <w:r>
        <w:rPr>
          <w:rFonts w:hint="eastAsia"/>
          <w:color w:val="FF0000"/>
          <w:highlight w:val="none"/>
          <w:lang w:val="en-US" w:eastAsia="zh-CN"/>
        </w:rPr>
        <w:t>本项目占地面积26183m</w:t>
      </w:r>
      <w:r>
        <w:rPr>
          <w:rFonts w:hint="eastAsia"/>
          <w:color w:val="FF0000"/>
          <w:highlight w:val="none"/>
          <w:vertAlign w:val="superscript"/>
          <w:lang w:val="en-US" w:eastAsia="zh-CN"/>
        </w:rPr>
        <w:t>2</w:t>
      </w:r>
      <w:r>
        <w:rPr>
          <w:rFonts w:hint="eastAsia"/>
          <w:color w:val="FF0000"/>
          <w:highlight w:val="none"/>
          <w:vertAlign w:val="baseline"/>
          <w:lang w:val="en-US" w:eastAsia="zh-CN"/>
        </w:rPr>
        <w:t>。</w:t>
      </w:r>
      <w:r>
        <w:rPr>
          <w:rFonts w:hint="eastAsia"/>
          <w:color w:val="FF0000"/>
          <w:highlight w:val="none"/>
          <w:lang w:val="en-US" w:eastAsia="zh-CN"/>
        </w:rPr>
        <w:t>拟治理的污染区面积5700m</w:t>
      </w:r>
      <w:r>
        <w:rPr>
          <w:rFonts w:hint="eastAsia"/>
          <w:color w:val="FF0000"/>
          <w:highlight w:val="none"/>
          <w:vertAlign w:val="superscript"/>
          <w:lang w:val="en-US" w:eastAsia="zh-CN"/>
        </w:rPr>
        <w:t>2</w:t>
      </w:r>
      <w:r>
        <w:rPr>
          <w:rFonts w:hint="eastAsia"/>
          <w:color w:val="FF0000"/>
          <w:highlight w:val="none"/>
          <w:lang w:val="en-US" w:eastAsia="zh-CN"/>
        </w:rPr>
        <w:t>，就地回填的采砂坑坑底面积11075m</w:t>
      </w:r>
      <w:r>
        <w:rPr>
          <w:rFonts w:hint="eastAsia"/>
          <w:color w:val="FF0000"/>
          <w:highlight w:val="none"/>
          <w:vertAlign w:val="superscript"/>
          <w:lang w:val="en-US" w:eastAsia="zh-CN"/>
        </w:rPr>
        <w:t>2</w:t>
      </w:r>
      <w:r>
        <w:rPr>
          <w:rFonts w:hint="eastAsia"/>
          <w:color w:val="FF0000"/>
          <w:highlight w:val="none"/>
          <w:lang w:val="en-US" w:eastAsia="zh-CN"/>
        </w:rPr>
        <w:t>，坑口面积26183m</w:t>
      </w:r>
      <w:r>
        <w:rPr>
          <w:rFonts w:hint="eastAsia"/>
          <w:color w:val="FF0000"/>
          <w:highlight w:val="none"/>
          <w:vertAlign w:val="superscript"/>
          <w:lang w:val="en-US" w:eastAsia="zh-CN"/>
        </w:rPr>
        <w:t>2</w:t>
      </w:r>
      <w:r>
        <w:rPr>
          <w:rFonts w:hint="eastAsia"/>
          <w:color w:val="FF0000"/>
          <w:highlight w:val="none"/>
          <w:vertAlign w:val="baseline"/>
          <w:lang w:val="en-US" w:eastAsia="zh-CN"/>
        </w:rPr>
        <w:t>，</w:t>
      </w:r>
      <w:r>
        <w:rPr>
          <w:rFonts w:hint="eastAsia"/>
          <w:color w:val="FF0000"/>
          <w:highlight w:val="none"/>
          <w:lang w:val="en-US" w:eastAsia="zh-CN"/>
        </w:rPr>
        <w:t>坑底标高803.3~809.0m，坑口标高822.4~835.0m，平均深度23m。</w:t>
      </w:r>
      <w:r>
        <w:rPr>
          <w:rFonts w:hint="eastAsia"/>
          <w:color w:val="auto"/>
          <w:highlight w:val="none"/>
          <w:lang w:val="en-US" w:eastAsia="zh-CN"/>
        </w:rPr>
        <w:t>拟填埋处置现状非法倾倒的粉煤灰13948t，炉渣3000t，体积约1.1万m</w:t>
      </w:r>
      <w:r>
        <w:rPr>
          <w:rFonts w:hint="eastAsia"/>
          <w:color w:val="auto"/>
          <w:highlight w:val="none"/>
          <w:vertAlign w:val="superscript"/>
          <w:lang w:val="en-US" w:eastAsia="zh-CN"/>
        </w:rPr>
        <w:t>3</w:t>
      </w:r>
      <w:r>
        <w:rPr>
          <w:rFonts w:hint="eastAsia"/>
          <w:color w:val="auto"/>
          <w:highlight w:val="none"/>
          <w:vertAlign w:val="baseline"/>
          <w:lang w:val="en-US" w:eastAsia="zh-CN"/>
        </w:rPr>
        <w:t>。灰渣移除后，项目拟清除堆放区表土面积5700m</w:t>
      </w:r>
      <w:r>
        <w:rPr>
          <w:rFonts w:hint="eastAsia"/>
          <w:color w:val="auto"/>
          <w:highlight w:val="none"/>
          <w:vertAlign w:val="superscript"/>
          <w:lang w:val="en-US" w:eastAsia="zh-CN"/>
        </w:rPr>
        <w:t>2</w:t>
      </w:r>
      <w:r>
        <w:rPr>
          <w:rFonts w:hint="eastAsia"/>
          <w:color w:val="auto"/>
          <w:highlight w:val="none"/>
          <w:vertAlign w:val="baseline"/>
          <w:lang w:val="en-US" w:eastAsia="zh-CN"/>
        </w:rPr>
        <w:t>，深度0.5m，土方量约0.3万m</w:t>
      </w:r>
      <w:r>
        <w:rPr>
          <w:rFonts w:hint="eastAsia"/>
          <w:color w:val="auto"/>
          <w:highlight w:val="none"/>
          <w:vertAlign w:val="superscript"/>
          <w:lang w:val="en-US" w:eastAsia="zh-CN"/>
        </w:rPr>
        <w:t>3</w:t>
      </w:r>
      <w:r>
        <w:rPr>
          <w:rFonts w:hint="eastAsia"/>
          <w:color w:val="auto"/>
          <w:highlight w:val="none"/>
          <w:vertAlign w:val="baseline"/>
          <w:lang w:val="en-US" w:eastAsia="zh-CN"/>
        </w:rPr>
        <w:t>。回填作业完成后覆盖砂砾层抑尘，覆盖层厚度5cm，面积约12000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，覆盖砂砾层量600m</w:t>
      </w:r>
      <w:r>
        <w:rPr>
          <w:rFonts w:hint="eastAsia"/>
          <w:color w:val="auto"/>
          <w:highlight w:val="none"/>
          <w:vertAlign w:val="superscript"/>
          <w:lang w:val="en-US" w:eastAsia="zh-CN"/>
        </w:rPr>
        <w:t>3</w:t>
      </w:r>
      <w:r>
        <w:rPr>
          <w:rFonts w:hint="eastAsia"/>
          <w:color w:val="auto"/>
          <w:highlight w:val="none"/>
          <w:lang w:val="en-US" w:eastAsia="zh-CN"/>
        </w:rPr>
        <w:t>。填埋作业结束后，坑地标高提升约0.75m。</w:t>
      </w:r>
    </w:p>
    <w:p>
      <w:pPr>
        <w:pStyle w:val="4"/>
        <w:ind w:left="240" w:leftChars="100" w:firstLine="240" w:firstLineChars="100"/>
        <w:rPr>
          <w:rFonts w:hint="default"/>
          <w:color w:val="auto"/>
          <w:highlight w:val="none"/>
          <w:lang w:val="en-US" w:eastAsia="zh-CN"/>
        </w:rPr>
      </w:pPr>
      <w:r>
        <w:rPr>
          <w:rFonts w:hint="eastAsia"/>
          <w:color w:val="auto"/>
          <w:highlight w:val="none"/>
          <w:lang w:val="en-US" w:eastAsia="zh-CN"/>
        </w:rPr>
        <w:t>建设周期：2个月（2022年3月1日至2022年5月1日）。</w:t>
      </w:r>
    </w:p>
    <w:p>
      <w:pPr>
        <w:pStyle w:val="4"/>
        <w:rPr>
          <w:rFonts w:hint="eastAsia"/>
          <w:color w:val="auto"/>
          <w:highlight w:val="none"/>
          <w:lang w:val="en-US" w:eastAsia="zh-CN"/>
        </w:rPr>
      </w:pPr>
      <w:r>
        <w:rPr>
          <w:rFonts w:hint="eastAsia"/>
          <w:color w:val="auto"/>
          <w:highlight w:val="none"/>
          <w:lang w:val="en-US" w:eastAsia="zh-CN"/>
        </w:rPr>
        <w:t>劳动定员与工作制度：基础建设及回填作业劳动总定员20人，一班制，12h/班，工作时间60d。</w:t>
      </w:r>
    </w:p>
    <w:p>
      <w:pPr>
        <w:pStyle w:val="4"/>
        <w:rPr>
          <w:rFonts w:hint="default"/>
          <w:color w:val="auto"/>
          <w:highlight w:val="none"/>
          <w:lang w:val="en-US" w:eastAsia="zh-CN"/>
        </w:rPr>
      </w:pPr>
      <w:r>
        <w:rPr>
          <w:rFonts w:hint="eastAsia"/>
          <w:color w:val="auto"/>
          <w:highlight w:val="none"/>
          <w:lang w:val="en-US" w:eastAsia="zh-CN"/>
        </w:rPr>
        <w:t>服务范围和对象：处置本次非法倾倒的粉煤灰和炉渣。</w:t>
      </w:r>
      <w:r>
        <w:rPr>
          <w:rFonts w:hint="eastAsia"/>
          <w:color w:val="FF0000"/>
          <w:highlight w:val="none"/>
          <w:lang w:val="en-US" w:eastAsia="zh-CN"/>
        </w:rPr>
        <w:t>根据《一般固体废物分类与代码》（GB/T39198-2020），粉煤灰废物代码为63，炉渣的废物代码为64。</w:t>
      </w:r>
    </w:p>
    <w:p>
      <w:pPr>
        <w:pStyle w:val="6"/>
        <w:bidi w:val="0"/>
        <w:rPr>
          <w:rFonts w:hint="eastAsia"/>
          <w:color w:val="auto"/>
          <w:highlight w:val="none"/>
        </w:rPr>
      </w:pPr>
      <w:r>
        <w:rPr>
          <w:rFonts w:hint="eastAsia"/>
          <w:color w:val="auto"/>
          <w:highlight w:val="none"/>
          <w:lang w:val="en-US" w:eastAsia="zh-CN"/>
        </w:rPr>
        <w:t>项目组成</w:t>
      </w:r>
    </w:p>
    <w:p>
      <w:pPr>
        <w:pStyle w:val="4"/>
        <w:rPr>
          <w:rFonts w:hint="default"/>
          <w:color w:val="auto"/>
          <w:highlight w:val="none"/>
          <w:lang w:val="en-US" w:eastAsia="zh-CN"/>
        </w:rPr>
      </w:pPr>
      <w:r>
        <w:rPr>
          <w:rFonts w:hint="eastAsia"/>
          <w:color w:val="auto"/>
          <w:highlight w:val="none"/>
          <w:lang w:val="en-US" w:eastAsia="zh-CN"/>
        </w:rPr>
        <w:t>本项目建设内容包括：进场道路</w:t>
      </w:r>
      <w:r>
        <w:rPr>
          <w:rFonts w:hint="eastAsia"/>
          <w:color w:val="FF0000"/>
          <w:highlight w:val="none"/>
          <w:lang w:val="en-US" w:eastAsia="zh-CN"/>
        </w:rPr>
        <w:t>（马道）</w:t>
      </w:r>
      <w:r>
        <w:rPr>
          <w:rFonts w:hint="eastAsia"/>
          <w:color w:val="auto"/>
          <w:highlight w:val="none"/>
          <w:lang w:val="en-US" w:eastAsia="zh-CN"/>
        </w:rPr>
        <w:t>、</w:t>
      </w:r>
      <w:r>
        <w:rPr>
          <w:rFonts w:hint="eastAsia"/>
          <w:color w:val="FF0000"/>
          <w:highlight w:val="none"/>
          <w:lang w:val="en-US" w:eastAsia="zh-CN"/>
        </w:rPr>
        <w:t>爬坡道路</w:t>
      </w:r>
      <w:r>
        <w:rPr>
          <w:rFonts w:hint="eastAsia"/>
          <w:color w:val="auto"/>
          <w:highlight w:val="none"/>
          <w:lang w:val="en-US" w:eastAsia="zh-CN"/>
        </w:rPr>
        <w:t>、防渗工程、</w:t>
      </w:r>
      <w:r>
        <w:rPr>
          <w:rFonts w:hint="eastAsia"/>
          <w:lang w:val="en-US" w:eastAsia="zh-CN"/>
        </w:rPr>
        <w:t>防渗层渗漏监控系统、</w:t>
      </w:r>
      <w:r>
        <w:rPr>
          <w:rFonts w:hint="eastAsia"/>
          <w:color w:val="auto"/>
          <w:highlight w:val="none"/>
          <w:lang w:val="en-US" w:eastAsia="zh-CN"/>
        </w:rPr>
        <w:t>地下水监测井。</w:t>
      </w:r>
    </w:p>
    <w:p>
      <w:pPr>
        <w:pStyle w:val="4"/>
        <w:rPr>
          <w:rFonts w:hint="eastAsia"/>
          <w:color w:val="auto"/>
          <w:highlight w:val="none"/>
          <w:lang w:eastAsia="zh-CN"/>
        </w:rPr>
      </w:pPr>
      <w:r>
        <w:rPr>
          <w:rFonts w:hint="eastAsia"/>
          <w:color w:val="auto"/>
          <w:highlight w:val="none"/>
          <w:lang w:val="en-US" w:eastAsia="zh-CN"/>
        </w:rPr>
        <w:t>本</w:t>
      </w:r>
      <w:r>
        <w:rPr>
          <w:rFonts w:hint="eastAsia"/>
          <w:color w:val="auto"/>
          <w:highlight w:val="none"/>
        </w:rPr>
        <w:t>项目工程组成情况详见</w:t>
      </w:r>
      <w:r>
        <w:rPr>
          <w:rFonts w:hint="eastAsia"/>
          <w:color w:val="auto"/>
          <w:highlight w:val="none"/>
          <w:lang w:val="en-US" w:eastAsia="zh-CN"/>
        </w:rPr>
        <w:t>下</w:t>
      </w:r>
      <w:r>
        <w:rPr>
          <w:rFonts w:hint="eastAsia"/>
          <w:color w:val="auto"/>
          <w:highlight w:val="none"/>
        </w:rPr>
        <w:t>表</w:t>
      </w:r>
      <w:r>
        <w:rPr>
          <w:rFonts w:hint="eastAsia"/>
          <w:color w:val="auto"/>
          <w:highlight w:val="none"/>
          <w:lang w:eastAsia="zh-CN"/>
        </w:rPr>
        <w:t>：</w:t>
      </w:r>
    </w:p>
    <w:p>
      <w:pPr>
        <w:pStyle w:val="22"/>
        <w:bidi w:val="0"/>
        <w:rPr>
          <w:rFonts w:hint="eastAsia"/>
          <w:lang w:val="en-US" w:eastAsia="zh-CN"/>
        </w:rPr>
      </w:pPr>
      <w:r>
        <w:t>表</w:t>
      </w:r>
      <w:r>
        <w:rPr>
          <w:rFonts w:hint="eastAsia"/>
          <w:lang w:val="en-US" w:eastAsia="zh-CN"/>
        </w:rPr>
        <w:t>3.1-1</w:t>
      </w:r>
      <w:r>
        <w:rPr>
          <w:rFonts w:hint="eastAsia"/>
        </w:rPr>
        <w:t xml:space="preserve">    </w:t>
      </w:r>
      <w:r>
        <w:rPr>
          <w:rFonts w:hint="eastAsia"/>
          <w:lang w:val="en-US" w:eastAsia="zh-CN"/>
        </w:rPr>
        <w:t>工程组成一览表</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45"/>
        <w:gridCol w:w="1098"/>
        <w:gridCol w:w="65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41" w:type="pct"/>
            <w:gridSpan w:val="2"/>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工程分类</w:t>
            </w:r>
          </w:p>
        </w:tc>
        <w:tc>
          <w:tcPr>
            <w:tcW w:w="3858"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工程组成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主体工程</w:t>
            </w: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填埋采坑区</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现状灰渣填埋量1.1万m</w:t>
            </w:r>
            <w:r>
              <w:rPr>
                <w:rFonts w:hint="eastAsia"/>
                <w:vertAlign w:val="superscript"/>
                <w:lang w:val="en-US" w:eastAsia="zh-CN"/>
              </w:rPr>
              <w:t>3</w:t>
            </w:r>
            <w:r>
              <w:rPr>
                <w:rFonts w:hint="eastAsia"/>
                <w:lang w:val="en-US" w:eastAsia="zh-CN"/>
              </w:rPr>
              <w:t>，污染层土壤治理量0.3万m</w:t>
            </w:r>
            <w:r>
              <w:rPr>
                <w:rFonts w:hint="eastAsia"/>
                <w:vertAlign w:val="superscript"/>
                <w:lang w:val="en-US" w:eastAsia="zh-CN"/>
              </w:rPr>
              <w:t>3</w:t>
            </w:r>
            <w:r>
              <w:rPr>
                <w:rFonts w:hint="eastAsia"/>
                <w:lang w:val="en-US" w:eastAsia="zh-CN"/>
              </w:rPr>
              <w:t>，</w:t>
            </w:r>
            <w:r>
              <w:rPr>
                <w:rFonts w:hint="eastAsia"/>
                <w:color w:val="auto"/>
                <w:highlight w:val="none"/>
                <w:vertAlign w:val="baseline"/>
                <w:lang w:val="en-US" w:eastAsia="zh-CN"/>
              </w:rPr>
              <w:t>覆砂砾层体积约0.06万m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FF0000"/>
                <w:highlight w:val="none"/>
                <w:lang w:val="en-US" w:eastAsia="zh-CN"/>
              </w:rPr>
              <w:t>坑底面积11075m</w:t>
            </w:r>
            <w:r>
              <w:rPr>
                <w:rFonts w:hint="eastAsia"/>
                <w:color w:val="FF0000"/>
                <w:highlight w:val="none"/>
                <w:vertAlign w:val="superscript"/>
                <w:lang w:val="en-US" w:eastAsia="zh-CN"/>
              </w:rPr>
              <w:t>2</w:t>
            </w:r>
            <w:r>
              <w:rPr>
                <w:rFonts w:hint="eastAsia"/>
                <w:color w:val="FF0000"/>
                <w:highlight w:val="none"/>
                <w:lang w:val="en-US" w:eastAsia="zh-CN"/>
              </w:rPr>
              <w:t>，坑口面积26183m</w:t>
            </w:r>
            <w:r>
              <w:rPr>
                <w:rFonts w:hint="eastAsia"/>
                <w:color w:val="FF0000"/>
                <w:highlight w:val="none"/>
                <w:vertAlign w:val="superscript"/>
                <w:lang w:val="en-US" w:eastAsia="zh-CN"/>
              </w:rPr>
              <w:t>2</w:t>
            </w:r>
            <w:r>
              <w:rPr>
                <w:rFonts w:hint="eastAsia"/>
                <w:color w:val="FF0000"/>
                <w:highlight w:val="none"/>
                <w:vertAlign w:val="baseline"/>
                <w:lang w:val="en-US" w:eastAsia="zh-CN"/>
              </w:rPr>
              <w:t>，</w:t>
            </w:r>
            <w:r>
              <w:rPr>
                <w:rFonts w:hint="eastAsia"/>
                <w:color w:val="FF0000"/>
                <w:highlight w:val="none"/>
                <w:lang w:val="en-US" w:eastAsia="zh-CN"/>
              </w:rPr>
              <w:t>平均深度23m。填埋作业结束后，坑地标高提升约0.75m。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防渗工程</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color w:val="FF0000"/>
                <w:lang w:val="en-US" w:eastAsia="zh-CN"/>
              </w:rPr>
              <w:t>防渗层覆盖整个坑底，坑底防渗层铺设面积</w:t>
            </w:r>
            <w:r>
              <w:rPr>
                <w:rFonts w:hint="eastAsia"/>
                <w:color w:val="FF0000"/>
                <w:highlight w:val="none"/>
                <w:lang w:val="en-US" w:eastAsia="zh-CN"/>
              </w:rPr>
              <w:t>11075m</w:t>
            </w:r>
            <w:r>
              <w:rPr>
                <w:rFonts w:hint="eastAsia"/>
                <w:color w:val="FF0000"/>
                <w:highlight w:val="none"/>
                <w:vertAlign w:val="superscript"/>
                <w:lang w:val="en-US" w:eastAsia="zh-CN"/>
              </w:rPr>
              <w:t>2</w:t>
            </w:r>
            <w:r>
              <w:rPr>
                <w:rFonts w:hint="eastAsia"/>
                <w:color w:val="FF0000"/>
                <w:highlight w:val="none"/>
                <w:lang w:val="en-US" w:eastAsia="zh-CN"/>
              </w:rPr>
              <w:t>，坡面防渗为沿边坡上翻1m。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辅助工程</w:t>
            </w:r>
          </w:p>
        </w:tc>
        <w:tc>
          <w:tcPr>
            <w:tcW w:w="644"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进场道路</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default"/>
                <w:color w:val="FF0000"/>
                <w:lang w:val="en-US" w:eastAsia="zh-CN"/>
              </w:rPr>
            </w:pPr>
            <w:r>
              <w:rPr>
                <w:rFonts w:hint="eastAsia"/>
                <w:color w:val="FF0000"/>
                <w:lang w:val="en-US" w:eastAsia="zh-CN"/>
              </w:rPr>
              <w:t>依托现状采砂坑（</w:t>
            </w:r>
            <w:r>
              <w:rPr>
                <w:rFonts w:hint="eastAsia"/>
                <w:color w:val="FF0000"/>
                <w:highlight w:val="none"/>
                <w:lang w:val="en-US" w:eastAsia="zh-CN"/>
              </w:rPr>
              <w:t>原奇台县天山砂石料厂采砂坑</w:t>
            </w:r>
            <w:r>
              <w:rPr>
                <w:rFonts w:hint="eastAsia"/>
                <w:color w:val="FF0000"/>
                <w:lang w:val="en-US" w:eastAsia="zh-CN"/>
              </w:rPr>
              <w:t>）进场道路。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爬坡道路</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default"/>
                <w:color w:val="FF0000"/>
                <w:lang w:val="en-US" w:eastAsia="zh-CN"/>
              </w:rPr>
            </w:pPr>
            <w:r>
              <w:rPr>
                <w:rFonts w:hint="eastAsia"/>
                <w:color w:val="FF0000"/>
                <w:lang w:val="en-US" w:eastAsia="zh-CN"/>
              </w:rPr>
              <w:t>从坑底修建爬坡道路接进场马道。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卸料平台</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default" w:eastAsia="宋体"/>
                <w:lang w:val="en-US" w:eastAsia="zh-CN"/>
              </w:rPr>
            </w:pPr>
            <w:r>
              <w:rPr>
                <w:rFonts w:hint="eastAsia"/>
                <w:lang w:val="en-US" w:eastAsia="zh-CN"/>
              </w:rPr>
              <w:t>设置卸料平台1处，位于项目区北侧，与现状环场简易道路衔接。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公用工程</w:t>
            </w: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供配电</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rPr>
              <w:t>电源引自</w:t>
            </w:r>
            <w:r>
              <w:rPr>
                <w:rFonts w:hint="default"/>
              </w:rPr>
              <w:t>项目区周围</w:t>
            </w:r>
            <w:r>
              <w:rPr>
                <w:rFonts w:hint="eastAsia"/>
              </w:rPr>
              <w:t>电源线</w:t>
            </w:r>
            <w:r>
              <w:rPr>
                <w:rFonts w:hint="default"/>
              </w:rPr>
              <w:t>，架空敷设至项目区。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供暖</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无</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给水</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eastAsia"/>
                <w:lang w:val="en-US" w:eastAsia="zh-CN"/>
              </w:rPr>
            </w:pPr>
            <w:r>
              <w:rPr>
                <w:rFonts w:hint="eastAsia"/>
                <w:highlight w:val="none"/>
                <w:lang w:val="en-US" w:eastAsia="zh-CN"/>
              </w:rPr>
              <w:t>用罐车从奇台县城区拉运。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排水</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eastAsia"/>
                <w:lang w:eastAsia="zh-CN"/>
              </w:rPr>
            </w:pPr>
            <w:r>
              <w:rPr>
                <w:rFonts w:hint="eastAsia"/>
                <w:lang w:val="en-US" w:eastAsia="zh-CN"/>
              </w:rPr>
              <w:t>工作人员生活依托周围村庄，无废水排放</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restar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环保工程</w:t>
            </w: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废气</w:t>
            </w:r>
          </w:p>
        </w:tc>
        <w:tc>
          <w:tcPr>
            <w:tcW w:w="3858" w:type="pct"/>
            <w:vAlign w:val="center"/>
          </w:tcPr>
          <w:p>
            <w:pPr>
              <w:pStyle w:val="24"/>
              <w:keepNext w:val="0"/>
              <w:keepLines w:val="0"/>
              <w:suppressLineNumbers w:val="0"/>
              <w:bidi w:val="0"/>
              <w:spacing w:before="0" w:beforeAutospacing="0" w:after="0" w:afterAutospacing="0"/>
              <w:ind w:left="210" w:right="0" w:hanging="210" w:hangingChars="100"/>
              <w:jc w:val="left"/>
              <w:rPr>
                <w:rFonts w:hint="default"/>
                <w:lang w:val="en-US" w:eastAsia="zh-CN"/>
              </w:rPr>
            </w:pPr>
            <w:r>
              <w:rPr>
                <w:rFonts w:hint="eastAsia"/>
                <w:lang w:val="en-US" w:eastAsia="zh-CN"/>
              </w:rPr>
              <w:t>填埋作业扬尘采取水雾喷淋、洒水抑尘、压实并覆盖砂砾层的抑尘措施。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废水</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针对渗滤液：建设坑底防渗层（包括坑底和边坡防渗）、渗滤监控系统（地下水监测井）。</w:t>
            </w:r>
          </w:p>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针对生活污水：工作人员生活依托周围村庄，无生活废水排放</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固体废物</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生活垃圾集中收集，由环卫部门清运处理。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6" w:type="pct"/>
            <w:vMerge w:val="continue"/>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44" w:type="pct"/>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噪声</w:t>
            </w:r>
          </w:p>
        </w:tc>
        <w:tc>
          <w:tcPr>
            <w:tcW w:w="3858" w:type="pct"/>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选用低噪声设备，加强设备维护保养。</w:t>
            </w:r>
          </w:p>
        </w:tc>
      </w:tr>
    </w:tbl>
    <w:p>
      <w:pPr>
        <w:pStyle w:val="6"/>
        <w:bidi w:val="0"/>
        <w:rPr>
          <w:rFonts w:hint="eastAsia"/>
          <w:color w:val="auto"/>
          <w:highlight w:val="none"/>
        </w:rPr>
      </w:pPr>
      <w:r>
        <w:rPr>
          <w:rFonts w:hint="eastAsia"/>
          <w:color w:val="auto"/>
          <w:highlight w:val="none"/>
          <w:lang w:val="en-US" w:eastAsia="zh-CN"/>
        </w:rPr>
        <w:t>主要设备清单</w:t>
      </w:r>
    </w:p>
    <w:p>
      <w:pPr>
        <w:pStyle w:val="4"/>
        <w:rPr>
          <w:rFonts w:hint="default"/>
          <w:color w:val="FF0000"/>
          <w:lang w:val="en-US"/>
        </w:rPr>
      </w:pPr>
      <w:r>
        <w:rPr>
          <w:rFonts w:hint="eastAsia"/>
          <w:color w:val="FF0000"/>
          <w:highlight w:val="none"/>
          <w:lang w:val="en-US" w:eastAsia="zh-CN"/>
        </w:rPr>
        <w:t>本次灰渣治理工程所需设备清单情况如下表：</w:t>
      </w:r>
    </w:p>
    <w:p>
      <w:pPr>
        <w:pStyle w:val="22"/>
        <w:bidi w:val="0"/>
        <w:rPr>
          <w:rFonts w:hint="eastAsia"/>
          <w:color w:val="FF0000"/>
          <w:lang w:val="en-US" w:eastAsia="zh-CN"/>
        </w:rPr>
      </w:pPr>
      <w:r>
        <w:rPr>
          <w:color w:val="FF0000"/>
        </w:rPr>
        <w:t>表</w:t>
      </w:r>
      <w:r>
        <w:rPr>
          <w:rFonts w:hint="eastAsia"/>
          <w:color w:val="FF0000"/>
          <w:lang w:val="en-US" w:eastAsia="zh-CN"/>
        </w:rPr>
        <w:t>3.1-1</w:t>
      </w:r>
      <w:r>
        <w:rPr>
          <w:rFonts w:hint="eastAsia"/>
          <w:color w:val="FF0000"/>
        </w:rPr>
        <w:t xml:space="preserve">    </w:t>
      </w:r>
      <w:r>
        <w:rPr>
          <w:rFonts w:hint="eastAsia"/>
          <w:color w:val="FF0000"/>
          <w:lang w:val="en-US" w:eastAsia="zh-CN"/>
        </w:rPr>
        <w:t>设备清单一览表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0"/>
        <w:gridCol w:w="2586"/>
        <w:gridCol w:w="2586"/>
        <w:gridCol w:w="25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6"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编号</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名称</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单位</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6"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1</w:t>
            </w:r>
          </w:p>
        </w:tc>
        <w:tc>
          <w:tcPr>
            <w:tcW w:w="1517" w:type="pct"/>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FF0000"/>
                <w:kern w:val="2"/>
                <w:sz w:val="21"/>
                <w:szCs w:val="21"/>
                <w:lang w:val="en-US" w:eastAsia="zh-CN" w:bidi="ar-SA"/>
              </w:rPr>
            </w:pPr>
            <w:r>
              <w:rPr>
                <w:rFonts w:hint="eastAsia"/>
                <w:color w:val="FF0000"/>
                <w:lang w:val="en-US" w:eastAsia="zh-CN"/>
              </w:rPr>
              <w:t>自卸卡车（运输车）</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辆</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6"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2</w:t>
            </w:r>
          </w:p>
        </w:tc>
        <w:tc>
          <w:tcPr>
            <w:tcW w:w="1517" w:type="pct"/>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FF0000"/>
                <w:kern w:val="2"/>
                <w:sz w:val="21"/>
                <w:szCs w:val="21"/>
                <w:lang w:val="en-US" w:eastAsia="zh-CN" w:bidi="ar-SA"/>
              </w:rPr>
            </w:pPr>
            <w:r>
              <w:rPr>
                <w:rFonts w:hint="eastAsia"/>
                <w:color w:val="FF0000"/>
                <w:lang w:val="en-US" w:eastAsia="zh-CN"/>
              </w:rPr>
              <w:t>挖掘机</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台</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6"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3</w:t>
            </w:r>
          </w:p>
        </w:tc>
        <w:tc>
          <w:tcPr>
            <w:tcW w:w="1517" w:type="pct"/>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FF0000"/>
                <w:kern w:val="2"/>
                <w:sz w:val="21"/>
                <w:szCs w:val="21"/>
                <w:lang w:val="en-US" w:eastAsia="zh-CN" w:bidi="ar-SA"/>
              </w:rPr>
            </w:pPr>
            <w:r>
              <w:rPr>
                <w:rFonts w:hint="eastAsia"/>
                <w:color w:val="FF0000"/>
                <w:lang w:val="en-US" w:eastAsia="zh-CN"/>
              </w:rPr>
              <w:t>推土机（带碾压）</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台</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6"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w:t>
            </w:r>
          </w:p>
        </w:tc>
        <w:tc>
          <w:tcPr>
            <w:tcW w:w="1517" w:type="pct"/>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FF0000"/>
                <w:kern w:val="2"/>
                <w:sz w:val="21"/>
                <w:szCs w:val="21"/>
                <w:lang w:val="en-US" w:eastAsia="zh-CN" w:bidi="ar-SA"/>
              </w:rPr>
            </w:pPr>
            <w:r>
              <w:rPr>
                <w:rFonts w:hint="eastAsia"/>
                <w:color w:val="FF0000"/>
                <w:lang w:val="en-US" w:eastAsia="zh-CN"/>
              </w:rPr>
              <w:t>压路机</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辆</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6"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5</w:t>
            </w:r>
          </w:p>
        </w:tc>
        <w:tc>
          <w:tcPr>
            <w:tcW w:w="1517" w:type="pct"/>
            <w:vAlign w:val="center"/>
          </w:tcPr>
          <w:p>
            <w:pPr>
              <w:pStyle w:val="24"/>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FF0000"/>
                <w:kern w:val="2"/>
                <w:sz w:val="21"/>
                <w:szCs w:val="21"/>
                <w:lang w:val="en-US" w:eastAsia="zh-CN" w:bidi="ar-SA"/>
              </w:rPr>
            </w:pPr>
            <w:r>
              <w:rPr>
                <w:rFonts w:hint="eastAsia"/>
                <w:color w:val="FF0000"/>
                <w:lang w:val="en-US" w:eastAsia="zh-CN"/>
              </w:rPr>
              <w:t>洒水车</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辆</w:t>
            </w:r>
          </w:p>
        </w:tc>
        <w:tc>
          <w:tcPr>
            <w:tcW w:w="1517" w:type="pct"/>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1</w:t>
            </w:r>
          </w:p>
        </w:tc>
      </w:tr>
    </w:tbl>
    <w:p>
      <w:pPr>
        <w:pStyle w:val="6"/>
        <w:bidi w:val="0"/>
        <w:rPr>
          <w:rFonts w:hint="eastAsia"/>
          <w:color w:val="auto"/>
          <w:highlight w:val="none"/>
        </w:rPr>
      </w:pPr>
      <w:r>
        <w:rPr>
          <w:rFonts w:hint="eastAsia"/>
          <w:color w:val="auto"/>
          <w:highlight w:val="none"/>
          <w:lang w:val="en-US" w:eastAsia="zh-CN"/>
        </w:rPr>
        <w:t>灰渣治理方案</w:t>
      </w:r>
    </w:p>
    <w:p>
      <w:pPr>
        <w:pStyle w:val="7"/>
        <w:bidi w:val="0"/>
        <w:rPr>
          <w:rFonts w:hint="default"/>
          <w:highlight w:val="none"/>
          <w:lang w:val="en-US" w:eastAsia="zh-CN"/>
        </w:rPr>
      </w:pPr>
      <w:r>
        <w:rPr>
          <w:rFonts w:hint="eastAsia"/>
          <w:highlight w:val="none"/>
          <w:lang w:val="en-US" w:eastAsia="zh-CN"/>
        </w:rPr>
        <w:t>整体设计方案</w:t>
      </w:r>
    </w:p>
    <w:p>
      <w:pPr>
        <w:pStyle w:val="4"/>
        <w:rPr>
          <w:rFonts w:hint="eastAsia" w:cs="Times New Roman"/>
          <w:color w:val="auto"/>
          <w:sz w:val="24"/>
          <w:highlight w:val="none"/>
          <w:lang w:val="en-US" w:eastAsia="zh-CN"/>
        </w:rPr>
      </w:pPr>
      <w:r>
        <w:rPr>
          <w:rFonts w:hint="eastAsia"/>
          <w:color w:val="FF0000"/>
          <w:highlight w:val="none"/>
          <w:lang w:val="en-US" w:eastAsia="zh-CN"/>
        </w:rPr>
        <w:t>拟治理的污染区面积5700m</w:t>
      </w:r>
      <w:r>
        <w:rPr>
          <w:rFonts w:hint="eastAsia"/>
          <w:color w:val="FF0000"/>
          <w:highlight w:val="none"/>
          <w:vertAlign w:val="superscript"/>
          <w:lang w:val="en-US" w:eastAsia="zh-CN"/>
        </w:rPr>
        <w:t>2</w:t>
      </w:r>
      <w:r>
        <w:rPr>
          <w:rFonts w:hint="eastAsia"/>
          <w:color w:val="FF0000"/>
          <w:highlight w:val="none"/>
          <w:lang w:val="en-US" w:eastAsia="zh-CN"/>
        </w:rPr>
        <w:t>，堆放于坑底东北侧。就地回填的采砂坑坑底面积11075m</w:t>
      </w:r>
      <w:r>
        <w:rPr>
          <w:rFonts w:hint="eastAsia"/>
          <w:color w:val="FF0000"/>
          <w:highlight w:val="none"/>
          <w:vertAlign w:val="superscript"/>
          <w:lang w:val="en-US" w:eastAsia="zh-CN"/>
        </w:rPr>
        <w:t>2</w:t>
      </w:r>
      <w:r>
        <w:rPr>
          <w:rFonts w:hint="eastAsia"/>
          <w:color w:val="FF0000"/>
          <w:highlight w:val="none"/>
          <w:lang w:val="en-US" w:eastAsia="zh-CN"/>
        </w:rPr>
        <w:t>。</w:t>
      </w:r>
      <w:r>
        <w:rPr>
          <w:rFonts w:hint="eastAsia"/>
          <w:color w:val="auto"/>
          <w:sz w:val="24"/>
          <w:highlight w:val="none"/>
          <w:lang w:val="en-US" w:eastAsia="zh-CN"/>
        </w:rPr>
        <w:t>根据周围地形条件，建设坑底和坡面防渗层，将非法倾倒灰渣回填采砂坑，回填结束后压实并覆盖砂砾层</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建设</w:t>
      </w:r>
      <w:r>
        <w:rPr>
          <w:rFonts w:hint="eastAsia" w:ascii="Times New Roman" w:hAnsi="Times New Roman" w:cs="Times New Roman"/>
          <w:color w:val="auto"/>
          <w:sz w:val="24"/>
          <w:highlight w:val="none"/>
          <w:lang w:val="en-US" w:eastAsia="zh-CN"/>
        </w:rPr>
        <w:t>步骤为：在</w:t>
      </w:r>
      <w:r>
        <w:rPr>
          <w:rFonts w:hint="eastAsia" w:cs="Times New Roman"/>
          <w:color w:val="auto"/>
          <w:sz w:val="24"/>
          <w:highlight w:val="none"/>
          <w:lang w:val="en-US" w:eastAsia="zh-CN"/>
        </w:rPr>
        <w:t>坑底</w:t>
      </w:r>
      <w:r>
        <w:rPr>
          <w:rFonts w:hint="eastAsia" w:ascii="Times New Roman" w:hAnsi="Times New Roman" w:cs="Times New Roman"/>
          <w:color w:val="auto"/>
          <w:sz w:val="24"/>
          <w:highlight w:val="none"/>
          <w:lang w:val="en-US" w:eastAsia="zh-CN"/>
        </w:rPr>
        <w:t>西南侧区域建设防渗工程→将灰渣和污染土层移至已做好防渗</w:t>
      </w:r>
      <w:r>
        <w:rPr>
          <w:rFonts w:hint="eastAsia" w:cs="Times New Roman"/>
          <w:color w:val="auto"/>
          <w:sz w:val="24"/>
          <w:highlight w:val="none"/>
          <w:lang w:val="en-US" w:eastAsia="zh-CN"/>
        </w:rPr>
        <w:t>层的西南侧</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进行东北侧移除区域的防渗层建设</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对接西南侧防渗设施</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形成完整的坑底和坡面防渗系统</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压实覆盖砂砾层。</w:t>
      </w:r>
    </w:p>
    <w:p>
      <w:pPr>
        <w:pStyle w:val="7"/>
        <w:bidi w:val="0"/>
        <w:rPr>
          <w:rFonts w:hint="default"/>
          <w:highlight w:val="none"/>
          <w:lang w:val="en-US" w:eastAsia="zh-CN"/>
        </w:rPr>
      </w:pPr>
      <w:r>
        <w:rPr>
          <w:rFonts w:hint="eastAsia"/>
          <w:highlight w:val="none"/>
          <w:lang w:val="en-US" w:eastAsia="zh-CN"/>
        </w:rPr>
        <w:t>治理方案</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（1）土石方工程</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1）库体开挖</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a）</w:t>
      </w:r>
      <w:r>
        <w:rPr>
          <w:rFonts w:hint="default" w:cs="Times New Roman"/>
          <w:color w:val="auto"/>
          <w:sz w:val="24"/>
          <w:highlight w:val="none"/>
          <w:lang w:val="en-US" w:eastAsia="zh-CN"/>
        </w:rPr>
        <w:t>填埋库区内坡设计坡度为1</w:t>
      </w:r>
      <w:r>
        <w:rPr>
          <w:rFonts w:hint="eastAsia" w:cs="Times New Roman"/>
          <w:color w:val="auto"/>
          <w:sz w:val="24"/>
          <w:highlight w:val="none"/>
          <w:lang w:val="en-US" w:eastAsia="zh-CN"/>
        </w:rPr>
        <w:t>：</w:t>
      </w:r>
      <w:r>
        <w:rPr>
          <w:rFonts w:hint="default" w:cs="Times New Roman"/>
          <w:color w:val="auto"/>
          <w:sz w:val="24"/>
          <w:highlight w:val="none"/>
          <w:lang w:val="en-US" w:eastAsia="zh-CN"/>
        </w:rPr>
        <w:t>3；场底纵横间设计坡度均为2-3%</w:t>
      </w:r>
      <w:r>
        <w:rPr>
          <w:rFonts w:hint="eastAsia" w:cs="Times New Roman"/>
          <w:color w:val="auto"/>
          <w:sz w:val="24"/>
          <w:highlight w:val="none"/>
          <w:lang w:val="en-US" w:eastAsia="zh-CN"/>
        </w:rPr>
        <w:t>。</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b）库区平整开挖时，在雨季施工应采取有效的雨水导排设施，严禁将库区外周边区域雨水导入基坑内。</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c）库区开挖后应做好已修整好的坡面的保护工作，防止雨水冲刷坡面和下渗，采用临时塑料布覆盖坡面。挖土深度同时要考虑最后一层挖土面的平整碾压，要预留一定的碾压下沉量，使其碾压后的高程正好与设计高程一致，预留高度根据现场试压来确定。</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d）库底及边坡土建结构面需平整达到如下要求：构建面平整、坚实、无裂缝、无松土；垂直深度25cm内无石块、树根、及其它有害杂物，坡面稳定，过渡平缓，满足水平防渗系统的基层要求。</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e）库底压实度接轻型压实度标准0.93压实，侧坡压实度为0.90。</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f）场底要求夯实紧密，表面平整，平整度要求误差</w:t>
      </w:r>
      <w:r>
        <w:rPr>
          <w:rFonts w:hint="default" w:ascii="Arial" w:hAnsi="Arial" w:cs="Arial"/>
          <w:color w:val="auto"/>
          <w:sz w:val="24"/>
          <w:highlight w:val="none"/>
          <w:lang w:val="en-US" w:eastAsia="zh-CN"/>
        </w:rPr>
        <w:t>≤</w:t>
      </w:r>
      <w:r>
        <w:rPr>
          <w:rFonts w:hint="eastAsia" w:cs="Times New Roman"/>
          <w:color w:val="auto"/>
          <w:sz w:val="24"/>
          <w:highlight w:val="none"/>
          <w:lang w:val="en-US" w:eastAsia="zh-CN"/>
        </w:rPr>
        <w:t>2cm/m。膜下土壤保护层垂直深度2.5cm内不应含有粒径&gt;5m的尖锐物料。</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g）库区开挖后应立即通知监理单位及勘测单位到现场检验，当确认符合设计要求，并签证认可后方可进行下步工序。</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h）库区开挖放坡应能满足施工期边坡稳定要求，基坑严禁超挖、严禁挠动基础下卧土层，如开挖后不能及时进行库区基层的施工，应预留不小于300m的保护土层；如遇不明泉涌或管涌应立即通知监理及建设单位，报请勘探单位査明原因，由会冋设计等有关部门研究后提出最终处理方案。</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i）临近构筑物的基坑应先开挖埋深较深的基坑，待完成其基础施工后方可进行理深较浅的基坑开挖与施工。</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j）库区基地以上20cm釆用人工开挖找平。基层开挖必须按图中坡度人工修整，严禁采用机械开挖和超挖。</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k）库区基坑验槽后方可开始水平防渗系统的施工。</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1）加强库区边坡工程监测，监测项目包括坡顶水平位移和垂直位移测试。地表裂缝监测，需由专业的检测单位编制监测方案，由专业技木人员负责实施。</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m）库区边坡的质量检验。监测及验收需按《建筑边坡工程技术规范》《GB50330-2013）有关要求严格执行，填埋库区边坡安全等级为二级。</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2）土方堆放</w:t>
      </w:r>
    </w:p>
    <w:p>
      <w:pPr>
        <w:pStyle w:val="4"/>
        <w:rPr>
          <w:rFonts w:hint="default" w:cs="Times New Roman"/>
          <w:color w:val="auto"/>
          <w:sz w:val="24"/>
          <w:highlight w:val="none"/>
          <w:lang w:val="en-US" w:eastAsia="zh-CN"/>
        </w:rPr>
      </w:pPr>
      <w:r>
        <w:rPr>
          <w:rFonts w:hint="default" w:cs="Times New Roman"/>
          <w:color w:val="auto"/>
          <w:sz w:val="24"/>
          <w:highlight w:val="none"/>
          <w:lang w:val="en-US" w:eastAsia="zh-CN"/>
        </w:rPr>
        <w:t>本工程开挖土方临时</w:t>
      </w:r>
      <w:r>
        <w:rPr>
          <w:rFonts w:hint="eastAsia" w:cs="Times New Roman"/>
          <w:color w:val="auto"/>
          <w:sz w:val="24"/>
          <w:highlight w:val="none"/>
          <w:lang w:val="en-US" w:eastAsia="zh-CN"/>
        </w:rPr>
        <w:t>堆</w:t>
      </w:r>
      <w:r>
        <w:rPr>
          <w:rFonts w:hint="default" w:cs="Times New Roman"/>
          <w:color w:val="auto"/>
          <w:sz w:val="24"/>
          <w:highlight w:val="none"/>
          <w:lang w:val="en-US" w:eastAsia="zh-CN"/>
        </w:rPr>
        <w:t>土场由甲方指定，并满足相关规范与政策要求</w:t>
      </w:r>
      <w:r>
        <w:rPr>
          <w:rFonts w:hint="eastAsia" w:cs="Times New Roman"/>
          <w:color w:val="auto"/>
          <w:sz w:val="24"/>
          <w:highlight w:val="none"/>
          <w:lang w:val="en-US" w:eastAsia="zh-CN"/>
        </w:rPr>
        <w:t>。</w:t>
      </w:r>
      <w:r>
        <w:rPr>
          <w:rFonts w:hint="default" w:cs="Times New Roman"/>
          <w:color w:val="auto"/>
          <w:sz w:val="24"/>
          <w:highlight w:val="none"/>
          <w:lang w:val="en-US" w:eastAsia="zh-CN"/>
        </w:rPr>
        <w:t>土方堆</w:t>
      </w:r>
      <w:r>
        <w:rPr>
          <w:rFonts w:hint="eastAsia" w:cs="Times New Roman"/>
          <w:color w:val="auto"/>
          <w:sz w:val="24"/>
          <w:highlight w:val="none"/>
          <w:lang w:val="en-US" w:eastAsia="zh-CN"/>
        </w:rPr>
        <w:t>放</w:t>
      </w:r>
      <w:r>
        <w:rPr>
          <w:rFonts w:hint="default" w:cs="Times New Roman"/>
          <w:color w:val="auto"/>
          <w:sz w:val="24"/>
          <w:highlight w:val="none"/>
          <w:lang w:val="en-US" w:eastAsia="zh-CN"/>
        </w:rPr>
        <w:t>区域应远</w:t>
      </w:r>
      <w:r>
        <w:rPr>
          <w:rFonts w:hint="eastAsia" w:cs="Times New Roman"/>
          <w:color w:val="auto"/>
          <w:sz w:val="24"/>
          <w:highlight w:val="none"/>
          <w:lang w:val="en-US" w:eastAsia="zh-CN"/>
        </w:rPr>
        <w:t>离</w:t>
      </w:r>
      <w:r>
        <w:rPr>
          <w:rFonts w:hint="default" w:cs="Times New Roman"/>
          <w:color w:val="auto"/>
          <w:sz w:val="24"/>
          <w:highlight w:val="none"/>
          <w:lang w:val="en-US" w:eastAsia="zh-CN"/>
        </w:rPr>
        <w:t>基坑顶部的</w:t>
      </w:r>
      <w:r>
        <w:rPr>
          <w:rFonts w:hint="eastAsia" w:cs="Times New Roman"/>
          <w:color w:val="auto"/>
          <w:sz w:val="24"/>
          <w:highlight w:val="none"/>
          <w:lang w:val="en-US" w:eastAsia="zh-CN"/>
        </w:rPr>
        <w:t>边</w:t>
      </w:r>
      <w:r>
        <w:rPr>
          <w:rFonts w:hint="default" w:cs="Times New Roman"/>
          <w:color w:val="auto"/>
          <w:sz w:val="24"/>
          <w:highlight w:val="none"/>
          <w:lang w:val="en-US" w:eastAsia="zh-CN"/>
        </w:rPr>
        <w:t>缘，并采取</w:t>
      </w:r>
      <w:r>
        <w:rPr>
          <w:rFonts w:hint="eastAsia" w:cs="Times New Roman"/>
          <w:color w:val="auto"/>
          <w:sz w:val="24"/>
          <w:highlight w:val="none"/>
          <w:lang w:val="en-US" w:eastAsia="zh-CN"/>
        </w:rPr>
        <w:t>必</w:t>
      </w:r>
      <w:r>
        <w:rPr>
          <w:rFonts w:hint="default" w:cs="Times New Roman"/>
          <w:color w:val="auto"/>
          <w:sz w:val="24"/>
          <w:highlight w:val="none"/>
          <w:lang w:val="en-US" w:eastAsia="zh-CN"/>
        </w:rPr>
        <w:t>要措施确保库区边坡的安全与稳定；土方堆放的</w:t>
      </w:r>
      <w:r>
        <w:rPr>
          <w:rFonts w:hint="eastAsia" w:cs="Times New Roman"/>
          <w:color w:val="auto"/>
          <w:sz w:val="24"/>
          <w:highlight w:val="none"/>
          <w:lang w:val="en-US" w:eastAsia="zh-CN"/>
        </w:rPr>
        <w:t>高</w:t>
      </w:r>
      <w:r>
        <w:rPr>
          <w:rFonts w:hint="default" w:cs="Times New Roman"/>
          <w:color w:val="auto"/>
          <w:sz w:val="24"/>
          <w:highlight w:val="none"/>
          <w:lang w:val="en-US" w:eastAsia="zh-CN"/>
        </w:rPr>
        <w:t>度以不超过3m为准。堆填</w:t>
      </w:r>
      <w:r>
        <w:rPr>
          <w:rFonts w:hint="eastAsia" w:cs="Times New Roman"/>
          <w:color w:val="auto"/>
          <w:sz w:val="24"/>
          <w:highlight w:val="none"/>
          <w:lang w:val="en-US" w:eastAsia="zh-CN"/>
        </w:rPr>
        <w:t>速</w:t>
      </w:r>
      <w:r>
        <w:rPr>
          <w:rFonts w:hint="default" w:cs="Times New Roman"/>
          <w:color w:val="auto"/>
          <w:sz w:val="24"/>
          <w:highlight w:val="none"/>
          <w:lang w:val="en-US" w:eastAsia="zh-CN"/>
        </w:rPr>
        <w:t>度应进行有效控制，确保堆土的稳定。由于本工程弃土量</w:t>
      </w:r>
      <w:r>
        <w:rPr>
          <w:rFonts w:hint="eastAsia" w:cs="Times New Roman"/>
          <w:color w:val="auto"/>
          <w:sz w:val="24"/>
          <w:highlight w:val="none"/>
          <w:lang w:val="en-US" w:eastAsia="zh-CN"/>
        </w:rPr>
        <w:t>小</w:t>
      </w:r>
      <w:r>
        <w:rPr>
          <w:rFonts w:hint="default" w:cs="Times New Roman"/>
          <w:color w:val="auto"/>
          <w:sz w:val="24"/>
          <w:highlight w:val="none"/>
          <w:lang w:val="en-US" w:eastAsia="zh-CN"/>
        </w:rPr>
        <w:t>，占用堆土场面积较小，土方堆放应不破坏原有自然水系，并做</w:t>
      </w:r>
      <w:r>
        <w:rPr>
          <w:rFonts w:hint="eastAsia" w:cs="Times New Roman"/>
          <w:color w:val="auto"/>
          <w:sz w:val="24"/>
          <w:highlight w:val="none"/>
          <w:lang w:val="en-US" w:eastAsia="zh-CN"/>
        </w:rPr>
        <w:t>好</w:t>
      </w:r>
      <w:r>
        <w:rPr>
          <w:rFonts w:hint="default" w:cs="Times New Roman"/>
          <w:color w:val="auto"/>
          <w:sz w:val="24"/>
          <w:highlight w:val="none"/>
          <w:lang w:val="en-US" w:eastAsia="zh-CN"/>
        </w:rPr>
        <w:t>排水措施。库区顶部</w:t>
      </w:r>
      <w:r>
        <w:rPr>
          <w:rFonts w:hint="eastAsia" w:cs="Times New Roman"/>
          <w:color w:val="auto"/>
          <w:sz w:val="24"/>
          <w:highlight w:val="none"/>
          <w:lang w:val="en-US" w:eastAsia="zh-CN"/>
        </w:rPr>
        <w:t>周</w:t>
      </w:r>
      <w:r>
        <w:rPr>
          <w:rFonts w:hint="default" w:cs="Times New Roman"/>
          <w:color w:val="auto"/>
          <w:sz w:val="24"/>
          <w:highlight w:val="none"/>
          <w:lang w:val="en-US" w:eastAsia="zh-CN"/>
        </w:rPr>
        <w:t>边如有必要应设置截水沟，将库区周边</w:t>
      </w:r>
      <w:r>
        <w:rPr>
          <w:rFonts w:hint="eastAsia" w:cs="Times New Roman"/>
          <w:color w:val="auto"/>
          <w:sz w:val="24"/>
          <w:highlight w:val="none"/>
          <w:lang w:val="en-US" w:eastAsia="zh-CN"/>
        </w:rPr>
        <w:t>雨</w:t>
      </w:r>
      <w:r>
        <w:rPr>
          <w:rFonts w:hint="default" w:cs="Times New Roman"/>
          <w:color w:val="auto"/>
          <w:sz w:val="24"/>
          <w:highlight w:val="none"/>
          <w:lang w:val="en-US" w:eastAsia="zh-CN"/>
        </w:rPr>
        <w:t>水排</w:t>
      </w:r>
      <w:r>
        <w:rPr>
          <w:rFonts w:hint="eastAsia" w:cs="Times New Roman"/>
          <w:color w:val="auto"/>
          <w:sz w:val="24"/>
          <w:highlight w:val="none"/>
          <w:lang w:val="en-US" w:eastAsia="zh-CN"/>
        </w:rPr>
        <w:t>出</w:t>
      </w:r>
      <w:r>
        <w:rPr>
          <w:rFonts w:hint="default" w:cs="Times New Roman"/>
          <w:color w:val="auto"/>
          <w:sz w:val="24"/>
          <w:highlight w:val="none"/>
          <w:lang w:val="en-US" w:eastAsia="zh-CN"/>
        </w:rPr>
        <w:t>库区周边地势较低处，并保持其排水畅通，为保障排水适</w:t>
      </w:r>
      <w:r>
        <w:rPr>
          <w:rFonts w:hint="eastAsia" w:cs="Times New Roman"/>
          <w:color w:val="auto"/>
          <w:sz w:val="24"/>
          <w:highlight w:val="none"/>
          <w:lang w:val="en-US" w:eastAsia="zh-CN"/>
        </w:rPr>
        <w:t>当</w:t>
      </w:r>
      <w:r>
        <w:rPr>
          <w:rFonts w:hint="default" w:cs="Times New Roman"/>
          <w:color w:val="auto"/>
          <w:sz w:val="24"/>
          <w:highlight w:val="none"/>
          <w:lang w:val="en-US" w:eastAsia="zh-CN"/>
        </w:rPr>
        <w:t>造坡，坡度按2%控制，且应保持坡面及顶部整齐、稳定。堆土期</w:t>
      </w:r>
      <w:r>
        <w:rPr>
          <w:rFonts w:hint="eastAsia" w:cs="Times New Roman"/>
          <w:color w:val="auto"/>
          <w:sz w:val="24"/>
          <w:highlight w:val="none"/>
          <w:lang w:val="en-US" w:eastAsia="zh-CN"/>
        </w:rPr>
        <w:t>间</w:t>
      </w:r>
      <w:r>
        <w:rPr>
          <w:rFonts w:hint="default" w:cs="Times New Roman"/>
          <w:color w:val="auto"/>
          <w:sz w:val="24"/>
          <w:highlight w:val="none"/>
          <w:lang w:val="en-US" w:eastAsia="zh-CN"/>
        </w:rPr>
        <w:t>加强堆土区四周土体情况的巡视，结合库区基坑监测工作对堆土区进行监测，出现异常情况停止堆土作业，并对隆起处进行卸载处理，充分保证堆土区周边人畜安全。</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3）土方填筑</w:t>
      </w:r>
    </w:p>
    <w:p>
      <w:pPr>
        <w:pStyle w:val="4"/>
        <w:rPr>
          <w:rFonts w:hint="eastAsia" w:cs="Times New Roman"/>
          <w:color w:val="auto"/>
          <w:sz w:val="24"/>
          <w:highlight w:val="none"/>
          <w:lang w:val="en-US" w:eastAsia="zh-CN"/>
        </w:rPr>
      </w:pPr>
      <w:r>
        <w:rPr>
          <w:rFonts w:hint="default" w:cs="Times New Roman"/>
          <w:color w:val="auto"/>
          <w:sz w:val="24"/>
          <w:highlight w:val="none"/>
          <w:lang w:val="en-US" w:eastAsia="zh-CN"/>
        </w:rPr>
        <w:t>填土区域工程实施前，应先</w:t>
      </w:r>
      <w:r>
        <w:rPr>
          <w:rFonts w:hint="eastAsia" w:cs="Times New Roman"/>
          <w:color w:val="auto"/>
          <w:sz w:val="24"/>
          <w:highlight w:val="none"/>
          <w:lang w:val="en-US" w:eastAsia="zh-CN"/>
        </w:rPr>
        <w:t>清</w:t>
      </w:r>
      <w:r>
        <w:rPr>
          <w:rFonts w:hint="default" w:cs="Times New Roman"/>
          <w:color w:val="auto"/>
          <w:sz w:val="24"/>
          <w:highlight w:val="none"/>
          <w:lang w:val="en-US" w:eastAsia="zh-CN"/>
        </w:rPr>
        <w:t>除该区域所有场地范围</w:t>
      </w:r>
      <w:r>
        <w:rPr>
          <w:rFonts w:hint="eastAsia" w:cs="Times New Roman"/>
          <w:color w:val="auto"/>
          <w:sz w:val="24"/>
          <w:highlight w:val="none"/>
          <w:lang w:val="en-US" w:eastAsia="zh-CN"/>
        </w:rPr>
        <w:t>内</w:t>
      </w:r>
      <w:r>
        <w:rPr>
          <w:rFonts w:hint="default" w:cs="Times New Roman"/>
          <w:color w:val="auto"/>
          <w:sz w:val="24"/>
          <w:highlight w:val="none"/>
          <w:lang w:val="en-US" w:eastAsia="zh-CN"/>
        </w:rPr>
        <w:t>的石块、朵草、树</w:t>
      </w:r>
      <w:r>
        <w:rPr>
          <w:rFonts w:hint="eastAsia" w:cs="Times New Roman"/>
          <w:color w:val="auto"/>
          <w:sz w:val="24"/>
          <w:highlight w:val="none"/>
          <w:lang w:val="en-US" w:eastAsia="zh-CN"/>
        </w:rPr>
        <w:t>根</w:t>
      </w:r>
      <w:r>
        <w:rPr>
          <w:rFonts w:hint="default" w:cs="Times New Roman"/>
          <w:color w:val="auto"/>
          <w:sz w:val="24"/>
          <w:highlight w:val="none"/>
          <w:lang w:val="en-US" w:eastAsia="zh-CN"/>
        </w:rPr>
        <w:t>、</w:t>
      </w:r>
      <w:r>
        <w:rPr>
          <w:rFonts w:hint="eastAsia" w:cs="Times New Roman"/>
          <w:color w:val="auto"/>
          <w:sz w:val="24"/>
          <w:highlight w:val="none"/>
          <w:lang w:val="en-US" w:eastAsia="zh-CN"/>
        </w:rPr>
        <w:t>垃圾土</w:t>
      </w:r>
      <w:r>
        <w:rPr>
          <w:rFonts w:hint="default" w:cs="Times New Roman"/>
          <w:color w:val="auto"/>
          <w:sz w:val="24"/>
          <w:highlight w:val="none"/>
          <w:lang w:val="en-US" w:eastAsia="zh-CN"/>
        </w:rPr>
        <w:t>、</w:t>
      </w:r>
      <w:r>
        <w:rPr>
          <w:rFonts w:hint="eastAsia" w:cs="Times New Roman"/>
          <w:color w:val="auto"/>
          <w:sz w:val="24"/>
          <w:highlight w:val="none"/>
          <w:lang w:val="en-US" w:eastAsia="zh-CN"/>
        </w:rPr>
        <w:t>腐</w:t>
      </w:r>
      <w:r>
        <w:rPr>
          <w:rFonts w:hint="default" w:cs="Times New Roman"/>
          <w:color w:val="auto"/>
          <w:sz w:val="24"/>
          <w:highlight w:val="none"/>
          <w:lang w:val="en-US" w:eastAsia="zh-CN"/>
        </w:rPr>
        <w:t>蚀土等，清表厚度</w:t>
      </w:r>
      <w:r>
        <w:rPr>
          <w:rFonts w:hint="default" w:ascii="Arial" w:hAnsi="Arial" w:cs="Arial"/>
          <w:color w:val="auto"/>
          <w:sz w:val="24"/>
          <w:highlight w:val="none"/>
          <w:lang w:val="en-US" w:eastAsia="zh-CN"/>
        </w:rPr>
        <w:t>≥</w:t>
      </w:r>
      <w:r>
        <w:rPr>
          <w:rFonts w:hint="default" w:cs="Times New Roman"/>
          <w:color w:val="auto"/>
          <w:sz w:val="24"/>
          <w:highlight w:val="none"/>
          <w:lang w:val="en-US" w:eastAsia="zh-CN"/>
        </w:rPr>
        <w:t>0.30m</w:t>
      </w:r>
      <w:r>
        <w:rPr>
          <w:rFonts w:hint="eastAsia" w:cs="Times New Roman"/>
          <w:color w:val="auto"/>
          <w:sz w:val="24"/>
          <w:highlight w:val="none"/>
          <w:lang w:val="en-US" w:eastAsia="zh-CN"/>
        </w:rPr>
        <w:t>。</w:t>
      </w:r>
      <w:r>
        <w:rPr>
          <w:rFonts w:hint="default" w:cs="Times New Roman"/>
          <w:color w:val="auto"/>
          <w:sz w:val="24"/>
          <w:highlight w:val="none"/>
          <w:lang w:val="en-US" w:eastAsia="zh-CN"/>
        </w:rPr>
        <w:t>用于回填的土源优先釆用库区开挖的土，回填土中不得含有石块</w:t>
      </w:r>
      <w:r>
        <w:rPr>
          <w:rFonts w:hint="eastAsia" w:cs="Times New Roman"/>
          <w:color w:val="auto"/>
          <w:sz w:val="24"/>
          <w:highlight w:val="none"/>
          <w:lang w:val="en-US" w:eastAsia="zh-CN"/>
        </w:rPr>
        <w:t>、</w:t>
      </w:r>
      <w:r>
        <w:rPr>
          <w:rFonts w:hint="default" w:cs="Times New Roman"/>
          <w:color w:val="auto"/>
          <w:sz w:val="24"/>
          <w:highlight w:val="none"/>
          <w:lang w:val="en-US" w:eastAsia="zh-CN"/>
        </w:rPr>
        <w:t>植物根茎及</w:t>
      </w:r>
      <w:r>
        <w:rPr>
          <w:rFonts w:hint="eastAsia" w:cs="Times New Roman"/>
          <w:color w:val="auto"/>
          <w:sz w:val="24"/>
          <w:highlight w:val="none"/>
          <w:lang w:val="en-US" w:eastAsia="zh-CN"/>
        </w:rPr>
        <w:t>垃圾</w:t>
      </w:r>
      <w:r>
        <w:rPr>
          <w:rFonts w:hint="default" w:cs="Times New Roman"/>
          <w:color w:val="auto"/>
          <w:sz w:val="24"/>
          <w:highlight w:val="none"/>
          <w:lang w:val="en-US" w:eastAsia="zh-CN"/>
        </w:rPr>
        <w:t>等杂物。回填土方要求：重度大于18.3</w:t>
      </w:r>
      <w:r>
        <w:rPr>
          <w:rFonts w:hint="eastAsia" w:cs="Times New Roman"/>
          <w:color w:val="auto"/>
          <w:sz w:val="24"/>
          <w:highlight w:val="none"/>
          <w:lang w:val="en-US" w:eastAsia="zh-CN"/>
        </w:rPr>
        <w:t>K</w:t>
      </w:r>
      <w:r>
        <w:rPr>
          <w:rFonts w:hint="default" w:cs="Times New Roman"/>
          <w:color w:val="auto"/>
          <w:sz w:val="24"/>
          <w:highlight w:val="none"/>
          <w:lang w:val="en-US" w:eastAsia="zh-CN"/>
        </w:rPr>
        <w:t>N/m</w:t>
      </w:r>
      <w:r>
        <w:rPr>
          <w:rFonts w:hint="default" w:cs="Times New Roman"/>
          <w:color w:val="auto"/>
          <w:sz w:val="24"/>
          <w:highlight w:val="none"/>
          <w:vertAlign w:val="superscript"/>
          <w:lang w:val="en-US" w:eastAsia="zh-CN"/>
        </w:rPr>
        <w:t>3</w:t>
      </w:r>
      <w:r>
        <w:rPr>
          <w:rFonts w:hint="default" w:cs="Times New Roman"/>
          <w:color w:val="auto"/>
          <w:sz w:val="24"/>
          <w:highlight w:val="none"/>
          <w:lang w:val="en-US" w:eastAsia="zh-CN"/>
        </w:rPr>
        <w:t>，有机质含量不大于5%</w:t>
      </w:r>
      <w:r>
        <w:rPr>
          <w:rFonts w:hint="eastAsia" w:cs="Times New Roman"/>
          <w:color w:val="auto"/>
          <w:sz w:val="24"/>
          <w:highlight w:val="none"/>
          <w:lang w:val="en-US" w:eastAsia="zh-CN"/>
        </w:rPr>
        <w:t>。</w:t>
      </w:r>
      <w:r>
        <w:rPr>
          <w:rFonts w:hint="default" w:cs="Times New Roman"/>
          <w:color w:val="auto"/>
          <w:sz w:val="24"/>
          <w:highlight w:val="none"/>
          <w:lang w:val="en-US" w:eastAsia="zh-CN"/>
        </w:rPr>
        <w:t>填土分层厚度不大</w:t>
      </w:r>
      <w:r>
        <w:rPr>
          <w:rFonts w:hint="eastAsia" w:cs="Times New Roman"/>
          <w:color w:val="auto"/>
          <w:sz w:val="24"/>
          <w:highlight w:val="none"/>
          <w:lang w:val="en-US" w:eastAsia="zh-CN"/>
        </w:rPr>
        <w:t>于</w:t>
      </w:r>
      <w:r>
        <w:rPr>
          <w:rFonts w:hint="default" w:cs="Times New Roman"/>
          <w:color w:val="auto"/>
          <w:sz w:val="24"/>
          <w:highlight w:val="none"/>
          <w:lang w:val="en-US" w:eastAsia="zh-CN"/>
        </w:rPr>
        <w:t>30cm</w:t>
      </w:r>
      <w:r>
        <w:rPr>
          <w:rFonts w:hint="eastAsia" w:cs="Times New Roman"/>
          <w:color w:val="auto"/>
          <w:sz w:val="24"/>
          <w:highlight w:val="none"/>
          <w:lang w:val="en-US" w:eastAsia="zh-CN"/>
        </w:rPr>
        <w:t>，</w:t>
      </w:r>
      <w:r>
        <w:rPr>
          <w:rFonts w:hint="default" w:cs="Times New Roman"/>
          <w:color w:val="auto"/>
          <w:sz w:val="24"/>
          <w:highlight w:val="none"/>
          <w:lang w:val="en-US" w:eastAsia="zh-CN"/>
        </w:rPr>
        <w:t>填土压实度按轻型压实标准。回填土料含水量为最优含水量（击实试验确突）的土</w:t>
      </w:r>
      <w:r>
        <w:rPr>
          <w:rFonts w:hint="eastAsia" w:cs="Times New Roman"/>
          <w:color w:val="auto"/>
          <w:sz w:val="24"/>
          <w:highlight w:val="none"/>
          <w:lang w:val="en-US" w:eastAsia="zh-CN"/>
        </w:rPr>
        <w:t>2</w:t>
      </w:r>
      <w:r>
        <w:rPr>
          <w:rFonts w:hint="default" w:cs="Times New Roman"/>
          <w:color w:val="auto"/>
          <w:sz w:val="24"/>
          <w:highlight w:val="none"/>
          <w:lang w:val="en-US" w:eastAsia="zh-CN"/>
        </w:rPr>
        <w:t>%时，方可回填、碾压；达不到时，应翻晒</w:t>
      </w:r>
      <w:r>
        <w:rPr>
          <w:rFonts w:hint="eastAsia" w:cs="Times New Roman"/>
          <w:color w:val="auto"/>
          <w:sz w:val="24"/>
          <w:highlight w:val="none"/>
          <w:lang w:val="en-US" w:eastAsia="zh-CN"/>
        </w:rPr>
        <w:t>或</w:t>
      </w:r>
      <w:r>
        <w:rPr>
          <w:rFonts w:hint="default" w:cs="Times New Roman"/>
          <w:color w:val="auto"/>
          <w:sz w:val="24"/>
          <w:highlight w:val="none"/>
          <w:lang w:val="en-US" w:eastAsia="zh-CN"/>
        </w:rPr>
        <w:t>采取其他相应措施以使其达到设计要求的压实度指标</w:t>
      </w:r>
      <w:r>
        <w:rPr>
          <w:rFonts w:hint="eastAsia" w:cs="Times New Roman"/>
          <w:color w:val="auto"/>
          <w:sz w:val="24"/>
          <w:highlight w:val="none"/>
          <w:lang w:val="en-US" w:eastAsia="zh-CN"/>
        </w:rPr>
        <w:t>。</w:t>
      </w:r>
    </w:p>
    <w:p>
      <w:pPr>
        <w:pStyle w:val="4"/>
        <w:rPr>
          <w:rFonts w:hint="eastAsia" w:cs="Times New Roman"/>
          <w:color w:val="FF0000"/>
          <w:sz w:val="24"/>
          <w:highlight w:val="none"/>
          <w:lang w:val="en-US" w:eastAsia="zh-CN"/>
        </w:rPr>
      </w:pPr>
      <w:r>
        <w:rPr>
          <w:rFonts w:hint="eastAsia" w:cs="Times New Roman"/>
          <w:color w:val="FF0000"/>
          <w:sz w:val="24"/>
          <w:highlight w:val="none"/>
          <w:lang w:val="en-US" w:eastAsia="zh-CN"/>
        </w:rPr>
        <w:t>4）进场道路与爬坡道</w:t>
      </w:r>
    </w:p>
    <w:p>
      <w:pPr>
        <w:pStyle w:val="4"/>
        <w:rPr>
          <w:rFonts w:hint="eastAsia"/>
          <w:color w:val="FF0000"/>
          <w:highlight w:val="none"/>
          <w:lang w:val="en-US" w:eastAsia="zh-CN"/>
        </w:rPr>
      </w:pPr>
      <w:r>
        <w:rPr>
          <w:rFonts w:hint="eastAsia" w:cs="Times New Roman"/>
          <w:color w:val="FF0000"/>
          <w:sz w:val="24"/>
          <w:highlight w:val="none"/>
          <w:lang w:val="en-US" w:eastAsia="zh-CN"/>
        </w:rPr>
        <w:t>本项目所倾倒固体废物修复区位于</w:t>
      </w:r>
      <w:r>
        <w:rPr>
          <w:rFonts w:hint="eastAsia"/>
          <w:color w:val="FF0000"/>
          <w:highlight w:val="none"/>
          <w:lang w:val="en-US" w:eastAsia="zh-CN"/>
        </w:rPr>
        <w:t>原奇台县天山砂石料厂采砂坑内，采砂坑作业期间已修建有进场道路，本次修复工程不需新建设进场道路。</w:t>
      </w:r>
    </w:p>
    <w:p>
      <w:pPr>
        <w:pStyle w:val="4"/>
        <w:rPr>
          <w:rFonts w:hint="default"/>
          <w:color w:val="FF0000"/>
          <w:highlight w:val="none"/>
          <w:lang w:val="en-US" w:eastAsia="zh-CN"/>
        </w:rPr>
      </w:pPr>
      <w:r>
        <w:rPr>
          <w:rFonts w:hint="eastAsia"/>
          <w:color w:val="FF0000"/>
          <w:highlight w:val="none"/>
          <w:lang w:val="en-US" w:eastAsia="zh-CN"/>
        </w:rPr>
        <w:t>本项目沿坑底接现状进场道路修建爬坡道路，便于修复作业车辆进出。爬坡道路用采坑外围堆放的砂砾石填筑，宽度约2m，长度约20m。</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（2）防渗工程</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将库区底部人为划分为两块，首先进行西南部防渗层建设，建设完成后，将东北部倾倒的灰渣合部移至已铺设防渗层的西南部，然后平整东北部移出区的坑底，进行防渗层的建设。沿库底边坡线上延1m的位置，设置0.8</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0.8m的锚固沟，将HDPE膜与土工膜锚固于锚固沟中</w:t>
      </w:r>
      <w:r>
        <w:rPr>
          <w:rFonts w:hint="eastAsia" w:cs="Times New Roman"/>
          <w:color w:val="auto"/>
          <w:sz w:val="24"/>
          <w:highlight w:val="none"/>
          <w:lang w:val="en-US" w:eastAsia="zh-CN"/>
        </w:rPr>
        <w:t>。由于本项目仅填埋现状灰渣，填埋后坑底标高上升约0.75m，因此沿坑底向边线向上设置1m高的边坡防渗层可满足本项目需求。锚固沟设置情况如下图：</w:t>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s="Times New Roman"/>
          <w:color w:val="auto"/>
          <w:sz w:val="24"/>
          <w:highlight w:val="none"/>
          <w:lang w:val="en-US" w:eastAsia="zh-CN"/>
        </w:rPr>
      </w:pPr>
      <w:r>
        <w:drawing>
          <wp:inline distT="0" distB="0" distL="114300" distR="114300">
            <wp:extent cx="5269230" cy="5003165"/>
            <wp:effectExtent l="0" t="0" r="7620"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5269230" cy="5003165"/>
                    </a:xfrm>
                    <a:prstGeom prst="rect">
                      <a:avLst/>
                    </a:prstGeom>
                    <a:noFill/>
                    <a:ln>
                      <a:noFill/>
                    </a:ln>
                  </pic:spPr>
                </pic:pic>
              </a:graphicData>
            </a:graphic>
          </wp:inline>
        </w:drawing>
      </w:r>
    </w:p>
    <w:p>
      <w:pPr>
        <w:pStyle w:val="22"/>
        <w:bidi w:val="0"/>
        <w:rPr>
          <w:rFonts w:hint="default"/>
          <w:highlight w:val="none"/>
          <w:lang w:val="en-US" w:eastAsia="zh-CN"/>
        </w:rPr>
      </w:pPr>
      <w:r>
        <w:rPr>
          <w:rFonts w:hint="eastAsia"/>
          <w:highlight w:val="none"/>
          <w:lang w:val="en-US" w:eastAsia="zh-CN"/>
        </w:rPr>
        <w:t>图3.1-1  锚固沟布置图</w:t>
      </w:r>
    </w:p>
    <w:p>
      <w:pPr>
        <w:pStyle w:val="4"/>
        <w:rPr>
          <w:rFonts w:hint="eastAsia" w:cs="Times New Roman"/>
          <w:color w:val="FF0000"/>
          <w:sz w:val="24"/>
          <w:highlight w:val="none"/>
          <w:lang w:val="en-US" w:eastAsia="zh-CN"/>
        </w:rPr>
      </w:pPr>
      <w:r>
        <w:rPr>
          <w:rFonts w:hint="eastAsia" w:cs="Times New Roman"/>
          <w:color w:val="FF0000"/>
          <w:sz w:val="24"/>
          <w:highlight w:val="none"/>
          <w:lang w:val="en-US" w:eastAsia="zh-CN"/>
        </w:rPr>
        <w:t>防渗层的建设应符合《一般工业固体废物贮存和填埋污染控制标准》（GB18599-2020）II类场相关要求，具体如下：</w:t>
      </w:r>
    </w:p>
    <w:p>
      <w:pPr>
        <w:pStyle w:val="4"/>
        <w:rPr>
          <w:rFonts w:hint="eastAsia" w:cs="Times New Roman"/>
          <w:color w:val="FF0000"/>
          <w:sz w:val="24"/>
          <w:highlight w:val="none"/>
          <w:lang w:val="en-US" w:eastAsia="zh-CN"/>
        </w:rPr>
      </w:pPr>
      <w:r>
        <w:rPr>
          <w:rFonts w:hint="eastAsia" w:cs="Times New Roman"/>
          <w:color w:val="FF0000"/>
          <w:sz w:val="24"/>
          <w:highlight w:val="none"/>
          <w:lang w:val="en-US" w:eastAsia="zh-CN"/>
        </w:rPr>
        <w:t>II类场应采用单人工复合衬层作为防渗衬层，并符合以下技术要求：</w:t>
      </w:r>
    </w:p>
    <w:p>
      <w:pPr>
        <w:pStyle w:val="4"/>
        <w:rPr>
          <w:rFonts w:hint="eastAsia" w:cs="Times New Roman"/>
          <w:color w:val="FF0000"/>
          <w:sz w:val="24"/>
          <w:highlight w:val="none"/>
          <w:lang w:val="en-US" w:eastAsia="zh-CN"/>
        </w:rPr>
      </w:pPr>
      <w:r>
        <w:rPr>
          <w:rFonts w:hint="eastAsia" w:cs="Times New Roman"/>
          <w:color w:val="FF0000"/>
          <w:sz w:val="24"/>
          <w:highlight w:val="none"/>
          <w:lang w:val="en-US" w:eastAsia="zh-CN"/>
        </w:rPr>
        <w:t>a）人工合成材料应采用高密度聚乙烯膜，厚度不小于1.5mm，并满足GB/T17643规定的技术指标要求。采用其他人工合成材料的，其防渗性能至少相当于1.5mm高密度聚乙烯膜的防渗性能。</w:t>
      </w:r>
    </w:p>
    <w:p>
      <w:pPr>
        <w:pStyle w:val="4"/>
        <w:rPr>
          <w:rFonts w:hint="eastAsia" w:cs="Times New Roman"/>
          <w:color w:val="FF0000"/>
          <w:sz w:val="24"/>
          <w:highlight w:val="none"/>
          <w:lang w:val="en-US" w:eastAsia="zh-CN"/>
        </w:rPr>
      </w:pPr>
      <w:r>
        <w:rPr>
          <w:rFonts w:hint="eastAsia" w:cs="Times New Roman"/>
          <w:color w:val="FF0000"/>
          <w:sz w:val="24"/>
          <w:highlight w:val="none"/>
          <w:lang w:val="en-US" w:eastAsia="zh-CN"/>
        </w:rPr>
        <w:t>b）粘土衬层厚度应不小于0.75m，且经压实、人工改性等措施处理后的饱和渗透系数不应大于1.0</w:t>
      </w:r>
      <w:r>
        <w:rPr>
          <w:rFonts w:hint="default" w:ascii="Times New Roman" w:hAnsi="Times New Roman" w:cs="Times New Roman"/>
          <w:color w:val="FF0000"/>
          <w:sz w:val="24"/>
          <w:highlight w:val="none"/>
          <w:lang w:val="en-US" w:eastAsia="zh-CN"/>
        </w:rPr>
        <w:t>×</w:t>
      </w:r>
      <w:r>
        <w:rPr>
          <w:rFonts w:hint="eastAsia" w:cs="Times New Roman"/>
          <w:color w:val="FF0000"/>
          <w:sz w:val="24"/>
          <w:highlight w:val="none"/>
          <w:lang w:val="en-US" w:eastAsia="zh-CN"/>
        </w:rPr>
        <w:t>10</w:t>
      </w:r>
      <w:r>
        <w:rPr>
          <w:rFonts w:hint="eastAsia" w:cs="Times New Roman"/>
          <w:color w:val="FF0000"/>
          <w:sz w:val="24"/>
          <w:highlight w:val="none"/>
          <w:vertAlign w:val="superscript"/>
          <w:lang w:val="en-US" w:eastAsia="zh-CN"/>
        </w:rPr>
        <w:t>-7</w:t>
      </w:r>
      <w:r>
        <w:rPr>
          <w:rFonts w:hint="eastAsia" w:cs="Times New Roman"/>
          <w:color w:val="FF0000"/>
          <w:sz w:val="24"/>
          <w:highlight w:val="none"/>
          <w:lang w:val="en-US" w:eastAsia="zh-CN"/>
        </w:rPr>
        <w:t>cm/s。使用其他粘土类防渗衬层材料时，应具有同等以上隔水效力。</w:t>
      </w:r>
    </w:p>
    <w:p>
      <w:pPr>
        <w:pStyle w:val="4"/>
        <w:rPr>
          <w:rFonts w:hint="eastAsia" w:cs="Times New Roman"/>
          <w:color w:val="FF0000"/>
          <w:sz w:val="24"/>
          <w:highlight w:val="none"/>
          <w:lang w:val="en-US" w:eastAsia="zh-CN"/>
        </w:rPr>
      </w:pPr>
      <w:r>
        <w:rPr>
          <w:rFonts w:hint="eastAsia" w:cs="Times New Roman"/>
          <w:color w:val="FF0000"/>
          <w:sz w:val="24"/>
          <w:highlight w:val="none"/>
          <w:lang w:val="en-US" w:eastAsia="zh-CN"/>
        </w:rPr>
        <w:t>II类场基础层表面应与地下水年最高水位保持1.5 m以上的距离。当场区基础层表面与地下水年最高水位距离不足1.5m时，应建设地下水导排系统。地下水导排系统应确保II类场运行期地下水水位维持在基础层表面1.5m以下。</w:t>
      </w:r>
    </w:p>
    <w:p>
      <w:pPr>
        <w:pStyle w:val="4"/>
        <w:rPr>
          <w:rFonts w:hint="eastAsia" w:cs="Times New Roman"/>
          <w:color w:val="auto"/>
          <w:sz w:val="24"/>
          <w:highlight w:val="none"/>
          <w:lang w:val="en-US" w:eastAsia="zh-CN"/>
        </w:rPr>
      </w:pPr>
      <w:r>
        <w:rPr>
          <w:rFonts w:hint="eastAsia" w:cs="Times New Roman"/>
          <w:color w:val="FF0000"/>
          <w:sz w:val="24"/>
          <w:highlight w:val="none"/>
          <w:lang w:val="en-US" w:eastAsia="zh-CN"/>
        </w:rPr>
        <w:t>根据以上防渗要求，</w:t>
      </w:r>
      <w:r>
        <w:rPr>
          <w:rFonts w:hint="eastAsia" w:cs="Times New Roman"/>
          <w:color w:val="auto"/>
          <w:sz w:val="24"/>
          <w:highlight w:val="none"/>
          <w:lang w:val="en-US" w:eastAsia="zh-CN"/>
        </w:rPr>
        <w:t>本项目坑底及坡面防渗层结构从下往上依次为：0.75m厚粘土层+300mm厚细沙（膜下保护层）+1.5mm厚HDPE膜（土工膜）+300mm厚细沙（膜上保护层）。防渗层剖面结构如下图：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z w:val="24"/>
          <w:highlight w:val="none"/>
          <w:lang w:val="en-US" w:eastAsia="zh-CN"/>
        </w:rPr>
      </w:pPr>
      <w:r>
        <w:rPr>
          <w:highlight w:val="none"/>
        </w:rPr>
        <w:drawing>
          <wp:inline distT="0" distB="0" distL="114300" distR="114300">
            <wp:extent cx="2924810" cy="1882140"/>
            <wp:effectExtent l="0" t="0" r="8890" b="381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4"/>
                    <a:srcRect b="14310"/>
                    <a:stretch>
                      <a:fillRect/>
                    </a:stretch>
                  </pic:blipFill>
                  <pic:spPr>
                    <a:xfrm>
                      <a:off x="0" y="0"/>
                      <a:ext cx="2924810" cy="1882140"/>
                    </a:xfrm>
                    <a:prstGeom prst="rect">
                      <a:avLst/>
                    </a:prstGeom>
                    <a:noFill/>
                    <a:ln>
                      <a:noFill/>
                    </a:ln>
                  </pic:spPr>
                </pic:pic>
              </a:graphicData>
            </a:graphic>
          </wp:inline>
        </w:drawing>
      </w:r>
    </w:p>
    <w:p>
      <w:pPr>
        <w:pStyle w:val="22"/>
        <w:bidi w:val="0"/>
        <w:rPr>
          <w:rFonts w:hint="default"/>
          <w:highlight w:val="none"/>
          <w:lang w:val="en-US" w:eastAsia="zh-CN"/>
        </w:rPr>
      </w:pPr>
      <w:r>
        <w:rPr>
          <w:rFonts w:hint="eastAsia"/>
          <w:highlight w:val="none"/>
          <w:lang w:val="en-US" w:eastAsia="zh-CN"/>
        </w:rPr>
        <w:t>图3.1-1  防渗层剖面图</w:t>
      </w:r>
    </w:p>
    <w:p>
      <w:pPr>
        <w:pStyle w:val="4"/>
        <w:rPr>
          <w:rFonts w:hint="default" w:cs="Times New Roman"/>
          <w:color w:val="auto"/>
          <w:sz w:val="24"/>
          <w:highlight w:val="none"/>
          <w:lang w:val="en-US" w:eastAsia="zh-CN"/>
        </w:rPr>
      </w:pPr>
      <w:r>
        <w:rPr>
          <w:rFonts w:hint="eastAsia" w:cs="Times New Roman"/>
          <w:color w:val="auto"/>
          <w:sz w:val="24"/>
          <w:highlight w:val="none"/>
          <w:lang w:val="en-US" w:eastAsia="zh-CN"/>
        </w:rPr>
        <w:t>（3）雨水导排</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施工与修复期间遇到雨天，应对库区积存雨水进行导排，在库区内最低侧设置临泵进行抽排，在修复期间最好日覆盖工作，防止修复区域的一般工业固体废物污染雨水。</w:t>
      </w:r>
    </w:p>
    <w:p>
      <w:pPr>
        <w:pStyle w:val="4"/>
        <w:rPr>
          <w:rFonts w:hint="eastAsia" w:cs="Times New Roman"/>
          <w:color w:val="auto"/>
          <w:sz w:val="24"/>
          <w:highlight w:val="none"/>
          <w:lang w:val="en-US" w:eastAsia="zh-CN"/>
        </w:rPr>
      </w:pPr>
      <w:r>
        <w:rPr>
          <w:rFonts w:hint="eastAsia" w:cs="Times New Roman"/>
          <w:color w:val="auto"/>
          <w:sz w:val="24"/>
          <w:highlight w:val="none"/>
          <w:lang w:val="en-US" w:eastAsia="zh-CN"/>
        </w:rPr>
        <w:t>（4）渗漏监控系统</w:t>
      </w:r>
    </w:p>
    <w:p>
      <w:pPr>
        <w:pStyle w:val="4"/>
        <w:rPr>
          <w:rFonts w:hint="default" w:cs="Times New Roman"/>
          <w:color w:val="auto"/>
          <w:sz w:val="24"/>
          <w:highlight w:val="none"/>
          <w:lang w:val="en-US" w:eastAsia="zh-CN"/>
        </w:rPr>
      </w:pPr>
      <w:r>
        <w:rPr>
          <w:rFonts w:hint="eastAsia" w:cs="Times New Roman"/>
          <w:color w:val="auto"/>
          <w:sz w:val="24"/>
          <w:highlight w:val="none"/>
          <w:lang w:val="en-US" w:eastAsia="zh-CN"/>
        </w:rPr>
        <w:t>渗漏监控系统包括防渗层渗漏监控设备以及地下水监测水井，根据</w:t>
      </w:r>
      <w:r>
        <w:rPr>
          <w:rFonts w:hint="eastAsia"/>
          <w:color w:val="auto"/>
          <w:highlight w:val="none"/>
          <w:lang w:val="en-US" w:eastAsia="zh-CN"/>
        </w:rPr>
        <w:t>《一般工业固体废物贮存和填埋污染控制标准》（GB18599-2020），项目利用当地灌溉水井，分别在</w:t>
      </w:r>
      <w:r>
        <w:rPr>
          <w:rFonts w:hint="default"/>
          <w:highlight w:val="none"/>
        </w:rPr>
        <w:t>填埋区上、下游共布置</w:t>
      </w:r>
      <w:r>
        <w:rPr>
          <w:rFonts w:hint="eastAsia"/>
          <w:highlight w:val="none"/>
        </w:rPr>
        <w:t>3口</w:t>
      </w:r>
      <w:r>
        <w:rPr>
          <w:rFonts w:hint="default"/>
          <w:highlight w:val="none"/>
        </w:rPr>
        <w:t>监测井，上游</w:t>
      </w:r>
      <w:r>
        <w:rPr>
          <w:rFonts w:hint="eastAsia"/>
          <w:highlight w:val="none"/>
        </w:rPr>
        <w:t>设置1口对照井</w:t>
      </w:r>
      <w:r>
        <w:rPr>
          <w:rFonts w:hint="default"/>
          <w:highlight w:val="none"/>
        </w:rPr>
        <w:t>，下游</w:t>
      </w:r>
      <w:r>
        <w:rPr>
          <w:rFonts w:hint="eastAsia"/>
          <w:highlight w:val="none"/>
        </w:rPr>
        <w:t>分别</w:t>
      </w:r>
      <w:r>
        <w:rPr>
          <w:rFonts w:hint="default"/>
          <w:highlight w:val="none"/>
        </w:rPr>
        <w:t>设置</w:t>
      </w:r>
      <w:r>
        <w:rPr>
          <w:rFonts w:hint="eastAsia"/>
          <w:highlight w:val="none"/>
        </w:rPr>
        <w:t>1口污染</w:t>
      </w:r>
      <w:r>
        <w:rPr>
          <w:rFonts w:hint="default"/>
          <w:highlight w:val="none"/>
        </w:rPr>
        <w:t>监视监测井和</w:t>
      </w:r>
      <w:r>
        <w:rPr>
          <w:rFonts w:hint="eastAsia"/>
          <w:highlight w:val="none"/>
        </w:rPr>
        <w:t>1口</w:t>
      </w:r>
      <w:r>
        <w:rPr>
          <w:rFonts w:hint="default"/>
          <w:highlight w:val="none"/>
        </w:rPr>
        <w:t>污染扩散监测井</w:t>
      </w:r>
      <w:r>
        <w:rPr>
          <w:rFonts w:hint="eastAsia"/>
          <w:highlight w:val="none"/>
          <w:lang w:eastAsia="zh-CN"/>
        </w:rPr>
        <w:t>。</w:t>
      </w:r>
    </w:p>
    <w:p>
      <w:pPr>
        <w:pStyle w:val="7"/>
        <w:bidi w:val="0"/>
        <w:rPr>
          <w:rFonts w:hint="eastAsia"/>
          <w:color w:val="auto"/>
          <w:highlight w:val="none"/>
          <w:lang w:val="en-US" w:eastAsia="zh-CN"/>
        </w:rPr>
      </w:pPr>
      <w:r>
        <w:rPr>
          <w:rFonts w:hint="eastAsia"/>
          <w:color w:val="auto"/>
          <w:highlight w:val="none"/>
          <w:lang w:val="en-US" w:eastAsia="zh-CN"/>
        </w:rPr>
        <w:t>覆盖砂砾层</w:t>
      </w:r>
    </w:p>
    <w:p>
      <w:pPr>
        <w:pStyle w:val="4"/>
        <w:rPr>
          <w:rFonts w:hint="eastAsia"/>
          <w:color w:val="auto"/>
          <w:highlight w:val="none"/>
          <w:lang w:val="en-US" w:eastAsia="zh-CN"/>
        </w:rPr>
      </w:pPr>
      <w:r>
        <w:rPr>
          <w:rFonts w:hint="eastAsia"/>
          <w:color w:val="auto"/>
          <w:highlight w:val="none"/>
          <w:lang w:val="en-US" w:eastAsia="zh-CN"/>
        </w:rPr>
        <w:t>回填作业结束对回填的灰渣压实，覆盖5cm厚砂砾层，防止风力扬尘。</w:t>
      </w:r>
    </w:p>
    <w:p>
      <w:pPr>
        <w:pStyle w:val="6"/>
        <w:bidi w:val="0"/>
        <w:rPr>
          <w:rFonts w:hint="eastAsia"/>
          <w:lang w:val="en-US" w:eastAsia="zh-CN"/>
        </w:rPr>
      </w:pPr>
      <w:r>
        <w:rPr>
          <w:rFonts w:hint="eastAsia"/>
          <w:lang w:val="en-US" w:eastAsia="zh-CN"/>
        </w:rPr>
        <w:t>生态恢复建议</w:t>
      </w:r>
    </w:p>
    <w:p>
      <w:pPr>
        <w:pStyle w:val="4"/>
        <w:rPr>
          <w:rFonts w:hint="eastAsia" w:cs="Times New Roman"/>
          <w:color w:val="FF0000"/>
          <w:highlight w:val="none"/>
          <w:lang w:val="en-US" w:eastAsia="zh-CN"/>
        </w:rPr>
      </w:pPr>
      <w:r>
        <w:rPr>
          <w:rFonts w:hint="eastAsia"/>
          <w:color w:val="FF0000"/>
          <w:sz w:val="24"/>
          <w:szCs w:val="24"/>
          <w:lang w:val="en-US" w:eastAsia="zh-CN"/>
        </w:rPr>
        <w:t>本次灰渣倾倒的采砂坑位于</w:t>
      </w:r>
      <w:r>
        <w:rPr>
          <w:rFonts w:hint="eastAsia" w:cs="Times New Roman"/>
          <w:color w:val="FF0000"/>
          <w:highlight w:val="none"/>
          <w:lang w:val="en-US" w:eastAsia="zh-CN"/>
        </w:rPr>
        <w:t>原奇台县天山砂石料厂采矿范围内，现状采坑已停产，开采平均深度约23m，由于本次以现状灰渣治理为目的，回填后坑底标高仅上升约0.75m，覆盖砂砾层，以上即完成本次灰渣场地修复工作。</w:t>
      </w:r>
    </w:p>
    <w:p>
      <w:pPr>
        <w:pStyle w:val="4"/>
        <w:rPr>
          <w:rFonts w:hint="eastAsia"/>
          <w:color w:val="FF0000"/>
          <w:sz w:val="24"/>
          <w:szCs w:val="24"/>
          <w:lang w:val="en-US" w:eastAsia="zh-CN"/>
        </w:rPr>
      </w:pPr>
      <w:r>
        <w:rPr>
          <w:rFonts w:hint="eastAsia" w:cs="Times New Roman"/>
          <w:color w:val="FF0000"/>
          <w:highlight w:val="none"/>
          <w:lang w:val="en-US" w:eastAsia="zh-CN"/>
        </w:rPr>
        <w:t>建议本次灰渣治理工作结束后，该采坑即按照</w:t>
      </w:r>
      <w:r>
        <w:rPr>
          <w:rFonts w:hint="eastAsia"/>
          <w:color w:val="FF0000"/>
          <w:sz w:val="24"/>
          <w:szCs w:val="24"/>
          <w:lang w:val="en-US" w:eastAsia="zh-CN"/>
        </w:rPr>
        <w:t>《一般工业固体废物贮存和填埋污染控制标准》（GB158599-2020）进行生态恢复治理。治理要求如下：</w:t>
      </w:r>
    </w:p>
    <w:p>
      <w:pPr>
        <w:pStyle w:val="4"/>
        <w:rPr>
          <w:rFonts w:hint="eastAsia"/>
          <w:color w:val="FF0000"/>
          <w:highlight w:val="none"/>
          <w:lang w:val="en-US" w:eastAsia="zh-CN"/>
        </w:rPr>
      </w:pPr>
      <w:r>
        <w:rPr>
          <w:rFonts w:hint="eastAsia"/>
          <w:color w:val="FF0000"/>
          <w:highlight w:val="none"/>
          <w:lang w:val="en-US" w:eastAsia="zh-CN"/>
        </w:rPr>
        <w:t>土地复垦实施过程应满足《土地复垦质量控制标准》（TD/T1036-2013）规定的相关土地复垦质量控制要求，本项目所在区域为西北干旱区，现以恢复用地类型为“其他草地”为复垦目标，根据《土地复垦质量控制标准》（TD/T1036-2013）提出应满足的要求如下：</w:t>
      </w:r>
    </w:p>
    <w:p>
      <w:pPr>
        <w:pStyle w:val="4"/>
        <w:rPr>
          <w:rFonts w:hint="eastAsia"/>
          <w:color w:val="FF0000"/>
          <w:highlight w:val="none"/>
          <w:lang w:val="en-US" w:eastAsia="zh-CN"/>
        </w:rPr>
      </w:pPr>
      <w:r>
        <w:rPr>
          <w:rFonts w:hint="eastAsia"/>
          <w:color w:val="FF0000"/>
          <w:highlight w:val="none"/>
          <w:lang w:val="en-US" w:eastAsia="zh-CN"/>
        </w:rPr>
        <w:t>（1）复垦土壤环境质量符合《土壤环境质量 农用地土壤污染风险管控标准（试行）》（GB15618-2018）筛选值要求。</w:t>
      </w:r>
    </w:p>
    <w:p>
      <w:pPr>
        <w:pStyle w:val="4"/>
        <w:rPr>
          <w:rFonts w:hint="eastAsia" w:ascii="Times New Roman" w:hAnsi="Times New Roman" w:cs="Times New Roman"/>
          <w:color w:val="FF0000"/>
          <w:highlight w:val="none"/>
          <w:lang w:val="en-US" w:eastAsia="zh-CN"/>
        </w:rPr>
      </w:pPr>
      <w:r>
        <w:rPr>
          <w:rFonts w:hint="eastAsia"/>
          <w:color w:val="FF0000"/>
          <w:highlight w:val="none"/>
          <w:lang w:val="en-US" w:eastAsia="zh-CN"/>
        </w:rPr>
        <w:t>（2）有效土层厚度</w:t>
      </w:r>
      <w:r>
        <w:rPr>
          <w:rFonts w:hint="default" w:ascii="Arial" w:hAnsi="Arial" w:cs="Arial"/>
          <w:color w:val="FF0000"/>
          <w:highlight w:val="none"/>
          <w:lang w:val="en-US" w:eastAsia="zh-CN"/>
        </w:rPr>
        <w:t>≥</w:t>
      </w:r>
      <w:r>
        <w:rPr>
          <w:rFonts w:hint="eastAsia"/>
          <w:color w:val="FF0000"/>
          <w:highlight w:val="none"/>
          <w:lang w:val="en-US" w:eastAsia="zh-CN"/>
        </w:rPr>
        <w:t>10cm；土壤容重</w:t>
      </w:r>
      <w:r>
        <w:rPr>
          <w:rFonts w:hint="default" w:ascii="Arial" w:hAnsi="Arial" w:cs="Arial"/>
          <w:color w:val="FF0000"/>
          <w:highlight w:val="none"/>
          <w:lang w:val="en-US" w:eastAsia="zh-CN"/>
        </w:rPr>
        <w:t>≤</w:t>
      </w:r>
      <w:r>
        <w:rPr>
          <w:rFonts w:hint="eastAsia"/>
          <w:color w:val="FF0000"/>
          <w:highlight w:val="none"/>
          <w:lang w:val="en-US" w:eastAsia="zh-CN"/>
        </w:rPr>
        <w:t>15g/cm</w:t>
      </w:r>
      <w:r>
        <w:rPr>
          <w:rFonts w:hint="eastAsia"/>
          <w:color w:val="FF0000"/>
          <w:highlight w:val="none"/>
          <w:vertAlign w:val="superscript"/>
          <w:lang w:val="en-US" w:eastAsia="zh-CN"/>
        </w:rPr>
        <w:t>3</w:t>
      </w:r>
      <w:r>
        <w:rPr>
          <w:rFonts w:hint="eastAsia"/>
          <w:color w:val="FF0000"/>
          <w:highlight w:val="none"/>
          <w:lang w:val="en-US" w:eastAsia="zh-CN"/>
        </w:rPr>
        <w:t>；土壤质地为砂土至砂质粘土；砾石含量</w:t>
      </w:r>
      <w:r>
        <w:rPr>
          <w:rFonts w:hint="default" w:ascii="Times New Roman" w:hAnsi="Times New Roman" w:cs="Times New Roman"/>
          <w:color w:val="FF0000"/>
          <w:highlight w:val="none"/>
          <w:lang w:val="en-US" w:eastAsia="zh-CN"/>
        </w:rPr>
        <w:t>≤</w:t>
      </w:r>
      <w:r>
        <w:rPr>
          <w:rFonts w:hint="eastAsia" w:ascii="Times New Roman" w:hAnsi="Times New Roman" w:cs="Times New Roman"/>
          <w:color w:val="FF0000"/>
          <w:highlight w:val="none"/>
          <w:lang w:val="en-US" w:eastAsia="zh-CN"/>
        </w:rPr>
        <w:t>50%；pH值6.5</w:t>
      </w:r>
      <w:r>
        <w:rPr>
          <w:rFonts w:hint="default" w:ascii="Times New Roman" w:hAnsi="Times New Roman" w:cs="Times New Roman"/>
          <w:color w:val="FF0000"/>
          <w:highlight w:val="none"/>
          <w:lang w:val="en-US" w:eastAsia="zh-CN"/>
        </w:rPr>
        <w:t>~</w:t>
      </w:r>
      <w:r>
        <w:rPr>
          <w:rFonts w:hint="eastAsia" w:ascii="Times New Roman" w:hAnsi="Times New Roman" w:cs="Times New Roman"/>
          <w:color w:val="FF0000"/>
          <w:highlight w:val="none"/>
          <w:lang w:val="en-US" w:eastAsia="zh-CN"/>
        </w:rPr>
        <w:t>8.5；有机质含量</w:t>
      </w:r>
      <w:r>
        <w:rPr>
          <w:rFonts w:hint="default" w:ascii="Times New Roman" w:hAnsi="Times New Roman" w:cs="Times New Roman"/>
          <w:color w:val="FF0000"/>
          <w:highlight w:val="none"/>
          <w:lang w:val="en-US" w:eastAsia="zh-CN"/>
        </w:rPr>
        <w:t>≥</w:t>
      </w:r>
      <w:r>
        <w:rPr>
          <w:rFonts w:hint="eastAsia" w:ascii="Times New Roman" w:hAnsi="Times New Roman" w:cs="Times New Roman"/>
          <w:color w:val="FF0000"/>
          <w:highlight w:val="none"/>
          <w:lang w:val="en-US" w:eastAsia="zh-CN"/>
        </w:rPr>
        <w:t>0.5%。</w:t>
      </w:r>
    </w:p>
    <w:p>
      <w:pPr>
        <w:pStyle w:val="4"/>
        <w:rPr>
          <w:rFonts w:hint="eastAsia" w:ascii="Times New Roman" w:hAnsi="Times New Roman" w:cs="Times New Roman"/>
          <w:color w:val="FF0000"/>
          <w:highlight w:val="none"/>
          <w:lang w:val="en-US" w:eastAsia="zh-CN"/>
        </w:rPr>
      </w:pPr>
      <w:r>
        <w:rPr>
          <w:rFonts w:hint="eastAsia" w:ascii="Times New Roman" w:hAnsi="Times New Roman" w:cs="Times New Roman"/>
          <w:color w:val="FF0000"/>
          <w:highlight w:val="none"/>
          <w:lang w:val="en-US" w:eastAsia="zh-CN"/>
        </w:rPr>
        <w:t>（3）配套灌溉、道路设施应满足《灌溉与排水工程设计规范》（GB50288-2018）、《人工草地建设技术规程》（NY/T1342-2007）等标准以及当地同行业工程建设标准要求。</w:t>
      </w:r>
    </w:p>
    <w:p>
      <w:pPr>
        <w:pStyle w:val="4"/>
        <w:rPr>
          <w:rFonts w:hint="default"/>
          <w:color w:val="auto"/>
          <w:highlight w:val="none"/>
          <w:lang w:val="en-US" w:eastAsia="zh-CN"/>
        </w:rPr>
      </w:pPr>
      <w:r>
        <w:rPr>
          <w:rFonts w:hint="eastAsia" w:ascii="Times New Roman" w:hAnsi="Times New Roman" w:cs="Times New Roman"/>
          <w:color w:val="FF0000"/>
          <w:highlight w:val="none"/>
          <w:lang w:val="en-US" w:eastAsia="zh-CN"/>
        </w:rPr>
        <w:t>（4）生产力水平：覆盖度</w:t>
      </w:r>
      <w:r>
        <w:rPr>
          <w:rFonts w:hint="default" w:ascii="Times New Roman" w:hAnsi="Times New Roman" w:cs="Times New Roman"/>
          <w:color w:val="FF0000"/>
          <w:highlight w:val="none"/>
          <w:lang w:val="en-US" w:eastAsia="zh-CN"/>
        </w:rPr>
        <w:t>≥</w:t>
      </w:r>
      <w:r>
        <w:rPr>
          <w:rFonts w:hint="eastAsia" w:ascii="Times New Roman" w:hAnsi="Times New Roman" w:cs="Times New Roman"/>
          <w:color w:val="FF0000"/>
          <w:highlight w:val="none"/>
          <w:lang w:val="en-US" w:eastAsia="zh-CN"/>
        </w:rPr>
        <w:t>15，五年后产量达到周边地区同等土地利用类型水平。</w:t>
      </w:r>
    </w:p>
    <w:p>
      <w:pPr>
        <w:pStyle w:val="6"/>
        <w:bidi w:val="0"/>
        <w:rPr>
          <w:rFonts w:hint="eastAsia"/>
          <w:color w:val="auto"/>
          <w:highlight w:val="none"/>
        </w:rPr>
      </w:pPr>
      <w:r>
        <w:rPr>
          <w:rFonts w:hint="eastAsia"/>
          <w:color w:val="auto"/>
          <w:highlight w:val="none"/>
          <w:lang w:val="en-US" w:eastAsia="zh-CN"/>
        </w:rPr>
        <w:t>原辅材料情况</w:t>
      </w:r>
    </w:p>
    <w:p>
      <w:pPr>
        <w:pStyle w:val="4"/>
        <w:rPr>
          <w:rFonts w:hint="eastAsia"/>
          <w:color w:val="FF0000"/>
          <w:highlight w:val="none"/>
          <w:lang w:val="en-US" w:eastAsia="zh-CN"/>
        </w:rPr>
      </w:pPr>
      <w:r>
        <w:rPr>
          <w:rFonts w:hint="eastAsia"/>
          <w:color w:val="FF0000"/>
          <w:highlight w:val="none"/>
          <w:lang w:val="en-US" w:eastAsia="zh-CN"/>
        </w:rPr>
        <w:t>根据《新疆奇台县瑞丰商贸有限公司非法倾倒粉煤灰和炉渣生态环境损害鉴定报告》，土壤中主要污染物与灰渣中的特征污染物一致，根据评估区域的土壤检测结果，汞、砷、铜、镍、铅，镉的含量高于基线水平，说明本次倾倒的灰渣中含有以上重金属成分。</w:t>
      </w:r>
    </w:p>
    <w:p>
      <w:pPr>
        <w:pStyle w:val="4"/>
        <w:rPr>
          <w:rFonts w:hint="eastAsia"/>
          <w:color w:val="auto"/>
          <w:highlight w:val="none"/>
          <w:lang w:val="en-US" w:eastAsia="zh-CN"/>
        </w:rPr>
      </w:pPr>
      <w:r>
        <w:rPr>
          <w:rFonts w:hint="eastAsia"/>
          <w:color w:val="auto"/>
          <w:highlight w:val="none"/>
          <w:lang w:val="en-US" w:eastAsia="zh-CN"/>
        </w:rPr>
        <w:t>本项目涉及的原辅材料即本次回填的粉煤灰和炉渣，通过查阅资料，燃煤粉煤灰、炉渣均属于</w:t>
      </w:r>
      <w:r>
        <w:rPr>
          <w:rFonts w:hint="default" w:ascii="Times New Roman" w:hAnsi="Times New Roman" w:cs="Times New Roman"/>
          <w:color w:val="auto"/>
          <w:highlight w:val="none"/>
          <w:lang w:val="en-US" w:eastAsia="zh-CN"/>
        </w:rPr>
        <w:t>Ⅱ</w:t>
      </w:r>
      <w:r>
        <w:rPr>
          <w:rFonts w:hint="eastAsia" w:cs="Times New Roman"/>
          <w:color w:val="auto"/>
          <w:highlight w:val="none"/>
          <w:lang w:val="en-US" w:eastAsia="zh-CN"/>
        </w:rPr>
        <w:t>类一般工业固体废物，</w:t>
      </w:r>
      <w:r>
        <w:rPr>
          <w:rFonts w:hint="eastAsia"/>
          <w:color w:val="auto"/>
          <w:highlight w:val="none"/>
          <w:lang w:val="en-US" w:eastAsia="zh-CN"/>
        </w:rPr>
        <w:t>其主要化学组成成分如下表：</w:t>
      </w:r>
    </w:p>
    <w:p>
      <w:pPr>
        <w:pStyle w:val="22"/>
        <w:bidi w:val="0"/>
        <w:rPr>
          <w:rFonts w:hint="default"/>
          <w:color w:val="auto"/>
          <w:lang w:val="en-US" w:eastAsia="zh-CN"/>
        </w:rPr>
      </w:pPr>
      <w:r>
        <w:rPr>
          <w:color w:val="auto"/>
        </w:rPr>
        <w:t>表</w:t>
      </w:r>
      <w:r>
        <w:rPr>
          <w:rFonts w:hint="eastAsia"/>
          <w:color w:val="auto"/>
          <w:lang w:val="en-US" w:eastAsia="zh-CN"/>
        </w:rPr>
        <w:t>3.1-3</w:t>
      </w:r>
      <w:r>
        <w:rPr>
          <w:rFonts w:hint="eastAsia"/>
          <w:color w:val="auto"/>
        </w:rPr>
        <w:t xml:space="preserve">    </w:t>
      </w:r>
      <w:r>
        <w:rPr>
          <w:rFonts w:hint="eastAsia"/>
          <w:color w:val="auto"/>
          <w:lang w:val="en-US" w:eastAsia="zh-CN"/>
        </w:rPr>
        <w:t>电厂粉煤灰、炉渣化学成分表   单位：%</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3"/>
        <w:gridCol w:w="1063"/>
        <w:gridCol w:w="1064"/>
        <w:gridCol w:w="1064"/>
        <w:gridCol w:w="1064"/>
        <w:gridCol w:w="1064"/>
        <w:gridCol w:w="1064"/>
        <w:gridCol w:w="10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烧失量</w:t>
            </w:r>
          </w:p>
        </w:tc>
        <w:tc>
          <w:tcPr>
            <w:tcW w:w="624"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SiO</w:t>
            </w:r>
            <w:r>
              <w:rPr>
                <w:rFonts w:hint="eastAsia"/>
                <w:color w:val="auto"/>
                <w:vertAlign w:val="subscript"/>
                <w:lang w:val="en-US" w:eastAsia="zh-CN"/>
              </w:rPr>
              <w:t>2</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Fe</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3</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Al</w:t>
            </w:r>
            <w:r>
              <w:rPr>
                <w:rFonts w:hint="eastAsia"/>
                <w:color w:val="auto"/>
                <w:vertAlign w:val="subscript"/>
                <w:lang w:val="en-US" w:eastAsia="zh-CN"/>
              </w:rPr>
              <w:t>2</w:t>
            </w:r>
            <w:r>
              <w:rPr>
                <w:rFonts w:hint="eastAsia"/>
                <w:color w:val="auto"/>
                <w:lang w:val="en-US" w:eastAsia="zh-CN"/>
              </w:rPr>
              <w:t>O</w:t>
            </w:r>
            <w:r>
              <w:rPr>
                <w:rFonts w:hint="eastAsia"/>
                <w:color w:val="auto"/>
                <w:vertAlign w:val="subscript"/>
                <w:lang w:val="en-US" w:eastAsia="zh-CN"/>
              </w:rPr>
              <w:t>3</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CaO</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MgO</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f-CaO</w:t>
            </w:r>
          </w:p>
        </w:tc>
        <w:tc>
          <w:tcPr>
            <w:tcW w:w="626"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SO</w:t>
            </w:r>
            <w:r>
              <w:rPr>
                <w:rFonts w:hint="eastAsia"/>
                <w:color w:val="auto"/>
                <w:vertAlign w:val="sub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1.86</w:t>
            </w:r>
          </w:p>
        </w:tc>
        <w:tc>
          <w:tcPr>
            <w:tcW w:w="624"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60.98</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6.70</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24.47</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4.90</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0.68</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0.58</w:t>
            </w:r>
          </w:p>
        </w:tc>
        <w:tc>
          <w:tcPr>
            <w:tcW w:w="626"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2.28</w:t>
            </w:r>
          </w:p>
        </w:tc>
        <w:tc>
          <w:tcPr>
            <w:tcW w:w="624"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60.84</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6.96</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23.72</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3.83</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0.55</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0.42</w:t>
            </w:r>
          </w:p>
        </w:tc>
        <w:tc>
          <w:tcPr>
            <w:tcW w:w="626"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3.88</w:t>
            </w:r>
          </w:p>
        </w:tc>
        <w:tc>
          <w:tcPr>
            <w:tcW w:w="624"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60.46</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6.79</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23.19</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3.12</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0.23</w:t>
            </w:r>
          </w:p>
        </w:tc>
        <w:tc>
          <w:tcPr>
            <w:tcW w:w="625"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0.39</w:t>
            </w:r>
          </w:p>
        </w:tc>
        <w:tc>
          <w:tcPr>
            <w:tcW w:w="626" w:type="pct"/>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0.79</w:t>
            </w:r>
          </w:p>
        </w:tc>
      </w:tr>
    </w:tbl>
    <w:p>
      <w:pPr>
        <w:pStyle w:val="6"/>
        <w:bidi w:val="0"/>
        <w:rPr>
          <w:rFonts w:hint="eastAsia"/>
          <w:color w:val="auto"/>
          <w:highlight w:val="none"/>
        </w:rPr>
      </w:pPr>
      <w:r>
        <w:rPr>
          <w:rFonts w:hint="eastAsia"/>
          <w:color w:val="auto"/>
          <w:highlight w:val="none"/>
          <w:lang w:val="en-US" w:eastAsia="zh-CN"/>
        </w:rPr>
        <w:t>土石方平衡分析</w:t>
      </w:r>
    </w:p>
    <w:p>
      <w:pPr>
        <w:pStyle w:val="4"/>
        <w:rPr>
          <w:rFonts w:hint="eastAsia"/>
          <w:color w:val="auto"/>
          <w:highlight w:val="none"/>
          <w:lang w:val="en-US" w:eastAsia="zh-CN"/>
        </w:rPr>
      </w:pPr>
      <w:r>
        <w:rPr>
          <w:rFonts w:hint="eastAsia"/>
          <w:color w:val="auto"/>
          <w:highlight w:val="none"/>
          <w:lang w:val="en-US" w:eastAsia="zh-CN"/>
        </w:rPr>
        <w:t>采砂坑防渗层建设前对坑底进行平整，不产生挖方。拟移除并填埋现状非法倾倒的粉煤灰13948t，炉渣3000t，体积约1.1万m</w:t>
      </w:r>
      <w:r>
        <w:rPr>
          <w:rFonts w:hint="eastAsia"/>
          <w:color w:val="auto"/>
          <w:highlight w:val="none"/>
          <w:vertAlign w:val="superscript"/>
          <w:lang w:val="en-US" w:eastAsia="zh-CN"/>
        </w:rPr>
        <w:t>3</w:t>
      </w:r>
      <w:r>
        <w:rPr>
          <w:rFonts w:hint="eastAsia"/>
          <w:color w:val="auto"/>
          <w:highlight w:val="none"/>
          <w:vertAlign w:val="baseline"/>
          <w:lang w:val="en-US" w:eastAsia="zh-CN"/>
        </w:rPr>
        <w:t>。灰渣移除后，项目拟清除堆放区表土面积5700m</w:t>
      </w:r>
      <w:r>
        <w:rPr>
          <w:rFonts w:hint="eastAsia"/>
          <w:color w:val="auto"/>
          <w:highlight w:val="none"/>
          <w:vertAlign w:val="superscript"/>
          <w:lang w:val="en-US" w:eastAsia="zh-CN"/>
        </w:rPr>
        <w:t>2</w:t>
      </w:r>
      <w:r>
        <w:rPr>
          <w:rFonts w:hint="eastAsia"/>
          <w:color w:val="auto"/>
          <w:highlight w:val="none"/>
          <w:vertAlign w:val="baseline"/>
          <w:lang w:val="en-US" w:eastAsia="zh-CN"/>
        </w:rPr>
        <w:t>，深度0.5m，土方量约0.3万m</w:t>
      </w:r>
      <w:r>
        <w:rPr>
          <w:rFonts w:hint="eastAsia"/>
          <w:color w:val="auto"/>
          <w:highlight w:val="none"/>
          <w:vertAlign w:val="superscript"/>
          <w:lang w:val="en-US" w:eastAsia="zh-CN"/>
        </w:rPr>
        <w:t>3</w:t>
      </w:r>
      <w:r>
        <w:rPr>
          <w:rFonts w:hint="eastAsia"/>
          <w:color w:val="auto"/>
          <w:highlight w:val="none"/>
          <w:vertAlign w:val="baseline"/>
          <w:lang w:val="en-US" w:eastAsia="zh-CN"/>
        </w:rPr>
        <w:t>。回填作业完成后进行覆土压实</w:t>
      </w:r>
      <w:r>
        <w:rPr>
          <w:rFonts w:hint="eastAsia"/>
          <w:color w:val="auto"/>
          <w:highlight w:val="none"/>
          <w:lang w:val="en-US" w:eastAsia="zh-CN"/>
        </w:rPr>
        <w:t>，根据覆土防尘要求，表层应覆盖5cm厚砂砾层，覆盖面积约12000m</w:t>
      </w:r>
      <w:r>
        <w:rPr>
          <w:rFonts w:hint="eastAsia"/>
          <w:color w:val="auto"/>
          <w:highlight w:val="none"/>
          <w:vertAlign w:val="superscript"/>
          <w:lang w:val="en-US" w:eastAsia="zh-CN"/>
        </w:rPr>
        <w:t>2</w:t>
      </w:r>
      <w:r>
        <w:rPr>
          <w:rFonts w:hint="eastAsia"/>
          <w:color w:val="auto"/>
          <w:highlight w:val="none"/>
          <w:lang w:val="en-US" w:eastAsia="zh-CN"/>
        </w:rPr>
        <w:t>，则需借用土石方量为600m</w:t>
      </w:r>
      <w:r>
        <w:rPr>
          <w:rFonts w:hint="eastAsia"/>
          <w:color w:val="auto"/>
          <w:highlight w:val="none"/>
          <w:vertAlign w:val="superscript"/>
          <w:lang w:val="en-US" w:eastAsia="zh-CN"/>
        </w:rPr>
        <w:t>3</w:t>
      </w:r>
      <w:r>
        <w:rPr>
          <w:rFonts w:hint="eastAsia"/>
          <w:color w:val="auto"/>
          <w:highlight w:val="none"/>
          <w:lang w:val="en-US" w:eastAsia="zh-CN"/>
        </w:rPr>
        <w:t>，覆盖层砂砾石来源于周边采砂场</w:t>
      </w:r>
      <w:r>
        <w:rPr>
          <w:rFonts w:hint="eastAsia"/>
          <w:color w:val="auto"/>
          <w:highlight w:val="none"/>
          <w:vertAlign w:val="baseline"/>
          <w:lang w:val="en-US" w:eastAsia="zh-CN"/>
        </w:rPr>
        <w:t>。</w:t>
      </w:r>
    </w:p>
    <w:p>
      <w:pPr>
        <w:pStyle w:val="4"/>
        <w:rPr>
          <w:rFonts w:hint="default"/>
          <w:color w:val="auto"/>
          <w:highlight w:val="none"/>
          <w:vertAlign w:val="baseline"/>
          <w:lang w:val="en-US" w:eastAsia="zh-CN"/>
        </w:rPr>
      </w:pPr>
      <w:r>
        <w:rPr>
          <w:rFonts w:hint="eastAsia"/>
          <w:color w:val="auto"/>
          <w:highlight w:val="none"/>
          <w:vertAlign w:val="baseline"/>
          <w:lang w:val="en-US" w:eastAsia="zh-CN"/>
        </w:rPr>
        <w:t>土石方平衡预估量如下表：</w:t>
      </w:r>
    </w:p>
    <w:p>
      <w:pPr>
        <w:pStyle w:val="22"/>
        <w:bidi w:val="0"/>
        <w:rPr>
          <w:rFonts w:hint="default" w:eastAsia="黑体"/>
          <w:color w:val="auto"/>
          <w:highlight w:val="none"/>
          <w:lang w:val="en-US" w:eastAsia="zh-CN"/>
        </w:rPr>
      </w:pPr>
      <w:r>
        <w:rPr>
          <w:rFonts w:hint="eastAsia"/>
          <w:color w:val="auto"/>
          <w:highlight w:val="none"/>
        </w:rPr>
        <w:t>表</w:t>
      </w:r>
      <w:r>
        <w:rPr>
          <w:rFonts w:hint="eastAsia"/>
          <w:color w:val="auto"/>
          <w:highlight w:val="none"/>
          <w:lang w:val="en-US" w:eastAsia="zh-CN"/>
        </w:rPr>
        <w:t>3.1-4</w:t>
      </w:r>
      <w:r>
        <w:rPr>
          <w:rFonts w:hint="eastAsia"/>
          <w:color w:val="auto"/>
          <w:highlight w:val="none"/>
        </w:rPr>
        <w:t xml:space="preserve">    </w:t>
      </w:r>
      <w:r>
        <w:rPr>
          <w:rFonts w:hint="eastAsia"/>
          <w:color w:val="auto"/>
          <w:highlight w:val="none"/>
          <w:lang w:val="en-US" w:eastAsia="zh-CN"/>
        </w:rPr>
        <w:t>土石方平衡  单位：m</w:t>
      </w:r>
      <w:r>
        <w:rPr>
          <w:rFonts w:hint="eastAsia"/>
          <w:color w:val="auto"/>
          <w:highlight w:val="none"/>
          <w:vertAlign w:val="superscript"/>
          <w:lang w:val="en-US" w:eastAsia="zh-CN"/>
        </w:rPr>
        <w:t>3</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92"/>
        <w:gridCol w:w="1682"/>
        <w:gridCol w:w="1515"/>
        <w:gridCol w:w="1786"/>
        <w:gridCol w:w="15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1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98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挖方</w:t>
            </w: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借方</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填方</w:t>
            </w:r>
          </w:p>
        </w:tc>
        <w:tc>
          <w:tcPr>
            <w:tcW w:w="90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弃方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4" w:hRule="atLeast"/>
          <w:tblHeader/>
          <w:jc w:val="center"/>
        </w:trPr>
        <w:tc>
          <w:tcPr>
            <w:tcW w:w="11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本次倾倒的灰渣</w:t>
            </w:r>
          </w:p>
        </w:tc>
        <w:tc>
          <w:tcPr>
            <w:tcW w:w="98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11000</w:t>
            </w: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11000</w:t>
            </w:r>
          </w:p>
        </w:tc>
        <w:tc>
          <w:tcPr>
            <w:tcW w:w="90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4" w:hRule="atLeast"/>
          <w:tblHeader/>
          <w:jc w:val="center"/>
        </w:trPr>
        <w:tc>
          <w:tcPr>
            <w:tcW w:w="11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土壤污染层</w:t>
            </w:r>
          </w:p>
        </w:tc>
        <w:tc>
          <w:tcPr>
            <w:tcW w:w="98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3000</w:t>
            </w: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3000</w:t>
            </w:r>
          </w:p>
        </w:tc>
        <w:tc>
          <w:tcPr>
            <w:tcW w:w="90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34" w:hRule="atLeast"/>
          <w:tblHeader/>
          <w:jc w:val="center"/>
        </w:trPr>
        <w:tc>
          <w:tcPr>
            <w:tcW w:w="11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覆土层</w:t>
            </w:r>
          </w:p>
        </w:tc>
        <w:tc>
          <w:tcPr>
            <w:tcW w:w="98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w:t>
            </w: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600</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600</w:t>
            </w:r>
          </w:p>
        </w:tc>
        <w:tc>
          <w:tcPr>
            <w:tcW w:w="90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34" w:hRule="atLeast"/>
          <w:tblHeader/>
          <w:jc w:val="center"/>
        </w:trPr>
        <w:tc>
          <w:tcPr>
            <w:tcW w:w="117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合计</w:t>
            </w:r>
          </w:p>
        </w:tc>
        <w:tc>
          <w:tcPr>
            <w:tcW w:w="98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14000</w:t>
            </w: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600</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14600</w:t>
            </w:r>
          </w:p>
        </w:tc>
        <w:tc>
          <w:tcPr>
            <w:tcW w:w="90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4" w:hRule="atLeast"/>
          <w:tblHeader/>
          <w:jc w:val="center"/>
        </w:trPr>
        <w:tc>
          <w:tcPr>
            <w:tcW w:w="5000" w:type="pct"/>
            <w:gridSpan w:val="5"/>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注：挖方+借方=填方+弃方</w:t>
            </w:r>
          </w:p>
        </w:tc>
      </w:tr>
    </w:tbl>
    <w:p>
      <w:pPr>
        <w:pStyle w:val="6"/>
        <w:bidi w:val="0"/>
        <w:rPr>
          <w:rFonts w:hint="eastAsia"/>
          <w:color w:val="auto"/>
          <w:highlight w:val="none"/>
        </w:rPr>
      </w:pPr>
      <w:r>
        <w:rPr>
          <w:rFonts w:hint="eastAsia"/>
          <w:color w:val="auto"/>
          <w:highlight w:val="none"/>
          <w:lang w:val="en-US" w:eastAsia="zh-CN"/>
        </w:rPr>
        <w:t>公用工程</w:t>
      </w:r>
    </w:p>
    <w:p>
      <w:pPr>
        <w:pStyle w:val="4"/>
        <w:rPr>
          <w:rFonts w:hint="eastAsia"/>
          <w:color w:val="auto"/>
          <w:highlight w:val="none"/>
          <w:lang w:val="en-US" w:eastAsia="zh-CN"/>
        </w:rPr>
      </w:pPr>
      <w:r>
        <w:rPr>
          <w:rFonts w:hint="eastAsia"/>
          <w:color w:val="auto"/>
          <w:highlight w:val="none"/>
          <w:lang w:val="en-US" w:eastAsia="zh-CN"/>
        </w:rPr>
        <w:t>（1）供配电</w:t>
      </w:r>
    </w:p>
    <w:p>
      <w:pPr>
        <w:pStyle w:val="4"/>
        <w:rPr>
          <w:rFonts w:hint="default"/>
          <w:color w:val="auto"/>
          <w:highlight w:val="none"/>
          <w:lang w:val="en-US" w:eastAsia="zh-CN"/>
        </w:rPr>
      </w:pPr>
      <w:r>
        <w:rPr>
          <w:rFonts w:hint="eastAsia"/>
          <w:bCs/>
          <w:color w:val="auto"/>
          <w:szCs w:val="21"/>
          <w:highlight w:val="none"/>
        </w:rPr>
        <w:t>电源引自</w:t>
      </w:r>
      <w:r>
        <w:rPr>
          <w:bCs/>
          <w:color w:val="auto"/>
          <w:szCs w:val="21"/>
          <w:highlight w:val="none"/>
        </w:rPr>
        <w:t>项目区周围</w:t>
      </w:r>
      <w:r>
        <w:rPr>
          <w:rFonts w:hint="eastAsia"/>
          <w:bCs/>
          <w:color w:val="auto"/>
          <w:szCs w:val="21"/>
          <w:highlight w:val="none"/>
        </w:rPr>
        <w:t>电源线</w:t>
      </w:r>
      <w:r>
        <w:rPr>
          <w:bCs/>
          <w:color w:val="auto"/>
          <w:szCs w:val="21"/>
          <w:highlight w:val="none"/>
        </w:rPr>
        <w:t>，架空敷设至项目区。</w:t>
      </w:r>
    </w:p>
    <w:p>
      <w:pPr>
        <w:pStyle w:val="4"/>
        <w:rPr>
          <w:rFonts w:hint="eastAsia"/>
          <w:color w:val="auto"/>
          <w:highlight w:val="none"/>
          <w:lang w:val="en-US" w:eastAsia="zh-CN"/>
        </w:rPr>
      </w:pPr>
      <w:r>
        <w:rPr>
          <w:rFonts w:hint="eastAsia"/>
          <w:color w:val="auto"/>
          <w:highlight w:val="none"/>
          <w:lang w:val="en-US" w:eastAsia="zh-CN"/>
        </w:rPr>
        <w:t>（2）供暖</w:t>
      </w:r>
    </w:p>
    <w:p>
      <w:pPr>
        <w:pStyle w:val="4"/>
        <w:rPr>
          <w:rFonts w:hint="eastAsia"/>
          <w:color w:val="auto"/>
          <w:highlight w:val="none"/>
          <w:lang w:val="en-US" w:eastAsia="zh-CN"/>
        </w:rPr>
      </w:pPr>
      <w:r>
        <w:rPr>
          <w:rFonts w:hint="eastAsia"/>
          <w:bCs/>
          <w:color w:val="auto"/>
          <w:szCs w:val="21"/>
          <w:highlight w:val="none"/>
          <w:lang w:val="en-US" w:eastAsia="zh-CN"/>
        </w:rPr>
        <w:t>无</w:t>
      </w:r>
      <w:r>
        <w:rPr>
          <w:rFonts w:hint="eastAsia"/>
          <w:bCs/>
          <w:color w:val="auto"/>
          <w:szCs w:val="21"/>
          <w:highlight w:val="none"/>
        </w:rPr>
        <w:t>。</w:t>
      </w:r>
    </w:p>
    <w:p>
      <w:pPr>
        <w:pStyle w:val="4"/>
        <w:rPr>
          <w:rFonts w:hint="eastAsia"/>
          <w:color w:val="auto"/>
          <w:highlight w:val="none"/>
          <w:lang w:val="en-US" w:eastAsia="zh-CN"/>
        </w:rPr>
      </w:pPr>
      <w:r>
        <w:rPr>
          <w:rFonts w:hint="eastAsia"/>
          <w:color w:val="auto"/>
          <w:highlight w:val="none"/>
          <w:lang w:val="en-US" w:eastAsia="zh-CN"/>
        </w:rPr>
        <w:t>（3）给水</w:t>
      </w:r>
    </w:p>
    <w:p>
      <w:pPr>
        <w:pStyle w:val="4"/>
        <w:rPr>
          <w:rFonts w:hint="eastAsia"/>
          <w:color w:val="auto"/>
          <w:highlight w:val="none"/>
          <w:lang w:val="en-US" w:eastAsia="zh-CN"/>
        </w:rPr>
      </w:pPr>
      <w:r>
        <w:rPr>
          <w:rFonts w:hint="eastAsia"/>
          <w:highlight w:val="none"/>
          <w:lang w:val="en-US" w:eastAsia="zh-CN"/>
        </w:rPr>
        <w:t>用罐车从奇台县城区拉运</w:t>
      </w:r>
      <w:r>
        <w:rPr>
          <w:rFonts w:hint="eastAsia"/>
          <w:bCs/>
          <w:color w:val="auto"/>
          <w:szCs w:val="21"/>
          <w:highlight w:val="none"/>
          <w:lang w:val="en-US" w:eastAsia="zh-CN"/>
        </w:rPr>
        <w:t>。</w:t>
      </w:r>
    </w:p>
    <w:p>
      <w:pPr>
        <w:pStyle w:val="4"/>
        <w:rPr>
          <w:rFonts w:hint="eastAsia"/>
          <w:color w:val="auto"/>
          <w:highlight w:val="none"/>
          <w:lang w:val="en-US" w:eastAsia="zh-CN"/>
        </w:rPr>
      </w:pPr>
      <w:r>
        <w:rPr>
          <w:rFonts w:hint="eastAsia"/>
          <w:color w:val="auto"/>
          <w:highlight w:val="none"/>
          <w:lang w:val="en-US" w:eastAsia="zh-CN"/>
        </w:rPr>
        <w:t>（4）排水</w:t>
      </w:r>
    </w:p>
    <w:p>
      <w:pPr>
        <w:pStyle w:val="4"/>
        <w:rPr>
          <w:rFonts w:hint="eastAsia"/>
          <w:color w:val="auto"/>
          <w:highlight w:val="none"/>
          <w:lang w:val="en-US" w:eastAsia="zh-CN"/>
        </w:rPr>
      </w:pPr>
      <w:r>
        <w:rPr>
          <w:rFonts w:hint="eastAsia"/>
          <w:color w:val="auto"/>
          <w:highlight w:val="none"/>
          <w:lang w:val="en-US" w:eastAsia="zh-CN"/>
        </w:rPr>
        <w:t>施工及填埋作业工作人员生活依托周围村庄，无生活废水排放。</w:t>
      </w:r>
    </w:p>
    <w:p>
      <w:pPr>
        <w:pStyle w:val="6"/>
        <w:bidi w:val="0"/>
        <w:rPr>
          <w:rFonts w:hint="eastAsia"/>
          <w:color w:val="auto"/>
          <w:highlight w:val="none"/>
        </w:rPr>
      </w:pPr>
      <w:r>
        <w:rPr>
          <w:rFonts w:hint="eastAsia"/>
          <w:color w:val="auto"/>
          <w:highlight w:val="none"/>
          <w:lang w:val="en-US" w:eastAsia="zh-CN"/>
        </w:rPr>
        <w:t>平面布置</w:t>
      </w:r>
    </w:p>
    <w:p>
      <w:pPr>
        <w:pStyle w:val="4"/>
        <w:rPr>
          <w:rFonts w:hint="eastAsia"/>
          <w:color w:val="auto"/>
          <w:highlight w:val="none"/>
          <w:lang w:val="en-US" w:eastAsia="zh-CN"/>
        </w:rPr>
      </w:pPr>
      <w:r>
        <w:rPr>
          <w:rFonts w:hint="eastAsia"/>
          <w:color w:val="auto"/>
          <w:highlight w:val="none"/>
          <w:lang w:val="en-US" w:eastAsia="zh-CN"/>
        </w:rPr>
        <w:t>本项目位于达坂河11村公路的北侧，G7京新高速路南侧，心地理位置坐标为</w:t>
      </w:r>
      <w:r>
        <w:rPr>
          <w:rFonts w:hint="default" w:ascii="Times New Roman" w:hAnsi="Times New Roman" w:cs="Times New Roman"/>
          <w:color w:val="auto"/>
          <w:highlight w:val="none"/>
          <w:lang w:val="en-US" w:eastAsia="zh-CN"/>
        </w:rPr>
        <w:t>E89°30′</w:t>
      </w:r>
      <w:r>
        <w:rPr>
          <w:rFonts w:hint="eastAsia" w:cs="Times New Roman"/>
          <w:color w:val="auto"/>
          <w:highlight w:val="none"/>
          <w:lang w:val="en-US" w:eastAsia="zh-CN"/>
        </w:rPr>
        <w:t>22.725</w:t>
      </w:r>
      <w:r>
        <w:rPr>
          <w:rFonts w:hint="default" w:ascii="Times New Roman" w:hAnsi="Times New Roman" w:cs="Times New Roman"/>
          <w:color w:val="auto"/>
          <w:highlight w:val="none"/>
          <w:lang w:val="en-US" w:eastAsia="zh-CN"/>
        </w:rPr>
        <w:t>″，N43°54′38.409″</w:t>
      </w:r>
      <w:r>
        <w:rPr>
          <w:rFonts w:hint="eastAsia" w:cs="Times New Roman"/>
          <w:color w:val="auto"/>
          <w:highlight w:val="none"/>
          <w:lang w:val="en-US" w:eastAsia="zh-CN"/>
        </w:rPr>
        <w:t>，</w:t>
      </w:r>
      <w:r>
        <w:rPr>
          <w:rFonts w:hint="eastAsia"/>
          <w:color w:val="auto"/>
          <w:highlight w:val="none"/>
          <w:lang w:val="en-US" w:eastAsia="zh-CN"/>
        </w:rPr>
        <w:t>污染区面积5700m</w:t>
      </w:r>
      <w:r>
        <w:rPr>
          <w:rFonts w:hint="eastAsia"/>
          <w:color w:val="auto"/>
          <w:highlight w:val="none"/>
          <w:vertAlign w:val="superscript"/>
          <w:lang w:val="en-US" w:eastAsia="zh-CN"/>
        </w:rPr>
        <w:t>2</w:t>
      </w:r>
      <w:r>
        <w:rPr>
          <w:rFonts w:hint="eastAsia"/>
          <w:color w:val="auto"/>
          <w:highlight w:val="none"/>
          <w:lang w:val="en-US" w:eastAsia="zh-CN"/>
        </w:rPr>
        <w:t>，就地回填的采砂坑坑底面积11075m</w:t>
      </w:r>
      <w:r>
        <w:rPr>
          <w:rFonts w:hint="eastAsia"/>
          <w:color w:val="auto"/>
          <w:highlight w:val="none"/>
          <w:vertAlign w:val="superscript"/>
          <w:lang w:val="en-US" w:eastAsia="zh-CN"/>
        </w:rPr>
        <w:t>2</w:t>
      </w:r>
      <w:r>
        <w:rPr>
          <w:rFonts w:hint="eastAsia"/>
          <w:color w:val="auto"/>
          <w:highlight w:val="none"/>
          <w:lang w:val="en-US" w:eastAsia="zh-CN"/>
        </w:rPr>
        <w:t>，坑口面积26183m</w:t>
      </w:r>
      <w:r>
        <w:rPr>
          <w:rFonts w:hint="eastAsia"/>
          <w:color w:val="auto"/>
          <w:highlight w:val="none"/>
          <w:vertAlign w:val="superscript"/>
          <w:lang w:val="en-US" w:eastAsia="zh-CN"/>
        </w:rPr>
        <w:t>2</w:t>
      </w:r>
      <w:r>
        <w:rPr>
          <w:rFonts w:hint="eastAsia"/>
          <w:color w:val="auto"/>
          <w:highlight w:val="none"/>
          <w:vertAlign w:val="baseline"/>
          <w:lang w:val="en-US" w:eastAsia="zh-CN"/>
        </w:rPr>
        <w:t>，</w:t>
      </w:r>
      <w:r>
        <w:rPr>
          <w:rFonts w:hint="eastAsia" w:cs="Times New Roman"/>
          <w:color w:val="auto"/>
          <w:highlight w:val="none"/>
          <w:lang w:val="en-US" w:eastAsia="zh-CN"/>
        </w:rPr>
        <w:t>位于原奇台县天山砂石料厂采矿范围内。现状倾倒的灰渣堆放于坑底东北侧，占地面积5700m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库区四周有现状的简易入场道路，满足修复作业车辆的进出。另外为方便车辆进入库区，新建了一条进场道路，道路宽度为7m，采用敷设30cm碎石道路。为方便修复作业车辆进入库区进行修复工作，设置了卸车（料）平台1处，位于整个填埋库区的西侧，与现状已有道路衔接。另外，为对修复库区底部防渗膜进行铺设，在整个修复库区四周距库区底部上边缘1米的位置建设了0.8*0.8m的锚固沟。</w:t>
      </w:r>
      <w:r>
        <w:rPr>
          <w:rFonts w:hint="eastAsia"/>
          <w:color w:val="auto"/>
          <w:highlight w:val="none"/>
          <w:lang w:val="en-US" w:eastAsia="zh-CN"/>
        </w:rPr>
        <w:t>平面布置见附图3-1。</w:t>
      </w:r>
    </w:p>
    <w:p>
      <w:pPr>
        <w:pStyle w:val="4"/>
        <w:rPr>
          <w:rFonts w:hint="eastAsia"/>
          <w:color w:val="FF0000"/>
          <w:highlight w:val="none"/>
          <w:lang w:val="en-US" w:eastAsia="zh-CN"/>
        </w:rPr>
      </w:pPr>
      <w:r>
        <w:rPr>
          <w:rFonts w:hint="eastAsia"/>
          <w:color w:val="FF0000"/>
          <w:highlight w:val="none"/>
          <w:lang w:val="en-US" w:eastAsia="zh-CN"/>
        </w:rPr>
        <w:t>根据现场勘查，本项目治理采坑的界址点坐标如下表：</w:t>
      </w:r>
    </w:p>
    <w:p>
      <w:pPr>
        <w:pStyle w:val="22"/>
        <w:bidi w:val="0"/>
        <w:rPr>
          <w:rFonts w:hint="default" w:eastAsia="宋体"/>
          <w:color w:val="FF0000"/>
          <w:highlight w:val="none"/>
          <w:lang w:val="en-US" w:eastAsia="zh-CN"/>
        </w:rPr>
      </w:pPr>
      <w:r>
        <w:rPr>
          <w:rFonts w:hint="eastAsia"/>
          <w:color w:val="FF0000"/>
          <w:highlight w:val="none"/>
          <w:lang w:val="en-US" w:eastAsia="zh-CN"/>
        </w:rPr>
        <w:t>3.1-5</w:t>
      </w:r>
      <w:r>
        <w:rPr>
          <w:rFonts w:hint="eastAsia" w:eastAsia="宋体"/>
          <w:color w:val="FF0000"/>
          <w:highlight w:val="none"/>
          <w:lang w:val="en-US" w:eastAsia="zh-CN"/>
        </w:rPr>
        <w:t xml:space="preserve">  </w:t>
      </w:r>
      <w:r>
        <w:rPr>
          <w:rFonts w:hint="eastAsia"/>
          <w:color w:val="FF0000"/>
          <w:highlight w:val="none"/>
          <w:lang w:val="en-US" w:eastAsia="zh-CN"/>
        </w:rPr>
        <w:t>项目区界址点坐标</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837"/>
        <w:gridCol w:w="2841"/>
        <w:gridCol w:w="284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1665"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点号</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东经</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北纬</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65"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1</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89°30′35.24″</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43°54′45.59″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65"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2</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89°30′42.19″</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43°54′45.48″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65"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3</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89°30′40.14″</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43°54′38.86″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665"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89°30′33.46″</w:t>
            </w:r>
          </w:p>
        </w:tc>
        <w:tc>
          <w:tcPr>
            <w:tcW w:w="166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t>43°54′39.05″</w:t>
            </w:r>
          </w:p>
        </w:tc>
      </w:tr>
    </w:tbl>
    <w:p>
      <w:pPr>
        <w:pStyle w:val="4"/>
        <w:rPr>
          <w:rFonts w:hint="eastAsia"/>
          <w:color w:val="auto"/>
          <w:highlight w:val="none"/>
          <w:lang w:val="en-US" w:eastAsia="zh-CN"/>
        </w:rPr>
      </w:pPr>
      <w:r>
        <w:rPr>
          <w:rFonts w:hint="eastAsia"/>
          <w:color w:val="auto"/>
          <w:highlight w:val="none"/>
          <w:lang w:val="en-US" w:eastAsia="zh-CN"/>
        </w:rPr>
        <w:t>原奇台县天山砂石料厂采矿许可证界址点坐标见下表：</w:t>
      </w:r>
    </w:p>
    <w:p>
      <w:pPr>
        <w:pStyle w:val="22"/>
        <w:bidi w:val="0"/>
        <w:rPr>
          <w:rFonts w:hint="default" w:eastAsia="宋体"/>
          <w:color w:val="auto"/>
          <w:highlight w:val="none"/>
          <w:lang w:val="en-US" w:eastAsia="zh-CN"/>
        </w:rPr>
      </w:pPr>
      <w:r>
        <w:rPr>
          <w:rFonts w:hint="eastAsia"/>
          <w:color w:val="auto"/>
          <w:highlight w:val="none"/>
          <w:lang w:val="en-US" w:eastAsia="zh-CN"/>
        </w:rPr>
        <w:t>3.1-6</w:t>
      </w:r>
      <w:r>
        <w:rPr>
          <w:rFonts w:hint="eastAsia" w:eastAsia="宋体"/>
          <w:color w:val="auto"/>
          <w:highlight w:val="none"/>
          <w:lang w:val="en-US" w:eastAsia="zh-CN"/>
        </w:rPr>
        <w:t xml:space="preserve">  </w:t>
      </w:r>
      <w:r>
        <w:rPr>
          <w:rFonts w:hint="eastAsia"/>
          <w:color w:val="auto"/>
          <w:highlight w:val="none"/>
          <w:lang w:val="en-US" w:eastAsia="zh-CN"/>
        </w:rPr>
        <w:t>原</w:t>
      </w:r>
      <w:r>
        <w:rPr>
          <w:rFonts w:hint="eastAsia" w:eastAsia="宋体"/>
          <w:color w:val="auto"/>
          <w:highlight w:val="none"/>
          <w:lang w:val="en-US" w:eastAsia="zh-CN"/>
        </w:rPr>
        <w:t>奇台县天山砂石料厂</w:t>
      </w:r>
      <w:r>
        <w:rPr>
          <w:rFonts w:hint="eastAsia"/>
          <w:color w:val="auto"/>
          <w:highlight w:val="none"/>
          <w:lang w:val="en-US" w:eastAsia="zh-CN"/>
        </w:rPr>
        <w:t>界址点坐标</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65"/>
        <w:gridCol w:w="1670"/>
        <w:gridCol w:w="1670"/>
        <w:gridCol w:w="1844"/>
        <w:gridCol w:w="16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7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点号</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X（m）</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Y（m）</w:t>
            </w:r>
          </w:p>
        </w:tc>
        <w:tc>
          <w:tcPr>
            <w:tcW w:w="1082"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东经</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北纬</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7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S1</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4864050.708</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30460315.698</w:t>
            </w:r>
          </w:p>
        </w:tc>
        <w:tc>
          <w:tcPr>
            <w:tcW w:w="1082"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89°30′21.507″</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43°54′36.773″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7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S2</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4864040.708</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30460465.698</w:t>
            </w:r>
          </w:p>
        </w:tc>
        <w:tc>
          <w:tcPr>
            <w:tcW w:w="1082"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89°30′28.232″</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43°54′36.478″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7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S3</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4863878.711</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30460454.695</w:t>
            </w:r>
          </w:p>
        </w:tc>
        <w:tc>
          <w:tcPr>
            <w:tcW w:w="1082"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89°30′27.782″</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43°54′31.228″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7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S4</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4863729.713</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30460444.695</w:t>
            </w:r>
          </w:p>
        </w:tc>
        <w:tc>
          <w:tcPr>
            <w:tcW w:w="1082"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89°30′27.374″</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43°54′26.398″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7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S5</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4863740.713</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30460294.698</w:t>
            </w:r>
          </w:p>
        </w:tc>
        <w:tc>
          <w:tcPr>
            <w:tcW w:w="1082"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89°30′20.649″</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43°54′26.726″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977"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S6</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4863888.711</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30460304.698</w:t>
            </w:r>
          </w:p>
        </w:tc>
        <w:tc>
          <w:tcPr>
            <w:tcW w:w="1082"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89°30′21.058″</w:t>
            </w:r>
          </w:p>
        </w:tc>
        <w:tc>
          <w:tcPr>
            <w:tcW w:w="980" w:type="pct"/>
            <w:tcBorders>
              <w:tl2br w:val="nil"/>
              <w:tr2bl w:val="nil"/>
            </w:tcBorders>
            <w:noWrap w:val="0"/>
            <w:vAlign w:val="center"/>
          </w:tcPr>
          <w:p>
            <w:pPr>
              <w:pStyle w:val="24"/>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43°54′31.522″</w:t>
            </w:r>
          </w:p>
        </w:tc>
      </w:tr>
    </w:tbl>
    <w:p>
      <w:pPr>
        <w:pStyle w:val="4"/>
        <w:rPr>
          <w:rFonts w:hint="default"/>
          <w:color w:val="FF0000"/>
          <w:highlight w:val="none"/>
          <w:lang w:val="en-US" w:eastAsia="zh-CN"/>
        </w:rPr>
      </w:pPr>
      <w:r>
        <w:rPr>
          <w:rFonts w:hint="eastAsia"/>
          <w:color w:val="auto"/>
          <w:highlight w:val="none"/>
          <w:lang w:val="en-US" w:eastAsia="zh-CN"/>
        </w:rPr>
        <w:t>本项目治理采坑位于原奇台县天山砂石料厂采矿证范围内，在天山砂石料厂用地内的位置关系见附图3-2。</w:t>
      </w:r>
    </w:p>
    <w:p>
      <w:pPr>
        <w:pStyle w:val="6"/>
        <w:bidi w:val="0"/>
        <w:rPr>
          <w:rFonts w:hint="eastAsia"/>
          <w:color w:val="auto"/>
          <w:highlight w:val="none"/>
        </w:rPr>
      </w:pPr>
      <w:r>
        <w:rPr>
          <w:rFonts w:hint="eastAsia"/>
          <w:color w:val="auto"/>
          <w:highlight w:val="none"/>
          <w:lang w:val="en-US" w:eastAsia="zh-CN"/>
        </w:rPr>
        <w:t>水平衡</w:t>
      </w:r>
    </w:p>
    <w:p>
      <w:pPr>
        <w:pStyle w:val="4"/>
        <w:rPr>
          <w:rFonts w:hint="default"/>
          <w:color w:val="auto"/>
          <w:highlight w:val="none"/>
          <w:lang w:val="en-US" w:eastAsia="zh-CN"/>
        </w:rPr>
      </w:pPr>
      <w:r>
        <w:rPr>
          <w:rFonts w:hint="eastAsia"/>
          <w:color w:val="auto"/>
          <w:highlight w:val="none"/>
          <w:lang w:val="en-US" w:eastAsia="zh-CN"/>
        </w:rPr>
        <w:t>项目施工及填埋作业工作人员生活依托周围居民区，无生活废水产生。填埋作业洒水抑尘用水量按50m</w:t>
      </w:r>
      <w:r>
        <w:rPr>
          <w:rFonts w:hint="eastAsia"/>
          <w:color w:val="auto"/>
          <w:highlight w:val="none"/>
          <w:vertAlign w:val="superscript"/>
          <w:lang w:val="en-US" w:eastAsia="zh-CN"/>
        </w:rPr>
        <w:t>3</w:t>
      </w:r>
      <w:r>
        <w:rPr>
          <w:rFonts w:hint="eastAsia"/>
          <w:color w:val="auto"/>
          <w:highlight w:val="none"/>
          <w:lang w:val="en-US" w:eastAsia="zh-CN"/>
        </w:rPr>
        <w:t>/d计，侧抑尘用水量为1500m</w:t>
      </w:r>
      <w:r>
        <w:rPr>
          <w:rFonts w:hint="eastAsia"/>
          <w:color w:val="auto"/>
          <w:highlight w:val="none"/>
          <w:vertAlign w:val="superscript"/>
          <w:lang w:val="en-US" w:eastAsia="zh-CN"/>
        </w:rPr>
        <w:t>3</w:t>
      </w:r>
      <w:r>
        <w:rPr>
          <w:rFonts w:hint="eastAsia"/>
          <w:color w:val="auto"/>
          <w:highlight w:val="none"/>
          <w:lang w:val="en-US" w:eastAsia="zh-CN"/>
        </w:rPr>
        <w:t>/a。</w:t>
      </w:r>
    </w:p>
    <w:p>
      <w:pPr>
        <w:pStyle w:val="4"/>
        <w:rPr>
          <w:rFonts w:hint="eastAsia"/>
          <w:color w:val="auto"/>
          <w:highlight w:val="none"/>
          <w:lang w:val="en-US" w:eastAsia="zh-CN"/>
        </w:rPr>
      </w:pPr>
      <w:r>
        <w:rPr>
          <w:rFonts w:hint="eastAsia"/>
          <w:color w:val="auto"/>
          <w:highlight w:val="none"/>
          <w:lang w:val="en-US" w:eastAsia="zh-CN"/>
        </w:rPr>
        <w:t>本项目水平衡图如下：</w:t>
      </w:r>
    </w:p>
    <w:p>
      <w:pPr>
        <w:pStyle w:val="4"/>
        <w:jc w:val="center"/>
        <w:rPr>
          <w:rFonts w:hint="eastAsia"/>
          <w:color w:val="auto"/>
          <w:highlight w:val="none"/>
          <w:lang w:val="en-US" w:eastAsia="zh-CN"/>
        </w:rPr>
      </w:pPr>
      <w:r>
        <w:drawing>
          <wp:inline distT="0" distB="0" distL="114300" distR="114300">
            <wp:extent cx="2874010" cy="657860"/>
            <wp:effectExtent l="0" t="0" r="2540" b="889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5"/>
                    <a:stretch>
                      <a:fillRect/>
                    </a:stretch>
                  </pic:blipFill>
                  <pic:spPr>
                    <a:xfrm>
                      <a:off x="0" y="0"/>
                      <a:ext cx="2874010" cy="657860"/>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图3.1-2    水平衡图</w:t>
      </w:r>
    </w:p>
    <w:p>
      <w:pPr>
        <w:pStyle w:val="5"/>
        <w:bidi w:val="0"/>
        <w:rPr>
          <w:rFonts w:hint="eastAsia"/>
          <w:color w:val="auto"/>
          <w:highlight w:val="none"/>
        </w:rPr>
      </w:pPr>
      <w:bookmarkStart w:id="38" w:name="_Toc9878"/>
      <w:bookmarkStart w:id="39" w:name="_Toc30917"/>
      <w:r>
        <w:rPr>
          <w:rFonts w:hint="eastAsia"/>
          <w:color w:val="auto"/>
          <w:highlight w:val="none"/>
          <w:lang w:val="en-US" w:eastAsia="zh-CN"/>
        </w:rPr>
        <w:t>环境影响因素分析</w:t>
      </w:r>
      <w:bookmarkEnd w:id="38"/>
      <w:bookmarkEnd w:id="39"/>
    </w:p>
    <w:p>
      <w:pPr>
        <w:pStyle w:val="6"/>
        <w:bidi w:val="0"/>
        <w:rPr>
          <w:rFonts w:hint="eastAsia"/>
          <w:color w:val="auto"/>
          <w:highlight w:val="none"/>
        </w:rPr>
      </w:pPr>
      <w:r>
        <w:rPr>
          <w:rFonts w:hint="eastAsia"/>
          <w:color w:val="auto"/>
          <w:highlight w:val="none"/>
          <w:lang w:val="en-US" w:eastAsia="zh-CN"/>
        </w:rPr>
        <w:t>工艺流程及产污环节</w:t>
      </w:r>
    </w:p>
    <w:p>
      <w:pPr>
        <w:pStyle w:val="4"/>
        <w:rPr>
          <w:rFonts w:hint="eastAsia"/>
          <w:color w:val="auto"/>
          <w:highlight w:val="none"/>
          <w:lang w:val="en-US" w:eastAsia="zh-CN"/>
        </w:rPr>
      </w:pPr>
      <w:r>
        <w:rPr>
          <w:rFonts w:hint="eastAsia"/>
          <w:color w:val="auto"/>
          <w:highlight w:val="none"/>
          <w:lang w:val="en-US" w:eastAsia="zh-CN"/>
        </w:rPr>
        <w:t>坑底西南侧防渗层铺装完毕后，用装载车辆将东北侧堆放的灰渣及污染土壤层倒运至坑底西南侧，在工作人员的指挥下倾倒、摊铺、推平，然后进行东北侧区域的防渗层施工，最后将灰渣在整个坑底进行摊铺压实，覆盖砂砾层。</w:t>
      </w:r>
    </w:p>
    <w:p>
      <w:pPr>
        <w:pStyle w:val="4"/>
        <w:rPr>
          <w:rFonts w:hint="eastAsia"/>
          <w:color w:val="auto"/>
          <w:highlight w:val="none"/>
          <w:lang w:val="en-US" w:eastAsia="zh-CN"/>
        </w:rPr>
      </w:pPr>
      <w:r>
        <w:rPr>
          <w:rFonts w:hint="eastAsia"/>
          <w:color w:val="auto"/>
          <w:highlight w:val="none"/>
          <w:lang w:val="en-US" w:eastAsia="zh-CN"/>
        </w:rPr>
        <w:t>具体工艺流程及产排污节点见下图：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3758565" cy="1791970"/>
            <wp:effectExtent l="0" t="0" r="13335" b="17780"/>
            <wp:docPr id="13" name="图片 13"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工艺流程"/>
                    <pic:cNvPicPr>
                      <a:picLocks noChangeAspect="1"/>
                    </pic:cNvPicPr>
                  </pic:nvPicPr>
                  <pic:blipFill>
                    <a:blip r:embed="rId16"/>
                    <a:stretch>
                      <a:fillRect/>
                    </a:stretch>
                  </pic:blipFill>
                  <pic:spPr>
                    <a:xfrm>
                      <a:off x="0" y="0"/>
                      <a:ext cx="3758565" cy="1791970"/>
                    </a:xfrm>
                    <a:prstGeom prst="rect">
                      <a:avLst/>
                    </a:prstGeom>
                  </pic:spPr>
                </pic:pic>
              </a:graphicData>
            </a:graphic>
          </wp:inline>
        </w:drawing>
      </w:r>
    </w:p>
    <w:p>
      <w:pPr>
        <w:pStyle w:val="22"/>
        <w:bidi w:val="0"/>
        <w:rPr>
          <w:rFonts w:hint="eastAsia"/>
          <w:lang w:val="en-US" w:eastAsia="zh-CN"/>
        </w:rPr>
      </w:pPr>
      <w:r>
        <w:rPr>
          <w:rFonts w:hint="eastAsia"/>
          <w:lang w:val="en-US" w:eastAsia="zh-CN"/>
        </w:rPr>
        <w:t>图3.2-1   项目工艺流程及产排污节点图</w:t>
      </w:r>
    </w:p>
    <w:p>
      <w:pPr>
        <w:pStyle w:val="4"/>
        <w:rPr>
          <w:rFonts w:hint="eastAsia"/>
          <w:color w:val="auto"/>
          <w:highlight w:val="none"/>
          <w:lang w:val="en-US" w:eastAsia="zh-CN"/>
        </w:rPr>
      </w:pPr>
      <w:r>
        <w:rPr>
          <w:rFonts w:hint="eastAsia"/>
          <w:color w:val="auto"/>
          <w:highlight w:val="none"/>
          <w:lang w:val="en-US" w:eastAsia="zh-CN"/>
        </w:rPr>
        <w:t>产排污情况说明：</w:t>
      </w:r>
    </w:p>
    <w:p>
      <w:pPr>
        <w:pStyle w:val="4"/>
        <w:rPr>
          <w:rFonts w:hint="eastAsia"/>
          <w:color w:val="auto"/>
          <w:highlight w:val="none"/>
          <w:lang w:val="en-US" w:eastAsia="zh-CN"/>
        </w:rPr>
      </w:pPr>
      <w:r>
        <w:rPr>
          <w:rFonts w:hint="eastAsia"/>
          <w:color w:val="auto"/>
          <w:highlight w:val="none"/>
          <w:lang w:val="en-US" w:eastAsia="zh-CN"/>
        </w:rPr>
        <w:t>（1）防治渗层建设过程中，防渗材料等建筑材料入场，产生建筑垃圾。</w:t>
      </w:r>
    </w:p>
    <w:p>
      <w:pPr>
        <w:pStyle w:val="4"/>
        <w:rPr>
          <w:rFonts w:hint="eastAsia"/>
          <w:color w:val="auto"/>
          <w:highlight w:val="none"/>
          <w:lang w:val="en-US" w:eastAsia="zh-CN"/>
        </w:rPr>
      </w:pPr>
      <w:r>
        <w:rPr>
          <w:rFonts w:hint="eastAsia"/>
          <w:color w:val="auto"/>
          <w:highlight w:val="none"/>
          <w:lang w:val="en-US" w:eastAsia="zh-CN"/>
        </w:rPr>
        <w:t>（2）灰渣转运装载车辆等作业产生机械噪声。</w:t>
      </w:r>
    </w:p>
    <w:p>
      <w:pPr>
        <w:pStyle w:val="4"/>
        <w:rPr>
          <w:rFonts w:hint="eastAsia"/>
          <w:color w:val="auto"/>
          <w:highlight w:val="none"/>
          <w:lang w:val="en-US" w:eastAsia="zh-CN"/>
        </w:rPr>
      </w:pPr>
      <w:r>
        <w:rPr>
          <w:rFonts w:hint="eastAsia"/>
          <w:color w:val="auto"/>
          <w:highlight w:val="none"/>
          <w:lang w:val="en-US" w:eastAsia="zh-CN"/>
        </w:rPr>
        <w:t>（3）场地平整、现状倾倒灰渣转运、堆存、摊铺等过程产生扬尘污染。</w:t>
      </w:r>
    </w:p>
    <w:p>
      <w:pPr>
        <w:pStyle w:val="4"/>
        <w:rPr>
          <w:rFonts w:hint="default"/>
          <w:color w:val="auto"/>
          <w:highlight w:val="none"/>
          <w:lang w:val="en-US" w:eastAsia="zh-CN"/>
        </w:rPr>
      </w:pPr>
      <w:r>
        <w:rPr>
          <w:rFonts w:hint="eastAsia"/>
          <w:color w:val="auto"/>
          <w:highlight w:val="none"/>
          <w:lang w:val="en-US" w:eastAsia="zh-CN"/>
        </w:rPr>
        <w:t>（4）回填作业结束封场后产生渗滤液。</w:t>
      </w:r>
    </w:p>
    <w:p>
      <w:pPr>
        <w:pStyle w:val="4"/>
        <w:rPr>
          <w:rFonts w:hint="default"/>
          <w:color w:val="auto"/>
          <w:highlight w:val="none"/>
          <w:lang w:val="en-US" w:eastAsia="zh-CN"/>
        </w:rPr>
      </w:pPr>
      <w:r>
        <w:rPr>
          <w:rFonts w:hint="eastAsia"/>
          <w:color w:val="auto"/>
          <w:highlight w:val="none"/>
          <w:lang w:val="en-US" w:eastAsia="zh-CN"/>
        </w:rPr>
        <w:t>（5）施工人员进场产生生活垃圾。</w:t>
      </w:r>
    </w:p>
    <w:p>
      <w:pPr>
        <w:pStyle w:val="6"/>
        <w:bidi w:val="0"/>
        <w:rPr>
          <w:rFonts w:hint="eastAsia"/>
          <w:color w:val="auto"/>
          <w:highlight w:val="none"/>
        </w:rPr>
      </w:pPr>
      <w:bookmarkStart w:id="40" w:name="_Toc14678"/>
      <w:r>
        <w:rPr>
          <w:rFonts w:hint="eastAsia"/>
          <w:color w:val="auto"/>
          <w:highlight w:val="none"/>
          <w:lang w:val="en-US" w:eastAsia="zh-CN"/>
        </w:rPr>
        <w:t>污染源源强核算</w:t>
      </w:r>
      <w:bookmarkEnd w:id="40"/>
    </w:p>
    <w:p>
      <w:pPr>
        <w:pStyle w:val="4"/>
        <w:rPr>
          <w:rFonts w:hint="default"/>
          <w:lang w:val="en-US"/>
        </w:rPr>
      </w:pPr>
      <w:r>
        <w:rPr>
          <w:rFonts w:hint="eastAsia"/>
          <w:color w:val="auto"/>
          <w:highlight w:val="none"/>
          <w:lang w:val="en-US" w:eastAsia="zh-CN"/>
        </w:rPr>
        <w:t>本项目不生产运营，现对施工期和封场后的污染源源强情况核算如下：</w:t>
      </w:r>
    </w:p>
    <w:p>
      <w:pPr>
        <w:pStyle w:val="7"/>
        <w:bidi w:val="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施工期</w:t>
      </w:r>
      <w:r>
        <w:rPr>
          <w:rFonts w:hint="eastAsia" w:ascii="Times New Roman" w:hAnsi="Times New Roman" w:eastAsia="宋体" w:cs="Times New Roman"/>
          <w:color w:val="auto"/>
          <w:highlight w:val="none"/>
          <w:lang w:val="en-US" w:eastAsia="zh-CN"/>
        </w:rPr>
        <w:t>污染源源强核算</w:t>
      </w:r>
    </w:p>
    <w:p>
      <w:pPr>
        <w:pStyle w:val="4"/>
        <w:bidi w:val="0"/>
        <w:rPr>
          <w:rFonts w:hint="eastAsia"/>
          <w:color w:val="auto"/>
          <w:highlight w:val="none"/>
          <w:lang w:val="en-US" w:eastAsia="zh-CN"/>
        </w:rPr>
      </w:pPr>
      <w:r>
        <w:rPr>
          <w:rFonts w:hint="eastAsia"/>
          <w:color w:val="auto"/>
          <w:highlight w:val="none"/>
          <w:lang w:val="en-US" w:eastAsia="zh-CN"/>
        </w:rPr>
        <w:t>（1）废气污染源源强核算</w:t>
      </w:r>
    </w:p>
    <w:p>
      <w:pPr>
        <w:pStyle w:val="4"/>
        <w:bidi w:val="0"/>
        <w:rPr>
          <w:rFonts w:hint="default" w:eastAsia="宋体"/>
          <w:color w:val="FF0000"/>
          <w:highlight w:val="none"/>
          <w:lang w:val="en-US" w:eastAsia="zh-CN"/>
        </w:rPr>
      </w:pPr>
      <w:r>
        <w:rPr>
          <w:rFonts w:hint="eastAsia"/>
          <w:color w:val="FF0000"/>
          <w:highlight w:val="none"/>
          <w:lang w:val="en-US" w:eastAsia="zh-CN"/>
        </w:rPr>
        <w:t>本项目施工扬尘主要为治理灰渣、清除表土的坑内转移装卸扬尘，填埋作业完成后即对表层进行压实平整并覆盖砂砾石层。本项目填埋坑预计在2022年3月由其他建设单位进行一般工业固体废物填埋场的建设，以及土地复垦和生态恢复，界时将会在坑内建设防渗层，因此不考虑堆场及风蚀扬尘。</w:t>
      </w:r>
    </w:p>
    <w:p>
      <w:pPr>
        <w:pStyle w:val="4"/>
        <w:bidi w:val="0"/>
        <w:rPr>
          <w:rFonts w:hint="eastAsia"/>
          <w:color w:val="FF0000"/>
          <w:highlight w:val="none"/>
          <w:lang w:val="en-US" w:eastAsia="zh-CN"/>
        </w:rPr>
      </w:pPr>
      <w:r>
        <w:rPr>
          <w:rFonts w:hint="eastAsia"/>
          <w:color w:val="FF0000"/>
          <w:highlight w:val="none"/>
          <w:lang w:val="en-US" w:eastAsia="zh-CN"/>
        </w:rPr>
        <w:t>根据《排放源统计调查产排污核算方法和系数手册》中附1工业源-附表2《固体物料堆存颗粒物产排污核算系数手册》，本项目颗粒物产生量计算公式如下：</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highlight w:val="none"/>
          <w:lang w:val="en-US" w:eastAsia="zh-CN"/>
        </w:rPr>
      </w:pPr>
      <w:r>
        <w:rPr>
          <w:rFonts w:hint="default"/>
          <w:color w:val="FF0000"/>
          <w:position w:val="-10"/>
          <w:highlight w:val="none"/>
          <w:lang w:val="en-US" w:eastAsia="zh-CN"/>
        </w:rPr>
        <w:object>
          <v:shape id="_x0000_i1026" o:spt="75" type="#_x0000_t75" style="height:18pt;width:243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p>
    <w:p>
      <w:pPr>
        <w:pStyle w:val="4"/>
        <w:bidi w:val="0"/>
        <w:rPr>
          <w:rFonts w:hint="eastAsia"/>
          <w:color w:val="FF0000"/>
          <w:highlight w:val="none"/>
          <w:lang w:val="en-US" w:eastAsia="zh-CN"/>
        </w:rPr>
      </w:pPr>
      <w:r>
        <w:rPr>
          <w:rFonts w:hint="eastAsia"/>
          <w:color w:val="FF0000"/>
          <w:highlight w:val="none"/>
          <w:lang w:val="en-US" w:eastAsia="zh-CN"/>
        </w:rPr>
        <w:t>式中：</w:t>
      </w:r>
    </w:p>
    <w:p>
      <w:pPr>
        <w:pStyle w:val="4"/>
        <w:bidi w:val="0"/>
        <w:rPr>
          <w:rFonts w:hint="eastAsia"/>
          <w:color w:val="FF0000"/>
          <w:highlight w:val="none"/>
        </w:rPr>
      </w:pPr>
      <w:r>
        <w:rPr>
          <w:rFonts w:hint="eastAsia"/>
          <w:color w:val="FF0000"/>
          <w:highlight w:val="none"/>
        </w:rPr>
        <w:t>P指颗粒物产生量（单位：吨）；</w:t>
      </w:r>
    </w:p>
    <w:p>
      <w:pPr>
        <w:pStyle w:val="4"/>
        <w:bidi w:val="0"/>
        <w:rPr>
          <w:rFonts w:hint="eastAsia"/>
          <w:color w:val="FF0000"/>
          <w:highlight w:val="none"/>
        </w:rPr>
      </w:pPr>
      <w:r>
        <w:rPr>
          <w:rFonts w:hint="eastAsia"/>
          <w:color w:val="FF0000"/>
          <w:highlight w:val="none"/>
          <w:lang w:val="en-US" w:eastAsia="zh-CN"/>
        </w:rPr>
        <w:t>Z</w:t>
      </w:r>
      <w:r>
        <w:rPr>
          <w:rFonts w:hint="eastAsia"/>
          <w:color w:val="FF0000"/>
          <w:highlight w:val="none"/>
        </w:rPr>
        <w:t>Cy指装卸扬尘产生量（单位：吨）；</w:t>
      </w:r>
    </w:p>
    <w:p>
      <w:pPr>
        <w:pStyle w:val="4"/>
        <w:bidi w:val="0"/>
        <w:rPr>
          <w:rFonts w:hint="eastAsia"/>
          <w:color w:val="FF0000"/>
          <w:highlight w:val="none"/>
        </w:rPr>
      </w:pPr>
      <w:r>
        <w:rPr>
          <w:rFonts w:hint="eastAsia"/>
          <w:color w:val="FF0000"/>
          <w:highlight w:val="none"/>
        </w:rPr>
        <w:t>FCy指风蚀扬尘产生量（单位：吨）；</w:t>
      </w:r>
    </w:p>
    <w:p>
      <w:pPr>
        <w:pStyle w:val="4"/>
        <w:bidi w:val="0"/>
        <w:rPr>
          <w:rFonts w:hint="eastAsia"/>
          <w:color w:val="FF0000"/>
          <w:highlight w:val="none"/>
        </w:rPr>
      </w:pPr>
      <w:r>
        <w:rPr>
          <w:rFonts w:hint="eastAsia"/>
          <w:color w:val="FF0000"/>
          <w:highlight w:val="none"/>
        </w:rPr>
        <w:t>N</w:t>
      </w:r>
      <w:r>
        <w:rPr>
          <w:rFonts w:hint="eastAsia"/>
          <w:color w:val="FF0000"/>
          <w:highlight w:val="none"/>
          <w:lang w:val="en-US" w:eastAsia="zh-CN"/>
        </w:rPr>
        <w:t>c</w:t>
      </w:r>
      <w:r>
        <w:rPr>
          <w:rFonts w:hint="eastAsia"/>
          <w:color w:val="FF0000"/>
          <w:highlight w:val="none"/>
        </w:rPr>
        <w:t>指年物料运载车次（单位：车）</w:t>
      </w:r>
      <w:r>
        <w:rPr>
          <w:rFonts w:hint="eastAsia"/>
          <w:color w:val="FF0000"/>
          <w:highlight w:val="none"/>
          <w:lang w:val="en-US" w:eastAsia="zh-CN"/>
        </w:rPr>
        <w:t>；本项目回填治理粉煤灰13948t，炉渣3000t，表层土壤3000t（密度按1计），合计运输量为19948t/a，车辆载重按30t/辆计算，则运载车次为665辆/a。</w:t>
      </w:r>
    </w:p>
    <w:p>
      <w:pPr>
        <w:pStyle w:val="4"/>
        <w:bidi w:val="0"/>
        <w:rPr>
          <w:rFonts w:hint="default" w:eastAsia="宋体"/>
          <w:color w:val="FF0000"/>
          <w:highlight w:val="none"/>
          <w:lang w:val="en-US" w:eastAsia="zh-CN"/>
        </w:rPr>
      </w:pPr>
      <w:r>
        <w:rPr>
          <w:rFonts w:hint="eastAsia"/>
          <w:color w:val="FF0000"/>
          <w:highlight w:val="none"/>
        </w:rPr>
        <w:t>D指单车平均运载量（单位：吨/车）；</w:t>
      </w:r>
      <w:r>
        <w:rPr>
          <w:rFonts w:hint="eastAsia"/>
          <w:color w:val="FF0000"/>
          <w:highlight w:val="none"/>
          <w:lang w:val="en-US" w:eastAsia="zh-CN"/>
        </w:rPr>
        <w:t>本项目取20t/车。</w:t>
      </w:r>
    </w:p>
    <w:p>
      <w:pPr>
        <w:pStyle w:val="4"/>
        <w:bidi w:val="0"/>
        <w:rPr>
          <w:rFonts w:hint="eastAsia"/>
          <w:color w:val="FF0000"/>
          <w:highlight w:val="none"/>
        </w:rPr>
      </w:pPr>
      <w:r>
        <w:rPr>
          <w:rFonts w:hint="eastAsia"/>
          <w:color w:val="FF0000"/>
          <w:highlight w:val="none"/>
        </w:rPr>
        <w:t>（a/b）指装卸扬尘概化系数（单位：千克/吨），a指各省风速概化系数，</w:t>
      </w:r>
      <w:r>
        <w:rPr>
          <w:rFonts w:hint="eastAsia"/>
          <w:color w:val="FF0000"/>
          <w:highlight w:val="none"/>
          <w:lang w:val="en-US" w:eastAsia="zh-CN"/>
        </w:rPr>
        <w:t>本项目为0.0011</w:t>
      </w:r>
      <w:r>
        <w:rPr>
          <w:rFonts w:hint="eastAsia"/>
          <w:color w:val="FF0000"/>
          <w:highlight w:val="none"/>
        </w:rPr>
        <w:t>，b指物料含水率概化系数，</w:t>
      </w:r>
      <w:r>
        <w:rPr>
          <w:rFonts w:hint="eastAsia"/>
          <w:color w:val="FF0000"/>
          <w:highlight w:val="none"/>
          <w:lang w:val="en-US" w:eastAsia="zh-CN"/>
        </w:rPr>
        <w:t>本项目灰渣为0.0005，表土为0.0151</w:t>
      </w:r>
      <w:r>
        <w:rPr>
          <w:rFonts w:hint="eastAsia"/>
          <w:color w:val="FF0000"/>
          <w:highlight w:val="none"/>
        </w:rPr>
        <w:t>；</w:t>
      </w:r>
    </w:p>
    <w:p>
      <w:pPr>
        <w:pStyle w:val="4"/>
        <w:bidi w:val="0"/>
        <w:rPr>
          <w:rFonts w:hint="eastAsia"/>
          <w:color w:val="FF0000"/>
          <w:highlight w:val="none"/>
        </w:rPr>
      </w:pPr>
      <w:r>
        <w:rPr>
          <w:rFonts w:hint="eastAsia"/>
          <w:color w:val="FF0000"/>
          <w:highlight w:val="none"/>
          <w:lang w:val="en-US" w:eastAsia="zh-CN"/>
        </w:rPr>
        <w:t>E</w:t>
      </w:r>
      <w:r>
        <w:rPr>
          <w:rFonts w:hint="eastAsia"/>
          <w:color w:val="FF0000"/>
          <w:highlight w:val="none"/>
          <w:vertAlign w:val="subscript"/>
          <w:lang w:val="en-US" w:eastAsia="zh-CN"/>
        </w:rPr>
        <w:t>f</w:t>
      </w:r>
      <w:r>
        <w:rPr>
          <w:rFonts w:hint="eastAsia"/>
          <w:color w:val="FF0000"/>
          <w:highlight w:val="none"/>
        </w:rPr>
        <w:t>指堆场风蚀扬尘概化系数（单位：千克/平方米）；</w:t>
      </w:r>
    </w:p>
    <w:p>
      <w:pPr>
        <w:pStyle w:val="4"/>
        <w:bidi w:val="0"/>
        <w:rPr>
          <w:rFonts w:hint="eastAsia"/>
          <w:color w:val="FF0000"/>
          <w:highlight w:val="none"/>
        </w:rPr>
      </w:pPr>
      <w:r>
        <w:rPr>
          <w:rFonts w:hint="eastAsia"/>
          <w:color w:val="FF0000"/>
          <w:highlight w:val="none"/>
        </w:rPr>
        <w:t>S指堆场占地面积（单位：平方米）。</w:t>
      </w:r>
    </w:p>
    <w:p>
      <w:pPr>
        <w:pStyle w:val="4"/>
        <w:keepNext w:val="0"/>
        <w:keepLines w:val="0"/>
        <w:pageBreakBefore w:val="0"/>
        <w:widowControl w:val="0"/>
        <w:kinsoku/>
        <w:wordWrap/>
        <w:overflowPunct/>
        <w:topLinePunct w:val="0"/>
        <w:autoSpaceDE/>
        <w:bidi w:val="0"/>
        <w:snapToGrid/>
        <w:jc w:val="both"/>
        <w:rPr>
          <w:rFonts w:hint="default"/>
          <w:color w:val="FF0000"/>
          <w:highlight w:val="none"/>
          <w:lang w:val="en-US" w:eastAsia="zh-CN"/>
        </w:rPr>
      </w:pPr>
      <w:r>
        <w:rPr>
          <w:rFonts w:hint="eastAsia"/>
          <w:color w:val="FF0000"/>
          <w:lang w:val="en-US" w:eastAsia="zh-CN"/>
        </w:rPr>
        <w:t>本项目施工作业时长持续720h/a</w:t>
      </w:r>
      <w:r>
        <w:rPr>
          <w:rFonts w:hint="eastAsia"/>
          <w:color w:val="FF0000"/>
          <w:highlight w:val="none"/>
          <w:lang w:val="en-US" w:eastAsia="zh-CN"/>
        </w:rPr>
        <w:t>。采取洒水抑尘（削减74%），水雾喷淋（削减90%）措施抑制扬尘。</w:t>
      </w:r>
    </w:p>
    <w:p>
      <w:pPr>
        <w:pStyle w:val="4"/>
        <w:keepNext w:val="0"/>
        <w:keepLines w:val="0"/>
        <w:pageBreakBefore w:val="0"/>
        <w:widowControl w:val="0"/>
        <w:kinsoku/>
        <w:wordWrap/>
        <w:overflowPunct/>
        <w:topLinePunct w:val="0"/>
        <w:autoSpaceDE/>
        <w:bidi w:val="0"/>
        <w:snapToGrid/>
        <w:jc w:val="both"/>
        <w:rPr>
          <w:rFonts w:hint="default"/>
          <w:color w:val="FF0000"/>
          <w:highlight w:val="none"/>
          <w:lang w:val="en-US" w:eastAsia="zh-CN"/>
        </w:rPr>
      </w:pPr>
      <w:r>
        <w:rPr>
          <w:rFonts w:hint="eastAsia"/>
          <w:color w:val="FF0000"/>
          <w:highlight w:val="none"/>
          <w:lang w:val="en-US" w:eastAsia="zh-CN"/>
        </w:rPr>
        <w:t>根据以上参数计算本项目</w:t>
      </w:r>
      <w:r>
        <w:rPr>
          <w:rFonts w:hint="eastAsia"/>
          <w:color w:val="FF0000"/>
          <w:lang w:val="en-US" w:eastAsia="zh-CN"/>
        </w:rPr>
        <w:t>坑内转移装卸</w:t>
      </w:r>
      <w:r>
        <w:rPr>
          <w:rFonts w:hint="eastAsia"/>
          <w:color w:val="FF0000"/>
          <w:highlight w:val="none"/>
          <w:lang w:val="en-US" w:eastAsia="zh-CN"/>
        </w:rPr>
        <w:t>起尘产排放情况如下表：</w:t>
      </w:r>
    </w:p>
    <w:p>
      <w:pPr>
        <w:pStyle w:val="22"/>
        <w:keepNext w:val="0"/>
        <w:keepLines w:val="0"/>
        <w:pageBreakBefore w:val="0"/>
        <w:widowControl w:val="0"/>
        <w:kinsoku/>
        <w:wordWrap/>
        <w:overflowPunct/>
        <w:topLinePunct w:val="0"/>
        <w:autoSpaceDE/>
        <w:bidi w:val="0"/>
        <w:snapToGrid/>
        <w:rPr>
          <w:rFonts w:hint="default" w:eastAsia="宋体"/>
          <w:color w:val="FF0000"/>
          <w:highlight w:val="none"/>
          <w:lang w:val="en-US" w:eastAsia="zh-CN"/>
        </w:rPr>
      </w:pPr>
      <w:r>
        <w:rPr>
          <w:color w:val="FF0000"/>
          <w:highlight w:val="none"/>
        </w:rPr>
        <w:t>表</w:t>
      </w:r>
      <w:r>
        <w:rPr>
          <w:rFonts w:hint="eastAsia"/>
          <w:color w:val="FF0000"/>
          <w:highlight w:val="none"/>
          <w:lang w:val="en-US" w:eastAsia="zh-CN"/>
        </w:rPr>
        <w:t>3.2-2</w:t>
      </w:r>
      <w:r>
        <w:rPr>
          <w:rFonts w:hint="eastAsia"/>
          <w:color w:val="FF0000"/>
          <w:highlight w:val="none"/>
        </w:rPr>
        <w:t xml:space="preserve">   </w:t>
      </w:r>
      <w:r>
        <w:rPr>
          <w:rFonts w:hint="eastAsia"/>
          <w:color w:val="FF0000"/>
          <w:highlight w:val="none"/>
          <w:lang w:val="en-US" w:eastAsia="zh-CN"/>
        </w:rPr>
        <w:t>主要污染物产生与排放情况计算结果</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900"/>
        <w:gridCol w:w="817"/>
        <w:gridCol w:w="1000"/>
        <w:gridCol w:w="1156"/>
        <w:gridCol w:w="877"/>
        <w:gridCol w:w="110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5" w:type="pct"/>
            <w:vMerge w:val="restart"/>
            <w:tcBorders>
              <w:top w:val="single" w:color="auto" w:sz="12" w:space="0"/>
              <w:lef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产排污环节</w:t>
            </w:r>
          </w:p>
        </w:tc>
        <w:tc>
          <w:tcPr>
            <w:tcW w:w="534" w:type="pct"/>
            <w:vMerge w:val="restart"/>
            <w:tcBorders>
              <w:top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污染因子</w:t>
            </w:r>
          </w:p>
        </w:tc>
        <w:tc>
          <w:tcPr>
            <w:tcW w:w="1766" w:type="pct"/>
            <w:gridSpan w:val="3"/>
            <w:tcBorders>
              <w:top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产生</w:t>
            </w:r>
          </w:p>
        </w:tc>
        <w:tc>
          <w:tcPr>
            <w:tcW w:w="1863" w:type="pct"/>
            <w:gridSpan w:val="3"/>
            <w:tcBorders>
              <w:top w:val="single" w:color="auto" w:sz="12" w:space="0"/>
              <w:righ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5" w:type="pct"/>
            <w:vMerge w:val="continue"/>
            <w:tcBorders>
              <w:lef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p>
        </w:tc>
        <w:tc>
          <w:tcPr>
            <w:tcW w:w="534" w:type="pct"/>
            <w:vMerge w:val="continue"/>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p>
        </w:tc>
        <w:tc>
          <w:tcPr>
            <w:tcW w:w="485" w:type="pct"/>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量t/a</w:t>
            </w:r>
          </w:p>
        </w:tc>
        <w:tc>
          <w:tcPr>
            <w:tcW w:w="594" w:type="pct"/>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速率kg/h</w:t>
            </w:r>
          </w:p>
        </w:tc>
        <w:tc>
          <w:tcPr>
            <w:tcW w:w="686" w:type="pct"/>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浓度mg/m</w:t>
            </w:r>
            <w:r>
              <w:rPr>
                <w:rFonts w:hint="eastAsia"/>
                <w:color w:val="FF0000"/>
                <w:vertAlign w:val="superscript"/>
                <w:lang w:val="en-US" w:eastAsia="zh-CN"/>
              </w:rPr>
              <w:t>3</w:t>
            </w:r>
          </w:p>
        </w:tc>
        <w:tc>
          <w:tcPr>
            <w:tcW w:w="520" w:type="pct"/>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量t/a</w:t>
            </w:r>
          </w:p>
        </w:tc>
        <w:tc>
          <w:tcPr>
            <w:tcW w:w="653" w:type="pct"/>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速率kg/h</w:t>
            </w:r>
          </w:p>
        </w:tc>
        <w:tc>
          <w:tcPr>
            <w:tcW w:w="689" w:type="pct"/>
            <w:tcBorders>
              <w:righ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浓度mg/m</w:t>
            </w:r>
            <w:r>
              <w:rPr>
                <w:rFonts w:hint="eastAsia"/>
                <w:color w:val="FF0000"/>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5" w:type="pct"/>
            <w:tcBorders>
              <w:left w:val="nil"/>
              <w:bottom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坑内转移装卸</w:t>
            </w:r>
          </w:p>
        </w:tc>
        <w:tc>
          <w:tcPr>
            <w:tcW w:w="534" w:type="pct"/>
            <w:tcBorders>
              <w:bottom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颗粒物</w:t>
            </w:r>
          </w:p>
        </w:tc>
        <w:tc>
          <w:tcPr>
            <w:tcW w:w="485" w:type="pct"/>
            <w:tcBorders>
              <w:bottom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29.2571</w:t>
            </w:r>
          </w:p>
        </w:tc>
        <w:tc>
          <w:tcPr>
            <w:tcW w:w="594" w:type="pct"/>
            <w:tcBorders>
              <w:bottom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41.000</w:t>
            </w:r>
          </w:p>
        </w:tc>
        <w:tc>
          <w:tcPr>
            <w:tcW w:w="686" w:type="pct"/>
            <w:tcBorders>
              <w:bottom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w:t>
            </w:r>
          </w:p>
        </w:tc>
        <w:tc>
          <w:tcPr>
            <w:tcW w:w="520" w:type="pct"/>
            <w:tcBorders>
              <w:bottom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0.3803</w:t>
            </w:r>
          </w:p>
        </w:tc>
        <w:tc>
          <w:tcPr>
            <w:tcW w:w="653" w:type="pct"/>
            <w:tcBorders>
              <w:bottom w:val="single" w:color="auto" w:sz="12"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0.528</w:t>
            </w:r>
          </w:p>
        </w:tc>
        <w:tc>
          <w:tcPr>
            <w:tcW w:w="689" w:type="pct"/>
            <w:tcBorders>
              <w:bottom w:val="single" w:color="auto" w:sz="12" w:space="0"/>
              <w:righ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w:t>
            </w:r>
          </w:p>
        </w:tc>
      </w:tr>
    </w:tbl>
    <w:p>
      <w:pPr>
        <w:pStyle w:val="4"/>
        <w:bidi w:val="0"/>
        <w:rPr>
          <w:rFonts w:hint="eastAsia"/>
          <w:color w:val="auto"/>
          <w:highlight w:val="none"/>
        </w:rPr>
      </w:pPr>
      <w:r>
        <w:rPr>
          <w:rFonts w:hint="eastAsia"/>
          <w:color w:val="auto"/>
          <w:highlight w:val="none"/>
          <w:lang w:val="en-US" w:eastAsia="zh-CN"/>
        </w:rPr>
        <w:t>（2）废水污染源源强核算</w:t>
      </w:r>
    </w:p>
    <w:p>
      <w:pPr>
        <w:pStyle w:val="4"/>
        <w:bidi w:val="0"/>
        <w:rPr>
          <w:rFonts w:hint="default"/>
          <w:color w:val="auto"/>
          <w:highlight w:val="none"/>
          <w:lang w:val="en-US" w:eastAsia="zh-CN"/>
        </w:rPr>
      </w:pPr>
      <w:r>
        <w:rPr>
          <w:rFonts w:hint="eastAsia"/>
          <w:color w:val="auto"/>
          <w:highlight w:val="none"/>
          <w:lang w:val="en-US" w:eastAsia="zh-CN"/>
        </w:rPr>
        <w:t>回填作业周期短，工作人员生活依托周围村庄，无生活废水产生。</w:t>
      </w:r>
    </w:p>
    <w:p>
      <w:pPr>
        <w:pStyle w:val="4"/>
        <w:bidi w:val="0"/>
        <w:rPr>
          <w:rFonts w:hint="eastAsia"/>
          <w:color w:val="auto"/>
          <w:highlight w:val="none"/>
          <w:lang w:val="en-US" w:eastAsia="zh-CN"/>
        </w:rPr>
      </w:pPr>
      <w:r>
        <w:rPr>
          <w:rFonts w:hint="eastAsia"/>
          <w:color w:val="auto"/>
          <w:highlight w:val="none"/>
          <w:lang w:val="en-US" w:eastAsia="zh-CN"/>
        </w:rPr>
        <w:t>（3）固废污染源源强核算</w:t>
      </w:r>
    </w:p>
    <w:p>
      <w:pPr>
        <w:pStyle w:val="4"/>
        <w:ind w:firstLine="480"/>
        <w:rPr>
          <w:color w:val="auto"/>
          <w:highlight w:val="none"/>
        </w:rPr>
      </w:pPr>
      <w:r>
        <w:rPr>
          <w:rFonts w:hint="eastAsia"/>
          <w:color w:val="auto"/>
          <w:highlight w:val="none"/>
        </w:rPr>
        <w:t>施工期的固废主要为生活垃圾、施工土石方及建筑垃圾等固体废物。</w:t>
      </w:r>
    </w:p>
    <w:p>
      <w:pPr>
        <w:pStyle w:val="4"/>
        <w:ind w:firstLine="480"/>
        <w:rPr>
          <w:rFonts w:hint="eastAsia"/>
          <w:color w:val="auto"/>
          <w:highlight w:val="none"/>
        </w:rPr>
      </w:pPr>
      <w:r>
        <w:rPr>
          <w:rFonts w:hint="eastAsia"/>
          <w:color w:val="auto"/>
          <w:highlight w:val="none"/>
        </w:rPr>
        <w:t>生活垃圾</w:t>
      </w:r>
      <w:r>
        <w:rPr>
          <w:rFonts w:hint="eastAsia"/>
          <w:color w:val="auto"/>
          <w:highlight w:val="none"/>
          <w:lang w:eastAsia="zh-CN"/>
        </w:rPr>
        <w:t>：</w:t>
      </w:r>
      <w:r>
        <w:rPr>
          <w:rFonts w:hint="eastAsia"/>
          <w:color w:val="auto"/>
          <w:highlight w:val="none"/>
        </w:rPr>
        <w:t>本项目施工人数</w:t>
      </w:r>
      <w:r>
        <w:rPr>
          <w:rFonts w:hint="eastAsia"/>
          <w:color w:val="auto"/>
          <w:highlight w:val="none"/>
          <w:lang w:val="en-US" w:eastAsia="zh-CN"/>
        </w:rPr>
        <w:t>20</w:t>
      </w:r>
      <w:r>
        <w:rPr>
          <w:rFonts w:hint="eastAsia"/>
          <w:color w:val="auto"/>
          <w:highlight w:val="none"/>
        </w:rPr>
        <w:t>人，</w:t>
      </w:r>
      <w:r>
        <w:rPr>
          <w:rFonts w:hint="eastAsia"/>
          <w:color w:val="auto"/>
          <w:highlight w:val="none"/>
          <w:lang w:val="en-US" w:eastAsia="zh-CN"/>
        </w:rPr>
        <w:t>防渗层施工及回填作业合计时长1</w:t>
      </w:r>
      <w:r>
        <w:rPr>
          <w:rFonts w:hint="eastAsia"/>
          <w:color w:val="auto"/>
          <w:highlight w:val="none"/>
        </w:rPr>
        <w:t>个月，生活垃圾按0.001t/人</w:t>
      </w:r>
      <w:r>
        <w:rPr>
          <w:rFonts w:hint="default" w:ascii="Times New Roman" w:hAnsi="Times New Roman" w:cs="Times New Roman"/>
          <w:color w:val="auto"/>
          <w:highlight w:val="none"/>
        </w:rPr>
        <w:t>·</w:t>
      </w:r>
      <w:r>
        <w:rPr>
          <w:rFonts w:hint="eastAsia"/>
          <w:color w:val="auto"/>
          <w:highlight w:val="none"/>
        </w:rPr>
        <w:t>d计，则施工期间生活垃圾产生量：</w:t>
      </w:r>
      <w:r>
        <w:rPr>
          <w:rFonts w:hint="eastAsia"/>
          <w:color w:val="auto"/>
          <w:highlight w:val="none"/>
          <w:lang w:val="en-US" w:eastAsia="zh-CN"/>
        </w:rPr>
        <w:t>20</w:t>
      </w:r>
      <w:r>
        <w:rPr>
          <w:rFonts w:hint="eastAsia"/>
          <w:color w:val="auto"/>
          <w:highlight w:val="none"/>
        </w:rPr>
        <w:t>人</w:t>
      </w:r>
      <w:r>
        <w:rPr>
          <w:color w:val="auto"/>
          <w:highlight w:val="none"/>
        </w:rPr>
        <w:t>×</w:t>
      </w:r>
      <w:r>
        <w:rPr>
          <w:rFonts w:hint="eastAsia"/>
          <w:color w:val="auto"/>
          <w:highlight w:val="none"/>
        </w:rPr>
        <w:t>0.001t/人</w:t>
      </w:r>
      <w:r>
        <w:rPr>
          <w:rFonts w:hint="default" w:ascii="Times New Roman" w:hAnsi="Times New Roman" w:cs="Times New Roman"/>
          <w:color w:val="auto"/>
          <w:highlight w:val="none"/>
        </w:rPr>
        <w:t>·</w:t>
      </w:r>
      <w:r>
        <w:rPr>
          <w:rFonts w:hint="eastAsia"/>
          <w:color w:val="auto"/>
          <w:highlight w:val="none"/>
        </w:rPr>
        <w:t>d</w:t>
      </w:r>
      <w:r>
        <w:rPr>
          <w:color w:val="auto"/>
          <w:highlight w:val="none"/>
        </w:rPr>
        <w:t>×</w:t>
      </w:r>
      <w:r>
        <w:rPr>
          <w:rFonts w:hint="eastAsia"/>
          <w:color w:val="auto"/>
          <w:highlight w:val="none"/>
          <w:lang w:val="en-US" w:eastAsia="zh-CN"/>
        </w:rPr>
        <w:t>60</w:t>
      </w:r>
      <w:r>
        <w:rPr>
          <w:rFonts w:hint="eastAsia"/>
          <w:color w:val="auto"/>
          <w:highlight w:val="none"/>
        </w:rPr>
        <w:t>d=</w:t>
      </w:r>
      <w:r>
        <w:rPr>
          <w:rFonts w:hint="eastAsia"/>
          <w:color w:val="auto"/>
          <w:highlight w:val="none"/>
          <w:lang w:val="en-US" w:eastAsia="zh-CN"/>
        </w:rPr>
        <w:t>1.2</w:t>
      </w:r>
      <w:r>
        <w:rPr>
          <w:rFonts w:hint="eastAsia"/>
          <w:color w:val="auto"/>
          <w:highlight w:val="none"/>
        </w:rPr>
        <w:t>t。</w:t>
      </w:r>
    </w:p>
    <w:p>
      <w:pPr>
        <w:pStyle w:val="4"/>
        <w:ind w:firstLine="480"/>
        <w:rPr>
          <w:rFonts w:hint="eastAsia"/>
          <w:color w:val="auto"/>
          <w:highlight w:val="none"/>
          <w:lang w:val="en-US" w:eastAsia="zh-CN"/>
        </w:rPr>
      </w:pPr>
      <w:r>
        <w:rPr>
          <w:rFonts w:hint="eastAsia"/>
          <w:color w:val="auto"/>
          <w:highlight w:val="none"/>
        </w:rPr>
        <w:t>施工土石方</w:t>
      </w:r>
      <w:r>
        <w:rPr>
          <w:rFonts w:hint="eastAsia"/>
          <w:color w:val="auto"/>
          <w:highlight w:val="none"/>
          <w:lang w:eastAsia="zh-CN"/>
        </w:rPr>
        <w:t>：</w:t>
      </w:r>
      <w:r>
        <w:rPr>
          <w:rFonts w:hint="eastAsia"/>
          <w:color w:val="auto"/>
          <w:highlight w:val="none"/>
          <w:lang w:val="en-US" w:eastAsia="zh-CN"/>
        </w:rPr>
        <w:t>根据土石方平衡分析，项目无弃土产生。</w:t>
      </w:r>
    </w:p>
    <w:p>
      <w:pPr>
        <w:pStyle w:val="4"/>
        <w:ind w:firstLine="480"/>
        <w:rPr>
          <w:rFonts w:hint="eastAsia"/>
          <w:color w:val="auto"/>
          <w:highlight w:val="none"/>
          <w:lang w:val="en-US" w:eastAsia="zh-CN"/>
        </w:rPr>
      </w:pPr>
      <w:r>
        <w:rPr>
          <w:rFonts w:hint="eastAsia"/>
          <w:color w:val="auto"/>
          <w:highlight w:val="none"/>
        </w:rPr>
        <w:t>建筑垃圾</w:t>
      </w:r>
      <w:r>
        <w:rPr>
          <w:rFonts w:hint="eastAsia"/>
          <w:color w:val="auto"/>
          <w:highlight w:val="none"/>
          <w:lang w:eastAsia="zh-CN"/>
        </w:rPr>
        <w:t>：</w:t>
      </w:r>
      <w:r>
        <w:rPr>
          <w:rFonts w:hint="eastAsia"/>
          <w:color w:val="auto"/>
          <w:highlight w:val="none"/>
        </w:rPr>
        <w:t>施工期产生的建筑垃圾主要</w:t>
      </w:r>
      <w:r>
        <w:rPr>
          <w:rFonts w:hint="eastAsia"/>
          <w:color w:val="auto"/>
          <w:highlight w:val="none"/>
          <w:lang w:val="en-US" w:eastAsia="zh-CN"/>
        </w:rPr>
        <w:t>为废土工膜</w:t>
      </w:r>
      <w:r>
        <w:rPr>
          <w:rFonts w:hint="eastAsia"/>
          <w:color w:val="auto"/>
          <w:highlight w:val="none"/>
        </w:rPr>
        <w:t>，产生量约</w:t>
      </w:r>
      <w:r>
        <w:rPr>
          <w:rFonts w:hint="eastAsia"/>
          <w:color w:val="auto"/>
          <w:highlight w:val="none"/>
          <w:lang w:val="en-US" w:eastAsia="zh-CN"/>
        </w:rPr>
        <w:t>2</w:t>
      </w:r>
      <w:r>
        <w:rPr>
          <w:rFonts w:hint="eastAsia"/>
          <w:color w:val="auto"/>
          <w:highlight w:val="none"/>
        </w:rPr>
        <w:t>t。</w:t>
      </w:r>
    </w:p>
    <w:p>
      <w:pPr>
        <w:pStyle w:val="4"/>
        <w:bidi w:val="0"/>
        <w:rPr>
          <w:rFonts w:hint="eastAsia"/>
          <w:color w:val="auto"/>
          <w:highlight w:val="none"/>
        </w:rPr>
      </w:pPr>
      <w:r>
        <w:rPr>
          <w:rFonts w:hint="eastAsia"/>
          <w:color w:val="auto"/>
          <w:highlight w:val="none"/>
          <w:lang w:val="en-US" w:eastAsia="zh-CN"/>
        </w:rPr>
        <w:t>（4）噪声污染源源强核算</w:t>
      </w:r>
    </w:p>
    <w:p>
      <w:pPr>
        <w:pStyle w:val="4"/>
        <w:rPr>
          <w:rFonts w:hint="eastAsia"/>
          <w:color w:val="auto"/>
          <w:highlight w:val="none"/>
          <w:lang w:val="en-US" w:eastAsia="zh-CN"/>
        </w:rPr>
      </w:pPr>
      <w:r>
        <w:rPr>
          <w:rFonts w:hint="eastAsia"/>
          <w:color w:val="auto"/>
          <w:highlight w:val="none"/>
          <w:lang w:val="en-US" w:eastAsia="zh-CN"/>
        </w:rPr>
        <w:t>项目主要噪声污染源是转运车辆和回填设备，如灰渣装载车、推土机、压路机等，根据《环境噪声与振动控制工程技术导则》（HJ2034-2013），其声压级范围在80~90dB（A）之间，各噪声源强如下表：</w:t>
      </w:r>
    </w:p>
    <w:p>
      <w:pPr>
        <w:pStyle w:val="22"/>
        <w:bidi w:val="0"/>
        <w:rPr>
          <w:rFonts w:hint="default"/>
          <w:lang w:val="en-US"/>
        </w:rPr>
      </w:pPr>
      <w:r>
        <w:t>表</w:t>
      </w:r>
      <w:r>
        <w:rPr>
          <w:rFonts w:hint="eastAsia"/>
          <w:lang w:val="en-US" w:eastAsia="zh-CN"/>
        </w:rPr>
        <w:t>3.2-6</w:t>
      </w:r>
      <w:r>
        <w:rPr>
          <w:rFonts w:hint="eastAsia"/>
        </w:rPr>
        <w:t xml:space="preserve">    </w:t>
      </w:r>
      <w:r>
        <w:rPr>
          <w:rFonts w:hint="eastAsia"/>
          <w:lang w:val="en-US" w:eastAsia="zh-CN"/>
        </w:rPr>
        <w:t xml:space="preserve"> 噪声源源强一览表    单位：dB(A)</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95"/>
        <w:gridCol w:w="2214"/>
        <w:gridCol w:w="1352"/>
        <w:gridCol w:w="17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噪声源</w:t>
            </w:r>
          </w:p>
        </w:tc>
        <w:tc>
          <w:tcPr>
            <w:tcW w:w="131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种类</w:t>
            </w: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台数</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距声源5m源强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自卸卡车（运输车）</w:t>
            </w:r>
          </w:p>
        </w:tc>
        <w:tc>
          <w:tcPr>
            <w:tcW w:w="131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流动噪声/间歇性排放</w:t>
            </w: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挖掘机</w:t>
            </w:r>
          </w:p>
        </w:tc>
        <w:tc>
          <w:tcPr>
            <w:tcW w:w="1315" w:type="pct"/>
            <w:vMerge w:val="restar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固定声源/间歇性排放</w:t>
            </w: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推土机（带碾压）</w:t>
            </w:r>
          </w:p>
        </w:tc>
        <w:tc>
          <w:tcPr>
            <w:tcW w:w="1315" w:type="pct"/>
            <w:vMerge w:val="continue"/>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83~88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压路机</w:t>
            </w:r>
          </w:p>
        </w:tc>
        <w:tc>
          <w:tcPr>
            <w:tcW w:w="1315" w:type="pct"/>
            <w:vMerge w:val="continue"/>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洒水车</w:t>
            </w:r>
          </w:p>
        </w:tc>
        <w:tc>
          <w:tcPr>
            <w:tcW w:w="1315" w:type="pct"/>
            <w:vMerge w:val="continue"/>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80~85</w:t>
            </w:r>
          </w:p>
        </w:tc>
      </w:tr>
    </w:tbl>
    <w:p>
      <w:pPr>
        <w:pStyle w:val="7"/>
        <w:bidi w:val="0"/>
        <w:rPr>
          <w:rFonts w:hint="eastAsia"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渗滤液</w:t>
      </w:r>
      <w:r>
        <w:rPr>
          <w:rFonts w:hint="eastAsia" w:ascii="Times New Roman" w:hAnsi="Times New Roman" w:eastAsia="宋体" w:cs="Times New Roman"/>
          <w:color w:val="FF0000"/>
          <w:highlight w:val="none"/>
          <w:lang w:val="en-US" w:eastAsia="zh-CN"/>
        </w:rPr>
        <w:t>污染源源强核算</w:t>
      </w:r>
    </w:p>
    <w:p>
      <w:pPr>
        <w:pStyle w:val="4"/>
        <w:bidi w:val="0"/>
        <w:rPr>
          <w:rFonts w:hint="default"/>
          <w:color w:val="FF0000"/>
          <w:highlight w:val="none"/>
          <w:lang w:val="en-US" w:eastAsia="zh-CN"/>
        </w:rPr>
      </w:pPr>
      <w:r>
        <w:rPr>
          <w:rFonts w:hint="eastAsia"/>
          <w:color w:val="FF0000"/>
          <w:highlight w:val="none"/>
          <w:lang w:val="en-US" w:eastAsia="zh-CN"/>
        </w:rPr>
        <w:t>本项目在施工结束后，覆盖砂砾石层结束治理活动，后期该坑体拟建设一般工业固体废物填埋场，但在建设之前，可能会空置一段时间，在这段时间内可能会产生渗滤液。项目所在区域干旱少雨，蒸发量远大于降水量，根据同类填埋粉煤灰的固体废物填埋场运行经验来看，一般情况下不会有渗滤液产生。考虑极端气候条件下，本项目渗滤液产生量计算如下：</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FF0000"/>
          <w:highlight w:val="none"/>
          <w:lang w:val="en-US" w:eastAsia="zh-CN"/>
        </w:rPr>
      </w:pPr>
      <w:r>
        <w:rPr>
          <w:rFonts w:hint="default"/>
          <w:color w:val="FF0000"/>
          <w:highlight w:val="none"/>
          <w:lang w:val="en-US" w:eastAsia="zh-CN"/>
        </w:rPr>
        <w:t>Q=C×A×I×10</w:t>
      </w:r>
      <w:r>
        <w:rPr>
          <w:rFonts w:hint="default"/>
          <w:color w:val="FF0000"/>
          <w:highlight w:val="none"/>
          <w:vertAlign w:val="superscript"/>
          <w:lang w:val="en-US" w:eastAsia="zh-CN"/>
        </w:rPr>
        <w:t>-3</w:t>
      </w:r>
    </w:p>
    <w:p>
      <w:pPr>
        <w:pStyle w:val="4"/>
        <w:bidi w:val="0"/>
        <w:rPr>
          <w:rFonts w:hint="default"/>
          <w:color w:val="FF0000"/>
          <w:highlight w:val="none"/>
          <w:lang w:val="en-US" w:eastAsia="zh-CN"/>
        </w:rPr>
      </w:pPr>
      <w:r>
        <w:rPr>
          <w:rFonts w:hint="default"/>
          <w:color w:val="FF0000"/>
          <w:highlight w:val="none"/>
          <w:lang w:val="en-US" w:eastAsia="zh-CN"/>
        </w:rPr>
        <w:t>式中：</w:t>
      </w:r>
    </w:p>
    <w:p>
      <w:pPr>
        <w:pStyle w:val="4"/>
        <w:bidi w:val="0"/>
        <w:rPr>
          <w:rFonts w:hint="default"/>
          <w:color w:val="FF0000"/>
          <w:highlight w:val="none"/>
          <w:lang w:val="en-US" w:eastAsia="zh-CN"/>
        </w:rPr>
      </w:pPr>
      <w:r>
        <w:rPr>
          <w:rFonts w:hint="default"/>
          <w:color w:val="FF0000"/>
          <w:highlight w:val="none"/>
          <w:lang w:val="en-US" w:eastAsia="zh-CN"/>
        </w:rPr>
        <w:t>Q</w:t>
      </w:r>
      <w:r>
        <w:rPr>
          <w:rFonts w:hint="eastAsia"/>
          <w:color w:val="FF0000"/>
          <w:highlight w:val="none"/>
          <w:lang w:val="en-US" w:eastAsia="zh-CN"/>
        </w:rPr>
        <w:t>——</w:t>
      </w:r>
      <w:r>
        <w:rPr>
          <w:rFonts w:hint="default"/>
          <w:color w:val="FF0000"/>
          <w:highlight w:val="none"/>
          <w:lang w:val="en-US" w:eastAsia="zh-CN"/>
        </w:rPr>
        <w:t>渗滤液产生量(m</w:t>
      </w:r>
      <w:r>
        <w:rPr>
          <w:rFonts w:hint="default"/>
          <w:color w:val="FF0000"/>
          <w:highlight w:val="none"/>
          <w:vertAlign w:val="superscript"/>
          <w:lang w:val="en-US" w:eastAsia="zh-CN"/>
        </w:rPr>
        <w:t>3</w:t>
      </w:r>
      <w:r>
        <w:rPr>
          <w:rFonts w:hint="default"/>
          <w:color w:val="FF0000"/>
          <w:highlight w:val="none"/>
          <w:lang w:val="en-US" w:eastAsia="zh-CN"/>
        </w:rPr>
        <w:t>/d)；</w:t>
      </w:r>
    </w:p>
    <w:p>
      <w:pPr>
        <w:pStyle w:val="4"/>
        <w:bidi w:val="0"/>
        <w:rPr>
          <w:rFonts w:hint="default"/>
          <w:color w:val="FF0000"/>
          <w:highlight w:val="none"/>
          <w:lang w:val="en-US" w:eastAsia="zh-CN"/>
        </w:rPr>
      </w:pPr>
      <w:r>
        <w:rPr>
          <w:rFonts w:hint="default"/>
          <w:color w:val="FF0000"/>
          <w:highlight w:val="none"/>
          <w:lang w:val="en-US" w:eastAsia="zh-CN"/>
        </w:rPr>
        <w:t>A</w:t>
      </w:r>
      <w:r>
        <w:rPr>
          <w:rFonts w:hint="eastAsia"/>
          <w:color w:val="FF0000"/>
          <w:highlight w:val="none"/>
          <w:lang w:val="en-US" w:eastAsia="zh-CN"/>
        </w:rPr>
        <w:t>——采砂坑总</w:t>
      </w:r>
      <w:r>
        <w:rPr>
          <w:rFonts w:hint="default"/>
          <w:color w:val="FF0000"/>
          <w:highlight w:val="none"/>
          <w:lang w:val="en-US" w:eastAsia="zh-CN"/>
        </w:rPr>
        <w:t>面积</w:t>
      </w:r>
      <w:r>
        <w:rPr>
          <w:rFonts w:hint="eastAsia"/>
          <w:color w:val="FF0000"/>
          <w:highlight w:val="none"/>
          <w:lang w:val="en-US" w:eastAsia="zh-CN"/>
        </w:rPr>
        <w:t>（</w:t>
      </w:r>
      <w:r>
        <w:rPr>
          <w:rFonts w:hint="default"/>
          <w:color w:val="FF0000"/>
          <w:highlight w:val="none"/>
          <w:lang w:val="en-US" w:eastAsia="zh-CN"/>
        </w:rPr>
        <w:t>m</w:t>
      </w:r>
      <w:r>
        <w:rPr>
          <w:rFonts w:hint="default"/>
          <w:color w:val="FF0000"/>
          <w:highlight w:val="none"/>
          <w:vertAlign w:val="superscript"/>
          <w:lang w:val="en-US" w:eastAsia="zh-CN"/>
        </w:rPr>
        <w:t>2</w:t>
      </w:r>
      <w:r>
        <w:rPr>
          <w:rFonts w:hint="eastAsia"/>
          <w:color w:val="FF0000"/>
          <w:highlight w:val="none"/>
          <w:lang w:val="en-US" w:eastAsia="zh-CN"/>
        </w:rPr>
        <w:t>）</w:t>
      </w:r>
      <w:r>
        <w:rPr>
          <w:rFonts w:hint="default"/>
          <w:color w:val="FF0000"/>
          <w:highlight w:val="none"/>
          <w:lang w:val="en-US" w:eastAsia="zh-CN"/>
        </w:rPr>
        <w:t>，</w:t>
      </w:r>
      <w:r>
        <w:rPr>
          <w:rFonts w:hint="eastAsia"/>
          <w:color w:val="FF0000"/>
          <w:highlight w:val="none"/>
          <w:lang w:val="en-US" w:eastAsia="zh-CN"/>
        </w:rPr>
        <w:t>26183</w:t>
      </w:r>
      <w:r>
        <w:rPr>
          <w:rFonts w:hint="default"/>
          <w:color w:val="FF0000"/>
          <w:highlight w:val="none"/>
          <w:lang w:val="en-US" w:eastAsia="zh-CN"/>
        </w:rPr>
        <w:t>m</w:t>
      </w:r>
      <w:r>
        <w:rPr>
          <w:rFonts w:hint="default"/>
          <w:color w:val="FF0000"/>
          <w:highlight w:val="none"/>
          <w:vertAlign w:val="superscript"/>
          <w:lang w:val="en-US" w:eastAsia="zh-CN"/>
        </w:rPr>
        <w:t>2</w:t>
      </w:r>
      <w:r>
        <w:rPr>
          <w:rFonts w:hint="default"/>
          <w:color w:val="FF0000"/>
          <w:highlight w:val="none"/>
          <w:lang w:val="en-US" w:eastAsia="zh-CN"/>
        </w:rPr>
        <w:t>；</w:t>
      </w:r>
    </w:p>
    <w:p>
      <w:pPr>
        <w:pStyle w:val="4"/>
        <w:bidi w:val="0"/>
        <w:rPr>
          <w:rFonts w:hint="default"/>
          <w:color w:val="FF0000"/>
          <w:highlight w:val="none"/>
          <w:lang w:val="en-US" w:eastAsia="zh-CN"/>
        </w:rPr>
      </w:pPr>
      <w:r>
        <w:rPr>
          <w:rFonts w:hint="default"/>
          <w:color w:val="FF0000"/>
          <w:highlight w:val="none"/>
          <w:lang w:val="en-US" w:eastAsia="zh-CN"/>
        </w:rPr>
        <w:t>C</w:t>
      </w:r>
      <w:r>
        <w:rPr>
          <w:rFonts w:hint="eastAsia"/>
          <w:color w:val="FF0000"/>
          <w:highlight w:val="none"/>
          <w:lang w:val="en-US" w:eastAsia="zh-CN"/>
        </w:rPr>
        <w:t>——</w:t>
      </w:r>
      <w:r>
        <w:rPr>
          <w:rFonts w:hint="default"/>
          <w:color w:val="FF0000"/>
          <w:highlight w:val="none"/>
          <w:lang w:val="en-US" w:eastAsia="zh-CN"/>
        </w:rPr>
        <w:t>渗出系数，经验值一般为0.3</w:t>
      </w:r>
      <w:r>
        <w:rPr>
          <w:rFonts w:hint="eastAsia"/>
          <w:color w:val="FF0000"/>
          <w:highlight w:val="none"/>
          <w:lang w:val="en-US" w:eastAsia="zh-CN"/>
        </w:rPr>
        <w:t>~</w:t>
      </w:r>
      <w:r>
        <w:rPr>
          <w:rFonts w:hint="default"/>
          <w:color w:val="FF0000"/>
          <w:highlight w:val="none"/>
          <w:lang w:val="en-US" w:eastAsia="zh-CN"/>
        </w:rPr>
        <w:t>0.8，考虑到项目区气候特征，年均蒸发量远远大于年均降雨量，因此C取0.3；</w:t>
      </w:r>
    </w:p>
    <w:p>
      <w:pPr>
        <w:pStyle w:val="4"/>
        <w:bidi w:val="0"/>
        <w:rPr>
          <w:rFonts w:hint="default"/>
          <w:color w:val="FF0000"/>
          <w:highlight w:val="none"/>
          <w:lang w:val="en-US" w:eastAsia="zh-CN"/>
        </w:rPr>
      </w:pPr>
      <w:r>
        <w:rPr>
          <w:rFonts w:hint="default"/>
          <w:color w:val="FF0000"/>
          <w:highlight w:val="none"/>
          <w:lang w:val="en-US" w:eastAsia="zh-CN"/>
        </w:rPr>
        <w:t>I</w:t>
      </w:r>
      <w:r>
        <w:rPr>
          <w:rFonts w:hint="eastAsia"/>
          <w:color w:val="FF0000"/>
          <w:highlight w:val="none"/>
          <w:lang w:val="en-US" w:eastAsia="zh-CN"/>
        </w:rPr>
        <w:t>——最大日降水量（</w:t>
      </w:r>
      <w:r>
        <w:rPr>
          <w:rFonts w:hint="default"/>
          <w:color w:val="FF0000"/>
          <w:highlight w:val="none"/>
          <w:lang w:val="en-US" w:eastAsia="zh-CN"/>
        </w:rPr>
        <w:t>mm/d</w:t>
      </w:r>
      <w:r>
        <w:rPr>
          <w:rFonts w:hint="eastAsia"/>
          <w:color w:val="FF0000"/>
          <w:highlight w:val="none"/>
          <w:lang w:val="en-US" w:eastAsia="zh-CN"/>
        </w:rPr>
        <w:t>）。年最大降水量为325.5mm，日最大降水量按其20%计，为65.1</w:t>
      </w:r>
      <w:r>
        <w:rPr>
          <w:rFonts w:hint="default"/>
          <w:color w:val="FF0000"/>
          <w:highlight w:val="none"/>
          <w:lang w:val="en-US" w:eastAsia="zh-CN"/>
        </w:rPr>
        <w:t>mm。</w:t>
      </w:r>
    </w:p>
    <w:p>
      <w:pPr>
        <w:pStyle w:val="4"/>
        <w:rPr>
          <w:rFonts w:hint="eastAsia"/>
          <w:color w:val="FF0000"/>
          <w:highlight w:val="none"/>
          <w:lang w:val="en-US" w:eastAsia="zh-CN"/>
        </w:rPr>
      </w:pPr>
      <w:r>
        <w:rPr>
          <w:rFonts w:hint="eastAsia"/>
          <w:color w:val="FF0000"/>
          <w:highlight w:val="none"/>
          <w:lang w:val="en-US" w:eastAsia="zh-CN"/>
        </w:rPr>
        <w:t>计算渗滤液日最大产生量为：511</w:t>
      </w:r>
      <w:r>
        <w:rPr>
          <w:rFonts w:hint="default"/>
          <w:color w:val="FF0000"/>
          <w:highlight w:val="none"/>
          <w:lang w:val="en-US" w:eastAsia="zh-CN"/>
        </w:rPr>
        <w:t>m</w:t>
      </w:r>
      <w:r>
        <w:rPr>
          <w:rFonts w:hint="default"/>
          <w:color w:val="FF0000"/>
          <w:highlight w:val="none"/>
          <w:vertAlign w:val="superscript"/>
          <w:lang w:val="en-US" w:eastAsia="zh-CN"/>
        </w:rPr>
        <w:t>3</w:t>
      </w:r>
      <w:r>
        <w:rPr>
          <w:rFonts w:hint="default"/>
          <w:color w:val="FF0000"/>
          <w:highlight w:val="none"/>
          <w:lang w:val="en-US" w:eastAsia="zh-CN"/>
        </w:rPr>
        <w:t>/</w:t>
      </w:r>
      <w:r>
        <w:rPr>
          <w:rFonts w:hint="eastAsia"/>
          <w:color w:val="FF0000"/>
          <w:highlight w:val="none"/>
          <w:lang w:val="en-US" w:eastAsia="zh-CN"/>
        </w:rPr>
        <w:t>a</w:t>
      </w:r>
      <w:r>
        <w:rPr>
          <w:rFonts w:hint="default"/>
          <w:color w:val="FF0000"/>
          <w:highlight w:val="none"/>
          <w:lang w:val="en-US" w:eastAsia="zh-CN"/>
        </w:rPr>
        <w:t>。</w:t>
      </w:r>
    </w:p>
    <w:p>
      <w:pPr>
        <w:pStyle w:val="5"/>
        <w:bidi w:val="0"/>
        <w:rPr>
          <w:rFonts w:hint="eastAsia"/>
          <w:color w:val="FF0000"/>
          <w:highlight w:val="none"/>
        </w:rPr>
      </w:pPr>
      <w:bookmarkStart w:id="41" w:name="_Toc7430"/>
      <w:bookmarkStart w:id="42" w:name="_Toc18137"/>
      <w:r>
        <w:rPr>
          <w:rFonts w:hint="eastAsia"/>
          <w:color w:val="FF0000"/>
          <w:highlight w:val="none"/>
          <w:lang w:val="en-US" w:eastAsia="zh-CN"/>
        </w:rPr>
        <w:t>总量控制</w:t>
      </w:r>
      <w:bookmarkEnd w:id="41"/>
      <w:bookmarkEnd w:id="42"/>
    </w:p>
    <w:p>
      <w:pPr>
        <w:pStyle w:val="4"/>
        <w:rPr>
          <w:rFonts w:hint="eastAsia"/>
          <w:color w:val="FF0000"/>
          <w:highlight w:val="none"/>
        </w:rPr>
      </w:pPr>
      <w:r>
        <w:rPr>
          <w:rFonts w:hint="eastAsia"/>
          <w:color w:val="FF0000"/>
          <w:highlight w:val="none"/>
        </w:rPr>
        <w:t>根据《国家环境保护“十</w:t>
      </w:r>
      <w:r>
        <w:rPr>
          <w:rFonts w:hint="eastAsia"/>
          <w:color w:val="FF0000"/>
          <w:highlight w:val="none"/>
          <w:lang w:val="en-US" w:eastAsia="zh-CN"/>
        </w:rPr>
        <w:t>四</w:t>
      </w:r>
      <w:r>
        <w:rPr>
          <w:rFonts w:hint="eastAsia"/>
          <w:color w:val="FF0000"/>
          <w:highlight w:val="none"/>
        </w:rPr>
        <w:t>五”规划》，国家对化学需氧量（COD</w:t>
      </w:r>
      <w:r>
        <w:rPr>
          <w:rFonts w:hint="eastAsia"/>
          <w:color w:val="FF0000"/>
          <w:highlight w:val="none"/>
          <w:vertAlign w:val="subscript"/>
        </w:rPr>
        <w:t>Cr</w:t>
      </w:r>
      <w:r>
        <w:rPr>
          <w:rFonts w:hint="eastAsia"/>
          <w:color w:val="FF0000"/>
          <w:highlight w:val="none"/>
        </w:rPr>
        <w:t>）、氨氮（NH</w:t>
      </w:r>
      <w:r>
        <w:rPr>
          <w:rFonts w:hint="eastAsia"/>
          <w:color w:val="FF0000"/>
          <w:highlight w:val="none"/>
          <w:vertAlign w:val="subscript"/>
        </w:rPr>
        <w:t>3</w:t>
      </w:r>
      <w:r>
        <w:rPr>
          <w:rFonts w:hint="eastAsia"/>
          <w:color w:val="FF0000"/>
          <w:highlight w:val="none"/>
        </w:rPr>
        <w:t>-N）、</w:t>
      </w:r>
      <w:r>
        <w:rPr>
          <w:rFonts w:hint="eastAsia"/>
          <w:color w:val="FF0000"/>
          <w:highlight w:val="none"/>
          <w:lang w:val="en-US" w:eastAsia="zh-CN"/>
        </w:rPr>
        <w:t>氮氧化物（NOx）</w:t>
      </w:r>
      <w:r>
        <w:rPr>
          <w:rFonts w:hint="eastAsia"/>
          <w:color w:val="FF0000"/>
          <w:highlight w:val="none"/>
          <w:lang w:eastAsia="zh-CN"/>
        </w:rPr>
        <w:t>、</w:t>
      </w:r>
      <w:r>
        <w:rPr>
          <w:rFonts w:hint="eastAsia"/>
          <w:color w:val="FF0000"/>
          <w:highlight w:val="none"/>
          <w:lang w:val="en-US" w:eastAsia="zh-CN"/>
        </w:rPr>
        <w:t>挥发性有机物</w:t>
      </w:r>
      <w:r>
        <w:rPr>
          <w:rFonts w:hint="eastAsia"/>
          <w:color w:val="FF0000"/>
          <w:highlight w:val="none"/>
        </w:rPr>
        <w:t>实行排放总量控制管理。</w:t>
      </w:r>
    </w:p>
    <w:p>
      <w:pPr>
        <w:pStyle w:val="4"/>
        <w:rPr>
          <w:rFonts w:hint="default" w:eastAsia="宋体"/>
          <w:color w:val="FF0000"/>
          <w:highlight w:val="none"/>
          <w:lang w:val="en-US" w:eastAsia="zh-CN"/>
        </w:rPr>
      </w:pPr>
      <w:r>
        <w:rPr>
          <w:rFonts w:hint="eastAsia"/>
          <w:color w:val="FF0000"/>
          <w:highlight w:val="none"/>
          <w:lang w:val="en-US" w:eastAsia="zh-CN"/>
        </w:rPr>
        <w:t>本项目不排放废水，废气主要为回填作业扬尘，为无组织排放，项目区无主要和一般排放口，评价建议不设污染物总量控制指标。</w:t>
      </w:r>
    </w:p>
    <w:p>
      <w:pPr>
        <w:pStyle w:val="3"/>
        <w:bidi w:val="0"/>
        <w:rPr>
          <w:rFonts w:hint="eastAsia"/>
          <w:color w:val="auto"/>
          <w:highlight w:val="none"/>
        </w:rPr>
      </w:pPr>
      <w:bookmarkStart w:id="43" w:name="_Toc12637"/>
      <w:bookmarkStart w:id="44" w:name="_Toc12402"/>
      <w:r>
        <w:rPr>
          <w:rFonts w:hint="eastAsia"/>
          <w:color w:val="auto"/>
          <w:highlight w:val="none"/>
          <w:lang w:val="en-US" w:eastAsia="zh-CN"/>
        </w:rPr>
        <w:t>环境现状调查与评价</w:t>
      </w:r>
      <w:bookmarkEnd w:id="43"/>
      <w:bookmarkEnd w:id="44"/>
    </w:p>
    <w:p>
      <w:pPr>
        <w:pStyle w:val="5"/>
        <w:bidi w:val="0"/>
        <w:rPr>
          <w:rFonts w:hint="eastAsia"/>
          <w:color w:val="auto"/>
          <w:highlight w:val="none"/>
        </w:rPr>
      </w:pPr>
      <w:bookmarkStart w:id="45" w:name="_Toc5173"/>
      <w:bookmarkStart w:id="46" w:name="_Toc24408"/>
      <w:r>
        <w:rPr>
          <w:rFonts w:hint="eastAsia"/>
          <w:color w:val="auto"/>
          <w:highlight w:val="none"/>
          <w:lang w:val="en-US" w:eastAsia="zh-CN"/>
        </w:rPr>
        <w:t>自然环境现状调查与评价</w:t>
      </w:r>
      <w:bookmarkEnd w:id="45"/>
      <w:bookmarkEnd w:id="46"/>
    </w:p>
    <w:p>
      <w:pPr>
        <w:pStyle w:val="6"/>
        <w:bidi w:val="0"/>
        <w:rPr>
          <w:rFonts w:hint="eastAsia"/>
          <w:color w:val="auto"/>
          <w:highlight w:val="none"/>
        </w:rPr>
      </w:pPr>
      <w:r>
        <w:rPr>
          <w:rFonts w:hint="eastAsia"/>
          <w:color w:val="auto"/>
          <w:highlight w:val="none"/>
          <w:lang w:val="en-US" w:eastAsia="zh-CN"/>
        </w:rPr>
        <w:t>地理位置</w:t>
      </w:r>
    </w:p>
    <w:p>
      <w:pPr>
        <w:pStyle w:val="4"/>
        <w:bidi w:val="0"/>
        <w:rPr>
          <w:rFonts w:hint="eastAsia"/>
          <w:color w:val="auto"/>
          <w:highlight w:val="none"/>
        </w:rPr>
      </w:pPr>
      <w:r>
        <w:rPr>
          <w:rFonts w:hint="eastAsia"/>
          <w:color w:val="auto"/>
          <w:highlight w:val="none"/>
        </w:rPr>
        <w:t>奇台县位于新疆维吾尔自治区东北部，昌吉回族自治州东部飞地，吉木萨尔县之东，木垒县之西，东与木垒哈萨克自治县为邻，南与吐鲁番市交界，西连吉木萨尔县，北接富蕴县、青河县，东北部同蒙古人民共和国接壤，国境线长131.47公里。奇台县境东西横距150公里，南北纵距250公里，县域总面积1.93万</w:t>
      </w:r>
      <w:r>
        <w:rPr>
          <w:rFonts w:hint="eastAsia"/>
          <w:color w:val="auto"/>
          <w:highlight w:val="none"/>
          <w:lang w:val="en-US" w:eastAsia="zh-CN"/>
        </w:rPr>
        <w:t>km</w:t>
      </w:r>
      <w:r>
        <w:rPr>
          <w:rFonts w:hint="eastAsia"/>
          <w:color w:val="auto"/>
          <w:highlight w:val="none"/>
          <w:vertAlign w:val="superscript"/>
          <w:lang w:val="en-US" w:eastAsia="zh-CN"/>
        </w:rPr>
        <w:t>2</w:t>
      </w:r>
      <w:r>
        <w:rPr>
          <w:rFonts w:hint="eastAsia"/>
          <w:color w:val="auto"/>
          <w:highlight w:val="none"/>
        </w:rPr>
        <w:t>。地理坐标为东经</w:t>
      </w:r>
      <w:r>
        <w:rPr>
          <w:rFonts w:hint="default" w:ascii="Times New Roman" w:hAnsi="Times New Roman" w:cs="Times New Roman"/>
          <w:color w:val="auto"/>
          <w:highlight w:val="none"/>
        </w:rPr>
        <w:t>89°13′至91°22′</w:t>
      </w:r>
      <w:r>
        <w:rPr>
          <w:rFonts w:hint="eastAsia"/>
          <w:color w:val="auto"/>
          <w:highlight w:val="none"/>
        </w:rPr>
        <w:t>，北纬</w:t>
      </w:r>
      <w:r>
        <w:rPr>
          <w:rFonts w:hint="default" w:ascii="Times New Roman" w:hAnsi="Times New Roman" w:cs="Times New Roman"/>
          <w:color w:val="auto"/>
          <w:highlight w:val="none"/>
        </w:rPr>
        <w:t>42°25′至45°29′</w:t>
      </w:r>
      <w:r>
        <w:rPr>
          <w:rFonts w:hint="eastAsia"/>
          <w:color w:val="auto"/>
          <w:highlight w:val="none"/>
        </w:rPr>
        <w:t>。</w:t>
      </w:r>
    </w:p>
    <w:p>
      <w:pPr>
        <w:pStyle w:val="4"/>
        <w:rPr>
          <w:rFonts w:hint="eastAsia" w:cs="Times New Roman"/>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区</w:t>
      </w:r>
      <w:r>
        <w:rPr>
          <w:rFonts w:hint="default"/>
          <w:color w:val="auto"/>
          <w:highlight w:val="none"/>
          <w:lang w:val="en-US" w:eastAsia="zh-CN"/>
        </w:rPr>
        <w:t>位于</w:t>
      </w:r>
      <w:r>
        <w:rPr>
          <w:rFonts w:hint="eastAsia"/>
          <w:color w:val="auto"/>
          <w:highlight w:val="none"/>
          <w:lang w:eastAsia="zh-CN"/>
        </w:rPr>
        <w:t>奇台县吉布库镇达坂河村，</w:t>
      </w:r>
      <w:r>
        <w:rPr>
          <w:rFonts w:hint="eastAsia" w:cs="Times New Roman"/>
          <w:color w:val="auto"/>
          <w:highlight w:val="none"/>
          <w:lang w:val="en-US" w:eastAsia="zh-CN"/>
        </w:rPr>
        <w:t>中心地理位置坐标为</w:t>
      </w:r>
      <w:r>
        <w:rPr>
          <w:rFonts w:hint="default" w:ascii="Times New Roman" w:hAnsi="Times New Roman" w:cs="Times New Roman"/>
          <w:color w:val="auto"/>
          <w:highlight w:val="none"/>
          <w:lang w:val="en-US" w:eastAsia="zh-CN"/>
        </w:rPr>
        <w:t>E89°30′</w:t>
      </w:r>
      <w:r>
        <w:rPr>
          <w:rFonts w:hint="eastAsia" w:cs="Times New Roman"/>
          <w:color w:val="auto"/>
          <w:highlight w:val="none"/>
          <w:lang w:val="en-US" w:eastAsia="zh-CN"/>
        </w:rPr>
        <w:t>22.725</w:t>
      </w:r>
      <w:r>
        <w:rPr>
          <w:rFonts w:hint="default" w:ascii="Times New Roman" w:hAnsi="Times New Roman" w:cs="Times New Roman"/>
          <w:color w:val="auto"/>
          <w:highlight w:val="none"/>
          <w:lang w:val="en-US" w:eastAsia="zh-CN"/>
        </w:rPr>
        <w:t>″，N43°54′38.409″</w:t>
      </w:r>
      <w:r>
        <w:rPr>
          <w:rFonts w:hint="eastAsia" w:cs="Times New Roman"/>
          <w:color w:val="auto"/>
          <w:highlight w:val="none"/>
          <w:lang w:val="en-US" w:eastAsia="zh-CN"/>
        </w:rPr>
        <w:t>。项目北距G7京新高速和奇台县建成区距离分别为250m和8km，东南侧550m和1500m处分别为吉布库养殖区和达坂河5村，西南侧2000m处为达坂河5村。</w:t>
      </w:r>
    </w:p>
    <w:p>
      <w:pPr>
        <w:pStyle w:val="6"/>
        <w:bidi w:val="0"/>
        <w:rPr>
          <w:rFonts w:hint="eastAsia"/>
          <w:color w:val="auto"/>
          <w:highlight w:val="none"/>
        </w:rPr>
      </w:pPr>
      <w:r>
        <w:rPr>
          <w:rFonts w:hint="eastAsia"/>
          <w:color w:val="auto"/>
          <w:highlight w:val="none"/>
          <w:lang w:val="en-US" w:eastAsia="zh-CN"/>
        </w:rPr>
        <w:t>地形地貌</w:t>
      </w:r>
    </w:p>
    <w:p>
      <w:pPr>
        <w:pStyle w:val="4"/>
        <w:bidi w:val="0"/>
        <w:rPr>
          <w:rFonts w:hint="eastAsia"/>
          <w:color w:val="auto"/>
          <w:highlight w:val="none"/>
        </w:rPr>
      </w:pPr>
      <w:r>
        <w:rPr>
          <w:rFonts w:hint="eastAsia"/>
          <w:color w:val="auto"/>
          <w:highlight w:val="none"/>
        </w:rPr>
        <w:t>奇台县从南到北地理环境独特，地形地貌复杂多变，自然风貌集沙漠、戈壁、绿洲、山谷、草原、森林和冰雪等自然景观为一体。南部山区崇山峻岭，逶迤连绵，雪峰冰川高耸入云，林海草原苍茫无际，翠谷溪流清幽隽秀；中部平原田野广袤，阡陌纵横；北部荒漠戈壁有许多完好的海相、陆相动植物化石群。</w:t>
      </w:r>
    </w:p>
    <w:p>
      <w:pPr>
        <w:pStyle w:val="4"/>
        <w:bidi w:val="0"/>
        <w:rPr>
          <w:rFonts w:hint="eastAsia"/>
          <w:color w:val="auto"/>
          <w:highlight w:val="none"/>
        </w:rPr>
      </w:pPr>
      <w:r>
        <w:rPr>
          <w:rFonts w:hint="eastAsia"/>
          <w:color w:val="auto"/>
          <w:highlight w:val="none"/>
          <w:lang w:val="en-US" w:eastAsia="zh-CN"/>
        </w:rPr>
        <w:t>奇台县</w:t>
      </w:r>
      <w:r>
        <w:rPr>
          <w:rFonts w:hint="eastAsia"/>
          <w:color w:val="auto"/>
          <w:highlight w:val="none"/>
        </w:rPr>
        <w:t>南依天山，北部是北塔山。地势南北高，中间低，呈马鞍形状。有高山、丘陵、平原、沙漠多种地貌。最高点为南部无名山山峰，海拔4014米。最低点为北部盆地中心丘河，海拔506米；北部是荒漠，将军戈壁横卧其间；中部是天山冲积层平原。</w:t>
      </w:r>
    </w:p>
    <w:p>
      <w:pPr>
        <w:pStyle w:val="4"/>
        <w:bidi w:val="0"/>
        <w:rPr>
          <w:rFonts w:hint="eastAsia" w:eastAsia="宋体"/>
          <w:color w:val="auto"/>
          <w:highlight w:val="none"/>
          <w:lang w:eastAsia="zh-CN"/>
        </w:rPr>
      </w:pPr>
      <w:r>
        <w:rPr>
          <w:rFonts w:hint="eastAsia"/>
          <w:color w:val="auto"/>
          <w:highlight w:val="none"/>
          <w:lang w:eastAsia="zh-CN"/>
        </w:rPr>
        <w:t>本项目位于达坂河、吉布库河洪积扇下缘的套叠区，南高北低，最大坡度</w:t>
      </w:r>
      <w:r>
        <w:rPr>
          <w:rFonts w:hint="eastAsia"/>
          <w:color w:val="auto"/>
          <w:highlight w:val="none"/>
          <w:lang w:val="en-US" w:eastAsia="zh-CN"/>
        </w:rPr>
        <w:t>2%，</w:t>
      </w:r>
      <w:r>
        <w:rPr>
          <w:rFonts w:hint="eastAsia"/>
          <w:color w:val="auto"/>
          <w:highlight w:val="none"/>
          <w:lang w:eastAsia="zh-CN"/>
        </w:rPr>
        <w:t>地势较为平坦。</w:t>
      </w:r>
    </w:p>
    <w:p>
      <w:pPr>
        <w:pStyle w:val="6"/>
        <w:bidi w:val="0"/>
        <w:rPr>
          <w:rFonts w:hint="eastAsia"/>
          <w:color w:val="auto"/>
          <w:highlight w:val="none"/>
        </w:rPr>
      </w:pPr>
      <w:r>
        <w:rPr>
          <w:rFonts w:hint="eastAsia"/>
          <w:color w:val="auto"/>
          <w:highlight w:val="none"/>
          <w:lang w:val="en-US" w:eastAsia="zh-CN"/>
        </w:rPr>
        <w:t>气候与气象</w:t>
      </w:r>
    </w:p>
    <w:p>
      <w:pPr>
        <w:pStyle w:val="4"/>
        <w:bidi w:val="0"/>
        <w:rPr>
          <w:rFonts w:hint="eastAsia"/>
          <w:color w:val="auto"/>
          <w:highlight w:val="none"/>
        </w:rPr>
      </w:pPr>
      <w:r>
        <w:rPr>
          <w:rFonts w:hint="eastAsia"/>
          <w:color w:val="auto"/>
          <w:highlight w:val="none"/>
        </w:rPr>
        <w:t>奇台县属于典型中温带大陆性气候，其气候特点是干旱、少雨、多风、温差大、蒸发量大。全县年日照总时数为2840</w:t>
      </w:r>
      <w:r>
        <w:rPr>
          <w:rFonts w:hint="eastAsia"/>
          <w:color w:val="auto"/>
          <w:highlight w:val="none"/>
          <w:lang w:eastAsia="zh-CN"/>
        </w:rPr>
        <w:t>~</w:t>
      </w:r>
      <w:r>
        <w:rPr>
          <w:rFonts w:hint="eastAsia"/>
          <w:color w:val="auto"/>
          <w:highlight w:val="none"/>
        </w:rPr>
        <w:t>3230h，4</w:t>
      </w:r>
      <w:r>
        <w:rPr>
          <w:rFonts w:hint="eastAsia"/>
          <w:color w:val="auto"/>
          <w:highlight w:val="none"/>
          <w:lang w:eastAsia="zh-CN"/>
        </w:rPr>
        <w:t>~</w:t>
      </w:r>
      <w:r>
        <w:rPr>
          <w:rFonts w:hint="eastAsia"/>
          <w:color w:val="auto"/>
          <w:highlight w:val="none"/>
        </w:rPr>
        <w:t>9月为作物生长发育期，月日照时数多于240h，最多达300h以上。南部为低山丘陵地区，由于阴雨天气较多，太阳辐射量小于平原和沙漠地区；北山地区空气含水量小，通明度好，日照充足；沙漠地区的日照总时数与日照百分率同平原地区相差不大。其分布特点由北向南减少，由平原向山区逐减。</w:t>
      </w:r>
    </w:p>
    <w:p>
      <w:pPr>
        <w:pStyle w:val="4"/>
        <w:bidi w:val="0"/>
        <w:rPr>
          <w:rFonts w:hint="eastAsia"/>
          <w:color w:val="auto"/>
          <w:highlight w:val="none"/>
        </w:rPr>
      </w:pPr>
      <w:r>
        <w:rPr>
          <w:rFonts w:hint="eastAsia"/>
          <w:color w:val="auto"/>
          <w:highlight w:val="none"/>
        </w:rPr>
        <w:t>奇台县由于纬度、地形、海拔高度的差异，气温从中部北山煤矿开始向南向北随地形海拔每升高100m，年平均气温下降0.3</w:t>
      </w:r>
      <w:r>
        <w:rPr>
          <w:rFonts w:hint="default" w:ascii="Times New Roman" w:hAnsi="Times New Roman" w:cs="Times New Roman"/>
          <w:color w:val="auto"/>
          <w:highlight w:val="none"/>
        </w:rPr>
        <w:t>℃</w:t>
      </w:r>
      <w:r>
        <w:rPr>
          <w:rFonts w:hint="eastAsia"/>
          <w:color w:val="auto"/>
          <w:highlight w:val="none"/>
        </w:rPr>
        <w:t>左右，年平均气温平原农区为5</w:t>
      </w:r>
      <w:r>
        <w:rPr>
          <w:rFonts w:hint="default" w:ascii="Times New Roman" w:hAnsi="Times New Roman" w:cs="Times New Roman"/>
          <w:color w:val="auto"/>
          <w:highlight w:val="none"/>
        </w:rPr>
        <w:t>℃</w:t>
      </w:r>
      <w:r>
        <w:rPr>
          <w:rFonts w:hint="eastAsia"/>
          <w:color w:val="auto"/>
          <w:highlight w:val="none"/>
        </w:rPr>
        <w:t>，山区为2</w:t>
      </w:r>
      <w:r>
        <w:rPr>
          <w:rFonts w:hint="eastAsia"/>
          <w:color w:val="auto"/>
          <w:highlight w:val="none"/>
          <w:lang w:eastAsia="zh-CN"/>
        </w:rPr>
        <w:t>~</w:t>
      </w:r>
      <w:r>
        <w:rPr>
          <w:rFonts w:hint="eastAsia"/>
          <w:color w:val="auto"/>
          <w:highlight w:val="none"/>
        </w:rPr>
        <w:t>3</w:t>
      </w:r>
      <w:r>
        <w:rPr>
          <w:rFonts w:hint="default" w:ascii="Times New Roman" w:hAnsi="Times New Roman" w:cs="Times New Roman"/>
          <w:color w:val="auto"/>
          <w:highlight w:val="none"/>
        </w:rPr>
        <w:t>℃</w:t>
      </w:r>
      <w:r>
        <w:rPr>
          <w:rFonts w:hint="eastAsia"/>
          <w:color w:val="auto"/>
          <w:highlight w:val="none"/>
        </w:rPr>
        <w:t>。平原气温的年变化也十分明显，1月最冷，7月最热，绝对最高温度43</w:t>
      </w:r>
      <w:r>
        <w:rPr>
          <w:rFonts w:hint="default" w:ascii="Times New Roman" w:hAnsi="Times New Roman" w:cs="Times New Roman"/>
          <w:color w:val="auto"/>
          <w:highlight w:val="none"/>
        </w:rPr>
        <w:t>℃</w:t>
      </w:r>
      <w:r>
        <w:rPr>
          <w:rFonts w:hint="eastAsia"/>
          <w:color w:val="auto"/>
          <w:highlight w:val="none"/>
        </w:rPr>
        <w:t>，绝对最低温度</w:t>
      </w:r>
      <w:r>
        <w:rPr>
          <w:rFonts w:hint="eastAsia"/>
          <w:color w:val="auto"/>
          <w:highlight w:val="none"/>
          <w:lang w:val="en-US" w:eastAsia="zh-CN"/>
        </w:rPr>
        <w:t>-</w:t>
      </w:r>
      <w:r>
        <w:rPr>
          <w:rFonts w:hint="eastAsia"/>
          <w:color w:val="auto"/>
          <w:highlight w:val="none"/>
        </w:rPr>
        <w:t>42.6</w:t>
      </w:r>
      <w:r>
        <w:rPr>
          <w:rFonts w:hint="default" w:ascii="Times New Roman" w:hAnsi="Times New Roman" w:cs="Times New Roman"/>
          <w:color w:val="auto"/>
          <w:highlight w:val="none"/>
        </w:rPr>
        <w:t>℃</w:t>
      </w:r>
      <w:r>
        <w:rPr>
          <w:rFonts w:hint="eastAsia"/>
          <w:color w:val="auto"/>
          <w:highlight w:val="none"/>
        </w:rPr>
        <w:t>。平原夏季炎热而干燥，秋季凉爽，冬季严寒，温差大，山区则相对冬暖夏凉。</w:t>
      </w:r>
    </w:p>
    <w:p>
      <w:pPr>
        <w:pStyle w:val="4"/>
        <w:bidi w:val="0"/>
        <w:rPr>
          <w:rFonts w:hint="eastAsia"/>
          <w:color w:val="auto"/>
          <w:highlight w:val="none"/>
        </w:rPr>
      </w:pPr>
      <w:r>
        <w:rPr>
          <w:rFonts w:hint="eastAsia"/>
          <w:color w:val="auto"/>
          <w:highlight w:val="none"/>
        </w:rPr>
        <w:t>全县由于地形高低悬殊，各地降水量相差较大。南部山区年降水量550</w:t>
      </w:r>
      <w:r>
        <w:rPr>
          <w:rFonts w:hint="eastAsia"/>
          <w:color w:val="auto"/>
          <w:highlight w:val="none"/>
          <w:lang w:eastAsia="zh-CN"/>
        </w:rPr>
        <w:t>~</w:t>
      </w:r>
      <w:r>
        <w:rPr>
          <w:rFonts w:hint="eastAsia"/>
          <w:color w:val="auto"/>
          <w:highlight w:val="none"/>
        </w:rPr>
        <w:t>660</w:t>
      </w:r>
      <w:r>
        <w:rPr>
          <w:rFonts w:hint="eastAsia"/>
          <w:color w:val="auto"/>
          <w:highlight w:val="none"/>
          <w:lang w:val="en-US" w:eastAsia="zh-CN"/>
        </w:rPr>
        <w:t>mm</w:t>
      </w:r>
      <w:r>
        <w:rPr>
          <w:rFonts w:hint="eastAsia"/>
          <w:color w:val="auto"/>
          <w:highlight w:val="none"/>
        </w:rPr>
        <w:t>，中部平原地区176mm，沙漠地区小于150mm。降水量的分布总的趋势是南多北少，东多西少。从季节性看，夏季降水多，占全年总量的40</w:t>
      </w:r>
      <w:r>
        <w:rPr>
          <w:rFonts w:hint="eastAsia"/>
          <w:color w:val="auto"/>
          <w:highlight w:val="none"/>
          <w:lang w:eastAsia="zh-CN"/>
        </w:rPr>
        <w:t>~</w:t>
      </w:r>
      <w:r>
        <w:rPr>
          <w:rFonts w:hint="eastAsia"/>
          <w:color w:val="auto"/>
          <w:highlight w:val="none"/>
        </w:rPr>
        <w:t>50%，春秋季相当，各约占全年降水量的20</w:t>
      </w:r>
      <w:r>
        <w:rPr>
          <w:rFonts w:hint="eastAsia"/>
          <w:color w:val="auto"/>
          <w:highlight w:val="none"/>
          <w:lang w:eastAsia="zh-CN"/>
        </w:rPr>
        <w:t>~</w:t>
      </w:r>
      <w:r>
        <w:rPr>
          <w:rFonts w:hint="eastAsia"/>
          <w:color w:val="auto"/>
          <w:highlight w:val="none"/>
        </w:rPr>
        <w:t>30%，冬季最少，还不到全年的10%。</w:t>
      </w:r>
      <w:r>
        <w:rPr>
          <w:rFonts w:hint="eastAsia"/>
          <w:color w:val="auto"/>
          <w:highlight w:val="none"/>
          <w:lang w:val="en-US" w:eastAsia="zh-CN"/>
        </w:rPr>
        <w:t>区域年平均降水量178.77mm，年最大降水量325.5mm。</w:t>
      </w:r>
      <w:r>
        <w:rPr>
          <w:rFonts w:hint="eastAsia"/>
          <w:color w:val="auto"/>
          <w:highlight w:val="none"/>
        </w:rPr>
        <w:t>区内蒸发强烈，多年平均蒸发量2135.72mm。</w:t>
      </w:r>
    </w:p>
    <w:p>
      <w:pPr>
        <w:pStyle w:val="4"/>
        <w:bidi w:val="0"/>
        <w:rPr>
          <w:rFonts w:hint="eastAsia"/>
          <w:color w:val="auto"/>
          <w:highlight w:val="none"/>
        </w:rPr>
      </w:pPr>
      <w:r>
        <w:rPr>
          <w:rFonts w:hint="eastAsia"/>
          <w:color w:val="auto"/>
          <w:highlight w:val="none"/>
        </w:rPr>
        <w:t>奇台县近30年平均风期100天左右，年平均风速为</w:t>
      </w:r>
      <w:r>
        <w:rPr>
          <w:rFonts w:hint="eastAsia"/>
          <w:color w:val="auto"/>
          <w:highlight w:val="none"/>
          <w:lang w:val="en-US" w:eastAsia="zh-CN"/>
        </w:rPr>
        <w:t>3.38</w:t>
      </w:r>
      <w:r>
        <w:rPr>
          <w:rFonts w:hint="eastAsia"/>
          <w:color w:val="auto"/>
          <w:highlight w:val="none"/>
        </w:rPr>
        <w:t>m/s，春夏季风速较大，冬季最小</w:t>
      </w:r>
      <w:r>
        <w:rPr>
          <w:rFonts w:hint="eastAsia"/>
          <w:color w:val="auto"/>
          <w:highlight w:val="none"/>
          <w:lang w:val="en-US" w:eastAsia="zh-CN"/>
        </w:rPr>
        <w:t>。</w:t>
      </w:r>
      <w:r>
        <w:rPr>
          <w:rFonts w:hint="eastAsia"/>
          <w:color w:val="auto"/>
          <w:highlight w:val="none"/>
        </w:rPr>
        <w:t>区内</w:t>
      </w:r>
      <w:r>
        <w:rPr>
          <w:rFonts w:hint="eastAsia"/>
          <w:color w:val="auto"/>
          <w:highlight w:val="none"/>
          <w:lang w:val="en-US" w:eastAsia="zh-CN"/>
        </w:rPr>
        <w:t>无明显</w:t>
      </w:r>
      <w:r>
        <w:rPr>
          <w:rFonts w:hint="eastAsia"/>
          <w:color w:val="auto"/>
          <w:highlight w:val="none"/>
        </w:rPr>
        <w:t>主导风</w:t>
      </w:r>
      <w:r>
        <w:rPr>
          <w:rFonts w:hint="eastAsia"/>
          <w:color w:val="auto"/>
          <w:highlight w:val="none"/>
          <w:lang w:eastAsia="zh-CN"/>
        </w:rPr>
        <w:t>，</w:t>
      </w:r>
      <w:r>
        <w:rPr>
          <w:rFonts w:hint="eastAsia"/>
          <w:color w:val="auto"/>
          <w:highlight w:val="none"/>
          <w:lang w:val="en-US" w:eastAsia="zh-CN"/>
        </w:rPr>
        <w:t>最大风频</w:t>
      </w:r>
      <w:r>
        <w:rPr>
          <w:rFonts w:hint="eastAsia"/>
          <w:color w:val="auto"/>
          <w:highlight w:val="none"/>
        </w:rPr>
        <w:t>18.37</w:t>
      </w:r>
      <w:r>
        <w:rPr>
          <w:rFonts w:hint="eastAsia"/>
          <w:color w:val="auto"/>
          <w:highlight w:val="none"/>
          <w:lang w:val="en-US" w:eastAsia="zh-CN"/>
        </w:rPr>
        <w:t>%，为南风</w:t>
      </w:r>
      <w:r>
        <w:rPr>
          <w:rFonts w:hint="eastAsia"/>
          <w:color w:val="auto"/>
          <w:highlight w:val="none"/>
        </w:rPr>
        <w:t>。</w:t>
      </w:r>
    </w:p>
    <w:p>
      <w:pPr>
        <w:pStyle w:val="4"/>
        <w:bidi w:val="0"/>
        <w:rPr>
          <w:rFonts w:hint="eastAsia"/>
          <w:color w:val="auto"/>
          <w:highlight w:val="none"/>
          <w:lang w:eastAsia="zh-CN"/>
        </w:rPr>
      </w:pPr>
      <w:r>
        <w:rPr>
          <w:rFonts w:hint="eastAsia"/>
          <w:color w:val="auto"/>
          <w:highlight w:val="none"/>
          <w:lang w:val="en-US" w:eastAsia="zh-CN"/>
        </w:rPr>
        <w:t>奇台县</w:t>
      </w:r>
      <w:r>
        <w:rPr>
          <w:color w:val="auto"/>
          <w:highlight w:val="none"/>
        </w:rPr>
        <w:t>气象站近</w:t>
      </w:r>
      <w:r>
        <w:rPr>
          <w:rFonts w:hint="eastAsia"/>
          <w:color w:val="auto"/>
          <w:highlight w:val="none"/>
          <w:lang w:val="en-US" w:eastAsia="zh-CN"/>
        </w:rPr>
        <w:t>30</w:t>
      </w:r>
      <w:r>
        <w:rPr>
          <w:color w:val="auto"/>
          <w:highlight w:val="none"/>
        </w:rPr>
        <w:t>年主要气象参数见</w:t>
      </w:r>
      <w:r>
        <w:rPr>
          <w:rFonts w:hint="eastAsia"/>
          <w:color w:val="auto"/>
          <w:highlight w:val="none"/>
          <w:lang w:val="en-US" w:eastAsia="zh-CN"/>
        </w:rPr>
        <w:t>下</w:t>
      </w:r>
      <w:r>
        <w:rPr>
          <w:color w:val="auto"/>
          <w:highlight w:val="none"/>
        </w:rPr>
        <w:t>表</w:t>
      </w:r>
      <w:r>
        <w:rPr>
          <w:rFonts w:hint="eastAsia"/>
          <w:color w:val="auto"/>
          <w:highlight w:val="none"/>
          <w:lang w:eastAsia="zh-CN"/>
        </w:rPr>
        <w:t>：</w:t>
      </w:r>
    </w:p>
    <w:p>
      <w:pPr>
        <w:pStyle w:val="22"/>
        <w:bidi w:val="0"/>
        <w:rPr>
          <w:rFonts w:hint="eastAsia"/>
        </w:rPr>
      </w:pPr>
      <w:r>
        <w:t>表</w:t>
      </w:r>
      <w:r>
        <w:rPr>
          <w:rFonts w:hint="eastAsia"/>
          <w:lang w:val="en-US" w:eastAsia="zh-CN"/>
        </w:rPr>
        <w:t>4.1-1</w:t>
      </w:r>
      <w:r>
        <w:rPr>
          <w:rFonts w:hint="eastAsia"/>
        </w:rPr>
        <w:t xml:space="preserve">    </w:t>
      </w:r>
      <w:r>
        <w:rPr>
          <w:rFonts w:hint="eastAsia"/>
          <w:lang w:val="en-US" w:eastAsia="zh-CN"/>
        </w:rPr>
        <w:t>奇台县区域主要气象参数</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64"/>
        <w:gridCol w:w="2119"/>
        <w:gridCol w:w="2066"/>
        <w:gridCol w:w="21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291"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气象要素</w:t>
            </w:r>
          </w:p>
        </w:tc>
        <w:tc>
          <w:tcPr>
            <w:tcW w:w="2295"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数据</w:t>
            </w:r>
          </w:p>
        </w:tc>
        <w:tc>
          <w:tcPr>
            <w:tcW w:w="2293"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气象要素</w:t>
            </w:r>
          </w:p>
        </w:tc>
        <w:tc>
          <w:tcPr>
            <w:tcW w:w="2300"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数据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291"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平均气温</w:t>
            </w:r>
          </w:p>
        </w:tc>
        <w:tc>
          <w:tcPr>
            <w:tcW w:w="2295"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4.94</w:t>
            </w:r>
            <w:r>
              <w:rPr>
                <w:rFonts w:hint="default"/>
              </w:rPr>
              <w:t>℃</w:t>
            </w:r>
          </w:p>
        </w:tc>
        <w:tc>
          <w:tcPr>
            <w:tcW w:w="2293"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年主导风向</w:t>
            </w:r>
          </w:p>
        </w:tc>
        <w:tc>
          <w:tcPr>
            <w:tcW w:w="2300"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南风</w:t>
            </w:r>
            <w:r>
              <w:rPr>
                <w:rFonts w:hint="eastAsia"/>
                <w:lang w:eastAsia="zh-CN"/>
              </w:rPr>
              <w:t>（</w:t>
            </w:r>
            <w:r>
              <w:rPr>
                <w:rFonts w:hint="eastAsia"/>
                <w:lang w:val="en-US" w:eastAsia="zh-CN"/>
              </w:rPr>
              <w:t>无明显）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291"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历年极端最高气温</w:t>
            </w:r>
          </w:p>
        </w:tc>
        <w:tc>
          <w:tcPr>
            <w:tcW w:w="2295"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43</w:t>
            </w:r>
            <w:r>
              <w:rPr>
                <w:rFonts w:hint="default"/>
              </w:rPr>
              <w:t>℃</w:t>
            </w:r>
          </w:p>
        </w:tc>
        <w:tc>
          <w:tcPr>
            <w:tcW w:w="2293"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年平均风速</w:t>
            </w:r>
          </w:p>
        </w:tc>
        <w:tc>
          <w:tcPr>
            <w:tcW w:w="2300"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3.38</w:t>
            </w:r>
            <w:r>
              <w:rPr>
                <w:rFonts w:hint="default"/>
              </w:rPr>
              <w:t>m/s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291"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历年极端最低气温</w:t>
            </w:r>
          </w:p>
        </w:tc>
        <w:tc>
          <w:tcPr>
            <w:tcW w:w="2295"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-42.6</w:t>
            </w:r>
            <w:r>
              <w:rPr>
                <w:rFonts w:hint="default"/>
              </w:rPr>
              <w:t>℃</w:t>
            </w:r>
          </w:p>
        </w:tc>
        <w:tc>
          <w:tcPr>
            <w:tcW w:w="2293"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年平均降水量</w:t>
            </w:r>
          </w:p>
        </w:tc>
        <w:tc>
          <w:tcPr>
            <w:tcW w:w="2300"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178.77</w:t>
            </w:r>
            <w:r>
              <w:rPr>
                <w:rFonts w:hint="default"/>
              </w:rPr>
              <w:t>mm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291"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年平均最高气温</w:t>
            </w:r>
          </w:p>
        </w:tc>
        <w:tc>
          <w:tcPr>
            <w:tcW w:w="2295"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26.3</w:t>
            </w:r>
            <w:r>
              <w:rPr>
                <w:rFonts w:hint="default"/>
              </w:rPr>
              <w:t>℃</w:t>
            </w:r>
          </w:p>
        </w:tc>
        <w:tc>
          <w:tcPr>
            <w:tcW w:w="2293"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年均蒸发量</w:t>
            </w:r>
          </w:p>
        </w:tc>
        <w:tc>
          <w:tcPr>
            <w:tcW w:w="2300"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2135.72</w:t>
            </w:r>
            <w:r>
              <w:rPr>
                <w:rFonts w:hint="default"/>
              </w:rPr>
              <w:t>mm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2291"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年平均最低气温</w:t>
            </w:r>
          </w:p>
        </w:tc>
        <w:tc>
          <w:tcPr>
            <w:tcW w:w="2295"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-24.2</w:t>
            </w:r>
            <w:r>
              <w:rPr>
                <w:rFonts w:hint="default"/>
              </w:rPr>
              <w:t>℃</w:t>
            </w:r>
          </w:p>
        </w:tc>
        <w:tc>
          <w:tcPr>
            <w:tcW w:w="2293"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最大冻土深度</w:t>
            </w:r>
          </w:p>
        </w:tc>
        <w:tc>
          <w:tcPr>
            <w:tcW w:w="2300" w:type="dxa"/>
            <w:tcMar>
              <w:top w:w="0" w:type="dxa"/>
              <w:left w:w="57" w:type="dxa"/>
              <w:bottom w:w="0" w:type="dxa"/>
              <w:right w:w="57" w:type="dxa"/>
            </w:tcMar>
            <w:vAlign w:val="center"/>
          </w:tcPr>
          <w:p>
            <w:pPr>
              <w:pStyle w:val="27"/>
              <w:keepNext w:val="0"/>
              <w:keepLines w:val="0"/>
              <w:suppressLineNumbers w:val="0"/>
              <w:bidi w:val="0"/>
              <w:spacing w:before="0" w:beforeAutospacing="0" w:after="0" w:afterAutospacing="0"/>
              <w:ind w:left="0" w:right="0"/>
              <w:rPr>
                <w:rFonts w:hint="default"/>
                <w:lang w:val="en-US" w:eastAsia="zh-CN"/>
              </w:rPr>
            </w:pPr>
            <w:r>
              <w:rPr>
                <w:rFonts w:hint="default"/>
              </w:rPr>
              <w:t>1.4m</w:t>
            </w:r>
          </w:p>
        </w:tc>
      </w:tr>
    </w:tbl>
    <w:p>
      <w:pPr>
        <w:pStyle w:val="6"/>
        <w:bidi w:val="0"/>
        <w:rPr>
          <w:rFonts w:hint="eastAsia"/>
          <w:color w:val="auto"/>
          <w:highlight w:val="none"/>
        </w:rPr>
      </w:pPr>
      <w:r>
        <w:rPr>
          <w:rFonts w:hint="eastAsia"/>
          <w:color w:val="auto"/>
          <w:highlight w:val="none"/>
          <w:lang w:val="en-US" w:eastAsia="zh-CN"/>
        </w:rPr>
        <w:t>水文与水文地质</w:t>
      </w:r>
    </w:p>
    <w:p>
      <w:pPr>
        <w:pStyle w:val="4"/>
        <w:bidi w:val="0"/>
        <w:rPr>
          <w:rFonts w:hint="eastAsia"/>
          <w:color w:val="auto"/>
          <w:highlight w:val="none"/>
        </w:rPr>
      </w:pPr>
      <w:r>
        <w:rPr>
          <w:rFonts w:hint="eastAsia"/>
          <w:color w:val="auto"/>
          <w:highlight w:val="none"/>
        </w:rPr>
        <w:t>（1）地下水</w:t>
      </w:r>
    </w:p>
    <w:p>
      <w:pPr>
        <w:pStyle w:val="4"/>
        <w:bidi w:val="0"/>
        <w:rPr>
          <w:rFonts w:hint="eastAsia"/>
          <w:color w:val="auto"/>
          <w:highlight w:val="none"/>
        </w:rPr>
      </w:pPr>
      <w:r>
        <w:rPr>
          <w:rFonts w:hint="eastAsia"/>
          <w:color w:val="auto"/>
          <w:highlight w:val="none"/>
        </w:rPr>
        <w:t>奇台县地下水资源分布较广，在南部天山洪积扇平原区和北部沙漠地区都有地下水分布，地下水补给来源主要有降水补给、山前倾向补给、地下水体入渗补给。博格达山区是奇台县地下水主要补给区，高山带有充沛的降水量和冰雪融水对地下水进行补给。中低山带是地下水补给区同时也是地下水的径流区，其地下水主要来源是大气降水及高山带地下水侧向径流补给。山前平原是地下水主要的径流区和</w:t>
      </w:r>
      <w:r>
        <w:rPr>
          <w:rFonts w:hint="eastAsia"/>
          <w:color w:val="auto"/>
          <w:highlight w:val="none"/>
          <w:lang w:val="en-US" w:eastAsia="zh-CN"/>
        </w:rPr>
        <w:t>排</w:t>
      </w:r>
      <w:r>
        <w:rPr>
          <w:rFonts w:hint="eastAsia"/>
          <w:color w:val="auto"/>
          <w:highlight w:val="none"/>
        </w:rPr>
        <w:t>泄区，由于戈壁平原为单一大厚度卵砾石构成的潜水层，地下水坡降4~5</w:t>
      </w:r>
      <w:r>
        <w:rPr>
          <w:rFonts w:hint="default" w:ascii="Times New Roman" w:hAnsi="Times New Roman" w:cs="Times New Roman"/>
          <w:color w:val="auto"/>
          <w:highlight w:val="none"/>
        </w:rPr>
        <w:t>‰</w:t>
      </w:r>
      <w:r>
        <w:rPr>
          <w:rFonts w:hint="eastAsia"/>
          <w:color w:val="auto"/>
          <w:highlight w:val="none"/>
        </w:rPr>
        <w:t>，透水性强，径流条件好。此外，还有山区河水4</w:t>
      </w:r>
      <w:r>
        <w:rPr>
          <w:rFonts w:hint="eastAsia"/>
          <w:color w:val="auto"/>
          <w:highlight w:val="none"/>
          <w:lang w:val="en-US" w:eastAsia="zh-CN"/>
        </w:rPr>
        <w:t>.</w:t>
      </w:r>
      <w:r>
        <w:rPr>
          <w:rFonts w:hint="eastAsia"/>
          <w:color w:val="auto"/>
          <w:highlight w:val="none"/>
        </w:rPr>
        <w:t>5</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左右的径流量流到平原区，最终绝大部分渗入补给地下水，所以戈壁平原有极丰富的地下潜水，大量地下径流潜流到细土平原带部分地下水以泉水的形式溢出，另一部分地下水通过潜水蒸发排泄出去。</w:t>
      </w:r>
    </w:p>
    <w:p>
      <w:pPr>
        <w:pStyle w:val="4"/>
        <w:bidi w:val="0"/>
        <w:rPr>
          <w:rFonts w:hint="eastAsia"/>
          <w:color w:val="auto"/>
          <w:highlight w:val="none"/>
        </w:rPr>
      </w:pPr>
      <w:r>
        <w:rPr>
          <w:rFonts w:hint="eastAsia"/>
          <w:color w:val="auto"/>
          <w:highlight w:val="none"/>
        </w:rPr>
        <w:t>奇台县城位于山前冲洪积细土平原，富含第四系松散岩类孔隙水，地下含水层为潜水</w:t>
      </w:r>
      <w:r>
        <w:rPr>
          <w:rFonts w:hint="eastAsia"/>
          <w:color w:val="auto"/>
          <w:highlight w:val="none"/>
          <w:lang w:eastAsia="zh-CN"/>
        </w:rPr>
        <w:t>——</w:t>
      </w:r>
      <w:r>
        <w:rPr>
          <w:rFonts w:hint="eastAsia"/>
          <w:color w:val="auto"/>
          <w:highlight w:val="none"/>
        </w:rPr>
        <w:t>承压水多层结构，岩性为沙砾石、砂。潜水水量丰富，单井水量1000</w:t>
      </w:r>
      <w:r>
        <w:rPr>
          <w:rFonts w:hint="eastAsia"/>
          <w:color w:val="auto"/>
          <w:highlight w:val="none"/>
          <w:lang w:eastAsia="zh-CN"/>
        </w:rPr>
        <w:t>~</w:t>
      </w:r>
      <w:r>
        <w:rPr>
          <w:rFonts w:hint="eastAsia"/>
          <w:color w:val="auto"/>
          <w:highlight w:val="none"/>
        </w:rPr>
        <w:t>5000m</w:t>
      </w:r>
      <w:r>
        <w:rPr>
          <w:rFonts w:hint="eastAsia"/>
          <w:color w:val="auto"/>
          <w:highlight w:val="none"/>
          <w:vertAlign w:val="superscript"/>
        </w:rPr>
        <w:t>3</w:t>
      </w:r>
      <w:r>
        <w:rPr>
          <w:rFonts w:hint="eastAsia"/>
          <w:color w:val="auto"/>
          <w:highlight w:val="none"/>
        </w:rPr>
        <w:t>/d，渗透系数为50m/d。承压水分为两层，埋深分别在100</w:t>
      </w:r>
      <w:r>
        <w:rPr>
          <w:rFonts w:hint="eastAsia"/>
          <w:color w:val="auto"/>
          <w:highlight w:val="none"/>
          <w:lang w:eastAsia="zh-CN"/>
        </w:rPr>
        <w:t>~</w:t>
      </w:r>
      <w:r>
        <w:rPr>
          <w:rFonts w:hint="eastAsia"/>
          <w:color w:val="auto"/>
          <w:highlight w:val="none"/>
        </w:rPr>
        <w:t>200m</w:t>
      </w:r>
      <w:r>
        <w:rPr>
          <w:rFonts w:hint="eastAsia"/>
          <w:color w:val="auto"/>
          <w:highlight w:val="none"/>
          <w:lang w:eastAsia="zh-CN"/>
        </w:rPr>
        <w:t>、</w:t>
      </w:r>
      <w:r>
        <w:rPr>
          <w:rFonts w:hint="eastAsia"/>
          <w:color w:val="auto"/>
          <w:highlight w:val="none"/>
        </w:rPr>
        <w:t>200</w:t>
      </w:r>
      <w:r>
        <w:rPr>
          <w:rFonts w:hint="eastAsia"/>
          <w:color w:val="auto"/>
          <w:highlight w:val="none"/>
          <w:lang w:eastAsia="zh-CN"/>
        </w:rPr>
        <w:t>~</w:t>
      </w:r>
      <w:r>
        <w:rPr>
          <w:rFonts w:hint="eastAsia"/>
          <w:color w:val="auto"/>
          <w:highlight w:val="none"/>
        </w:rPr>
        <w:t>300m，水量中等</w:t>
      </w:r>
      <w:r>
        <w:rPr>
          <w:rFonts w:hint="eastAsia"/>
          <w:color w:val="auto"/>
          <w:highlight w:val="none"/>
          <w:lang w:eastAsia="zh-CN"/>
        </w:rPr>
        <w:t>——</w:t>
      </w:r>
      <w:r>
        <w:rPr>
          <w:rFonts w:hint="eastAsia"/>
          <w:color w:val="auto"/>
          <w:highlight w:val="none"/>
        </w:rPr>
        <w:t>丰富。在降深许可的情况下，潜水、承压水混合开采，单井出水量可达3500m</w:t>
      </w:r>
      <w:r>
        <w:rPr>
          <w:rFonts w:hint="eastAsia"/>
          <w:color w:val="auto"/>
          <w:highlight w:val="none"/>
          <w:vertAlign w:val="superscript"/>
        </w:rPr>
        <w:t>3</w:t>
      </w:r>
      <w:r>
        <w:rPr>
          <w:rFonts w:hint="eastAsia"/>
          <w:color w:val="auto"/>
          <w:highlight w:val="none"/>
        </w:rPr>
        <w:t>/d。潜水水质良好，水化学类型为HCO</w:t>
      </w:r>
      <w:r>
        <w:rPr>
          <w:rFonts w:hint="eastAsia"/>
          <w:color w:val="auto"/>
          <w:highlight w:val="none"/>
          <w:vertAlign w:val="subscript"/>
        </w:rPr>
        <w:t>3</w:t>
      </w:r>
      <w:r>
        <w:rPr>
          <w:rFonts w:hint="default" w:ascii="Times New Roman" w:hAnsi="Times New Roman" w:cs="Times New Roman"/>
          <w:color w:val="auto"/>
          <w:highlight w:val="none"/>
          <w:lang w:val="en-US" w:eastAsia="zh-CN"/>
        </w:rPr>
        <w:t>·</w:t>
      </w:r>
      <w:r>
        <w:rPr>
          <w:rFonts w:hint="eastAsia"/>
          <w:color w:val="auto"/>
          <w:highlight w:val="none"/>
        </w:rPr>
        <w:t>SO</w:t>
      </w:r>
      <w:r>
        <w:rPr>
          <w:rFonts w:hint="eastAsia"/>
          <w:color w:val="auto"/>
          <w:highlight w:val="none"/>
          <w:vertAlign w:val="subscript"/>
        </w:rPr>
        <w:t>4</w:t>
      </w:r>
      <w:r>
        <w:rPr>
          <w:rFonts w:hint="eastAsia"/>
          <w:color w:val="auto"/>
          <w:highlight w:val="none"/>
          <w:vertAlign w:val="baseli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Mg型水，矿化度&lt;0.5g</w:t>
      </w:r>
      <w:r>
        <w:rPr>
          <w:rFonts w:hint="eastAsia"/>
          <w:color w:val="auto"/>
          <w:highlight w:val="none"/>
          <w:lang w:val="en-US" w:eastAsia="zh-CN"/>
        </w:rPr>
        <w:t>/</w:t>
      </w:r>
      <w:r>
        <w:rPr>
          <w:rFonts w:hint="eastAsia"/>
          <w:color w:val="auto"/>
          <w:highlight w:val="none"/>
        </w:rPr>
        <w:t>L，全县地下水年补给量3</w:t>
      </w:r>
      <w:r>
        <w:rPr>
          <w:rFonts w:hint="eastAsia"/>
          <w:color w:val="auto"/>
          <w:highlight w:val="none"/>
          <w:lang w:val="en-US" w:eastAsia="zh-CN"/>
        </w:rPr>
        <w:t>.</w:t>
      </w:r>
      <w:r>
        <w:rPr>
          <w:rFonts w:hint="eastAsia"/>
          <w:color w:val="auto"/>
          <w:highlight w:val="none"/>
        </w:rPr>
        <w:t>593</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w:t>
      </w:r>
    </w:p>
    <w:p>
      <w:pPr>
        <w:pStyle w:val="4"/>
        <w:bidi w:val="0"/>
        <w:rPr>
          <w:rFonts w:hint="eastAsia"/>
          <w:color w:val="auto"/>
          <w:highlight w:val="none"/>
        </w:rPr>
      </w:pPr>
      <w:r>
        <w:rPr>
          <w:rFonts w:hint="eastAsia"/>
          <w:color w:val="auto"/>
          <w:highlight w:val="none"/>
        </w:rPr>
        <w:t>（2）地表水</w:t>
      </w:r>
    </w:p>
    <w:p>
      <w:pPr>
        <w:pStyle w:val="4"/>
        <w:bidi w:val="0"/>
        <w:rPr>
          <w:rFonts w:hint="eastAsia"/>
          <w:color w:val="auto"/>
          <w:highlight w:val="none"/>
          <w:lang w:eastAsia="zh-CN"/>
        </w:rPr>
      </w:pPr>
      <w:r>
        <w:rPr>
          <w:rFonts w:hint="eastAsia"/>
          <w:color w:val="auto"/>
          <w:highlight w:val="none"/>
        </w:rPr>
        <w:t>奇台县共有9条山水河流，分别为开垦河、中葛根河、新户河、碧流河、宽沟河、吉布库河、达坂河、白杨河和根葛尔河。其中开垦河发源于东天山北麓的开思恰勒克，流经高山区、丘陵区、冲洪积平原区，消失于北部沙漠。开垦河由缠头湾子沟、小南沟、大南沟、奇台河等支流共同组成，河道总长约110km，其中河道干流长86km，多年平均径流量1</w:t>
      </w:r>
      <w:r>
        <w:rPr>
          <w:rFonts w:hint="eastAsia"/>
          <w:color w:val="auto"/>
          <w:highlight w:val="none"/>
          <w:lang w:val="en-US" w:eastAsia="zh-CN"/>
        </w:rPr>
        <w:t>.</w:t>
      </w:r>
      <w:r>
        <w:rPr>
          <w:rFonts w:hint="eastAsia"/>
          <w:color w:val="auto"/>
          <w:highlight w:val="none"/>
        </w:rPr>
        <w:t>60亿m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新户河发源于天山东段博格达山脉，新户河主河道长约18km，多年平均径流量834万m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中葛根河发源于天山北坡科依提界勒沟，河道多年平均流量2.67m</w:t>
      </w:r>
      <w:r>
        <w:rPr>
          <w:rFonts w:hint="eastAsia"/>
          <w:color w:val="auto"/>
          <w:highlight w:val="none"/>
          <w:vertAlign w:val="superscript"/>
        </w:rPr>
        <w:t>3</w:t>
      </w:r>
      <w:r>
        <w:rPr>
          <w:rFonts w:hint="eastAsia"/>
          <w:color w:val="auto"/>
          <w:highlight w:val="none"/>
        </w:rPr>
        <w:t>/s，多年平均径流量为8390万m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宽沟河</w:t>
      </w:r>
      <w:r>
        <w:rPr>
          <w:rFonts w:hint="eastAsia"/>
          <w:color w:val="auto"/>
          <w:highlight w:val="none"/>
          <w:lang w:val="en-US" w:eastAsia="zh-CN"/>
        </w:rPr>
        <w:t>发源于</w:t>
      </w:r>
      <w:r>
        <w:rPr>
          <w:rFonts w:hint="eastAsia"/>
          <w:color w:val="auto"/>
          <w:highlight w:val="none"/>
        </w:rPr>
        <w:t>天山东段博格达山脉，主河道长约21km，多年平均流量0</w:t>
      </w:r>
      <w:r>
        <w:rPr>
          <w:rFonts w:hint="eastAsia"/>
          <w:color w:val="auto"/>
          <w:highlight w:val="none"/>
          <w:lang w:val="en-US" w:eastAsia="zh-CN"/>
        </w:rPr>
        <w:t>.</w:t>
      </w:r>
      <w:r>
        <w:rPr>
          <w:rFonts w:hint="eastAsia"/>
          <w:color w:val="auto"/>
          <w:highlight w:val="none"/>
        </w:rPr>
        <w:t>2m</w:t>
      </w:r>
      <w:r>
        <w:rPr>
          <w:rFonts w:hint="eastAsia"/>
          <w:color w:val="auto"/>
          <w:highlight w:val="none"/>
          <w:vertAlign w:val="superscript"/>
        </w:rPr>
        <w:t>3</w:t>
      </w:r>
      <w:r>
        <w:rPr>
          <w:rFonts w:hint="eastAsia"/>
          <w:color w:val="auto"/>
          <w:highlight w:val="none"/>
        </w:rPr>
        <w:t>/s，年径流量405万m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碧流河发源于博格达山脊，由10条小沟汇聚而成，河流全长60</w:t>
      </w:r>
      <w:r>
        <w:rPr>
          <w:rFonts w:hint="eastAsia"/>
          <w:color w:val="auto"/>
          <w:highlight w:val="none"/>
          <w:lang w:val="en-US" w:eastAsia="zh-CN"/>
        </w:rPr>
        <w:t>.</w:t>
      </w:r>
      <w:r>
        <w:rPr>
          <w:rFonts w:hint="eastAsia"/>
          <w:color w:val="auto"/>
          <w:highlight w:val="none"/>
        </w:rPr>
        <w:t>0km，其中山区</w:t>
      </w:r>
      <w:r>
        <w:rPr>
          <w:rFonts w:hint="eastAsia"/>
          <w:color w:val="auto"/>
          <w:highlight w:val="none"/>
          <w:lang w:val="en-US" w:eastAsia="zh-CN"/>
        </w:rPr>
        <w:t>长</w:t>
      </w:r>
      <w:r>
        <w:rPr>
          <w:rFonts w:hint="eastAsia"/>
          <w:color w:val="auto"/>
          <w:highlight w:val="none"/>
        </w:rPr>
        <w:t>34</w:t>
      </w:r>
      <w:r>
        <w:rPr>
          <w:rFonts w:hint="eastAsia"/>
          <w:color w:val="auto"/>
          <w:highlight w:val="none"/>
          <w:lang w:val="en-US" w:eastAsia="zh-CN"/>
        </w:rPr>
        <w:t>.</w:t>
      </w:r>
      <w:r>
        <w:rPr>
          <w:rFonts w:hint="eastAsia"/>
          <w:color w:val="auto"/>
          <w:highlight w:val="none"/>
        </w:rPr>
        <w:t>0km，多年平均流量1.89m</w:t>
      </w:r>
      <w:r>
        <w:rPr>
          <w:rFonts w:hint="eastAsia"/>
          <w:color w:val="auto"/>
          <w:highlight w:val="none"/>
          <w:vertAlign w:val="superscript"/>
        </w:rPr>
        <w:t>3</w:t>
      </w:r>
      <w:r>
        <w:rPr>
          <w:rFonts w:hint="eastAsia"/>
          <w:color w:val="auto"/>
          <w:highlight w:val="none"/>
          <w:lang w:val="en-US" w:eastAsia="zh-CN"/>
        </w:rPr>
        <w:t>/</w:t>
      </w:r>
      <w:r>
        <w:rPr>
          <w:rFonts w:hint="eastAsia"/>
          <w:color w:val="auto"/>
          <w:highlight w:val="none"/>
        </w:rPr>
        <w:t>s，多年平均径流量6650万m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吉布库河发源于博格达山高峰，有支流8条，汇水面积108km</w:t>
      </w:r>
      <w:r>
        <w:rPr>
          <w:rFonts w:hint="eastAsia"/>
          <w:color w:val="auto"/>
          <w:highlight w:val="none"/>
          <w:vertAlign w:val="superscript"/>
        </w:rPr>
        <w:t>2</w:t>
      </w:r>
      <w:r>
        <w:rPr>
          <w:rFonts w:hint="eastAsia"/>
          <w:color w:val="auto"/>
          <w:highlight w:val="none"/>
        </w:rPr>
        <w:t>，全长52km，山区段长28km，多年平均径流3650万m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达坂河发源于博格达峰，达坂河水管站至河源长度28</w:t>
      </w:r>
      <w:r>
        <w:rPr>
          <w:rFonts w:hint="eastAsia"/>
          <w:color w:val="auto"/>
          <w:highlight w:val="none"/>
          <w:lang w:val="en-US" w:eastAsia="zh-CN"/>
        </w:rPr>
        <w:t>.</w:t>
      </w:r>
      <w:r>
        <w:rPr>
          <w:rFonts w:hint="eastAsia"/>
          <w:color w:val="auto"/>
          <w:highlight w:val="none"/>
        </w:rPr>
        <w:t>8km，多年平均径流量为5880万m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白杨河为奇台县和吉木萨尔县的界河，发源于博格达峰，白杨河水管站至河源长度24</w:t>
      </w:r>
      <w:r>
        <w:rPr>
          <w:rFonts w:hint="eastAsia"/>
          <w:color w:val="auto"/>
          <w:highlight w:val="none"/>
          <w:lang w:val="en-US" w:eastAsia="zh-CN"/>
        </w:rPr>
        <w:t>.</w:t>
      </w:r>
      <w:r>
        <w:rPr>
          <w:rFonts w:hint="eastAsia"/>
          <w:color w:val="auto"/>
          <w:highlight w:val="none"/>
        </w:rPr>
        <w:t>1k</w:t>
      </w:r>
      <w:r>
        <w:rPr>
          <w:rFonts w:hint="eastAsia"/>
          <w:color w:val="auto"/>
          <w:highlight w:val="none"/>
          <w:lang w:val="en-US" w:eastAsia="zh-CN"/>
        </w:rPr>
        <w:t>m，</w:t>
      </w:r>
      <w:r>
        <w:rPr>
          <w:rFonts w:hint="eastAsia"/>
          <w:color w:val="auto"/>
          <w:highlight w:val="none"/>
        </w:rPr>
        <w:t>多年平均径流量为6508万m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根葛尔河发源于博格达峰北坡，为山溪性河流，全长19km，多年平均径流量385万m</w:t>
      </w:r>
      <w:r>
        <w:rPr>
          <w:rFonts w:hint="eastAsia"/>
          <w:color w:val="auto"/>
          <w:highlight w:val="none"/>
          <w:vertAlign w:val="superscript"/>
        </w:rPr>
        <w:t>3</w:t>
      </w:r>
      <w:r>
        <w:rPr>
          <w:rFonts w:hint="eastAsia"/>
          <w:color w:val="auto"/>
          <w:highlight w:val="none"/>
        </w:rPr>
        <w:t>，年平均流量0.118m</w:t>
      </w:r>
      <w:r>
        <w:rPr>
          <w:rFonts w:hint="eastAsia"/>
          <w:color w:val="auto"/>
          <w:highlight w:val="none"/>
          <w:vertAlign w:val="superscript"/>
        </w:rPr>
        <w:t>3</w:t>
      </w:r>
      <w:r>
        <w:rPr>
          <w:rFonts w:hint="eastAsia"/>
          <w:color w:val="auto"/>
          <w:highlight w:val="none"/>
          <w:lang w:val="en-US" w:eastAsia="zh-CN"/>
        </w:rPr>
        <w:t>/</w:t>
      </w:r>
      <w:r>
        <w:rPr>
          <w:rFonts w:hint="eastAsia"/>
          <w:color w:val="auto"/>
          <w:highlight w:val="none"/>
        </w:rPr>
        <w:t>s</w:t>
      </w:r>
      <w:r>
        <w:rPr>
          <w:rFonts w:hint="eastAsia"/>
          <w:color w:val="auto"/>
          <w:highlight w:val="none"/>
          <w:lang w:eastAsia="zh-CN"/>
        </w:rPr>
        <w:t>。</w:t>
      </w:r>
    </w:p>
    <w:p>
      <w:pPr>
        <w:pStyle w:val="4"/>
        <w:bidi w:val="0"/>
        <w:rPr>
          <w:rFonts w:hint="eastAsia"/>
          <w:color w:val="auto"/>
          <w:highlight w:val="none"/>
        </w:rPr>
      </w:pPr>
      <w:r>
        <w:rPr>
          <w:rFonts w:hint="eastAsia"/>
          <w:color w:val="auto"/>
          <w:highlight w:val="none"/>
        </w:rPr>
        <w:t>奇台县境内的现代冰川多为面积较小的悬冰川，均分布在博格达山脊带，因存冰位置较高，冰舌末端均在海拔3200m以上。据统计，县境内有冰川42条，冰川面积26</w:t>
      </w:r>
      <w:r>
        <w:rPr>
          <w:rFonts w:hint="eastAsia"/>
          <w:color w:val="auto"/>
          <w:highlight w:val="none"/>
          <w:lang w:val="en-US" w:eastAsia="zh-CN"/>
        </w:rPr>
        <w:t>.</w:t>
      </w:r>
      <w:r>
        <w:rPr>
          <w:rFonts w:hint="eastAsia"/>
          <w:color w:val="auto"/>
          <w:highlight w:val="none"/>
        </w:rPr>
        <w:t>1km</w:t>
      </w:r>
      <w:r>
        <w:rPr>
          <w:rFonts w:hint="eastAsia"/>
          <w:color w:val="auto"/>
          <w:highlight w:val="none"/>
          <w:vertAlign w:val="superscript"/>
        </w:rPr>
        <w:t>2</w:t>
      </w:r>
      <w:r>
        <w:rPr>
          <w:rFonts w:hint="eastAsia"/>
          <w:color w:val="auto"/>
          <w:highlight w:val="none"/>
        </w:rPr>
        <w:t>，储冰量约为5</w:t>
      </w:r>
      <w:r>
        <w:rPr>
          <w:rFonts w:hint="eastAsia"/>
          <w:color w:val="auto"/>
          <w:highlight w:val="none"/>
          <w:lang w:val="en-US" w:eastAsia="zh-CN"/>
        </w:rPr>
        <w:t>.</w:t>
      </w:r>
      <w:r>
        <w:rPr>
          <w:rFonts w:hint="eastAsia"/>
          <w:color w:val="auto"/>
          <w:highlight w:val="none"/>
        </w:rPr>
        <w:t>22</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（折合水量约4</w:t>
      </w:r>
      <w:r>
        <w:rPr>
          <w:rFonts w:hint="eastAsia"/>
          <w:color w:val="auto"/>
          <w:highlight w:val="none"/>
          <w:lang w:val="en-US" w:eastAsia="zh-CN"/>
        </w:rPr>
        <w:t>.</w:t>
      </w:r>
      <w:r>
        <w:rPr>
          <w:rFonts w:hint="eastAsia"/>
          <w:color w:val="auto"/>
          <w:highlight w:val="none"/>
        </w:rPr>
        <w:t>6458</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），每年冰川消融水量约为0</w:t>
      </w:r>
      <w:r>
        <w:rPr>
          <w:rFonts w:hint="eastAsia"/>
          <w:color w:val="auto"/>
          <w:highlight w:val="none"/>
          <w:lang w:val="en-US" w:eastAsia="zh-CN"/>
        </w:rPr>
        <w:t>.</w:t>
      </w:r>
      <w:r>
        <w:rPr>
          <w:rFonts w:hint="eastAsia"/>
          <w:color w:val="auto"/>
          <w:highlight w:val="none"/>
        </w:rPr>
        <w:t>15664</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w:t>
      </w:r>
    </w:p>
    <w:p>
      <w:pPr>
        <w:pStyle w:val="4"/>
        <w:bidi w:val="0"/>
        <w:rPr>
          <w:rFonts w:hint="eastAsia" w:eastAsia="宋体"/>
          <w:color w:val="auto"/>
          <w:highlight w:val="none"/>
          <w:lang w:eastAsia="zh-CN"/>
        </w:rPr>
      </w:pPr>
      <w:r>
        <w:rPr>
          <w:rFonts w:hint="eastAsia"/>
          <w:color w:val="auto"/>
          <w:highlight w:val="none"/>
        </w:rPr>
        <w:t>奇台县境内的天然湖泊均发育在博格达高山区，大大小小湖泊约有14个</w:t>
      </w:r>
      <w:r>
        <w:rPr>
          <w:rFonts w:hint="eastAsia"/>
          <w:color w:val="auto"/>
          <w:highlight w:val="none"/>
          <w:lang w:eastAsia="zh-CN"/>
        </w:rPr>
        <w:t>，</w:t>
      </w:r>
      <w:r>
        <w:rPr>
          <w:rFonts w:hint="eastAsia"/>
          <w:color w:val="auto"/>
          <w:highlight w:val="none"/>
        </w:rPr>
        <w:t>总面积约70</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4</w:t>
      </w:r>
      <w:r>
        <w:rPr>
          <w:rFonts w:hint="eastAsia"/>
          <w:color w:val="auto"/>
          <w:highlight w:val="none"/>
        </w:rPr>
        <w:t>m</w:t>
      </w:r>
      <w:r>
        <w:rPr>
          <w:rFonts w:hint="eastAsia"/>
          <w:color w:val="auto"/>
          <w:highlight w:val="none"/>
          <w:vertAlign w:val="superscript"/>
        </w:rPr>
        <w:t>3</w:t>
      </w:r>
      <w:r>
        <w:rPr>
          <w:rFonts w:hint="eastAsia"/>
          <w:color w:val="auto"/>
          <w:highlight w:val="none"/>
          <w:lang w:eastAsia="zh-CN"/>
        </w:rPr>
        <w:t>。</w:t>
      </w:r>
      <w:r>
        <w:rPr>
          <w:rFonts w:hint="eastAsia"/>
          <w:color w:val="auto"/>
          <w:highlight w:val="none"/>
        </w:rPr>
        <w:t>吉布库河上游的水根台冰水湖面积最大，约25</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4</w:t>
      </w:r>
      <w:r>
        <w:rPr>
          <w:rFonts w:hint="eastAsia"/>
          <w:color w:val="auto"/>
          <w:highlight w:val="none"/>
        </w:rPr>
        <w:t>m</w:t>
      </w:r>
      <w:r>
        <w:rPr>
          <w:rFonts w:hint="eastAsia"/>
          <w:color w:val="auto"/>
          <w:highlight w:val="none"/>
          <w:vertAlign w:val="superscript"/>
        </w:rPr>
        <w:t>3</w:t>
      </w:r>
      <w:r>
        <w:rPr>
          <w:rFonts w:hint="eastAsia"/>
          <w:color w:val="auto"/>
          <w:highlight w:val="none"/>
        </w:rPr>
        <w:t>，出水口海拔高程3379m。其次，开垦河上游的阿克萨拉冰水湖、中葛根河上游的冰水湖面积也较大</w:t>
      </w:r>
      <w:r>
        <w:rPr>
          <w:rFonts w:hint="eastAsia"/>
          <w:color w:val="auto"/>
          <w:highlight w:val="none"/>
          <w:lang w:eastAsia="zh-CN"/>
        </w:rPr>
        <w:t>。</w:t>
      </w:r>
    </w:p>
    <w:p>
      <w:pPr>
        <w:pStyle w:val="4"/>
        <w:bidi w:val="0"/>
        <w:rPr>
          <w:rFonts w:hint="eastAsia"/>
          <w:color w:val="auto"/>
          <w:highlight w:val="none"/>
          <w:lang w:val="en-US" w:eastAsia="zh-CN"/>
        </w:rPr>
      </w:pPr>
      <w:r>
        <w:rPr>
          <w:rFonts w:hint="eastAsia"/>
          <w:color w:val="auto"/>
          <w:highlight w:val="none"/>
          <w:lang w:val="en-US" w:eastAsia="zh-CN"/>
        </w:rPr>
        <w:t>奇台县内博格达山区、北塔山区及卡拉麦里山岭的出露泉水较多。据1976</w:t>
      </w:r>
      <w:r>
        <w:rPr>
          <w:rFonts w:hint="default" w:ascii="Times New Roman" w:hAnsi="Times New Roman" w:cs="Times New Roman"/>
          <w:color w:val="auto"/>
          <w:highlight w:val="none"/>
          <w:lang w:val="en-US" w:eastAsia="zh-CN"/>
        </w:rPr>
        <w:t>~</w:t>
      </w:r>
      <w:r>
        <w:rPr>
          <w:rFonts w:hint="eastAsia"/>
          <w:color w:val="auto"/>
          <w:highlight w:val="none"/>
          <w:lang w:val="en-US" w:eastAsia="zh-CN"/>
        </w:rPr>
        <w:t>1979年调查，博格达山区泉水点不少于180个，北塔山山区泉水点不少于14个，卡拉麦里山岭至北塔山盐池一带有泉水点25个。博格达山区最大流量泉水多分布在高山区，如中葛根河上游就有4处泉水，流量40~50L/s，北塔山区的乌尔木布拉克泉水量39L/s，卡拉麦里山岭区六棵树泉水流量14L/s，均是较大的山区泉水。山区泉水一般为低矿化水，适宜人畜饮用，但卡拉麦里山至北塔山盐池一带，有些泉水属于高矿化水或卤水，不适宜人畜饮用。博格达山前洪积扇缘潜水溢出带泉水很多，主要分布在大泉、小屯馆子、南湖、榆树窝子、五马场带，溢出泉水多汇集成溪，流向北西。</w:t>
      </w:r>
    </w:p>
    <w:p>
      <w:pPr>
        <w:pStyle w:val="6"/>
        <w:bidi w:val="0"/>
        <w:rPr>
          <w:rFonts w:hint="eastAsia"/>
          <w:color w:val="auto"/>
          <w:highlight w:val="none"/>
        </w:rPr>
      </w:pPr>
      <w:r>
        <w:rPr>
          <w:rFonts w:hint="eastAsia"/>
          <w:color w:val="auto"/>
          <w:highlight w:val="none"/>
          <w:lang w:val="en-US" w:eastAsia="zh-CN"/>
        </w:rPr>
        <w:t>土壤</w:t>
      </w:r>
    </w:p>
    <w:p>
      <w:pPr>
        <w:pStyle w:val="4"/>
        <w:bidi w:val="0"/>
        <w:rPr>
          <w:rFonts w:hint="default" w:eastAsia="宋体"/>
          <w:color w:val="auto"/>
          <w:highlight w:val="none"/>
          <w:lang w:val="en-US" w:eastAsia="zh-CN"/>
        </w:rPr>
      </w:pPr>
      <w:r>
        <w:rPr>
          <w:rFonts w:hint="eastAsia"/>
          <w:color w:val="auto"/>
          <w:highlight w:val="none"/>
        </w:rPr>
        <w:t>奇台县有11种土类。黑钙土：分布在中山地带，占总面积2.2%。栗钙土分布在中地山及丘陵，占总面积1.3%。灰</w:t>
      </w:r>
      <w:r>
        <w:rPr>
          <w:rFonts w:hint="eastAsia"/>
          <w:color w:val="auto"/>
          <w:highlight w:val="none"/>
          <w:lang w:val="en-US" w:eastAsia="zh-CN"/>
        </w:rPr>
        <w:t>漠</w:t>
      </w:r>
      <w:r>
        <w:rPr>
          <w:rFonts w:hint="eastAsia"/>
          <w:color w:val="auto"/>
          <w:highlight w:val="none"/>
        </w:rPr>
        <w:t>土：分布在平原，占总面积的29.6%。潮土：分布在平原井灌区，占总面积5.3%。灌耕土：分布在平原井灌区，占总面积6.6%。草甸土：分布在盐湖，占总面积1.8%。沼泽土：分布在湖滩，占总面积43%。盐土</w:t>
      </w:r>
      <w:r>
        <w:rPr>
          <w:rFonts w:hint="eastAsia"/>
          <w:color w:val="auto"/>
          <w:highlight w:val="none"/>
          <w:lang w:eastAsia="zh-CN"/>
        </w:rPr>
        <w:t>：</w:t>
      </w:r>
      <w:r>
        <w:rPr>
          <w:rFonts w:hint="eastAsia"/>
          <w:color w:val="auto"/>
          <w:highlight w:val="none"/>
        </w:rPr>
        <w:t>分布在平原井灌区，占总面积6%。风沙土：分布在沙漠边缘，占总面积0.8%。砾石土：分布在沙漠壁，占总面积3.3%。</w:t>
      </w:r>
      <w:r>
        <w:rPr>
          <w:rFonts w:hint="eastAsia"/>
          <w:color w:val="auto"/>
          <w:highlight w:val="none"/>
          <w:lang w:val="en-US" w:eastAsia="zh-CN"/>
        </w:rPr>
        <w:t>项目区周边土壤类型为灰漠土，土地利用现状为低覆盖度草地（荒草地）。</w:t>
      </w:r>
    </w:p>
    <w:p>
      <w:pPr>
        <w:pStyle w:val="4"/>
        <w:bidi w:val="0"/>
        <w:rPr>
          <w:rFonts w:hint="eastAsia"/>
          <w:color w:val="auto"/>
          <w:highlight w:val="none"/>
          <w:lang w:val="en-US" w:eastAsia="zh-CN"/>
        </w:rPr>
        <w:sectPr>
          <w:footerReference r:id="rId5" w:type="default"/>
          <w:pgSz w:w="11906" w:h="16838"/>
          <w:pgMar w:top="1440" w:right="1800" w:bottom="1440" w:left="1800" w:header="851" w:footer="850" w:gutter="0"/>
          <w:pgBorders>
            <w:top w:val="none" w:sz="0" w:space="0"/>
            <w:left w:val="none" w:sz="0" w:space="0"/>
            <w:bottom w:val="none" w:sz="0" w:space="0"/>
            <w:right w:val="none" w:sz="0" w:space="0"/>
          </w:pgBorders>
          <w:pgNumType w:fmt="decimal" w:start="1"/>
          <w:cols w:space="0" w:num="1"/>
          <w:docGrid w:type="lines" w:linePitch="312" w:charSpace="0"/>
        </w:sectPr>
      </w:pPr>
      <w:r>
        <w:rPr>
          <w:rFonts w:hint="eastAsia"/>
          <w:color w:val="auto"/>
          <w:highlight w:val="none"/>
          <w:lang w:val="en-US" w:eastAsia="zh-CN"/>
        </w:rPr>
        <w:t>项目区周边土壤类型分布及土地利用现状如下图：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7065010" cy="4906010"/>
            <wp:effectExtent l="0" t="0" r="2540" b="8890"/>
            <wp:docPr id="26" name="图片 26" descr="土壤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土壤类型"/>
                    <pic:cNvPicPr>
                      <a:picLocks noChangeAspect="1"/>
                    </pic:cNvPicPr>
                  </pic:nvPicPr>
                  <pic:blipFill>
                    <a:blip r:embed="rId19"/>
                    <a:srcRect l="4218" t="6259" r="4821" b="2763"/>
                    <a:stretch>
                      <a:fillRect/>
                    </a:stretch>
                  </pic:blipFill>
                  <pic:spPr>
                    <a:xfrm>
                      <a:off x="0" y="0"/>
                      <a:ext cx="7065010" cy="4906010"/>
                    </a:xfrm>
                    <a:prstGeom prst="rect">
                      <a:avLst/>
                    </a:prstGeom>
                  </pic:spPr>
                </pic:pic>
              </a:graphicData>
            </a:graphic>
          </wp:inline>
        </w:drawing>
      </w:r>
    </w:p>
    <w:p>
      <w:pPr>
        <w:pStyle w:val="22"/>
        <w:bidi w:val="0"/>
        <w:rPr>
          <w:rFonts w:hint="default"/>
          <w:lang w:val="en-US" w:eastAsia="zh-CN"/>
        </w:rPr>
      </w:pPr>
      <w:r>
        <w:rPr>
          <w:rFonts w:hint="eastAsia"/>
          <w:lang w:val="en-US" w:eastAsia="zh-CN"/>
        </w:rPr>
        <w:t>图4.1-1    土壤类型分布图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7130415" cy="4856480"/>
            <wp:effectExtent l="0" t="0" r="13335" b="1270"/>
            <wp:docPr id="27" name="图片 27" descr="土地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土地利用"/>
                    <pic:cNvPicPr>
                      <a:picLocks noChangeAspect="1"/>
                    </pic:cNvPicPr>
                  </pic:nvPicPr>
                  <pic:blipFill>
                    <a:blip r:embed="rId20"/>
                    <a:srcRect l="3821" t="6129" r="4218" b="2887"/>
                    <a:stretch>
                      <a:fillRect/>
                    </a:stretch>
                  </pic:blipFill>
                  <pic:spPr>
                    <a:xfrm>
                      <a:off x="0" y="0"/>
                      <a:ext cx="7130415" cy="4856480"/>
                    </a:xfrm>
                    <a:prstGeom prst="rect">
                      <a:avLst/>
                    </a:prstGeom>
                  </pic:spPr>
                </pic:pic>
              </a:graphicData>
            </a:graphic>
          </wp:inline>
        </w:drawing>
      </w:r>
    </w:p>
    <w:p>
      <w:pPr>
        <w:pStyle w:val="22"/>
        <w:bidi w:val="0"/>
        <w:rPr>
          <w:rFonts w:hint="eastAsia"/>
          <w:color w:val="auto"/>
          <w:highlight w:val="none"/>
          <w:lang w:val="en-US" w:eastAsia="zh-CN"/>
        </w:rPr>
      </w:pPr>
      <w:r>
        <w:rPr>
          <w:rFonts w:hint="eastAsia"/>
          <w:lang w:val="en-US" w:eastAsia="zh-CN"/>
        </w:rPr>
        <w:t>图4.1-2    土地利用现状图</w:t>
      </w:r>
    </w:p>
    <w:p>
      <w:pPr>
        <w:pStyle w:val="4"/>
        <w:bidi w:val="0"/>
        <w:rPr>
          <w:rFonts w:hint="eastAsia"/>
          <w:color w:val="auto"/>
          <w:highlight w:val="none"/>
          <w:lang w:val="en-US" w:eastAsia="zh-CN"/>
        </w:rPr>
        <w:sectPr>
          <w:pgSz w:w="16838" w:h="11906" w:orient="landscape"/>
          <w:pgMar w:top="1800" w:right="1440" w:bottom="1800" w:left="1440" w:header="851" w:footer="850" w:gutter="0"/>
          <w:pgBorders>
            <w:top w:val="none" w:sz="0" w:space="0"/>
            <w:left w:val="none" w:sz="0" w:space="0"/>
            <w:bottom w:val="none" w:sz="0" w:space="0"/>
            <w:right w:val="none" w:sz="0" w:space="0"/>
          </w:pgBorders>
          <w:pgNumType w:fmt="decimal"/>
          <w:cols w:space="0" w:num="1"/>
          <w:docGrid w:type="lines" w:linePitch="312" w:charSpace="0"/>
        </w:sectPr>
      </w:pPr>
    </w:p>
    <w:p>
      <w:pPr>
        <w:pStyle w:val="5"/>
        <w:bidi w:val="0"/>
        <w:rPr>
          <w:rFonts w:hint="eastAsia"/>
          <w:color w:val="auto"/>
          <w:highlight w:val="none"/>
        </w:rPr>
      </w:pPr>
      <w:bookmarkStart w:id="47" w:name="_Toc17908"/>
      <w:bookmarkStart w:id="48" w:name="_Toc24189"/>
      <w:r>
        <w:rPr>
          <w:rFonts w:hint="eastAsia"/>
          <w:color w:val="auto"/>
          <w:highlight w:val="none"/>
          <w:lang w:val="en-US" w:eastAsia="zh-CN"/>
        </w:rPr>
        <w:t>环境质量现状调查与评价</w:t>
      </w:r>
      <w:bookmarkEnd w:id="47"/>
      <w:bookmarkEnd w:id="48"/>
    </w:p>
    <w:p>
      <w:pPr>
        <w:pStyle w:val="6"/>
        <w:bidi w:val="0"/>
        <w:rPr>
          <w:rFonts w:hint="eastAsia"/>
          <w:color w:val="auto"/>
          <w:highlight w:val="none"/>
        </w:rPr>
      </w:pPr>
      <w:r>
        <w:rPr>
          <w:rFonts w:hint="eastAsia"/>
          <w:color w:val="auto"/>
          <w:highlight w:val="none"/>
          <w:lang w:val="en-US" w:eastAsia="zh-CN"/>
        </w:rPr>
        <w:t>大气环境质量现状调查与评价</w:t>
      </w:r>
    </w:p>
    <w:p>
      <w:pPr>
        <w:pStyle w:val="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1）达标判定</w:t>
      </w:r>
    </w:p>
    <w:p>
      <w:pPr>
        <w:pStyle w:val="4"/>
        <w:bidi w:val="0"/>
        <w:rPr>
          <w:rFonts w:hint="eastAsia"/>
          <w:color w:val="auto"/>
          <w:highlight w:val="none"/>
        </w:rPr>
      </w:pPr>
      <w:r>
        <w:rPr>
          <w:rFonts w:hint="eastAsia"/>
          <w:color w:val="auto"/>
          <w:highlight w:val="none"/>
        </w:rPr>
        <w:t>项目区大气环境质量执行《环境空气质量标准》（</w:t>
      </w:r>
      <w:r>
        <w:rPr>
          <w:rFonts w:hint="eastAsia"/>
          <w:color w:val="auto"/>
          <w:highlight w:val="none"/>
          <w:lang w:eastAsia="zh-CN"/>
        </w:rPr>
        <w:t>GB</w:t>
      </w:r>
      <w:r>
        <w:rPr>
          <w:rFonts w:hint="eastAsia"/>
          <w:color w:val="auto"/>
          <w:highlight w:val="none"/>
        </w:rPr>
        <w:t>3095-2012）及修改单二级标准，根据环境影响评价网（http://www.china-eia.com）环境空气质量模型技术支持服务系统，昌吉州20</w:t>
      </w:r>
      <w:r>
        <w:rPr>
          <w:rFonts w:hint="eastAsia"/>
          <w:color w:val="auto"/>
          <w:highlight w:val="none"/>
          <w:lang w:val="en-US" w:eastAsia="zh-CN"/>
        </w:rPr>
        <w:t>20</w:t>
      </w:r>
      <w:r>
        <w:rPr>
          <w:rFonts w:hint="eastAsia"/>
          <w:color w:val="auto"/>
          <w:highlight w:val="none"/>
        </w:rPr>
        <w:t>年SO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年均浓度分别为</w:t>
      </w:r>
      <w:r>
        <w:rPr>
          <w:rFonts w:hint="eastAsia"/>
          <w:color w:val="auto"/>
          <w:highlight w:val="none"/>
          <w:lang w:val="en-US" w:eastAsia="zh-CN"/>
        </w:rPr>
        <w:t>8</w:t>
      </w:r>
      <w:r>
        <w:rPr>
          <w:rFonts w:hint="default" w:ascii="Times New Roman" w:hAnsi="Times New Roman" w:cs="Times New Roman"/>
          <w:color w:val="auto"/>
          <w:highlight w:val="none"/>
        </w:rPr>
        <w:t>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3</w:t>
      </w:r>
      <w:r>
        <w:rPr>
          <w:rFonts w:hint="default" w:ascii="Times New Roman" w:hAnsi="Times New Roman" w:cs="Times New Roman"/>
          <w:color w:val="auto"/>
          <w:highlight w:val="none"/>
        </w:rPr>
        <w:t>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cs="Times New Roman"/>
          <w:color w:val="auto"/>
          <w:highlight w:val="none"/>
          <w:lang w:val="en-US" w:eastAsia="zh-CN"/>
        </w:rPr>
        <w:t>8</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5</w:t>
      </w:r>
      <w:r>
        <w:rPr>
          <w:rFonts w:hint="eastAsia" w:cs="Times New Roman"/>
          <w:color w:val="auto"/>
          <w:highlight w:val="none"/>
          <w:lang w:val="en-US" w:eastAsia="zh-CN"/>
        </w:rPr>
        <w:t>3</w:t>
      </w:r>
      <w:r>
        <w:rPr>
          <w:rFonts w:hint="default" w:ascii="Times New Roman" w:hAnsi="Times New Roman" w:cs="Times New Roman"/>
          <w:color w:val="auto"/>
          <w:highlight w:val="none"/>
        </w:rPr>
        <w:t>μg/m</w:t>
      </w:r>
      <w:r>
        <w:rPr>
          <w:rFonts w:hint="default" w:ascii="Times New Roman" w:hAnsi="Times New Roman" w:cs="Times New Roman"/>
          <w:color w:val="auto"/>
          <w:highlight w:val="none"/>
          <w:vertAlign w:val="superscript"/>
        </w:rPr>
        <w:t>3</w:t>
      </w:r>
      <w:r>
        <w:rPr>
          <w:rFonts w:hint="eastAsia"/>
          <w:color w:val="auto"/>
          <w:highlight w:val="none"/>
        </w:rPr>
        <w:t>；CO24小时平均第95百分位数为2.</w:t>
      </w:r>
      <w:r>
        <w:rPr>
          <w:rFonts w:hint="eastAsia"/>
          <w:color w:val="auto"/>
          <w:highlight w:val="none"/>
          <w:lang w:val="en-US" w:eastAsia="zh-CN"/>
        </w:rPr>
        <w:t>5</w:t>
      </w:r>
      <w:r>
        <w:rPr>
          <w:rFonts w:hint="eastAsia"/>
          <w:color w:val="auto"/>
          <w:highlight w:val="none"/>
        </w:rPr>
        <w:t>mg/m</w:t>
      </w:r>
      <w:r>
        <w:rPr>
          <w:rFonts w:hint="eastAsia"/>
          <w:color w:val="auto"/>
          <w:highlight w:val="none"/>
          <w:vertAlign w:val="superscript"/>
        </w:rPr>
        <w:t>3</w:t>
      </w:r>
      <w:r>
        <w:rPr>
          <w:rFonts w:hint="eastAsia"/>
          <w:color w:val="auto"/>
          <w:highlight w:val="none"/>
        </w:rPr>
        <w:t>，O</w:t>
      </w:r>
      <w:r>
        <w:rPr>
          <w:rFonts w:hint="eastAsia"/>
          <w:color w:val="auto"/>
          <w:highlight w:val="none"/>
          <w:vertAlign w:val="subscript"/>
        </w:rPr>
        <w:t>3</w:t>
      </w:r>
      <w:r>
        <w:rPr>
          <w:rFonts w:hint="eastAsia"/>
          <w:color w:val="auto"/>
          <w:highlight w:val="none"/>
        </w:rPr>
        <w:t>日最大8小时平均第90百分位数为</w:t>
      </w:r>
      <w:r>
        <w:rPr>
          <w:rFonts w:hint="eastAsia"/>
          <w:color w:val="auto"/>
          <w:highlight w:val="none"/>
          <w:lang w:val="en-US" w:eastAsia="zh-CN"/>
        </w:rPr>
        <w:t>131</w:t>
      </w:r>
      <w:r>
        <w:rPr>
          <w:rFonts w:hint="default" w:ascii="Times New Roman" w:hAnsi="Times New Roman" w:cs="Times New Roman"/>
          <w:color w:val="auto"/>
          <w:highlight w:val="none"/>
        </w:rPr>
        <w:t>μg/m</w:t>
      </w:r>
      <w:r>
        <w:rPr>
          <w:rFonts w:hint="default" w:ascii="Times New Roman" w:hAnsi="Times New Roman" w:cs="Times New Roman"/>
          <w:color w:val="auto"/>
          <w:highlight w:val="none"/>
          <w:vertAlign w:val="superscript"/>
        </w:rPr>
        <w:t>3</w:t>
      </w:r>
      <w:r>
        <w:rPr>
          <w:rFonts w:hint="eastAsia"/>
          <w:color w:val="auto"/>
          <w:highlight w:val="none"/>
        </w:rPr>
        <w:t>；超过《环境空气质量标准》（</w:t>
      </w:r>
      <w:r>
        <w:rPr>
          <w:rFonts w:hint="eastAsia"/>
          <w:color w:val="auto"/>
          <w:highlight w:val="none"/>
          <w:lang w:eastAsia="zh-CN"/>
        </w:rPr>
        <w:t>GB</w:t>
      </w:r>
      <w:r>
        <w:rPr>
          <w:rFonts w:hint="eastAsia"/>
          <w:color w:val="auto"/>
          <w:highlight w:val="none"/>
        </w:rPr>
        <w:t>3095-2012）中二级标准限值的污染物为PM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。项目所在区域属于不达标区域。空气质量达标判定详见下表：</w:t>
      </w:r>
    </w:p>
    <w:p>
      <w:pPr>
        <w:pStyle w:val="22"/>
        <w:bidi w:val="0"/>
        <w:rPr>
          <w:rFonts w:hint="eastAsia"/>
        </w:rPr>
      </w:pPr>
      <w:r>
        <w:rPr>
          <w:rFonts w:hint="eastAsia"/>
          <w:lang w:val="en-US" w:eastAsia="zh-CN"/>
        </w:rPr>
        <w:t xml:space="preserve">表4.2-1    </w:t>
      </w:r>
      <w:r>
        <w:rPr>
          <w:rFonts w:hint="eastAsia"/>
        </w:rPr>
        <w:t>昌吉州20</w:t>
      </w:r>
      <w:r>
        <w:rPr>
          <w:rFonts w:hint="eastAsia"/>
          <w:lang w:val="en-US" w:eastAsia="zh-CN"/>
        </w:rPr>
        <w:t>20</w:t>
      </w:r>
      <w:r>
        <w:rPr>
          <w:rFonts w:hint="eastAsia"/>
        </w:rPr>
        <w:t>年环境空气质量达标判定</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54"/>
        <w:gridCol w:w="2700"/>
        <w:gridCol w:w="1377"/>
        <w:gridCol w:w="1714"/>
        <w:gridCol w:w="1225"/>
        <w:gridCol w:w="11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7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污染因子</w:t>
            </w:r>
          </w:p>
        </w:tc>
        <w:tc>
          <w:tcPr>
            <w:tcW w:w="147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年评价指标</w:t>
            </w:r>
          </w:p>
        </w:tc>
        <w:tc>
          <w:tcPr>
            <w:tcW w:w="75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浓度/</w:t>
            </w:r>
            <w:r>
              <w:rPr>
                <w:rFonts w:hint="default"/>
              </w:rPr>
              <w:t>(μg/m</w:t>
            </w:r>
            <w:r>
              <w:rPr>
                <w:rFonts w:hint="default"/>
                <w:vertAlign w:val="superscript"/>
              </w:rPr>
              <w:t>3</w:t>
            </w:r>
            <w:r>
              <w:rPr>
                <w:rFonts w:hint="default"/>
              </w:rPr>
              <w:t>)</w:t>
            </w:r>
          </w:p>
        </w:tc>
        <w:tc>
          <w:tcPr>
            <w:tcW w:w="93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评价标准/</w:t>
            </w:r>
            <w:r>
              <w:rPr>
                <w:rFonts w:hint="default"/>
              </w:rPr>
              <w:t>(μg/m</w:t>
            </w:r>
            <w:r>
              <w:rPr>
                <w:rFonts w:hint="default"/>
                <w:vertAlign w:val="superscript"/>
              </w:rPr>
              <w:t>3</w:t>
            </w:r>
            <w:r>
              <w:rPr>
                <w:rFonts w:hint="default"/>
              </w:rPr>
              <w:t>)</w:t>
            </w:r>
          </w:p>
        </w:tc>
        <w:tc>
          <w:tcPr>
            <w:tcW w:w="66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占标率/%</w:t>
            </w:r>
          </w:p>
        </w:tc>
        <w:tc>
          <w:tcPr>
            <w:tcW w:w="60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7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SO</w:t>
            </w:r>
            <w:r>
              <w:rPr>
                <w:rFonts w:hint="default"/>
                <w:vertAlign w:val="subscript"/>
              </w:rPr>
              <w:t>2</w:t>
            </w:r>
          </w:p>
        </w:tc>
        <w:tc>
          <w:tcPr>
            <w:tcW w:w="147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rPr>
              <w:t>年平均浓度</w:t>
            </w:r>
          </w:p>
        </w:tc>
        <w:tc>
          <w:tcPr>
            <w:tcW w:w="75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w:t>
            </w:r>
          </w:p>
        </w:tc>
        <w:tc>
          <w:tcPr>
            <w:tcW w:w="93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60</w:t>
            </w:r>
          </w:p>
        </w:tc>
        <w:tc>
          <w:tcPr>
            <w:tcW w:w="66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13.3</w:t>
            </w:r>
          </w:p>
        </w:tc>
        <w:tc>
          <w:tcPr>
            <w:tcW w:w="60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7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NO</w:t>
            </w:r>
            <w:r>
              <w:rPr>
                <w:rFonts w:hint="default"/>
                <w:vertAlign w:val="subscript"/>
              </w:rPr>
              <w:t>2</w:t>
            </w:r>
          </w:p>
        </w:tc>
        <w:tc>
          <w:tcPr>
            <w:tcW w:w="147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rPr>
              <w:t>年平均浓度</w:t>
            </w:r>
          </w:p>
        </w:tc>
        <w:tc>
          <w:tcPr>
            <w:tcW w:w="75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33</w:t>
            </w:r>
          </w:p>
        </w:tc>
        <w:tc>
          <w:tcPr>
            <w:tcW w:w="93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40</w:t>
            </w:r>
          </w:p>
        </w:tc>
        <w:tc>
          <w:tcPr>
            <w:tcW w:w="66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82.5</w:t>
            </w:r>
          </w:p>
        </w:tc>
        <w:tc>
          <w:tcPr>
            <w:tcW w:w="60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7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PM</w:t>
            </w:r>
            <w:r>
              <w:rPr>
                <w:rFonts w:hint="default"/>
                <w:vertAlign w:val="subscript"/>
              </w:rPr>
              <w:t>10</w:t>
            </w:r>
          </w:p>
        </w:tc>
        <w:tc>
          <w:tcPr>
            <w:tcW w:w="147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rPr>
              <w:t>年平均浓度</w:t>
            </w:r>
          </w:p>
        </w:tc>
        <w:tc>
          <w:tcPr>
            <w:tcW w:w="75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88</w:t>
            </w:r>
          </w:p>
        </w:tc>
        <w:tc>
          <w:tcPr>
            <w:tcW w:w="93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66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126.7</w:t>
            </w:r>
          </w:p>
        </w:tc>
        <w:tc>
          <w:tcPr>
            <w:tcW w:w="60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超标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7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PM</w:t>
            </w:r>
            <w:r>
              <w:rPr>
                <w:rFonts w:hint="default"/>
                <w:vertAlign w:val="subscript"/>
              </w:rPr>
              <w:t>2.5</w:t>
            </w:r>
          </w:p>
        </w:tc>
        <w:tc>
          <w:tcPr>
            <w:tcW w:w="147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rPr>
              <w:t>年平均浓度</w:t>
            </w:r>
          </w:p>
        </w:tc>
        <w:tc>
          <w:tcPr>
            <w:tcW w:w="75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53</w:t>
            </w:r>
          </w:p>
        </w:tc>
        <w:tc>
          <w:tcPr>
            <w:tcW w:w="93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35</w:t>
            </w:r>
          </w:p>
        </w:tc>
        <w:tc>
          <w:tcPr>
            <w:tcW w:w="66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151.4</w:t>
            </w:r>
          </w:p>
        </w:tc>
        <w:tc>
          <w:tcPr>
            <w:tcW w:w="60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超标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7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CO</w:t>
            </w:r>
          </w:p>
        </w:tc>
        <w:tc>
          <w:tcPr>
            <w:tcW w:w="147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24h</w:t>
            </w:r>
            <w:r>
              <w:rPr>
                <w:rFonts w:hint="eastAsia"/>
              </w:rPr>
              <w:t>平均浓度第</w:t>
            </w:r>
            <w:r>
              <w:rPr>
                <w:rFonts w:hint="default"/>
              </w:rPr>
              <w:t>95</w:t>
            </w:r>
            <w:r>
              <w:rPr>
                <w:rFonts w:hint="eastAsia"/>
              </w:rPr>
              <w:t>百分位数</w:t>
            </w:r>
          </w:p>
        </w:tc>
        <w:tc>
          <w:tcPr>
            <w:tcW w:w="75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w:t>
            </w:r>
            <w:r>
              <w:rPr>
                <w:rFonts w:hint="default"/>
              </w:rPr>
              <w:t>mg/m</w:t>
            </w:r>
            <w:r>
              <w:rPr>
                <w:rFonts w:hint="default"/>
                <w:vertAlign w:val="superscript"/>
              </w:rPr>
              <w:t>3</w:t>
            </w:r>
          </w:p>
        </w:tc>
        <w:tc>
          <w:tcPr>
            <w:tcW w:w="93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w:t>
            </w:r>
            <w:r>
              <w:rPr>
                <w:rFonts w:hint="default"/>
              </w:rPr>
              <w:t>mg/m</w:t>
            </w:r>
            <w:r>
              <w:rPr>
                <w:rFonts w:hint="default"/>
                <w:vertAlign w:val="superscript"/>
              </w:rPr>
              <w:t>3</w:t>
            </w:r>
          </w:p>
        </w:tc>
        <w:tc>
          <w:tcPr>
            <w:tcW w:w="66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62.5</w:t>
            </w:r>
          </w:p>
        </w:tc>
        <w:tc>
          <w:tcPr>
            <w:tcW w:w="60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7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O</w:t>
            </w:r>
            <w:r>
              <w:rPr>
                <w:rFonts w:hint="default"/>
                <w:vertAlign w:val="subscript"/>
              </w:rPr>
              <w:t>3</w:t>
            </w:r>
          </w:p>
        </w:tc>
        <w:tc>
          <w:tcPr>
            <w:tcW w:w="147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rPr>
              <w:t>日最大</w:t>
            </w:r>
            <w:r>
              <w:rPr>
                <w:rFonts w:hint="default"/>
              </w:rPr>
              <w:t>8h</w:t>
            </w:r>
            <w:r>
              <w:rPr>
                <w:rFonts w:hint="eastAsia"/>
              </w:rPr>
              <w:t>滑动平均值的第</w:t>
            </w:r>
            <w:r>
              <w:rPr>
                <w:rFonts w:hint="default"/>
              </w:rPr>
              <w:t>90</w:t>
            </w:r>
            <w:r>
              <w:rPr>
                <w:rFonts w:hint="eastAsia"/>
              </w:rPr>
              <w:t>百分位数</w:t>
            </w:r>
          </w:p>
        </w:tc>
        <w:tc>
          <w:tcPr>
            <w:tcW w:w="75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131</w:t>
            </w:r>
          </w:p>
        </w:tc>
        <w:tc>
          <w:tcPr>
            <w:tcW w:w="93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160</w:t>
            </w:r>
          </w:p>
        </w:tc>
        <w:tc>
          <w:tcPr>
            <w:tcW w:w="66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81.9</w:t>
            </w:r>
          </w:p>
        </w:tc>
        <w:tc>
          <w:tcPr>
            <w:tcW w:w="60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bl>
    <w:p>
      <w:pPr>
        <w:pStyle w:val="4"/>
        <w:shd w:val="clear"/>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2）其他污染物达标情况</w:t>
      </w:r>
    </w:p>
    <w:p>
      <w:pPr>
        <w:pStyle w:val="4"/>
        <w:ind w:firstLine="480"/>
        <w:rPr>
          <w:color w:val="auto"/>
          <w:highlight w:val="none"/>
        </w:rPr>
      </w:pPr>
      <w:r>
        <w:rPr>
          <w:rFonts w:hint="eastAsia"/>
          <w:color w:val="auto"/>
          <w:highlight w:val="none"/>
        </w:rPr>
        <w:t>①数据来源</w:t>
      </w:r>
    </w:p>
    <w:p>
      <w:pPr>
        <w:pStyle w:val="4"/>
        <w:ind w:firstLine="480"/>
        <w:rPr>
          <w:rFonts w:hint="default"/>
          <w:color w:val="auto"/>
          <w:highlight w:val="none"/>
          <w:lang w:val="en-US" w:eastAsia="zh-CN"/>
        </w:rPr>
      </w:pPr>
      <w:r>
        <w:rPr>
          <w:rFonts w:hint="eastAsia"/>
          <w:color w:val="auto"/>
          <w:highlight w:val="none"/>
          <w:lang w:val="en-US" w:eastAsia="zh-CN"/>
        </w:rPr>
        <w:t>根据《环境影响评价技术导则 大气环境》（HJ2.2-2018）“6.1.2.2，二级评价项目调查评价范围内有环境质量标准的评价因子的环境质量监测数据或进行补充监测，用于评价项目所在区域污染物环境质量现状”和“6.2.2.2其他污染因子评价范围内没有环境空气质量监测网数据或公开发布的环境空气质量现状数据的，可收集评价范围内近3年与项目排放的其他污染物有关的历史监测资料”，因此本项目其他污染因子现状调查可采用收集资料法。</w:t>
      </w:r>
    </w:p>
    <w:p>
      <w:pPr>
        <w:pStyle w:val="4"/>
        <w:ind w:firstLine="480"/>
        <w:rPr>
          <w:color w:val="auto"/>
          <w:highlight w:val="none"/>
        </w:rPr>
      </w:pPr>
      <w:r>
        <w:rPr>
          <w:rFonts w:hint="eastAsia"/>
          <w:color w:val="auto"/>
          <w:highlight w:val="none"/>
          <w:lang w:val="en-US" w:eastAsia="zh-CN"/>
        </w:rPr>
        <w:t>本次大气其他污染因子引用新疆金塔固体废物治理有限公司委托</w:t>
      </w:r>
      <w:r>
        <w:rPr>
          <w:rFonts w:hint="eastAsia"/>
          <w:color w:val="auto"/>
          <w:highlight w:val="none"/>
        </w:rPr>
        <w:t>新疆</w:t>
      </w:r>
      <w:r>
        <w:rPr>
          <w:rFonts w:hint="eastAsia"/>
          <w:color w:val="auto"/>
          <w:highlight w:val="none"/>
          <w:lang w:val="en-US" w:eastAsia="zh-CN"/>
        </w:rPr>
        <w:t>天蓝蓝环保</w:t>
      </w:r>
      <w:r>
        <w:rPr>
          <w:rFonts w:hint="eastAsia"/>
          <w:color w:val="auto"/>
          <w:highlight w:val="none"/>
        </w:rPr>
        <w:t>技术服务有限公司</w:t>
      </w:r>
      <w:r>
        <w:rPr>
          <w:rFonts w:hint="eastAsia"/>
          <w:color w:val="auto"/>
          <w:highlight w:val="none"/>
          <w:lang w:val="en-US" w:eastAsia="zh-CN"/>
        </w:rPr>
        <w:t>就《奇台县废弃砂坑地质环境恢复治理（一般工业固体废弃物填埋场）建设项目》开展的现状补充监测数据（见附件5），《奇台县废弃砂坑地质环境恢复治理（一般工业固体废弃物填埋场）建设项目》建设地点位于本项目南侧隔乡村道路50m位置，监测点位位于本项目东南侧400m（具体见监测点位坐标与监测点位分布图），监测时间为2021年6月12日</w:t>
      </w:r>
      <w:r>
        <w:rPr>
          <w:rFonts w:hint="default" w:ascii="Times New Roman" w:hAnsi="Times New Roman" w:cs="Times New Roman"/>
          <w:color w:val="auto"/>
          <w:highlight w:val="none"/>
          <w:lang w:val="en-US" w:eastAsia="zh-CN"/>
        </w:rPr>
        <w:t>~</w:t>
      </w:r>
      <w:r>
        <w:rPr>
          <w:rFonts w:hint="eastAsia"/>
          <w:color w:val="auto"/>
          <w:highlight w:val="none"/>
          <w:lang w:val="en-US" w:eastAsia="zh-CN"/>
        </w:rPr>
        <w:t>2021年6月19日连续7天，监测时长、监测点位、数据时效性均满足本项目需求，引用数据可行。</w:t>
      </w:r>
    </w:p>
    <w:p>
      <w:pPr>
        <w:pStyle w:val="4"/>
        <w:ind w:firstLine="480"/>
        <w:rPr>
          <w:color w:val="auto"/>
          <w:highlight w:val="none"/>
        </w:rPr>
      </w:pPr>
      <w:r>
        <w:rPr>
          <w:rFonts w:hint="eastAsia"/>
          <w:color w:val="auto"/>
          <w:highlight w:val="none"/>
        </w:rPr>
        <w:t>②评价方法</w:t>
      </w:r>
    </w:p>
    <w:p>
      <w:pPr>
        <w:pStyle w:val="4"/>
        <w:ind w:firstLine="480"/>
        <w:rPr>
          <w:rFonts w:hint="eastAsia"/>
          <w:color w:val="FF0000"/>
          <w:highlight w:val="none"/>
          <w:lang w:eastAsia="zh-CN"/>
        </w:rPr>
      </w:pPr>
      <w:r>
        <w:rPr>
          <w:rFonts w:hint="eastAsia"/>
          <w:color w:val="FF0000"/>
          <w:highlight w:val="none"/>
        </w:rPr>
        <w:t>对采用补充监测数据进行现状评价的，取各污染物不同评价时段监测浓度的最大值，作为评价范围内环境空气保护目标及网格点环境质量现状浓度。对于有多个监测点位数据的，先计算相同时刻各监测点位平均值，再取各监测时段平均值中的最大值。计算方法见公式</w:t>
      </w:r>
      <w:r>
        <w:rPr>
          <w:rFonts w:hint="eastAsia"/>
          <w:color w:val="FF0000"/>
          <w:highlight w:val="none"/>
          <w:lang w:eastAsia="zh-CN"/>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FF0000"/>
          <w:highlight w:val="none"/>
          <w:lang w:eastAsia="zh-CN"/>
        </w:rPr>
      </w:pPr>
      <w:r>
        <w:rPr>
          <w:rFonts w:hint="eastAsia"/>
          <w:color w:val="FF0000"/>
          <w:position w:val="-28"/>
          <w:highlight w:val="none"/>
          <w:lang w:eastAsia="zh-CN"/>
        </w:rPr>
        <w:object>
          <v:shape id="_x0000_i1030" o:spt="75" type="#_x0000_t75" style="height:34pt;width:164pt;" o:ole="t" filled="f" o:preferrelative="t" stroked="f" coordsize="21600,21600">
            <v:path/>
            <v:fill on="f" focussize="0,0"/>
            <v:stroke on="f"/>
            <v:imagedata r:id="rId22" o:title=""/>
            <o:lock v:ext="edit" aspectratio="t"/>
            <w10:wrap type="none"/>
            <w10:anchorlock/>
          </v:shape>
          <o:OLEObject Type="Embed" ProgID="Equation.KSEE3" ShapeID="_x0000_i1030" DrawAspect="Content" ObjectID="_1468075727" r:id="rId21">
            <o:LockedField>false</o:LockedField>
          </o:OLEObject>
        </w:object>
      </w:r>
    </w:p>
    <w:p>
      <w:pPr>
        <w:pStyle w:val="4"/>
        <w:ind w:firstLine="480"/>
        <w:rPr>
          <w:rFonts w:hint="eastAsia"/>
          <w:color w:val="FF0000"/>
          <w:highlight w:val="none"/>
        </w:rPr>
      </w:pPr>
      <w:r>
        <w:rPr>
          <w:rFonts w:hint="eastAsia"/>
          <w:color w:val="FF0000"/>
          <w:highlight w:val="none"/>
        </w:rPr>
        <w:t>式中：</w:t>
      </w:r>
    </w:p>
    <w:p>
      <w:pPr>
        <w:pStyle w:val="4"/>
        <w:ind w:firstLine="480"/>
        <w:rPr>
          <w:rFonts w:hint="eastAsia"/>
          <w:color w:val="FF0000"/>
          <w:highlight w:val="none"/>
          <w:lang w:val="en-US" w:eastAsia="zh-CN"/>
        </w:rPr>
      </w:pPr>
      <w:r>
        <w:rPr>
          <w:rFonts w:hint="eastAsia"/>
          <w:color w:val="FF0000"/>
          <w:highlight w:val="none"/>
        </w:rPr>
        <w:t>C</w:t>
      </w:r>
      <w:r>
        <w:rPr>
          <w:rFonts w:hint="eastAsia"/>
          <w:color w:val="FF0000"/>
          <w:highlight w:val="none"/>
          <w:vertAlign w:val="subscript"/>
        </w:rPr>
        <w:t>现状（x</w:t>
      </w:r>
      <w:r>
        <w:rPr>
          <w:rFonts w:hint="eastAsia"/>
          <w:color w:val="FF0000"/>
          <w:highlight w:val="none"/>
          <w:vertAlign w:val="subscript"/>
          <w:lang w:eastAsia="zh-CN"/>
        </w:rPr>
        <w:t>，</w:t>
      </w:r>
      <w:r>
        <w:rPr>
          <w:rFonts w:hint="eastAsia"/>
          <w:color w:val="FF0000"/>
          <w:highlight w:val="none"/>
          <w:vertAlign w:val="subscript"/>
          <w:lang w:val="en-US" w:eastAsia="zh-CN"/>
        </w:rPr>
        <w:t>y）</w:t>
      </w:r>
      <w:r>
        <w:rPr>
          <w:rFonts w:hint="eastAsia"/>
          <w:color w:val="FF0000"/>
          <w:highlight w:val="none"/>
          <w:lang w:val="en-US" w:eastAsia="zh-CN"/>
        </w:rPr>
        <w:t>——</w:t>
      </w:r>
      <w:r>
        <w:rPr>
          <w:rFonts w:hint="eastAsia"/>
          <w:color w:val="FF0000"/>
          <w:highlight w:val="none"/>
        </w:rPr>
        <w:t>环境空气保护目标及网格点</w:t>
      </w:r>
      <w:r>
        <w:rPr>
          <w:rFonts w:hint="eastAsia"/>
          <w:color w:val="FF0000"/>
          <w:highlight w:val="none"/>
          <w:lang w:eastAsia="zh-CN"/>
        </w:rPr>
        <w:t>（</w:t>
      </w:r>
      <w:r>
        <w:rPr>
          <w:rFonts w:hint="eastAsia"/>
          <w:color w:val="FF0000"/>
          <w:highlight w:val="none"/>
          <w:lang w:val="en-US" w:eastAsia="zh-CN"/>
        </w:rPr>
        <w:t>x，</w:t>
      </w:r>
      <w:r>
        <w:rPr>
          <w:rFonts w:hint="eastAsia"/>
          <w:color w:val="FF0000"/>
          <w:highlight w:val="none"/>
        </w:rPr>
        <w:t>y）环境质量现状浓度，</w:t>
      </w:r>
      <w:r>
        <w:rPr>
          <w:rFonts w:hint="default" w:ascii="Times New Roman" w:hAnsi="Times New Roman" w:cs="Times New Roman"/>
          <w:color w:val="FF0000"/>
          <w:highlight w:val="none"/>
        </w:rPr>
        <w:t>μ</w:t>
      </w:r>
      <w:r>
        <w:rPr>
          <w:rFonts w:hint="eastAsia"/>
          <w:color w:val="FF0000"/>
          <w:highlight w:val="none"/>
        </w:rPr>
        <w:t>g</w:t>
      </w:r>
      <w:r>
        <w:rPr>
          <w:rFonts w:hint="eastAsia"/>
          <w:color w:val="FF0000"/>
          <w:highlight w:val="none"/>
          <w:lang w:val="en-US" w:eastAsia="zh-CN"/>
        </w:rPr>
        <w:t>/m</w:t>
      </w:r>
      <w:r>
        <w:rPr>
          <w:rFonts w:hint="eastAsia"/>
          <w:color w:val="FF0000"/>
          <w:highlight w:val="none"/>
          <w:vertAlign w:val="superscript"/>
          <w:lang w:val="en-US" w:eastAsia="zh-CN"/>
        </w:rPr>
        <w:t>3</w:t>
      </w:r>
      <w:r>
        <w:rPr>
          <w:rFonts w:hint="eastAsia"/>
          <w:color w:val="FF0000"/>
          <w:highlight w:val="none"/>
          <w:lang w:val="en-US" w:eastAsia="zh-CN"/>
        </w:rPr>
        <w:t>；</w:t>
      </w:r>
    </w:p>
    <w:p>
      <w:pPr>
        <w:pStyle w:val="4"/>
        <w:ind w:firstLine="480"/>
        <w:rPr>
          <w:rFonts w:hint="eastAsia" w:eastAsia="宋体"/>
          <w:color w:val="FF0000"/>
          <w:highlight w:val="none"/>
          <w:lang w:val="en-US" w:eastAsia="zh-CN"/>
        </w:rPr>
      </w:pPr>
      <w:r>
        <w:rPr>
          <w:rFonts w:hint="eastAsia"/>
          <w:color w:val="FF0000"/>
          <w:highlight w:val="none"/>
          <w:lang w:val="en-US" w:eastAsia="zh-CN"/>
        </w:rPr>
        <w:t>C</w:t>
      </w:r>
      <w:r>
        <w:rPr>
          <w:rFonts w:hint="eastAsia"/>
          <w:color w:val="FF0000"/>
          <w:highlight w:val="none"/>
          <w:vertAlign w:val="subscript"/>
          <w:lang w:val="en-US" w:eastAsia="zh-CN"/>
        </w:rPr>
        <w:t>监测（j，t）</w:t>
      </w:r>
      <w:r>
        <w:rPr>
          <w:rFonts w:hint="eastAsia"/>
          <w:color w:val="FF0000"/>
          <w:highlight w:val="none"/>
          <w:lang w:val="en-US" w:eastAsia="zh-CN"/>
        </w:rPr>
        <w:t>——</w:t>
      </w:r>
      <w:r>
        <w:rPr>
          <w:rFonts w:hint="eastAsia"/>
          <w:color w:val="FF0000"/>
          <w:highlight w:val="none"/>
        </w:rPr>
        <w:t>第j个监测点位在t时刻环境质量现状浓度（包括1h平均、8h平均或日平均质量浓度），</w:t>
      </w:r>
      <w:r>
        <w:rPr>
          <w:rFonts w:hint="default" w:ascii="Times New Roman" w:hAnsi="Times New Roman" w:cs="Times New Roman"/>
          <w:color w:val="FF0000"/>
          <w:highlight w:val="none"/>
        </w:rPr>
        <w:t>μ</w:t>
      </w:r>
      <w:r>
        <w:rPr>
          <w:rFonts w:hint="eastAsia"/>
          <w:color w:val="FF0000"/>
          <w:highlight w:val="none"/>
        </w:rPr>
        <w:t>g/m</w:t>
      </w:r>
      <w:r>
        <w:rPr>
          <w:rFonts w:hint="eastAsia"/>
          <w:color w:val="FF0000"/>
          <w:highlight w:val="none"/>
          <w:vertAlign w:val="superscript"/>
        </w:rPr>
        <w:t>3</w:t>
      </w:r>
      <w:r>
        <w:rPr>
          <w:rFonts w:hint="eastAsia"/>
          <w:color w:val="FF0000"/>
          <w:highlight w:val="none"/>
          <w:lang w:val="en-US" w:eastAsia="zh-CN"/>
        </w:rPr>
        <w:t>；</w:t>
      </w:r>
    </w:p>
    <w:p>
      <w:pPr>
        <w:pStyle w:val="4"/>
        <w:ind w:firstLine="480"/>
        <w:rPr>
          <w:rFonts w:hint="eastAsia"/>
          <w:color w:val="FF0000"/>
          <w:highlight w:val="none"/>
        </w:rPr>
      </w:pPr>
      <w:r>
        <w:rPr>
          <w:rFonts w:hint="eastAsia"/>
          <w:color w:val="FF0000"/>
          <w:highlight w:val="none"/>
          <w:lang w:val="en-US" w:eastAsia="zh-CN"/>
        </w:rPr>
        <w:t>n——</w:t>
      </w:r>
      <w:r>
        <w:rPr>
          <w:rFonts w:hint="eastAsia"/>
          <w:color w:val="FF0000"/>
          <w:highlight w:val="none"/>
        </w:rPr>
        <w:t>现状补充监测点位数。</w:t>
      </w:r>
    </w:p>
    <w:p>
      <w:pPr>
        <w:pStyle w:val="4"/>
        <w:ind w:firstLine="480"/>
        <w:rPr>
          <w:rFonts w:hint="eastAsia" w:eastAsia="宋体"/>
          <w:color w:val="auto"/>
          <w:highlight w:val="none"/>
          <w:lang w:val="en-US" w:eastAsia="zh-CN"/>
        </w:rPr>
      </w:pPr>
      <w:r>
        <w:rPr>
          <w:rFonts w:hint="eastAsia"/>
          <w:color w:val="auto"/>
          <w:highlight w:val="none"/>
        </w:rPr>
        <w:t>③监测</w:t>
      </w:r>
      <w:r>
        <w:rPr>
          <w:rFonts w:hint="eastAsia"/>
          <w:color w:val="auto"/>
          <w:highlight w:val="none"/>
          <w:lang w:val="en-US" w:eastAsia="zh-CN"/>
        </w:rPr>
        <w:t>方案</w:t>
      </w:r>
    </w:p>
    <w:p>
      <w:pPr>
        <w:pStyle w:val="4"/>
        <w:ind w:firstLine="480"/>
        <w:rPr>
          <w:rFonts w:hint="default"/>
          <w:color w:val="auto"/>
          <w:highlight w:val="none"/>
          <w:lang w:val="en-US" w:eastAsia="zh-CN"/>
        </w:rPr>
      </w:pPr>
      <w:r>
        <w:rPr>
          <w:rFonts w:hint="eastAsia"/>
          <w:color w:val="auto"/>
          <w:highlight w:val="none"/>
          <w:lang w:val="en-US" w:eastAsia="zh-CN"/>
        </w:rPr>
        <w:t>根据《奇台县废弃砂坑地质环境恢复治理（一般工业固体废弃物填埋场）建设项目》现状监测方案，如下：</w:t>
      </w:r>
    </w:p>
    <w:p>
      <w:pPr>
        <w:pStyle w:val="4"/>
        <w:ind w:firstLine="480"/>
        <w:rPr>
          <w:rFonts w:hint="eastAsia"/>
          <w:color w:val="auto"/>
          <w:highlight w:val="none"/>
          <w:lang w:val="en-US" w:eastAsia="zh-CN"/>
        </w:rPr>
      </w:pPr>
      <w:r>
        <w:rPr>
          <w:rFonts w:hint="eastAsia"/>
          <w:color w:val="auto"/>
          <w:highlight w:val="none"/>
          <w:lang w:val="en-US" w:eastAsia="zh-CN"/>
        </w:rPr>
        <w:t>监测项目：TSP。</w:t>
      </w:r>
    </w:p>
    <w:p>
      <w:pPr>
        <w:pStyle w:val="4"/>
        <w:ind w:firstLine="480"/>
        <w:rPr>
          <w:rFonts w:hint="eastAsia"/>
          <w:color w:val="auto"/>
          <w:highlight w:val="none"/>
          <w:lang w:val="en-US" w:eastAsia="zh-CN"/>
        </w:rPr>
      </w:pPr>
      <w:r>
        <w:rPr>
          <w:rFonts w:hint="eastAsia"/>
          <w:color w:val="auto"/>
          <w:highlight w:val="none"/>
          <w:lang w:val="en-US" w:eastAsia="zh-CN"/>
        </w:rPr>
        <w:t>监测布点：项目区东南侧350m（距本项目400m）处设1个监测点位（</w:t>
      </w:r>
      <w:r>
        <w:rPr>
          <w:rFonts w:hint="default" w:ascii="Times New Roman" w:hAnsi="Times New Roman" w:cs="Times New Roman"/>
          <w:color w:val="auto"/>
          <w:highlight w:val="none"/>
          <w:lang w:val="en-US" w:eastAsia="zh-CN"/>
        </w:rPr>
        <w:t>N43°54'53.281"</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E89°30'23.380"</w:t>
      </w:r>
      <w:r>
        <w:rPr>
          <w:rFonts w:hint="eastAsia"/>
          <w:color w:val="auto"/>
          <w:highlight w:val="none"/>
          <w:lang w:val="en-US" w:eastAsia="zh-CN"/>
        </w:rPr>
        <w:t>）。大气监测点位见下图：</w:t>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591810" cy="3686810"/>
            <wp:effectExtent l="0" t="0" r="8890" b="8890"/>
            <wp:docPr id="10" name="图片 10" descr="大气监测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大气监测点"/>
                    <pic:cNvPicPr>
                      <a:picLocks noChangeAspect="1"/>
                    </pic:cNvPicPr>
                  </pic:nvPicPr>
                  <pic:blipFill>
                    <a:blip r:embed="rId23"/>
                    <a:stretch>
                      <a:fillRect/>
                    </a:stretch>
                  </pic:blipFill>
                  <pic:spPr>
                    <a:xfrm>
                      <a:off x="0" y="0"/>
                      <a:ext cx="5591810" cy="3686810"/>
                    </a:xfrm>
                    <a:prstGeom prst="rect">
                      <a:avLst/>
                    </a:prstGeom>
                  </pic:spPr>
                </pic:pic>
              </a:graphicData>
            </a:graphic>
          </wp:inline>
        </w:drawing>
      </w:r>
    </w:p>
    <w:p>
      <w:pPr>
        <w:pStyle w:val="22"/>
        <w:bidi w:val="0"/>
        <w:rPr>
          <w:rFonts w:hint="default"/>
          <w:lang w:val="en-US" w:eastAsia="zh-CN"/>
        </w:rPr>
      </w:pPr>
      <w:r>
        <w:rPr>
          <w:rFonts w:hint="eastAsia"/>
          <w:lang w:val="en-US" w:eastAsia="zh-CN"/>
        </w:rPr>
        <w:t>图4.2-1    大气监测点位图</w:t>
      </w:r>
    </w:p>
    <w:p>
      <w:pPr>
        <w:pStyle w:val="4"/>
        <w:ind w:firstLine="480"/>
        <w:rPr>
          <w:rFonts w:hint="eastAsia"/>
          <w:color w:val="auto"/>
          <w:highlight w:val="none"/>
          <w:lang w:val="en-US" w:eastAsia="zh-CN"/>
        </w:rPr>
      </w:pPr>
      <w:r>
        <w:rPr>
          <w:rFonts w:hint="eastAsia"/>
          <w:color w:val="auto"/>
          <w:highlight w:val="none"/>
          <w:lang w:val="en-US" w:eastAsia="zh-CN"/>
        </w:rPr>
        <w:t>监测时间及频率：连续7天（2021年6月12日</w:t>
      </w:r>
      <w:r>
        <w:rPr>
          <w:rFonts w:hint="default" w:ascii="Times New Roman" w:hAnsi="Times New Roman" w:cs="Times New Roman"/>
          <w:color w:val="auto"/>
          <w:highlight w:val="none"/>
          <w:lang w:val="en-US" w:eastAsia="zh-CN"/>
        </w:rPr>
        <w:t>~</w:t>
      </w:r>
      <w:r>
        <w:rPr>
          <w:rFonts w:hint="eastAsia"/>
          <w:color w:val="auto"/>
          <w:highlight w:val="none"/>
          <w:lang w:val="en-US" w:eastAsia="zh-CN"/>
        </w:rPr>
        <w:t>2021年6月19日），每天24h，监测同时记录风速、风向、气温、气压和天气状况等常规气象要素。</w:t>
      </w:r>
    </w:p>
    <w:p>
      <w:pPr>
        <w:pStyle w:val="4"/>
        <w:ind w:firstLine="480"/>
        <w:rPr>
          <w:rFonts w:hint="eastAsia"/>
          <w:color w:val="auto"/>
          <w:highlight w:val="none"/>
          <w:lang w:val="en-US" w:eastAsia="zh-CN"/>
        </w:rPr>
      </w:pPr>
      <w:r>
        <w:rPr>
          <w:rFonts w:hint="eastAsia"/>
          <w:color w:val="auto"/>
          <w:highlight w:val="none"/>
          <w:lang w:val="en-US" w:eastAsia="zh-CN"/>
        </w:rPr>
        <w:t>采样及监测方法：环境空气监测中的采样点、采样环境、采样高度及采样频率的要求，按《环境监测技术规范》（大气部分）执行，分析方法按《环境监测技术规范》（大气部分）有关规定和要求执行。</w:t>
      </w:r>
    </w:p>
    <w:p>
      <w:pPr>
        <w:pStyle w:val="22"/>
        <w:bidi w:val="0"/>
        <w:rPr>
          <w:rFonts w:hint="eastAsia"/>
          <w:color w:val="auto"/>
          <w:highlight w:val="none"/>
          <w:lang w:val="en-US" w:eastAsia="zh-CN"/>
        </w:rPr>
      </w:pPr>
      <w:r>
        <w:rPr>
          <w:rFonts w:hint="eastAsia"/>
          <w:color w:val="auto"/>
          <w:highlight w:val="none"/>
          <w:lang w:val="en-US" w:eastAsia="zh-CN"/>
        </w:rPr>
        <w:t>表4.2-2    其它污染物补充监测点位基本信息</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1"/>
        <w:gridCol w:w="991"/>
        <w:gridCol w:w="967"/>
        <w:gridCol w:w="1074"/>
        <w:gridCol w:w="1836"/>
        <w:gridCol w:w="1401"/>
        <w:gridCol w:w="16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665" w:type="pct"/>
            <w:vMerge w:val="restart"/>
            <w:tcBorders>
              <w:top w:val="single" w:color="auto" w:sz="12" w:space="0"/>
              <w:left w:val="nil"/>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监测点名称</w:t>
            </w:r>
          </w:p>
        </w:tc>
        <w:tc>
          <w:tcPr>
            <w:tcW w:w="1067" w:type="pct"/>
            <w:gridSpan w:val="2"/>
            <w:tcBorders>
              <w:top w:val="single" w:color="auto" w:sz="12"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监测点坐标/m注</w:t>
            </w:r>
          </w:p>
        </w:tc>
        <w:tc>
          <w:tcPr>
            <w:tcW w:w="585" w:type="pct"/>
            <w:vMerge w:val="restart"/>
            <w:tcBorders>
              <w:top w:val="single" w:color="auto" w:sz="12"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监测因子</w:t>
            </w:r>
          </w:p>
        </w:tc>
        <w:tc>
          <w:tcPr>
            <w:tcW w:w="1000" w:type="pct"/>
            <w:vMerge w:val="restart"/>
            <w:tcBorders>
              <w:top w:val="single" w:color="auto" w:sz="12"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监测时段</w:t>
            </w:r>
          </w:p>
        </w:tc>
        <w:tc>
          <w:tcPr>
            <w:tcW w:w="763" w:type="pct"/>
            <w:vMerge w:val="restart"/>
            <w:tcBorders>
              <w:top w:val="single" w:color="auto" w:sz="12"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相对厂址方位</w:t>
            </w:r>
          </w:p>
        </w:tc>
        <w:tc>
          <w:tcPr>
            <w:tcW w:w="918" w:type="pct"/>
            <w:vMerge w:val="restart"/>
            <w:tcBorders>
              <w:top w:val="single" w:color="auto" w:sz="12" w:space="0"/>
              <w:left w:val="single" w:color="auto" w:sz="4" w:space="0"/>
              <w:bottom w:val="single" w:color="auto" w:sz="4" w:space="0"/>
              <w:righ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相对厂界距离/m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665" w:type="pct"/>
            <w:vMerge w:val="continue"/>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540" w:type="pc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X</w:t>
            </w:r>
          </w:p>
        </w:tc>
        <w:tc>
          <w:tcPr>
            <w:tcW w:w="526" w:type="pc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Y</w:t>
            </w:r>
          </w:p>
        </w:tc>
        <w:tc>
          <w:tcPr>
            <w:tcW w:w="585" w:type="pct"/>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1000" w:type="pct"/>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763" w:type="pct"/>
            <w:vMerge w:val="continue"/>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918" w:type="pct"/>
            <w:vMerge w:val="continue"/>
            <w:tcBorders>
              <w:top w:val="single" w:color="auto" w:sz="4" w:space="0"/>
              <w:left w:val="single" w:color="auto" w:sz="4" w:space="0"/>
              <w:bottom w:val="single" w:color="auto" w:sz="4" w:space="0"/>
              <w:righ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665" w:type="pct"/>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w:t>
            </w:r>
          </w:p>
        </w:tc>
        <w:tc>
          <w:tcPr>
            <w:tcW w:w="540" w:type="pc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300</w:t>
            </w:r>
          </w:p>
        </w:tc>
        <w:tc>
          <w:tcPr>
            <w:tcW w:w="526" w:type="pc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-260</w:t>
            </w:r>
          </w:p>
        </w:tc>
        <w:tc>
          <w:tcPr>
            <w:tcW w:w="585" w:type="pc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TSP</w:t>
            </w:r>
          </w:p>
        </w:tc>
        <w:tc>
          <w:tcPr>
            <w:tcW w:w="1000" w:type="pc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2021年6月12日</w:t>
            </w:r>
            <w:r>
              <w:rPr>
                <w:rFonts w:hint="default" w:ascii="Times New Roman" w:hAnsi="Times New Roman" w:cs="Times New Roman"/>
                <w:color w:val="auto"/>
                <w:highlight w:val="none"/>
                <w:lang w:val="en-US" w:eastAsia="zh-CN"/>
              </w:rPr>
              <w:t>~</w:t>
            </w:r>
            <w:r>
              <w:rPr>
                <w:rFonts w:hint="eastAsia"/>
                <w:color w:val="auto"/>
                <w:highlight w:val="none"/>
                <w:lang w:val="en-US" w:eastAsia="zh-CN"/>
              </w:rPr>
              <w:t>2021年6月19日</w:t>
            </w:r>
          </w:p>
        </w:tc>
        <w:tc>
          <w:tcPr>
            <w:tcW w:w="763" w:type="pct"/>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东南</w:t>
            </w:r>
          </w:p>
        </w:tc>
        <w:tc>
          <w:tcPr>
            <w:tcW w:w="918" w:type="pct"/>
            <w:tcBorders>
              <w:top w:val="single" w:color="auto" w:sz="4" w:space="0"/>
              <w:left w:val="single" w:color="auto" w:sz="4" w:space="0"/>
              <w:bottom w:val="single" w:color="auto" w:sz="4" w:space="0"/>
              <w:righ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350（距离本项目400m）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5000" w:type="pct"/>
            <w:gridSpan w:val="7"/>
            <w:tcBorders>
              <w:top w:val="single" w:color="auto" w:sz="4" w:space="0"/>
              <w:left w:val="nil"/>
              <w:bottom w:val="single" w:color="auto" w:sz="12" w:space="0"/>
              <w:right w:val="nil"/>
            </w:tcBorders>
            <w:noWrap w:val="0"/>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注：监测点坐标为相对项目厂址中心的坐标</w:t>
            </w:r>
            <w:r>
              <w:rPr>
                <w:rFonts w:hint="eastAsia"/>
                <w:color w:val="auto"/>
                <w:highlight w:val="none"/>
                <w:lang w:val="en-US" w:eastAsia="zh-CN"/>
              </w:rPr>
              <w:t>。</w:t>
            </w:r>
          </w:p>
        </w:tc>
      </w:tr>
    </w:tbl>
    <w:p>
      <w:pPr>
        <w:pStyle w:val="4"/>
        <w:ind w:firstLine="480"/>
        <w:rPr>
          <w:color w:val="auto"/>
          <w:highlight w:val="none"/>
        </w:rPr>
      </w:pPr>
      <w:r>
        <w:rPr>
          <w:rFonts w:hint="eastAsia"/>
          <w:color w:val="auto"/>
          <w:highlight w:val="none"/>
        </w:rPr>
        <w:t>④监测结果</w:t>
      </w:r>
    </w:p>
    <w:p>
      <w:pPr>
        <w:pStyle w:val="4"/>
        <w:ind w:firstLine="480"/>
        <w:rPr>
          <w:color w:val="auto"/>
          <w:highlight w:val="none"/>
        </w:rPr>
      </w:pPr>
      <w:r>
        <w:rPr>
          <w:rFonts w:hint="eastAsia"/>
          <w:color w:val="auto"/>
          <w:highlight w:val="none"/>
        </w:rPr>
        <w:t>补充监测结果见下表：</w:t>
      </w:r>
    </w:p>
    <w:p>
      <w:pPr>
        <w:pStyle w:val="22"/>
        <w:bidi w:val="0"/>
        <w:rPr>
          <w:rFonts w:hint="eastAsia"/>
          <w:color w:val="auto"/>
          <w:highlight w:val="none"/>
          <w:lang w:val="en-US" w:eastAsia="zh-CN"/>
        </w:rPr>
      </w:pPr>
      <w:r>
        <w:rPr>
          <w:rFonts w:hint="eastAsia"/>
          <w:color w:val="auto"/>
          <w:highlight w:val="none"/>
          <w:lang w:val="en-US" w:eastAsia="zh-CN"/>
        </w:rPr>
        <w:t>表4.2-3    其他污染物环境质量现状（监测结果）表</w:t>
      </w:r>
    </w:p>
    <w:tbl>
      <w:tblPr>
        <w:tblStyle w:val="17"/>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6"/>
        <w:gridCol w:w="1283"/>
        <w:gridCol w:w="995"/>
        <w:gridCol w:w="1594"/>
        <w:gridCol w:w="1406"/>
        <w:gridCol w:w="1282"/>
        <w:gridCol w:w="913"/>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tblHeader/>
        </w:trPr>
        <w:tc>
          <w:tcPr>
            <w:tcW w:w="513" w:type="pct"/>
            <w:vMerge w:val="restart"/>
            <w:tcBorders>
              <w:top w:val="single" w:color="auto" w:sz="12" w:space="0"/>
              <w:left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监测点位</w:t>
            </w:r>
          </w:p>
        </w:tc>
        <w:tc>
          <w:tcPr>
            <w:tcW w:w="703" w:type="pct"/>
            <w:vMerge w:val="restart"/>
            <w:tcBorders>
              <w:top w:val="single" w:color="auto" w:sz="12" w:space="0"/>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污染物</w:t>
            </w:r>
          </w:p>
        </w:tc>
        <w:tc>
          <w:tcPr>
            <w:tcW w:w="545" w:type="pct"/>
            <w:vMerge w:val="restart"/>
            <w:tcBorders>
              <w:top w:val="single" w:color="auto" w:sz="12" w:space="0"/>
            </w:tcBorders>
            <w:noWrap w:val="0"/>
            <w:vAlign w:val="center"/>
          </w:tcPr>
          <w:p>
            <w:pPr>
              <w:pStyle w:val="24"/>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val="en-US" w:eastAsia="zh-CN"/>
              </w:rPr>
              <w:t>平均时间</w:t>
            </w:r>
          </w:p>
        </w:tc>
        <w:tc>
          <w:tcPr>
            <w:tcW w:w="873" w:type="pct"/>
            <w:vMerge w:val="restart"/>
            <w:tcBorders>
              <w:top w:val="single" w:color="auto" w:sz="12" w:space="0"/>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监测浓度范围(</w:t>
            </w:r>
            <w:r>
              <w:rPr>
                <w:rFonts w:hint="default"/>
                <w:color w:val="auto"/>
                <w:highlight w:val="none"/>
              </w:rPr>
              <w:t>μ</w:t>
            </w:r>
            <w:r>
              <w:rPr>
                <w:rFonts w:hint="eastAsia"/>
                <w:color w:val="auto"/>
                <w:highlight w:val="none"/>
              </w:rPr>
              <w:t>g/m</w:t>
            </w:r>
            <w:r>
              <w:rPr>
                <w:rFonts w:hint="eastAsia"/>
                <w:color w:val="auto"/>
                <w:highlight w:val="none"/>
                <w:vertAlign w:val="superscript"/>
              </w:rPr>
              <w:t>3</w:t>
            </w:r>
            <w:r>
              <w:rPr>
                <w:rFonts w:hint="eastAsia"/>
                <w:color w:val="auto"/>
                <w:highlight w:val="none"/>
              </w:rPr>
              <w:t>)</w:t>
            </w:r>
          </w:p>
        </w:tc>
        <w:tc>
          <w:tcPr>
            <w:tcW w:w="770" w:type="pct"/>
            <w:vMerge w:val="restart"/>
            <w:tcBorders>
              <w:top w:val="single" w:color="auto" w:sz="12" w:space="0"/>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标准(</w:t>
            </w:r>
            <w:r>
              <w:rPr>
                <w:rFonts w:hint="default"/>
                <w:color w:val="auto"/>
                <w:highlight w:val="none"/>
              </w:rPr>
              <w:t>μ</w:t>
            </w:r>
            <w:r>
              <w:rPr>
                <w:rFonts w:hint="eastAsia"/>
                <w:color w:val="auto"/>
                <w:highlight w:val="none"/>
              </w:rPr>
              <w:t>g/m</w:t>
            </w:r>
            <w:r>
              <w:rPr>
                <w:rFonts w:hint="eastAsia"/>
                <w:color w:val="auto"/>
                <w:highlight w:val="none"/>
                <w:vertAlign w:val="superscript"/>
              </w:rPr>
              <w:t>3</w:t>
            </w:r>
            <w:r>
              <w:rPr>
                <w:rFonts w:hint="eastAsia"/>
                <w:color w:val="auto"/>
                <w:highlight w:val="none"/>
              </w:rPr>
              <w:t>)</w:t>
            </w:r>
          </w:p>
        </w:tc>
        <w:tc>
          <w:tcPr>
            <w:tcW w:w="702" w:type="pct"/>
            <w:vMerge w:val="restart"/>
            <w:tcBorders>
              <w:top w:val="single" w:color="auto" w:sz="12" w:space="0"/>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最大浓度占标率%</w:t>
            </w:r>
          </w:p>
        </w:tc>
        <w:tc>
          <w:tcPr>
            <w:tcW w:w="500" w:type="pct"/>
            <w:vMerge w:val="restart"/>
            <w:tcBorders>
              <w:top w:val="single" w:color="auto" w:sz="12" w:space="0"/>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超标率%</w:t>
            </w:r>
          </w:p>
        </w:tc>
        <w:tc>
          <w:tcPr>
            <w:tcW w:w="390" w:type="pct"/>
            <w:vMerge w:val="restart"/>
            <w:tcBorders>
              <w:top w:val="single" w:color="auto" w:sz="12" w:space="0"/>
              <w:right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blHeader/>
        </w:trPr>
        <w:tc>
          <w:tcPr>
            <w:tcW w:w="513" w:type="pct"/>
            <w:vMerge w:val="continue"/>
            <w:tcBorders>
              <w:left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p>
        </w:tc>
        <w:tc>
          <w:tcPr>
            <w:tcW w:w="703" w:type="pct"/>
            <w:vMerge w:val="continue"/>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p>
        </w:tc>
        <w:tc>
          <w:tcPr>
            <w:tcW w:w="545" w:type="pct"/>
            <w:vMerge w:val="continue"/>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p>
        </w:tc>
        <w:tc>
          <w:tcPr>
            <w:tcW w:w="873" w:type="pct"/>
            <w:vMerge w:val="continue"/>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p>
        </w:tc>
        <w:tc>
          <w:tcPr>
            <w:tcW w:w="770" w:type="pct"/>
            <w:vMerge w:val="continue"/>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p>
        </w:tc>
        <w:tc>
          <w:tcPr>
            <w:tcW w:w="702" w:type="pct"/>
            <w:vMerge w:val="continue"/>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p>
        </w:tc>
        <w:tc>
          <w:tcPr>
            <w:tcW w:w="500" w:type="pct"/>
            <w:vMerge w:val="continue"/>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p>
        </w:tc>
        <w:tc>
          <w:tcPr>
            <w:tcW w:w="390" w:type="pct"/>
            <w:vMerge w:val="continue"/>
            <w:tcBorders>
              <w:right w:val="nil"/>
            </w:tcBorders>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513" w:type="pct"/>
            <w:tcBorders>
              <w:left w:val="nil"/>
            </w:tcBorders>
            <w:noWrap w:val="0"/>
            <w:vAlign w:val="center"/>
          </w:tcPr>
          <w:p>
            <w:pPr>
              <w:pStyle w:val="24"/>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w:t>
            </w:r>
          </w:p>
        </w:tc>
        <w:tc>
          <w:tcPr>
            <w:tcW w:w="703" w:type="pct"/>
            <w:noWrap w:val="0"/>
            <w:vAlign w:val="center"/>
          </w:tcPr>
          <w:p>
            <w:pPr>
              <w:pStyle w:val="24"/>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eastAsia"/>
                <w:color w:val="auto"/>
                <w:highlight w:val="none"/>
                <w:lang w:val="en-US" w:eastAsia="zh-CN"/>
              </w:rPr>
              <w:t>TSP</w:t>
            </w:r>
          </w:p>
        </w:tc>
        <w:tc>
          <w:tcPr>
            <w:tcW w:w="545" w:type="pct"/>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24h</w:t>
            </w:r>
          </w:p>
        </w:tc>
        <w:tc>
          <w:tcPr>
            <w:tcW w:w="873" w:type="pct"/>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103~126</w:t>
            </w:r>
          </w:p>
        </w:tc>
        <w:tc>
          <w:tcPr>
            <w:tcW w:w="770" w:type="pct"/>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300</w:t>
            </w:r>
          </w:p>
        </w:tc>
        <w:tc>
          <w:tcPr>
            <w:tcW w:w="702" w:type="pct"/>
            <w:noWrap w:val="0"/>
            <w:vAlign w:val="center"/>
          </w:tcPr>
          <w:p>
            <w:pPr>
              <w:pStyle w:val="24"/>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ascii="Times New Roman" w:hAnsi="Times New Roman" w:cs="Times New Roman"/>
                <w:color w:val="auto"/>
                <w:highlight w:val="none"/>
                <w:lang w:val="en-US" w:eastAsia="zh-CN"/>
              </w:rPr>
              <w:t>&lt;</w:t>
            </w:r>
            <w:r>
              <w:rPr>
                <w:rFonts w:hint="eastAsia"/>
                <w:color w:val="auto"/>
                <w:highlight w:val="none"/>
                <w:lang w:val="en-US" w:eastAsia="zh-CN"/>
              </w:rPr>
              <w:t>42</w:t>
            </w:r>
          </w:p>
        </w:tc>
        <w:tc>
          <w:tcPr>
            <w:tcW w:w="500" w:type="pct"/>
            <w:noWrap w:val="0"/>
            <w:vAlign w:val="center"/>
          </w:tcPr>
          <w:p>
            <w:pPr>
              <w:pStyle w:val="24"/>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0</w:t>
            </w:r>
          </w:p>
        </w:tc>
        <w:tc>
          <w:tcPr>
            <w:tcW w:w="390" w:type="pct"/>
            <w:tcBorders>
              <w:right w:val="nil"/>
            </w:tcBorders>
            <w:noWrap w:val="0"/>
            <w:vAlign w:val="center"/>
          </w:tcPr>
          <w:p>
            <w:pPr>
              <w:pStyle w:val="24"/>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达标</w:t>
            </w:r>
          </w:p>
        </w:tc>
      </w:tr>
    </w:tbl>
    <w:p>
      <w:pPr>
        <w:pStyle w:val="4"/>
        <w:ind w:firstLine="480"/>
        <w:rPr>
          <w:color w:val="auto"/>
          <w:highlight w:val="none"/>
        </w:rPr>
      </w:pPr>
      <w:r>
        <w:rPr>
          <w:rFonts w:hint="eastAsia"/>
          <w:color w:val="auto"/>
          <w:highlight w:val="none"/>
        </w:rPr>
        <w:t>⑤大气环境质量现状分析结论</w:t>
      </w:r>
    </w:p>
    <w:p>
      <w:pPr>
        <w:pStyle w:val="4"/>
        <w:shd w:val="clear"/>
        <w:rPr>
          <w:rFonts w:hint="eastAsia"/>
          <w:color w:val="FF0000"/>
          <w:highlight w:val="none"/>
        </w:rPr>
      </w:pPr>
      <w:r>
        <w:rPr>
          <w:rFonts w:hint="eastAsia"/>
          <w:color w:val="FF0000"/>
          <w:highlight w:val="none"/>
        </w:rPr>
        <w:t>项目所在区域基本污染因子PM</w:t>
      </w:r>
      <w:r>
        <w:rPr>
          <w:rFonts w:hint="eastAsia"/>
          <w:color w:val="FF0000"/>
          <w:highlight w:val="none"/>
          <w:vertAlign w:val="subscript"/>
        </w:rPr>
        <w:t>10</w:t>
      </w:r>
      <w:r>
        <w:rPr>
          <w:rFonts w:hint="eastAsia"/>
          <w:color w:val="FF0000"/>
          <w:highlight w:val="none"/>
        </w:rPr>
        <w:t>、PM</w:t>
      </w:r>
      <w:r>
        <w:rPr>
          <w:rFonts w:hint="eastAsia"/>
          <w:color w:val="FF0000"/>
          <w:highlight w:val="none"/>
          <w:vertAlign w:val="subscript"/>
        </w:rPr>
        <w:t>2.5</w:t>
      </w:r>
      <w:r>
        <w:rPr>
          <w:rFonts w:hint="eastAsia"/>
          <w:color w:val="FF0000"/>
          <w:highlight w:val="none"/>
        </w:rPr>
        <w:t>年平均浓度</w:t>
      </w:r>
      <w:r>
        <w:rPr>
          <w:rFonts w:hint="eastAsia"/>
          <w:color w:val="FF0000"/>
          <w:highlight w:val="none"/>
          <w:lang w:val="en-US" w:eastAsia="zh-CN"/>
        </w:rPr>
        <w:t>不满足</w:t>
      </w:r>
      <w:r>
        <w:rPr>
          <w:rFonts w:hint="eastAsia"/>
          <w:color w:val="FF0000"/>
          <w:highlight w:val="none"/>
        </w:rPr>
        <w:t>《环境空气质量标准》（</w:t>
      </w:r>
      <w:r>
        <w:rPr>
          <w:rFonts w:hint="eastAsia"/>
          <w:color w:val="FF0000"/>
          <w:highlight w:val="none"/>
          <w:lang w:eastAsia="zh-CN"/>
        </w:rPr>
        <w:t>GB</w:t>
      </w:r>
      <w:r>
        <w:rPr>
          <w:rFonts w:hint="eastAsia"/>
          <w:color w:val="FF0000"/>
          <w:highlight w:val="none"/>
        </w:rPr>
        <w:t>3095-2012）</w:t>
      </w:r>
      <w:r>
        <w:rPr>
          <w:rFonts w:hint="eastAsia"/>
          <w:color w:val="FF0000"/>
          <w:highlight w:val="none"/>
          <w:lang w:val="en-US" w:eastAsia="zh-CN"/>
        </w:rPr>
        <w:t>限值要求</w:t>
      </w:r>
      <w:r>
        <w:rPr>
          <w:rFonts w:hint="eastAsia"/>
          <w:color w:val="FF0000"/>
          <w:highlight w:val="none"/>
        </w:rPr>
        <w:t>，</w:t>
      </w:r>
      <w:r>
        <w:rPr>
          <w:rFonts w:hint="eastAsia"/>
          <w:color w:val="FF0000"/>
          <w:highlight w:val="none"/>
          <w:lang w:val="en-US" w:eastAsia="zh-CN"/>
        </w:rPr>
        <w:t>属于不达标区。</w:t>
      </w:r>
      <w:r>
        <w:rPr>
          <w:rFonts w:hint="eastAsia"/>
          <w:color w:val="FF0000"/>
          <w:highlight w:val="none"/>
        </w:rPr>
        <w:t>主要原因为</w:t>
      </w:r>
      <w:r>
        <w:rPr>
          <w:rFonts w:hint="eastAsia"/>
          <w:color w:val="FF0000"/>
          <w:highlight w:val="none"/>
          <w:lang w:val="en-US" w:eastAsia="zh-CN"/>
        </w:rPr>
        <w:t>新疆大部分区域</w:t>
      </w:r>
      <w:r>
        <w:rPr>
          <w:rFonts w:hint="eastAsia"/>
          <w:color w:val="FF0000"/>
          <w:highlight w:val="none"/>
        </w:rPr>
        <w:t>干旱缺水，地表植被稀疏，地面干燥易起尘，受自然因素的影响比较明显，主要与当地自然气候有关。</w:t>
      </w:r>
    </w:p>
    <w:p>
      <w:pPr>
        <w:pStyle w:val="6"/>
        <w:bidi w:val="0"/>
        <w:rPr>
          <w:rFonts w:hint="eastAsia"/>
          <w:color w:val="auto"/>
          <w:highlight w:val="none"/>
        </w:rPr>
      </w:pPr>
      <w:r>
        <w:rPr>
          <w:rFonts w:hint="eastAsia"/>
          <w:color w:val="auto"/>
          <w:highlight w:val="none"/>
          <w:lang w:val="en-US" w:eastAsia="zh-CN"/>
        </w:rPr>
        <w:t>地表水环境质量现状调查与评价</w:t>
      </w:r>
    </w:p>
    <w:p>
      <w:pPr>
        <w:pStyle w:val="4"/>
        <w:rPr>
          <w:rFonts w:hint="eastAsia"/>
          <w:color w:val="auto"/>
          <w:highlight w:val="none"/>
          <w:lang w:val="en-US" w:eastAsia="zh-CN"/>
        </w:rPr>
      </w:pPr>
      <w:r>
        <w:rPr>
          <w:rFonts w:hint="eastAsia"/>
          <w:color w:val="auto"/>
          <w:highlight w:val="none"/>
          <w:lang w:val="en-US" w:eastAsia="zh-CN"/>
        </w:rPr>
        <w:t>距离本项目最近的地表水体为项目区西侧的达板河冲沟，距离本项目最近距离2.3km，根据《新疆水环境功能区划》，达板河并划定地表水环境功能。达坂</w:t>
      </w:r>
      <w:r>
        <w:rPr>
          <w:rFonts w:hint="eastAsia"/>
          <w:color w:val="auto"/>
          <w:highlight w:val="none"/>
        </w:rPr>
        <w:t>河发源于</w:t>
      </w:r>
      <w:r>
        <w:rPr>
          <w:rFonts w:hint="eastAsia"/>
          <w:color w:val="auto"/>
          <w:highlight w:val="none"/>
          <w:lang w:val="en-US" w:eastAsia="zh-CN"/>
        </w:rPr>
        <w:t>奇台县南侧博格达峰，消逝于平原，项目区处于达坂河发育末端，无常年性地表水体，暂时性暴雨时段会聚集少量暴雨径流，经强烈蒸发和地表入渗而干涸。现场调查期间，达板河从南侧山区向北侧平原流逝，断流点与本项目距离6km。</w:t>
      </w:r>
    </w:p>
    <w:p>
      <w:pPr>
        <w:pStyle w:val="4"/>
        <w:rPr>
          <w:rFonts w:hint="eastAsia"/>
          <w:color w:val="auto"/>
          <w:highlight w:val="none"/>
          <w:lang w:val="en-US" w:eastAsia="zh-CN"/>
        </w:rPr>
      </w:pPr>
      <w:r>
        <w:rPr>
          <w:rFonts w:hint="eastAsia"/>
          <w:color w:val="auto"/>
          <w:highlight w:val="none"/>
          <w:lang w:val="en-US" w:eastAsia="zh-CN"/>
        </w:rPr>
        <w:t>通过现场调查与咨询当地居民，达坂河流经本项目西侧不存在常年地表水体，仅在暴雨时，聚积少量雨水，并因当地干旱的气候而迅速蒸发或入渗进入地下水，向下游西北方向流去，另外，达坂河消散末端距离本项目较远，对本项目采砂坑不构成入渗补给关系，现状采砂杭内也不存在积水。</w:t>
      </w:r>
    </w:p>
    <w:p>
      <w:pPr>
        <w:pStyle w:val="4"/>
        <w:rPr>
          <w:rFonts w:hint="default"/>
          <w:color w:val="auto"/>
          <w:highlight w:val="none"/>
          <w:lang w:val="en-US" w:eastAsia="zh-CN"/>
        </w:rPr>
      </w:pPr>
      <w:r>
        <w:rPr>
          <w:rFonts w:hint="eastAsia"/>
          <w:color w:val="auto"/>
          <w:highlight w:val="none"/>
          <w:lang w:val="en-US" w:eastAsia="zh-CN"/>
        </w:rPr>
        <w:t>本项目针对渗滤液和可能发生的环境风险，制订了一系列环境风险防范措施，无其他生活及工业废水排放，根据《环境影响评价技术导则 地表水环境》（HJ2.3-2018），无地表受纳水体，不对地表水补充监测。</w:t>
      </w:r>
    </w:p>
    <w:p>
      <w:pPr>
        <w:pStyle w:val="6"/>
        <w:bidi w:val="0"/>
        <w:rPr>
          <w:rFonts w:hint="eastAsia"/>
          <w:color w:val="auto"/>
          <w:highlight w:val="none"/>
        </w:rPr>
      </w:pPr>
      <w:r>
        <w:rPr>
          <w:rFonts w:hint="eastAsia"/>
          <w:color w:val="auto"/>
          <w:highlight w:val="none"/>
          <w:lang w:val="en-US" w:eastAsia="zh-CN"/>
        </w:rPr>
        <w:t>地下水环境质量现状调查与评价</w:t>
      </w:r>
    </w:p>
    <w:p>
      <w:pPr>
        <w:pStyle w:val="4"/>
        <w:ind w:firstLine="480"/>
        <w:rPr>
          <w:color w:val="auto"/>
          <w:highlight w:val="none"/>
        </w:rPr>
      </w:pPr>
      <w:r>
        <w:rPr>
          <w:rFonts w:hint="eastAsia"/>
          <w:color w:val="auto"/>
          <w:highlight w:val="none"/>
        </w:rPr>
        <w:t>（1）数据来源</w:t>
      </w:r>
    </w:p>
    <w:p>
      <w:pPr>
        <w:pStyle w:val="4"/>
        <w:ind w:firstLine="480"/>
        <w:rPr>
          <w:rFonts w:hint="default"/>
          <w:color w:val="auto"/>
          <w:highlight w:val="none"/>
          <w:lang w:val="en-US" w:eastAsia="zh-CN"/>
        </w:rPr>
      </w:pPr>
      <w:r>
        <w:rPr>
          <w:rFonts w:hint="eastAsia"/>
          <w:color w:val="auto"/>
          <w:highlight w:val="none"/>
        </w:rPr>
        <w:t>根据《环境影响评价技术导则</w:t>
      </w:r>
      <w:r>
        <w:rPr>
          <w:rFonts w:hint="eastAsia"/>
          <w:color w:val="auto"/>
          <w:highlight w:val="none"/>
          <w:lang w:val="en-US" w:eastAsia="zh-CN"/>
        </w:rPr>
        <w:t xml:space="preserve"> </w:t>
      </w:r>
      <w:r>
        <w:rPr>
          <w:rFonts w:hint="eastAsia"/>
          <w:color w:val="auto"/>
          <w:highlight w:val="none"/>
        </w:rPr>
        <w:t>地下水环境》（HJ610-2016）</w:t>
      </w:r>
      <w:r>
        <w:rPr>
          <w:rFonts w:hint="eastAsia"/>
          <w:color w:val="auto"/>
          <w:highlight w:val="none"/>
          <w:lang w:eastAsia="zh-CN"/>
        </w:rPr>
        <w:t>，</w:t>
      </w:r>
      <w:r>
        <w:rPr>
          <w:rFonts w:hint="eastAsia"/>
          <w:color w:val="auto"/>
          <w:highlight w:val="none"/>
          <w:lang w:val="en-US" w:eastAsia="zh-CN"/>
        </w:rPr>
        <w:t>地下水三级评价要求为：“7.4.1了解调查评价区和场地环境水文地质条件。7.4.2基本掌握调查评价区的地下水补径排条件和地下水环境质量现状。7.4.3采用解析法或类比分析法进行地下水影响分析与评价。7.4.4提出切实可行的环境保护措施与地下水环境影响跟踪监测计划”。根据“8.1.2地下水环境现状调查与评价工作的深度应满足相应的工作级别要求。当现有资料不能满足要求时，应通过组织现场监测或环境水文地质勘察与试验等方法获取”，因此本项目地下水现状调查可采用收集资料法。</w:t>
      </w:r>
    </w:p>
    <w:p>
      <w:pPr>
        <w:pStyle w:val="4"/>
        <w:ind w:firstLine="480"/>
        <w:rPr>
          <w:rFonts w:hint="eastAsia"/>
          <w:color w:val="auto"/>
          <w:highlight w:val="none"/>
          <w:lang w:val="en-US" w:eastAsia="zh-CN"/>
        </w:rPr>
      </w:pPr>
      <w:r>
        <w:rPr>
          <w:rFonts w:hint="eastAsia"/>
          <w:color w:val="auto"/>
          <w:highlight w:val="none"/>
          <w:lang w:val="en-US" w:eastAsia="zh-CN"/>
        </w:rPr>
        <w:t>本次地下水现状调查引用新疆金塔固体废物治理有限公司委托</w:t>
      </w:r>
      <w:r>
        <w:rPr>
          <w:rFonts w:hint="eastAsia"/>
          <w:color w:val="auto"/>
          <w:highlight w:val="none"/>
        </w:rPr>
        <w:t>新疆</w:t>
      </w:r>
      <w:r>
        <w:rPr>
          <w:rFonts w:hint="eastAsia"/>
          <w:color w:val="auto"/>
          <w:highlight w:val="none"/>
          <w:lang w:val="en-US" w:eastAsia="zh-CN"/>
        </w:rPr>
        <w:t>天蓝蓝环保</w:t>
      </w:r>
      <w:r>
        <w:rPr>
          <w:rFonts w:hint="eastAsia"/>
          <w:color w:val="auto"/>
          <w:highlight w:val="none"/>
        </w:rPr>
        <w:t>技术服务有限公司</w:t>
      </w:r>
      <w:r>
        <w:rPr>
          <w:rFonts w:hint="eastAsia"/>
          <w:color w:val="auto"/>
          <w:highlight w:val="none"/>
          <w:lang w:val="en-US" w:eastAsia="zh-CN"/>
        </w:rPr>
        <w:t>就《奇台县废弃砂坑地质环境恢复治理（一般工业固体废弃物填埋场）建设项目》开展的现状补充监测数据（见附件5），《奇台县废弃砂坑地质环境恢复治理（一般工业固体废弃物填埋场）建设项目》建设地点位于本项目南侧隔乡村道路50m位置，地下水监测点设置了3个，分别位于本项目上游500m和下游3.5km、3.6km（具体见监测点位坐标与监测点位分布图），监测点位、数据时效性均满足本项目需求，引用数据可行。</w:t>
      </w:r>
    </w:p>
    <w:p>
      <w:pPr>
        <w:pStyle w:val="4"/>
        <w:ind w:firstLine="48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）评价方法</w:t>
      </w:r>
    </w:p>
    <w:p>
      <w:pPr>
        <w:pStyle w:val="4"/>
        <w:ind w:firstLine="480"/>
        <w:rPr>
          <w:color w:val="auto"/>
          <w:highlight w:val="none"/>
        </w:rPr>
      </w:pPr>
      <w:r>
        <w:rPr>
          <w:rFonts w:hint="eastAsia"/>
          <w:color w:val="auto"/>
          <w:highlight w:val="none"/>
        </w:rPr>
        <w:t>采用</w:t>
      </w:r>
      <w:r>
        <w:rPr>
          <w:rFonts w:hint="eastAsia"/>
          <w:color w:val="FF0000"/>
          <w:highlight w:val="none"/>
          <w:lang w:val="en-US" w:eastAsia="zh-CN"/>
        </w:rPr>
        <w:t>标准</w:t>
      </w:r>
      <w:r>
        <w:rPr>
          <w:rFonts w:hint="eastAsia"/>
          <w:color w:val="FF0000"/>
          <w:highlight w:val="none"/>
        </w:rPr>
        <w:t>指数法</w:t>
      </w:r>
      <w:r>
        <w:rPr>
          <w:rFonts w:hint="eastAsia"/>
          <w:color w:val="auto"/>
          <w:highlight w:val="none"/>
        </w:rPr>
        <w:t>评价，公式如下：</w:t>
      </w:r>
    </w:p>
    <w:p>
      <w:pPr>
        <w:tabs>
          <w:tab w:val="left" w:pos="0"/>
          <w:tab w:val="left" w:pos="210"/>
        </w:tabs>
        <w:jc w:val="center"/>
        <w:rPr>
          <w:color w:val="auto"/>
          <w:highlight w:val="none"/>
        </w:rPr>
      </w:pPr>
      <w:r>
        <w:rPr>
          <w:color w:val="auto"/>
          <w:position w:val="-12"/>
          <w:highlight w:val="none"/>
        </w:rPr>
        <w:object>
          <v:shape id="_x0000_i1031" o:spt="75" type="#_x0000_t75" style="height:18pt;width:57pt;" o:ole="t" filled="f" o:preferrelative="t" stroked="f" coordsize="21600,21600">
            <v:path/>
            <v:fill on="f" focussize="0,0"/>
            <v:stroke on="f" joinstyle="miter"/>
            <v:imagedata r:id="rId25" o:title=""/>
            <o:lock v:ext="edit" aspectratio="t"/>
            <w10:wrap type="none"/>
            <w10:anchorlock/>
          </v:shape>
          <o:OLEObject Type="Embed" ProgID="Equation.KSEE3" ShapeID="_x0000_i1031" DrawAspect="Content" ObjectID="_1468075728" r:id="rId24">
            <o:LockedField>false</o:LockedField>
          </o:OLEObject>
        </w:object>
      </w:r>
    </w:p>
    <w:p>
      <w:pPr>
        <w:pStyle w:val="4"/>
        <w:ind w:firstLine="480"/>
        <w:rPr>
          <w:color w:val="auto"/>
          <w:highlight w:val="none"/>
        </w:rPr>
      </w:pPr>
      <w:r>
        <w:rPr>
          <w:rFonts w:hint="eastAsia"/>
          <w:color w:val="auto"/>
          <w:highlight w:val="none"/>
        </w:rPr>
        <w:t>式中：</w:t>
      </w:r>
    </w:p>
    <w:p>
      <w:pPr>
        <w:pStyle w:val="4"/>
        <w:ind w:firstLine="480"/>
        <w:rPr>
          <w:color w:val="auto"/>
          <w:highlight w:val="none"/>
        </w:rPr>
      </w:pPr>
      <w:r>
        <w:rPr>
          <w:rFonts w:hint="eastAsia"/>
          <w:color w:val="auto"/>
          <w:highlight w:val="none"/>
        </w:rPr>
        <w:t>P</w:t>
      </w:r>
      <w:r>
        <w:rPr>
          <w:rFonts w:hint="eastAsia"/>
          <w:color w:val="auto"/>
          <w:highlight w:val="none"/>
          <w:vertAlign w:val="subscript"/>
        </w:rPr>
        <w:t>i</w:t>
      </w:r>
      <w:r>
        <w:rPr>
          <w:rFonts w:hint="eastAsia"/>
          <w:color w:val="auto"/>
          <w:highlight w:val="none"/>
        </w:rPr>
        <w:t>——某监测点第i种污染物污染指数；</w:t>
      </w:r>
    </w:p>
    <w:p>
      <w:pPr>
        <w:pStyle w:val="4"/>
        <w:ind w:firstLine="480"/>
        <w:rPr>
          <w:color w:val="auto"/>
          <w:highlight w:val="none"/>
        </w:rPr>
      </w:pPr>
      <w:r>
        <w:rPr>
          <w:rFonts w:hint="eastAsia"/>
          <w:color w:val="auto"/>
          <w:highlight w:val="none"/>
        </w:rPr>
        <w:t>C</w:t>
      </w:r>
      <w:r>
        <w:rPr>
          <w:rFonts w:hint="eastAsia"/>
          <w:color w:val="auto"/>
          <w:highlight w:val="none"/>
          <w:vertAlign w:val="subscript"/>
        </w:rPr>
        <w:t>i</w:t>
      </w:r>
      <w:r>
        <w:rPr>
          <w:rFonts w:hint="eastAsia"/>
          <w:color w:val="auto"/>
          <w:highlight w:val="none"/>
        </w:rPr>
        <w:t>——第i种污染物监测浓度值，单位mg/L；</w:t>
      </w:r>
    </w:p>
    <w:p>
      <w:pPr>
        <w:pStyle w:val="4"/>
        <w:ind w:firstLine="480"/>
        <w:rPr>
          <w:color w:val="auto"/>
          <w:highlight w:val="none"/>
        </w:rPr>
      </w:pPr>
      <w:r>
        <w:rPr>
          <w:rFonts w:hint="eastAsia"/>
          <w:color w:val="auto"/>
          <w:highlight w:val="none"/>
        </w:rPr>
        <w:t>Co</w:t>
      </w:r>
      <w:r>
        <w:rPr>
          <w:rFonts w:hint="eastAsia"/>
          <w:color w:val="auto"/>
          <w:highlight w:val="none"/>
          <w:vertAlign w:val="subscript"/>
        </w:rPr>
        <w:t>i</w:t>
      </w:r>
      <w:r>
        <w:rPr>
          <w:rFonts w:hint="eastAsia"/>
          <w:color w:val="auto"/>
          <w:highlight w:val="none"/>
        </w:rPr>
        <w:t>——第i种污染物评价标准，单位mg/L。</w:t>
      </w:r>
    </w:p>
    <w:p>
      <w:pPr>
        <w:pStyle w:val="4"/>
        <w:ind w:firstLine="480"/>
        <w:rPr>
          <w:color w:val="auto"/>
          <w:highlight w:val="none"/>
        </w:rPr>
      </w:pPr>
      <w:r>
        <w:rPr>
          <w:rFonts w:hint="eastAsia"/>
          <w:color w:val="auto"/>
          <w:highlight w:val="none"/>
        </w:rPr>
        <w:t>pH值的指数计算公式：</w:t>
      </w:r>
    </w:p>
    <w:p>
      <w:pPr>
        <w:tabs>
          <w:tab w:val="left" w:pos="0"/>
          <w:tab w:val="left" w:pos="210"/>
        </w:tabs>
        <w:jc w:val="center"/>
        <w:textAlignment w:val="bottom"/>
        <w:rPr>
          <w:color w:val="auto"/>
          <w:highlight w:val="none"/>
        </w:rPr>
      </w:pPr>
      <w:r>
        <w:rPr>
          <w:color w:val="auto"/>
          <w:position w:val="-30"/>
          <w:highlight w:val="none"/>
        </w:rPr>
        <w:object>
          <v:shape id="_x0000_i1032" o:spt="75" type="#_x0000_t75" style="height:36pt;width:93pt;" o:ole="t" filled="f" o:preferrelative="t" stroked="f" coordsize="21600,21600">
            <v:path/>
            <v:fill on="f" focussize="0,0"/>
            <v:stroke on="f" joinstyle="miter"/>
            <v:imagedata r:id="rId27" o:title=""/>
            <o:lock v:ext="edit" aspectratio="t"/>
            <w10:wrap type="none"/>
            <w10:anchorlock/>
          </v:shape>
          <o:OLEObject Type="Embed" ProgID="Equation.KSEE3" ShapeID="_x0000_i1032" DrawAspect="Content" ObjectID="_1468075729" r:id="rId26">
            <o:LockedField>false</o:LockedField>
          </o:OLEObject>
        </w:object>
      </w:r>
      <w:r>
        <w:rPr>
          <w:rFonts w:hint="eastAsia"/>
          <w:color w:val="auto"/>
          <w:highlight w:val="none"/>
        </w:rPr>
        <w:t xml:space="preserve">      pH</w:t>
      </w:r>
      <w:r>
        <w:rPr>
          <w:rFonts w:ascii="Arial" w:hAnsi="Arial" w:cs="Arial"/>
          <w:color w:val="auto"/>
          <w:highlight w:val="none"/>
        </w:rPr>
        <w:t>≤</w:t>
      </w:r>
      <w:r>
        <w:rPr>
          <w:rFonts w:hint="eastAsia"/>
          <w:color w:val="auto"/>
          <w:highlight w:val="none"/>
        </w:rPr>
        <w:t>7.0</w:t>
      </w:r>
    </w:p>
    <w:p>
      <w:pPr>
        <w:tabs>
          <w:tab w:val="left" w:pos="0"/>
          <w:tab w:val="left" w:pos="210"/>
        </w:tabs>
        <w:jc w:val="center"/>
        <w:textAlignment w:val="bottom"/>
        <w:rPr>
          <w:color w:val="auto"/>
          <w:highlight w:val="none"/>
        </w:rPr>
      </w:pPr>
      <w:r>
        <w:rPr>
          <w:color w:val="auto"/>
          <w:position w:val="-30"/>
          <w:highlight w:val="none"/>
        </w:rPr>
        <w:object>
          <v:shape id="_x0000_i1033" o:spt="75" type="#_x0000_t75" style="height:36pt;width:93pt;" o:ole="t" filled="f" o:preferrelative="t" stroked="f" coordsize="21600,21600">
            <v:path/>
            <v:fill on="f" focussize="0,0"/>
            <v:stroke on="f" joinstyle="miter"/>
            <v:imagedata r:id="rId29" o:title=""/>
            <o:lock v:ext="edit" aspectratio="t"/>
            <w10:wrap type="none"/>
            <w10:anchorlock/>
          </v:shape>
          <o:OLEObject Type="Embed" ProgID="Equation.KSEE3" ShapeID="_x0000_i1033" DrawAspect="Content" ObjectID="_1468075730" r:id="rId28">
            <o:LockedField>false</o:LockedField>
          </o:OLEObject>
        </w:object>
      </w:r>
      <w:r>
        <w:rPr>
          <w:rFonts w:hint="eastAsia"/>
          <w:color w:val="auto"/>
          <w:highlight w:val="none"/>
        </w:rPr>
        <w:t xml:space="preserve">      pH</w:t>
      </w:r>
      <w:r>
        <w:rPr>
          <w:color w:val="auto"/>
          <w:highlight w:val="none"/>
        </w:rPr>
        <w:t>&gt;</w:t>
      </w:r>
      <w:r>
        <w:rPr>
          <w:rFonts w:hint="eastAsia"/>
          <w:color w:val="auto"/>
          <w:highlight w:val="none"/>
        </w:rPr>
        <w:t>7.0</w:t>
      </w:r>
    </w:p>
    <w:p>
      <w:pPr>
        <w:pStyle w:val="4"/>
        <w:ind w:firstLine="480"/>
        <w:rPr>
          <w:color w:val="auto"/>
          <w:highlight w:val="none"/>
        </w:rPr>
      </w:pPr>
      <w:r>
        <w:rPr>
          <w:rFonts w:hint="eastAsia"/>
          <w:color w:val="auto"/>
          <w:highlight w:val="none"/>
        </w:rPr>
        <w:t>式中：</w:t>
      </w:r>
    </w:p>
    <w:p>
      <w:pPr>
        <w:pStyle w:val="4"/>
        <w:ind w:firstLine="480"/>
        <w:rPr>
          <w:color w:val="auto"/>
          <w:highlight w:val="none"/>
        </w:rPr>
      </w:pPr>
      <w:r>
        <w:rPr>
          <w:rFonts w:hint="eastAsia"/>
          <w:color w:val="auto"/>
          <w:highlight w:val="none"/>
        </w:rPr>
        <w:t>S</w:t>
      </w:r>
      <w:r>
        <w:rPr>
          <w:rFonts w:hint="eastAsia"/>
          <w:color w:val="auto"/>
          <w:highlight w:val="none"/>
          <w:vertAlign w:val="subscript"/>
        </w:rPr>
        <w:t>pH,j</w:t>
      </w:r>
      <w:r>
        <w:rPr>
          <w:rFonts w:hint="eastAsia"/>
          <w:color w:val="auto"/>
          <w:highlight w:val="none"/>
        </w:rPr>
        <w:t>——S</w:t>
      </w:r>
      <w:r>
        <w:rPr>
          <w:rFonts w:hint="eastAsia"/>
          <w:color w:val="auto"/>
          <w:highlight w:val="none"/>
          <w:vertAlign w:val="subscript"/>
        </w:rPr>
        <w:t>pH</w:t>
      </w:r>
      <w:r>
        <w:rPr>
          <w:rFonts w:hint="eastAsia"/>
          <w:color w:val="auto"/>
          <w:highlight w:val="none"/>
        </w:rPr>
        <w:t>值的指数，大于1表明该水质因子超标；</w:t>
      </w:r>
    </w:p>
    <w:p>
      <w:pPr>
        <w:pStyle w:val="4"/>
        <w:ind w:firstLine="480"/>
        <w:rPr>
          <w:color w:val="auto"/>
          <w:highlight w:val="none"/>
        </w:rPr>
      </w:pPr>
      <w:r>
        <w:rPr>
          <w:rFonts w:hint="eastAsia"/>
          <w:color w:val="auto"/>
          <w:highlight w:val="none"/>
        </w:rPr>
        <w:t>pH</w:t>
      </w:r>
      <w:r>
        <w:rPr>
          <w:rFonts w:hint="eastAsia"/>
          <w:color w:val="auto"/>
          <w:highlight w:val="none"/>
          <w:vertAlign w:val="subscript"/>
        </w:rPr>
        <w:t>j</w:t>
      </w:r>
      <w:r>
        <w:rPr>
          <w:rFonts w:hint="eastAsia"/>
          <w:color w:val="auto"/>
          <w:highlight w:val="none"/>
        </w:rPr>
        <w:t>——pH值实测统计代表值；</w:t>
      </w:r>
    </w:p>
    <w:p>
      <w:pPr>
        <w:pStyle w:val="4"/>
        <w:ind w:firstLine="480"/>
        <w:rPr>
          <w:color w:val="auto"/>
          <w:highlight w:val="none"/>
        </w:rPr>
      </w:pPr>
      <w:r>
        <w:rPr>
          <w:rFonts w:hint="eastAsia"/>
          <w:color w:val="auto"/>
          <w:highlight w:val="none"/>
        </w:rPr>
        <w:t>pH</w:t>
      </w:r>
      <w:r>
        <w:rPr>
          <w:rFonts w:hint="eastAsia"/>
          <w:color w:val="auto"/>
          <w:highlight w:val="none"/>
          <w:vertAlign w:val="subscript"/>
        </w:rPr>
        <w:t>s</w:t>
      </w:r>
      <w:r>
        <w:rPr>
          <w:rFonts w:hint="eastAsia"/>
          <w:color w:val="auto"/>
          <w:highlight w:val="none"/>
          <w:vertAlign w:val="subscript"/>
          <w:lang w:val="en-US" w:eastAsia="zh-CN"/>
        </w:rPr>
        <w:t>d</w:t>
      </w:r>
      <w:r>
        <w:rPr>
          <w:rFonts w:hint="eastAsia"/>
          <w:color w:val="auto"/>
          <w:highlight w:val="none"/>
        </w:rPr>
        <w:t>——评价标准中pH值的下限值；</w:t>
      </w:r>
    </w:p>
    <w:p>
      <w:pPr>
        <w:pStyle w:val="4"/>
        <w:ind w:firstLine="480"/>
        <w:rPr>
          <w:rFonts w:hint="eastAsia"/>
          <w:color w:val="auto"/>
          <w:highlight w:val="none"/>
          <w:lang w:val="en-US" w:eastAsia="zh-CN"/>
        </w:rPr>
      </w:pPr>
      <w:r>
        <w:rPr>
          <w:rFonts w:hint="eastAsia"/>
          <w:color w:val="auto"/>
          <w:highlight w:val="none"/>
        </w:rPr>
        <w:t>pH</w:t>
      </w:r>
      <w:r>
        <w:rPr>
          <w:rFonts w:hint="eastAsia"/>
          <w:color w:val="auto"/>
          <w:highlight w:val="none"/>
          <w:vertAlign w:val="subscript"/>
        </w:rPr>
        <w:t>s</w:t>
      </w:r>
      <w:r>
        <w:rPr>
          <w:rFonts w:hint="eastAsia"/>
          <w:color w:val="auto"/>
          <w:highlight w:val="none"/>
          <w:vertAlign w:val="subscript"/>
          <w:lang w:val="en-US" w:eastAsia="zh-CN"/>
        </w:rPr>
        <w:t>u</w:t>
      </w:r>
      <w:r>
        <w:rPr>
          <w:rFonts w:hint="eastAsia"/>
          <w:color w:val="auto"/>
          <w:highlight w:val="none"/>
        </w:rPr>
        <w:t>——评价标准中pH值的上限值。</w:t>
      </w:r>
    </w:p>
    <w:p>
      <w:pPr>
        <w:pStyle w:val="4"/>
        <w:ind w:firstLine="480"/>
        <w:rPr>
          <w:rFonts w:hint="eastAsia" w:eastAsia="宋体"/>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）监测</w:t>
      </w:r>
      <w:r>
        <w:rPr>
          <w:rFonts w:hint="eastAsia"/>
          <w:color w:val="auto"/>
          <w:highlight w:val="none"/>
          <w:lang w:val="en-US" w:eastAsia="zh-CN"/>
        </w:rPr>
        <w:t>方案</w:t>
      </w:r>
    </w:p>
    <w:p>
      <w:pPr>
        <w:pStyle w:val="4"/>
        <w:ind w:firstLine="480"/>
        <w:rPr>
          <w:rFonts w:hint="eastAsia"/>
          <w:color w:val="auto"/>
          <w:highlight w:val="none"/>
          <w:lang w:val="en-US" w:eastAsia="zh-CN"/>
        </w:rPr>
      </w:pPr>
      <w:r>
        <w:rPr>
          <w:rFonts w:hint="eastAsia"/>
          <w:color w:val="auto"/>
          <w:highlight w:val="none"/>
          <w:lang w:val="en-US" w:eastAsia="zh-CN"/>
        </w:rPr>
        <w:t>根据《奇台县废弃砂坑地质环境恢复治理（一般工业固体废弃物填埋场）建设项目》现状检测报告，监测方案如下：</w:t>
      </w:r>
    </w:p>
    <w:p>
      <w:pPr>
        <w:pStyle w:val="4"/>
        <w:ind w:firstLine="480"/>
        <w:rPr>
          <w:rFonts w:hint="default" w:eastAsia="宋体"/>
          <w:color w:val="auto"/>
          <w:highlight w:val="none"/>
          <w:lang w:val="en-US" w:eastAsia="zh-CN"/>
        </w:rPr>
      </w:pPr>
      <w:r>
        <w:rPr>
          <w:rFonts w:hint="eastAsia"/>
          <w:color w:val="auto"/>
          <w:highlight w:val="none"/>
        </w:rPr>
        <w:t>监测项目：pH、氨氮、硝酸盐、亚硝酸盐、挥发性酚类、氰化物、砷、汞、六价铬、总硬度、铅、氟、镉、铁、锰、溶解性总固体、高锰酸盐指数、硫酸盐</w:t>
      </w:r>
      <w:r>
        <w:rPr>
          <w:rFonts w:hint="eastAsia"/>
          <w:color w:val="auto"/>
          <w:highlight w:val="none"/>
          <w:lang w:eastAsia="zh-CN"/>
        </w:rPr>
        <w:t>（</w:t>
      </w:r>
      <w:r>
        <w:rPr>
          <w:rFonts w:hint="eastAsia"/>
          <w:color w:val="auto"/>
          <w:highlight w:val="none"/>
          <w:lang w:val="en-US" w:eastAsia="zh-CN"/>
        </w:rPr>
        <w:t>八大离子</w:t>
      </w:r>
      <w:r>
        <w:rPr>
          <w:rFonts w:hint="eastAsia"/>
          <w:color w:val="auto"/>
          <w:highlight w:val="none"/>
          <w:lang w:eastAsia="zh-CN"/>
        </w:rPr>
        <w:t>）</w:t>
      </w:r>
      <w:r>
        <w:rPr>
          <w:rFonts w:hint="eastAsia"/>
          <w:color w:val="auto"/>
          <w:highlight w:val="none"/>
        </w:rPr>
        <w:t>、氯化物</w:t>
      </w:r>
      <w:r>
        <w:rPr>
          <w:rFonts w:hint="eastAsia"/>
          <w:color w:val="auto"/>
          <w:highlight w:val="none"/>
          <w:lang w:eastAsia="zh-CN"/>
        </w:rPr>
        <w:t>（</w:t>
      </w:r>
      <w:r>
        <w:rPr>
          <w:rFonts w:hint="eastAsia"/>
          <w:color w:val="auto"/>
          <w:highlight w:val="none"/>
          <w:lang w:val="en-US" w:eastAsia="zh-CN"/>
        </w:rPr>
        <w:t>八大离子</w:t>
      </w:r>
      <w:r>
        <w:rPr>
          <w:rFonts w:hint="eastAsia"/>
          <w:color w:val="auto"/>
          <w:highlight w:val="none"/>
          <w:lang w:eastAsia="zh-CN"/>
        </w:rPr>
        <w:t>）</w:t>
      </w:r>
      <w:r>
        <w:rPr>
          <w:rFonts w:hint="eastAsia"/>
          <w:color w:val="auto"/>
          <w:highlight w:val="none"/>
        </w:rPr>
        <w:t>、总大肠杆菌群、细菌总数</w:t>
      </w:r>
      <w:r>
        <w:rPr>
          <w:rFonts w:hint="eastAsia"/>
          <w:color w:val="auto"/>
          <w:highlight w:val="none"/>
          <w:lang w:val="en-US" w:eastAsia="zh-CN"/>
        </w:rPr>
        <w:t>；八大离子：K</w:t>
      </w:r>
      <w:r>
        <w:rPr>
          <w:rFonts w:hint="eastAsia"/>
          <w:color w:val="auto"/>
          <w:highlight w:val="none"/>
          <w:vertAlign w:val="superscript"/>
          <w:lang w:val="en-US" w:eastAsia="zh-CN"/>
        </w:rPr>
        <w:t>+</w:t>
      </w:r>
      <w:r>
        <w:rPr>
          <w:rFonts w:hint="eastAsia"/>
          <w:color w:val="auto"/>
          <w:highlight w:val="none"/>
          <w:lang w:val="en-US" w:eastAsia="zh-CN"/>
        </w:rPr>
        <w:t>、Na</w:t>
      </w:r>
      <w:r>
        <w:rPr>
          <w:rFonts w:hint="eastAsia"/>
          <w:color w:val="auto"/>
          <w:highlight w:val="none"/>
          <w:vertAlign w:val="superscript"/>
          <w:lang w:val="en-US" w:eastAsia="zh-CN"/>
        </w:rPr>
        <w:t>+</w:t>
      </w:r>
      <w:r>
        <w:rPr>
          <w:rFonts w:hint="eastAsia"/>
          <w:color w:val="auto"/>
          <w:highlight w:val="none"/>
          <w:lang w:val="en-US" w:eastAsia="zh-CN"/>
        </w:rPr>
        <w:t>、Ca</w:t>
      </w:r>
      <w:r>
        <w:rPr>
          <w:rFonts w:hint="eastAsia"/>
          <w:color w:val="auto"/>
          <w:highlight w:val="none"/>
          <w:vertAlign w:val="superscript"/>
          <w:lang w:val="en-US" w:eastAsia="zh-CN"/>
        </w:rPr>
        <w:t>2+</w:t>
      </w:r>
      <w:r>
        <w:rPr>
          <w:rFonts w:hint="eastAsia"/>
          <w:color w:val="auto"/>
          <w:highlight w:val="none"/>
          <w:lang w:val="en-US" w:eastAsia="zh-CN"/>
        </w:rPr>
        <w:t>、Mg</w:t>
      </w:r>
      <w:r>
        <w:rPr>
          <w:rFonts w:hint="eastAsia"/>
          <w:color w:val="auto"/>
          <w:highlight w:val="none"/>
          <w:vertAlign w:val="superscript"/>
          <w:lang w:val="en-US" w:eastAsia="zh-CN"/>
        </w:rPr>
        <w:t>2+</w:t>
      </w:r>
      <w:r>
        <w:rPr>
          <w:rFonts w:hint="eastAsia"/>
          <w:color w:val="auto"/>
          <w:highlight w:val="none"/>
          <w:lang w:val="en-US" w:eastAsia="zh-CN"/>
        </w:rPr>
        <w:t>、CO</w:t>
      </w:r>
      <w:r>
        <w:rPr>
          <w:rFonts w:hint="eastAsia"/>
          <w:color w:val="auto"/>
          <w:highlight w:val="none"/>
          <w:vertAlign w:val="subscript"/>
          <w:lang w:val="en-US" w:eastAsia="zh-CN"/>
        </w:rPr>
        <w:t>3</w:t>
      </w:r>
      <w:r>
        <w:rPr>
          <w:rFonts w:hint="eastAsia"/>
          <w:color w:val="auto"/>
          <w:highlight w:val="none"/>
          <w:vertAlign w:val="superscript"/>
          <w:lang w:val="en-US" w:eastAsia="zh-CN"/>
        </w:rPr>
        <w:t>2-</w:t>
      </w:r>
      <w:r>
        <w:rPr>
          <w:rFonts w:hint="eastAsia"/>
          <w:color w:val="auto"/>
          <w:highlight w:val="none"/>
          <w:lang w:val="en-US" w:eastAsia="zh-CN"/>
        </w:rPr>
        <w:t>、HCO</w:t>
      </w:r>
      <w:r>
        <w:rPr>
          <w:rFonts w:hint="eastAsia"/>
          <w:color w:val="auto"/>
          <w:highlight w:val="none"/>
          <w:vertAlign w:val="subscript"/>
          <w:lang w:val="en-US" w:eastAsia="zh-CN"/>
        </w:rPr>
        <w:t>3</w:t>
      </w:r>
      <w:r>
        <w:rPr>
          <w:rFonts w:hint="eastAsia"/>
          <w:color w:val="auto"/>
          <w:highlight w:val="none"/>
          <w:vertAlign w:val="superscript"/>
          <w:lang w:val="en-US" w:eastAsia="zh-CN"/>
        </w:rPr>
        <w:t>-</w:t>
      </w:r>
      <w:r>
        <w:rPr>
          <w:rFonts w:hint="eastAsia"/>
          <w:color w:val="auto"/>
          <w:highlight w:val="none"/>
          <w:lang w:val="en-US" w:eastAsia="zh-CN"/>
        </w:rPr>
        <w:t>。</w:t>
      </w:r>
    </w:p>
    <w:p>
      <w:pPr>
        <w:pStyle w:val="4"/>
        <w:ind w:firstLine="480"/>
        <w:rPr>
          <w:rFonts w:hint="eastAsia"/>
          <w:color w:val="auto"/>
          <w:highlight w:val="none"/>
        </w:rPr>
      </w:pPr>
      <w:r>
        <w:rPr>
          <w:rFonts w:hint="eastAsia"/>
          <w:color w:val="auto"/>
          <w:highlight w:val="none"/>
        </w:rPr>
        <w:t>监测时间及频率</w:t>
      </w:r>
      <w:r>
        <w:rPr>
          <w:rFonts w:hint="eastAsia"/>
          <w:color w:val="auto"/>
          <w:highlight w:val="none"/>
          <w:lang w:eastAsia="zh-CN"/>
        </w:rPr>
        <w:t>：</w:t>
      </w:r>
      <w:r>
        <w:rPr>
          <w:rFonts w:hint="eastAsia"/>
          <w:color w:val="auto"/>
          <w:highlight w:val="none"/>
        </w:rPr>
        <w:t>监测</w:t>
      </w:r>
      <w:r>
        <w:rPr>
          <w:rFonts w:hint="eastAsia"/>
          <w:color w:val="auto"/>
          <w:highlight w:val="none"/>
          <w:lang w:val="en-US" w:eastAsia="zh-CN"/>
        </w:rPr>
        <w:t>时间为2021年4月28日</w:t>
      </w:r>
      <w:r>
        <w:rPr>
          <w:rFonts w:hint="eastAsia"/>
          <w:color w:val="auto"/>
          <w:highlight w:val="none"/>
        </w:rPr>
        <w:t>，1次</w:t>
      </w:r>
      <w:r>
        <w:rPr>
          <w:rFonts w:hint="eastAsia"/>
          <w:color w:val="auto"/>
          <w:highlight w:val="none"/>
          <w:lang w:val="en-US" w:eastAsia="zh-CN"/>
        </w:rPr>
        <w:t>采样</w:t>
      </w:r>
      <w:r>
        <w:rPr>
          <w:rFonts w:hint="eastAsia"/>
          <w:color w:val="auto"/>
          <w:highlight w:val="none"/>
        </w:rPr>
        <w:t>。</w:t>
      </w:r>
    </w:p>
    <w:p>
      <w:pPr>
        <w:pStyle w:val="4"/>
        <w:ind w:firstLine="480"/>
        <w:rPr>
          <w:rFonts w:hint="eastAsia"/>
          <w:color w:val="auto"/>
          <w:highlight w:val="none"/>
          <w:lang w:val="en-US" w:eastAsia="zh-CN"/>
        </w:rPr>
      </w:pPr>
      <w:r>
        <w:rPr>
          <w:rFonts w:hint="eastAsia"/>
          <w:color w:val="auto"/>
          <w:highlight w:val="none"/>
        </w:rPr>
        <w:t>监测点位</w:t>
      </w:r>
      <w:r>
        <w:rPr>
          <w:rFonts w:hint="eastAsia"/>
          <w:color w:val="auto"/>
          <w:highlight w:val="none"/>
          <w:lang w:eastAsia="zh-CN"/>
        </w:rPr>
        <w:t>：</w:t>
      </w:r>
      <w:r>
        <w:rPr>
          <w:rFonts w:hint="eastAsia"/>
          <w:color w:val="auto"/>
          <w:highlight w:val="none"/>
        </w:rPr>
        <w:t>根据《环境影响评价技术导则 地下水环境》（HJ610-2016），设</w:t>
      </w:r>
      <w:r>
        <w:rPr>
          <w:rFonts w:hint="eastAsia"/>
          <w:color w:val="auto"/>
          <w:highlight w:val="none"/>
          <w:lang w:val="en-US" w:eastAsia="zh-CN"/>
        </w:rPr>
        <w:t>3</w:t>
      </w:r>
      <w:r>
        <w:rPr>
          <w:rFonts w:hint="eastAsia"/>
          <w:color w:val="auto"/>
          <w:highlight w:val="none"/>
        </w:rPr>
        <w:t>个地下水水质监测点，分别布设于建设项目场地上游（1个</w:t>
      </w:r>
      <w:r>
        <w:rPr>
          <w:rFonts w:hint="eastAsia"/>
          <w:color w:val="auto"/>
          <w:highlight w:val="none"/>
          <w:lang w:eastAsia="zh-CN"/>
        </w:rPr>
        <w:t>，</w:t>
      </w:r>
      <w:r>
        <w:rPr>
          <w:rFonts w:hint="eastAsia"/>
          <w:color w:val="auto"/>
          <w:highlight w:val="none"/>
          <w:lang w:val="en-US" w:eastAsia="zh-CN"/>
        </w:rPr>
        <w:t>D</w:t>
      </w:r>
      <w:r>
        <w:rPr>
          <w:rFonts w:hint="eastAsia" w:ascii="Times New Roman" w:hAnsi="Times New Roman" w:eastAsia="宋体" w:cs="Times New Roman"/>
          <w:color w:val="auto"/>
          <w:highlight w:val="none"/>
          <w:lang w:val="en-US" w:eastAsia="zh-CN"/>
        </w:rPr>
        <w:t>1坐标</w:t>
      </w:r>
      <w:r>
        <w:rPr>
          <w:rFonts w:hint="default" w:ascii="Times New Roman" w:hAnsi="Times New Roman" w:eastAsia="宋体" w:cs="Times New Roman"/>
          <w:color w:val="auto"/>
          <w:highlight w:val="none"/>
          <w:lang w:val="en-US" w:eastAsia="zh-CN"/>
        </w:rPr>
        <w:t>E89°</w:t>
      </w:r>
      <w:r>
        <w:rPr>
          <w:rFonts w:hint="eastAsia" w:ascii="Times New Roman" w:hAnsi="Times New Roman" w:eastAsia="宋体" w:cs="Times New Roman"/>
          <w:color w:val="auto"/>
          <w:highlight w:val="none"/>
          <w:lang w:val="en-US" w:eastAsia="zh-CN"/>
        </w:rPr>
        <w:t>29</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58.261</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N43°53'</w:t>
      </w:r>
      <w:r>
        <w:rPr>
          <w:rFonts w:hint="eastAsia" w:ascii="Times New Roman" w:hAnsi="Times New Roman" w:eastAsia="宋体" w:cs="Times New Roman"/>
          <w:color w:val="auto"/>
          <w:highlight w:val="none"/>
          <w:lang w:val="en-US" w:eastAsia="zh-CN"/>
        </w:rPr>
        <w:t>55.247</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）、建设项目下游影响区（</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个</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D2坐标</w:t>
      </w:r>
      <w:r>
        <w:rPr>
          <w:rFonts w:hint="default" w:ascii="Times New Roman" w:hAnsi="Times New Roman" w:eastAsia="宋体" w:cs="Times New Roman"/>
          <w:color w:val="auto"/>
          <w:highlight w:val="none"/>
          <w:lang w:val="en-US" w:eastAsia="zh-CN"/>
        </w:rPr>
        <w:t>E89°</w:t>
      </w:r>
      <w:r>
        <w:rPr>
          <w:rFonts w:hint="eastAsia"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11</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814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N43°</w:t>
      </w:r>
      <w:r>
        <w:rPr>
          <w:rFonts w:hint="eastAsia" w:cs="Times New Roman"/>
          <w:color w:val="auto"/>
          <w:highlight w:val="none"/>
          <w:lang w:val="en-US" w:eastAsia="zh-CN"/>
        </w:rPr>
        <w:t>56</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117</w:t>
      </w:r>
      <w:r>
        <w:rPr>
          <w:rFonts w:hint="default" w:ascii="Times New Roman" w:hAnsi="Times New Roman" w:eastAsia="宋体" w:cs="Times New Roman"/>
          <w:color w:val="auto"/>
          <w:highlight w:val="none"/>
          <w:lang w:val="en-US" w:eastAsia="zh-CN"/>
        </w:rPr>
        <w:t>"；D3坐标E89°</w:t>
      </w:r>
      <w:r>
        <w:rPr>
          <w:rFonts w:hint="eastAsia" w:cs="Times New Roman"/>
          <w:color w:val="auto"/>
          <w:highlight w:val="none"/>
          <w:lang w:val="en-US" w:eastAsia="zh-CN"/>
        </w:rPr>
        <w:t>29</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37.448</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N43°</w:t>
      </w:r>
      <w:r>
        <w:rPr>
          <w:rFonts w:hint="eastAsia" w:ascii="Times New Roman" w:hAnsi="Times New Roman" w:eastAsia="宋体" w:cs="Times New Roman"/>
          <w:color w:val="auto"/>
          <w:highlight w:val="none"/>
          <w:lang w:val="en-US" w:eastAsia="zh-CN"/>
        </w:rPr>
        <w:t>5</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021</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w:t>
      </w:r>
      <w:r>
        <w:rPr>
          <w:rFonts w:hint="eastAsia"/>
          <w:color w:val="auto"/>
          <w:highlight w:val="none"/>
          <w:lang w:eastAsia="zh-CN"/>
        </w:rPr>
        <w:t>，</w:t>
      </w:r>
      <w:r>
        <w:rPr>
          <w:rFonts w:hint="eastAsia"/>
          <w:color w:val="auto"/>
          <w:highlight w:val="none"/>
          <w:lang w:val="en-US" w:eastAsia="zh-CN"/>
        </w:rPr>
        <w:t>监测点位分布见下图：</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053330" cy="3606800"/>
            <wp:effectExtent l="0" t="0" r="6350" b="5080"/>
            <wp:docPr id="12" name="图片 12" descr="地下水监测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下水监测点位"/>
                    <pic:cNvPicPr>
                      <a:picLocks noChangeAspect="1"/>
                    </pic:cNvPicPr>
                  </pic:nvPicPr>
                  <pic:blipFill>
                    <a:blip r:embed="rId30"/>
                    <a:stretch>
                      <a:fillRect/>
                    </a:stretch>
                  </pic:blipFill>
                  <pic:spPr>
                    <a:xfrm>
                      <a:off x="0" y="0"/>
                      <a:ext cx="5053330" cy="3606800"/>
                    </a:xfrm>
                    <a:prstGeom prst="rect">
                      <a:avLst/>
                    </a:prstGeom>
                  </pic:spPr>
                </pic:pic>
              </a:graphicData>
            </a:graphic>
          </wp:inline>
        </w:drawing>
      </w:r>
    </w:p>
    <w:p>
      <w:pPr>
        <w:pStyle w:val="22"/>
        <w:bidi w:val="0"/>
        <w:rPr>
          <w:rFonts w:hint="default"/>
          <w:lang w:val="en-US" w:eastAsia="zh-CN"/>
        </w:rPr>
      </w:pPr>
      <w:r>
        <w:rPr>
          <w:rFonts w:hint="eastAsia"/>
          <w:lang w:val="en-US" w:eastAsia="zh-CN"/>
        </w:rPr>
        <w:t>图4.2-2    地下水监测点位图</w:t>
      </w:r>
    </w:p>
    <w:p>
      <w:pPr>
        <w:pStyle w:val="4"/>
        <w:ind w:firstLine="48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）监测结果</w:t>
      </w:r>
    </w:p>
    <w:p>
      <w:pPr>
        <w:pStyle w:val="4"/>
        <w:ind w:firstLine="480"/>
        <w:rPr>
          <w:rFonts w:hint="eastAsia"/>
          <w:color w:val="auto"/>
          <w:highlight w:val="none"/>
        </w:rPr>
      </w:pPr>
      <w:r>
        <w:rPr>
          <w:rFonts w:hint="eastAsia"/>
          <w:color w:val="auto"/>
          <w:highlight w:val="none"/>
        </w:rPr>
        <w:t>地下水监测结果见下表：</w:t>
      </w:r>
    </w:p>
    <w:p>
      <w:pPr>
        <w:pStyle w:val="22"/>
        <w:bidi w:val="0"/>
      </w:pPr>
      <w:r>
        <w:rPr>
          <w:rFonts w:hint="eastAsia"/>
        </w:rPr>
        <w:t>表</w:t>
      </w:r>
      <w:r>
        <w:rPr>
          <w:rFonts w:hint="eastAsia"/>
          <w:lang w:val="en-US" w:eastAsia="zh-CN"/>
        </w:rPr>
        <w:t>4.2-4</w:t>
      </w:r>
      <w:r>
        <w:rPr>
          <w:rFonts w:hint="eastAsia"/>
        </w:rPr>
        <w:t xml:space="preserve">   地下水水质监测结果    单位：mg/L（pH值除外）</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597"/>
        <w:gridCol w:w="1238"/>
        <w:gridCol w:w="1413"/>
        <w:gridCol w:w="1413"/>
        <w:gridCol w:w="1154"/>
        <w:gridCol w:w="1154"/>
        <w:gridCol w:w="11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blHeader/>
        </w:trPr>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项目</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D1</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D2</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D3</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rPr>
              <w:t>标准</w:t>
            </w:r>
            <w:r>
              <w:rPr>
                <w:rFonts w:hint="eastAsia"/>
                <w:lang w:val="en-US" w:eastAsia="zh-CN"/>
              </w:rPr>
              <w:t>限值</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污染指数</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pH</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7.4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7.5</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7.4</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6.5</w:t>
            </w:r>
            <w:r>
              <w:rPr>
                <w:rFonts w:hint="default"/>
              </w:rPr>
              <w:t>⁓</w:t>
            </w:r>
            <w:r>
              <w:rPr>
                <w:rFonts w:hint="eastAsia"/>
              </w:rPr>
              <w:t>8.5</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0.27~0.33</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氨氮</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0.039</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0.035</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0.04</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0.50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0.07~0.08</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硝酸盐</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0.314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0.332</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0.338</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20.0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0.02</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亚硝酸盐</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&lt;0.003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0.023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0.023</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1.00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~0.02</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挥发性酚类</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&lt;0.0003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&lt;0.0003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&lt;0.0003</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0.002</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氰化物</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&lt;0.004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&lt;0.004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&lt;0.004</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0.05</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砷</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0.0005</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0.0006</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0.0006</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0.01</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0.05~0.6</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汞</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&lt;0.00004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&lt;0.00004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&lt;0.00004</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0.001</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六价铬</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0.004</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0.05</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总硬度</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178</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210</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206</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450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0.40~0.47</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铅</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0.0025</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0.0025</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0.0025</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0.01</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氟化物</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0.76</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0.63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0.71</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1.0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0.63~0.76</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镉</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0.001</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0.001</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0.001</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0.005</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铁</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0.03</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0.3</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锰</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0.01</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0.01</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w:t>
            </w:r>
            <w:r>
              <w:rPr>
                <w:rFonts w:hint="eastAsia"/>
                <w:lang w:val="en-US" w:eastAsia="zh-CN"/>
              </w:rPr>
              <w:t>0.01</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0.10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溶解性总固体</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192</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210</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238</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1000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0.19~0.24</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耗氧量</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0.8</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0.75</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0.7</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3.0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0.23~0.27</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硫酸盐</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62.8</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68.6</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73.4</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250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0.25~0.29</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氯化物</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37</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35.9</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250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0.10~0.15</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总大肠菌群</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2</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2</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2</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3.0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0.67</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菌落总数</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&lt;2</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&lt;2</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&lt;2</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w:t>
            </w:r>
            <w:r>
              <w:rPr>
                <w:rFonts w:hint="eastAsia"/>
              </w:rPr>
              <w:t>100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K</w:t>
            </w:r>
            <w:r>
              <w:rPr>
                <w:rFonts w:hint="eastAsia"/>
                <w:vertAlign w:val="superscript"/>
                <w:lang w:val="en-US" w:eastAsia="zh-CN"/>
              </w:rPr>
              <w:t>+</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0.974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0.942</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0.992</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Na</w:t>
            </w:r>
            <w:r>
              <w:rPr>
                <w:rFonts w:hint="eastAsia"/>
                <w:vertAlign w:val="superscript"/>
                <w:lang w:val="en-US" w:eastAsia="zh-CN"/>
              </w:rPr>
              <w:t>+</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21.3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20.8</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29.8</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Ca</w:t>
            </w:r>
            <w:r>
              <w:rPr>
                <w:rFonts w:hint="eastAsia"/>
                <w:vertAlign w:val="superscript"/>
                <w:lang w:val="en-US" w:eastAsia="zh-CN"/>
              </w:rPr>
              <w:t>2+</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41.6</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44.9</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45.3</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Mg</w:t>
            </w:r>
            <w:r>
              <w:rPr>
                <w:rFonts w:hint="eastAsia"/>
                <w:vertAlign w:val="superscript"/>
                <w:lang w:val="en-US" w:eastAsia="zh-CN"/>
              </w:rPr>
              <w:t>2+</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18.56</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23.93</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24.09</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CO</w:t>
            </w:r>
            <w:r>
              <w:rPr>
                <w:rFonts w:hint="eastAsia"/>
                <w:vertAlign w:val="subscript"/>
                <w:lang w:val="en-US" w:eastAsia="zh-CN"/>
              </w:rPr>
              <w:t>3</w:t>
            </w:r>
            <w:r>
              <w:rPr>
                <w:rFonts w:hint="eastAsia"/>
                <w:vertAlign w:val="superscript"/>
                <w:lang w:val="en-US" w:eastAsia="zh-CN"/>
              </w:rPr>
              <w:t>2-</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0.00</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0.00</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0.00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8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lang w:val="en-US" w:eastAsia="zh-CN"/>
              </w:rPr>
              <w:t>HCO</w:t>
            </w:r>
            <w:r>
              <w:rPr>
                <w:rFonts w:hint="eastAsia"/>
                <w:vertAlign w:val="subscript"/>
                <w:lang w:val="en-US" w:eastAsia="zh-CN"/>
              </w:rPr>
              <w:t>3</w:t>
            </w:r>
            <w:r>
              <w:rPr>
                <w:rFonts w:hint="eastAsia"/>
                <w:vertAlign w:val="superscript"/>
                <w:lang w:val="en-US" w:eastAsia="zh-CN"/>
              </w:rPr>
              <w:t>-</w:t>
            </w:r>
          </w:p>
        </w:tc>
        <w:tc>
          <w:tcPr>
            <w:tcW w:w="67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27.0</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58.4</w:t>
            </w:r>
          </w:p>
        </w:tc>
        <w:tc>
          <w:tcPr>
            <w:tcW w:w="77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59.1</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bl>
    <w:p>
      <w:pPr>
        <w:pStyle w:val="4"/>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5）地下水现状分析结论</w:t>
      </w:r>
    </w:p>
    <w:p>
      <w:pPr>
        <w:pStyle w:val="4"/>
        <w:rPr>
          <w:rFonts w:hint="eastAsia" w:eastAsia="宋体"/>
          <w:color w:val="auto"/>
          <w:highlight w:val="none"/>
          <w:lang w:eastAsia="zh-CN"/>
        </w:rPr>
      </w:pPr>
      <w:r>
        <w:rPr>
          <w:color w:val="auto"/>
          <w:highlight w:val="none"/>
        </w:rPr>
        <w:t>由上表可知，</w:t>
      </w:r>
      <w:r>
        <w:rPr>
          <w:rFonts w:hint="eastAsia"/>
          <w:color w:val="auto"/>
          <w:highlight w:val="none"/>
          <w:lang w:val="en-US" w:eastAsia="zh-CN"/>
        </w:rPr>
        <w:t>项目区地下水各污染因子均满足</w:t>
      </w:r>
      <w:r>
        <w:rPr>
          <w:color w:val="auto"/>
          <w:highlight w:val="none"/>
        </w:rPr>
        <w:t>《地</w:t>
      </w:r>
      <w:r>
        <w:rPr>
          <w:rFonts w:hint="eastAsia"/>
          <w:color w:val="auto"/>
          <w:highlight w:val="none"/>
        </w:rPr>
        <w:t>下</w:t>
      </w:r>
      <w:r>
        <w:rPr>
          <w:color w:val="auto"/>
          <w:highlight w:val="none"/>
        </w:rPr>
        <w:t>水环境质量标准》（</w:t>
      </w:r>
      <w:r>
        <w:rPr>
          <w:rFonts w:hint="eastAsia"/>
          <w:color w:val="auto"/>
          <w:highlight w:val="none"/>
          <w:lang w:eastAsia="zh-CN"/>
        </w:rPr>
        <w:t>GB</w:t>
      </w:r>
      <w:r>
        <w:rPr>
          <w:rFonts w:hint="eastAsia"/>
          <w:color w:val="auto"/>
          <w:highlight w:val="none"/>
        </w:rPr>
        <w:t>/T14848</w:t>
      </w:r>
      <w:r>
        <w:rPr>
          <w:color w:val="auto"/>
          <w:highlight w:val="none"/>
        </w:rPr>
        <w:t>-20</w:t>
      </w:r>
      <w:r>
        <w:rPr>
          <w:rFonts w:hint="eastAsia"/>
          <w:color w:val="auto"/>
          <w:highlight w:val="none"/>
        </w:rPr>
        <w:t>17</w:t>
      </w:r>
      <w:r>
        <w:rPr>
          <w:color w:val="auto"/>
          <w:highlight w:val="none"/>
        </w:rPr>
        <w:t>）中Ⅲ类标准</w:t>
      </w:r>
      <w:r>
        <w:rPr>
          <w:rFonts w:hint="eastAsia"/>
          <w:color w:val="auto"/>
          <w:highlight w:val="none"/>
          <w:lang w:eastAsia="zh-CN"/>
        </w:rPr>
        <w:t>，</w:t>
      </w:r>
      <w:r>
        <w:rPr>
          <w:rFonts w:hint="eastAsia"/>
          <w:color w:val="auto"/>
          <w:highlight w:val="none"/>
          <w:lang w:val="en-US" w:eastAsia="zh-CN"/>
        </w:rPr>
        <w:t>地下水环境质量较好</w:t>
      </w:r>
      <w:r>
        <w:rPr>
          <w:rFonts w:hint="eastAsia"/>
          <w:color w:val="auto"/>
          <w:highlight w:val="none"/>
          <w:lang w:eastAsia="zh-CN"/>
        </w:rPr>
        <w:t>。</w:t>
      </w:r>
    </w:p>
    <w:p>
      <w:pPr>
        <w:pStyle w:val="6"/>
        <w:bidi w:val="0"/>
        <w:rPr>
          <w:rFonts w:hint="eastAsia"/>
          <w:color w:val="auto"/>
          <w:highlight w:val="none"/>
        </w:rPr>
      </w:pPr>
      <w:r>
        <w:rPr>
          <w:rFonts w:hint="eastAsia"/>
          <w:color w:val="auto"/>
          <w:highlight w:val="none"/>
          <w:lang w:val="en-US" w:eastAsia="zh-CN"/>
        </w:rPr>
        <w:t>声环境质量现状调查与评价</w:t>
      </w:r>
    </w:p>
    <w:p>
      <w:pPr>
        <w:pStyle w:val="4"/>
        <w:ind w:firstLine="480"/>
        <w:rPr>
          <w:color w:val="auto"/>
          <w:highlight w:val="none"/>
        </w:rPr>
      </w:pPr>
      <w:r>
        <w:rPr>
          <w:rFonts w:hint="eastAsia"/>
          <w:color w:val="auto"/>
          <w:highlight w:val="none"/>
        </w:rPr>
        <w:t>（1）数据来源</w:t>
      </w:r>
    </w:p>
    <w:p>
      <w:pPr>
        <w:pStyle w:val="4"/>
        <w:ind w:firstLine="480"/>
        <w:rPr>
          <w:rFonts w:hint="default"/>
          <w:color w:val="auto"/>
          <w:highlight w:val="none"/>
          <w:lang w:val="en-US" w:eastAsia="zh-CN"/>
        </w:rPr>
      </w:pPr>
      <w:r>
        <w:rPr>
          <w:rFonts w:hint="eastAsia"/>
          <w:color w:val="auto"/>
          <w:highlight w:val="none"/>
          <w:lang w:val="en-US" w:eastAsia="zh-CN"/>
        </w:rPr>
        <w:t>本次声环境质量现状调查引用《奇台县废弃砂坑地质环境恢复治理（一般工业固体废弃物填埋场）建设项目检测报告》（新疆天蓝蓝环保</w:t>
      </w:r>
      <w:r>
        <w:rPr>
          <w:rFonts w:hint="eastAsia"/>
          <w:color w:val="auto"/>
          <w:highlight w:val="none"/>
        </w:rPr>
        <w:t>技术服务有限公司</w:t>
      </w:r>
      <w:r>
        <w:rPr>
          <w:rFonts w:hint="eastAsia"/>
          <w:color w:val="auto"/>
          <w:highlight w:val="none"/>
          <w:lang w:eastAsia="zh-CN"/>
        </w:rPr>
        <w:t>，</w:t>
      </w:r>
      <w:r>
        <w:rPr>
          <w:rFonts w:hint="eastAsia"/>
          <w:color w:val="auto"/>
          <w:highlight w:val="none"/>
          <w:lang w:val="en-US" w:eastAsia="zh-CN"/>
        </w:rPr>
        <w:t>2021年5月），监测时间为2021年5月，满足本项目数据时效性需求，该项目前期评价包括两个采坑，其中有一个采坑和本项目是同一个采坑，后面进行了更改，但针对本项目采坑进行了现状监测，因此引用其前期检测报告数据可行。</w:t>
      </w:r>
    </w:p>
    <w:p>
      <w:pPr>
        <w:pStyle w:val="4"/>
        <w:ind w:firstLine="480"/>
        <w:rPr>
          <w:rFonts w:hint="default"/>
          <w:color w:val="auto"/>
          <w:highlight w:val="none"/>
          <w:lang w:val="en-US" w:eastAsia="zh-CN"/>
        </w:rPr>
      </w:pPr>
      <w:r>
        <w:rPr>
          <w:rFonts w:hint="eastAsia"/>
          <w:color w:val="auto"/>
          <w:highlight w:val="none"/>
          <w:lang w:val="en-US" w:eastAsia="zh-CN"/>
        </w:rPr>
        <w:t>（2）监测方案</w:t>
      </w:r>
    </w:p>
    <w:p>
      <w:pPr>
        <w:pStyle w:val="4"/>
        <w:ind w:firstLine="480"/>
        <w:rPr>
          <w:rFonts w:hint="eastAsia"/>
          <w:color w:val="auto"/>
          <w:highlight w:val="none"/>
          <w:lang w:eastAsia="zh-CN"/>
        </w:rPr>
      </w:pPr>
      <w:r>
        <w:rPr>
          <w:rFonts w:hint="eastAsia"/>
          <w:color w:val="auto"/>
          <w:highlight w:val="none"/>
          <w:lang w:val="en-US" w:eastAsia="zh-CN"/>
        </w:rPr>
        <w:t>根据《奇台县废弃砂坑地质环境恢复治理（一般工业固体废弃物填埋场）建设项目检测报告》（新疆天蓝蓝环保</w:t>
      </w:r>
      <w:r>
        <w:rPr>
          <w:rFonts w:hint="eastAsia"/>
          <w:color w:val="auto"/>
          <w:highlight w:val="none"/>
        </w:rPr>
        <w:t>技术服务有限公司</w:t>
      </w:r>
      <w:r>
        <w:rPr>
          <w:rFonts w:hint="eastAsia"/>
          <w:color w:val="auto"/>
          <w:highlight w:val="none"/>
          <w:lang w:eastAsia="zh-CN"/>
        </w:rPr>
        <w:t>，</w:t>
      </w:r>
      <w:r>
        <w:rPr>
          <w:rFonts w:hint="eastAsia"/>
          <w:color w:val="auto"/>
          <w:highlight w:val="none"/>
          <w:lang w:val="en-US" w:eastAsia="zh-CN"/>
        </w:rPr>
        <w:t>2021年5月），其监测方案如下：</w:t>
      </w:r>
    </w:p>
    <w:p>
      <w:pPr>
        <w:pStyle w:val="4"/>
        <w:ind w:firstLine="480"/>
        <w:rPr>
          <w:rFonts w:hint="eastAsia" w:eastAsia="宋体"/>
          <w:color w:val="auto"/>
          <w:highlight w:val="none"/>
          <w:lang w:eastAsia="zh-CN"/>
        </w:rPr>
      </w:pPr>
      <w:r>
        <w:rPr>
          <w:color w:val="auto"/>
          <w:highlight w:val="none"/>
        </w:rPr>
        <w:t>监测项目：昼</w:t>
      </w:r>
      <w:r>
        <w:rPr>
          <w:rFonts w:hint="eastAsia"/>
          <w:color w:val="auto"/>
          <w:highlight w:val="none"/>
          <w:lang w:val="en-US" w:eastAsia="zh-CN"/>
        </w:rPr>
        <w:t>间、</w:t>
      </w:r>
      <w:r>
        <w:rPr>
          <w:color w:val="auto"/>
          <w:highlight w:val="none"/>
        </w:rPr>
        <w:t>夜</w:t>
      </w:r>
      <w:r>
        <w:rPr>
          <w:rFonts w:hint="eastAsia"/>
          <w:color w:val="auto"/>
          <w:highlight w:val="none"/>
          <w:lang w:val="en-US" w:eastAsia="zh-CN"/>
        </w:rPr>
        <w:t>间</w:t>
      </w:r>
      <w:r>
        <w:rPr>
          <w:color w:val="auto"/>
          <w:highlight w:val="none"/>
        </w:rPr>
        <w:t>等效A声级</w:t>
      </w:r>
      <w:r>
        <w:rPr>
          <w:rFonts w:hint="eastAsia"/>
          <w:color w:val="auto"/>
          <w:highlight w:val="none"/>
          <w:lang w:eastAsia="zh-CN"/>
        </w:rPr>
        <w:t>。</w:t>
      </w:r>
    </w:p>
    <w:p>
      <w:pPr>
        <w:pStyle w:val="4"/>
        <w:ind w:firstLine="480"/>
        <w:rPr>
          <w:rFonts w:hint="default" w:eastAsia="宋体"/>
          <w:color w:val="auto"/>
          <w:highlight w:val="none"/>
          <w:lang w:val="en-US" w:eastAsia="zh-CN"/>
        </w:rPr>
      </w:pPr>
      <w:r>
        <w:rPr>
          <w:rFonts w:hint="eastAsia"/>
          <w:color w:val="auto"/>
          <w:highlight w:val="none"/>
        </w:rPr>
        <w:t>监测</w:t>
      </w:r>
      <w:r>
        <w:rPr>
          <w:rFonts w:hint="eastAsia"/>
          <w:color w:val="auto"/>
          <w:highlight w:val="none"/>
          <w:lang w:val="en-US" w:eastAsia="zh-CN"/>
        </w:rPr>
        <w:t>时间及</w:t>
      </w:r>
      <w:r>
        <w:rPr>
          <w:rFonts w:hint="eastAsia"/>
          <w:color w:val="auto"/>
          <w:highlight w:val="none"/>
        </w:rPr>
        <w:t>频率：</w:t>
      </w:r>
      <w:r>
        <w:rPr>
          <w:rFonts w:hint="eastAsia"/>
          <w:color w:val="auto"/>
          <w:highlight w:val="none"/>
          <w:lang w:val="en-US" w:eastAsia="zh-CN"/>
        </w:rPr>
        <w:t>2021年3月31日~2021年4月2日，连续两个昼夜，昼间、夜间各1次。</w:t>
      </w:r>
    </w:p>
    <w:p>
      <w:pPr>
        <w:pStyle w:val="4"/>
        <w:ind w:firstLine="480"/>
        <w:rPr>
          <w:rFonts w:hint="eastAsia"/>
          <w:color w:val="auto"/>
          <w:highlight w:val="none"/>
          <w:lang w:eastAsia="zh-CN"/>
        </w:rPr>
      </w:pPr>
      <w:r>
        <w:rPr>
          <w:rFonts w:hint="eastAsia"/>
          <w:color w:val="auto"/>
          <w:highlight w:val="none"/>
        </w:rPr>
        <w:t>监测点位：</w:t>
      </w:r>
      <w:r>
        <w:rPr>
          <w:rFonts w:hint="eastAsia"/>
          <w:color w:val="auto"/>
          <w:highlight w:val="none"/>
          <w:lang w:val="en-US" w:eastAsia="zh-CN"/>
        </w:rPr>
        <w:t>填埋区场界四周，4</w:t>
      </w:r>
      <w:r>
        <w:rPr>
          <w:rFonts w:hint="eastAsia"/>
          <w:color w:val="auto"/>
          <w:highlight w:val="none"/>
        </w:rPr>
        <w:t>个点</w:t>
      </w:r>
      <w:r>
        <w:rPr>
          <w:rFonts w:hint="eastAsia"/>
          <w:color w:val="auto"/>
          <w:highlight w:val="none"/>
          <w:lang w:eastAsia="zh-CN"/>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FF0000"/>
          <w:highlight w:val="none"/>
          <w:lang w:val="en-US" w:eastAsia="zh-CN"/>
        </w:rPr>
      </w:pPr>
      <w:r>
        <w:rPr>
          <w:rFonts w:hint="eastAsia"/>
          <w:color w:val="FF0000"/>
          <w:highlight w:val="none"/>
          <w:lang w:val="en-US" w:eastAsia="zh-CN"/>
        </w:rPr>
        <w:drawing>
          <wp:inline distT="0" distB="0" distL="114300" distR="114300">
            <wp:extent cx="5755005" cy="3491230"/>
            <wp:effectExtent l="0" t="0" r="17145" b="13970"/>
            <wp:docPr id="18" name="图片 18" descr="噪声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噪声监测点位图"/>
                    <pic:cNvPicPr>
                      <a:picLocks noChangeAspect="1"/>
                    </pic:cNvPicPr>
                  </pic:nvPicPr>
                  <pic:blipFill>
                    <a:blip r:embed="rId31"/>
                    <a:stretch>
                      <a:fillRect/>
                    </a:stretch>
                  </pic:blipFill>
                  <pic:spPr>
                    <a:xfrm>
                      <a:off x="0" y="0"/>
                      <a:ext cx="5755005" cy="3491230"/>
                    </a:xfrm>
                    <a:prstGeom prst="rect">
                      <a:avLst/>
                    </a:prstGeom>
                  </pic:spPr>
                </pic:pic>
              </a:graphicData>
            </a:graphic>
          </wp:inline>
        </w:drawing>
      </w:r>
    </w:p>
    <w:p>
      <w:pPr>
        <w:pStyle w:val="22"/>
        <w:bidi w:val="0"/>
        <w:rPr>
          <w:rFonts w:hint="default"/>
          <w:color w:val="FF0000"/>
          <w:lang w:val="en-US" w:eastAsia="zh-CN"/>
        </w:rPr>
      </w:pPr>
      <w:r>
        <w:rPr>
          <w:rFonts w:hint="eastAsia"/>
          <w:color w:val="FF0000"/>
          <w:lang w:val="en-US" w:eastAsia="zh-CN"/>
        </w:rPr>
        <w:t>图4.2-3    噪声监测点位图</w:t>
      </w:r>
    </w:p>
    <w:p>
      <w:pPr>
        <w:pStyle w:val="4"/>
        <w:ind w:firstLine="48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3）评价方法</w:t>
      </w:r>
    </w:p>
    <w:p>
      <w:pPr>
        <w:pStyle w:val="4"/>
        <w:ind w:firstLine="480"/>
        <w:rPr>
          <w:rFonts w:hint="eastAsia" w:eastAsia="宋体"/>
          <w:color w:val="auto"/>
          <w:highlight w:val="none"/>
          <w:lang w:val="en-US" w:eastAsia="zh-CN"/>
        </w:rPr>
      </w:pPr>
      <w:r>
        <w:rPr>
          <w:rFonts w:hint="eastAsia"/>
          <w:color w:val="auto"/>
          <w:highlight w:val="none"/>
        </w:rPr>
        <w:t>比对法</w:t>
      </w:r>
      <w:r>
        <w:rPr>
          <w:rFonts w:hint="eastAsia"/>
          <w:color w:val="auto"/>
          <w:highlight w:val="none"/>
          <w:lang w:eastAsia="zh-CN"/>
        </w:rPr>
        <w:t>。</w:t>
      </w:r>
    </w:p>
    <w:p>
      <w:pPr>
        <w:pStyle w:val="4"/>
        <w:ind w:firstLine="48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4）监测结果</w:t>
      </w:r>
    </w:p>
    <w:p>
      <w:pPr>
        <w:pStyle w:val="4"/>
        <w:ind w:firstLine="480"/>
        <w:rPr>
          <w:color w:val="auto"/>
          <w:highlight w:val="none"/>
        </w:rPr>
      </w:pPr>
      <w:r>
        <w:rPr>
          <w:rFonts w:hint="eastAsia"/>
          <w:color w:val="auto"/>
          <w:highlight w:val="none"/>
        </w:rPr>
        <w:t>监测结果见下表：</w:t>
      </w:r>
    </w:p>
    <w:p>
      <w:pPr>
        <w:pStyle w:val="22"/>
        <w:bidi w:val="0"/>
        <w:rPr>
          <w:rFonts w:hint="eastAsia" w:eastAsia="宋体"/>
          <w:lang w:eastAsia="zh-CN"/>
        </w:rPr>
      </w:pPr>
      <w:r>
        <w:rPr>
          <w:rFonts w:hint="eastAsia"/>
        </w:rPr>
        <w:t>表</w:t>
      </w:r>
      <w:r>
        <w:rPr>
          <w:rFonts w:hint="eastAsia"/>
          <w:lang w:val="en-US" w:eastAsia="zh-CN"/>
        </w:rPr>
        <w:t>4.2-5</w:t>
      </w:r>
      <w:r>
        <w:rPr>
          <w:rFonts w:hint="eastAsia"/>
        </w:rPr>
        <w:t xml:space="preserve">   声环境现状监测结果   单位dB</w:t>
      </w:r>
      <w:r>
        <w:rPr>
          <w:rFonts w:hint="eastAsia"/>
          <w:lang w:eastAsia="zh-CN"/>
        </w:rPr>
        <w:t>（</w:t>
      </w:r>
      <w:r>
        <w:rPr>
          <w:rFonts w:hint="eastAsia"/>
        </w:rPr>
        <w:t>A</w:t>
      </w:r>
      <w:r>
        <w:rPr>
          <w:rFonts w:hint="eastAsia"/>
          <w:lang w:eastAsia="zh-CN"/>
        </w:rPr>
        <w:t>）</w:t>
      </w:r>
    </w:p>
    <w:tbl>
      <w:tblPr>
        <w:tblStyle w:val="1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766"/>
        <w:gridCol w:w="973"/>
        <w:gridCol w:w="1168"/>
        <w:gridCol w:w="1173"/>
        <w:gridCol w:w="899"/>
        <w:gridCol w:w="1108"/>
        <w:gridCol w:w="1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监测日期</w:t>
            </w:r>
          </w:p>
        </w:tc>
        <w:tc>
          <w:tcPr>
            <w:tcW w:w="951"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监测点位</w:t>
            </w:r>
          </w:p>
        </w:tc>
        <w:tc>
          <w:tcPr>
            <w:tcW w:w="1785"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昼间</w:t>
            </w:r>
          </w:p>
        </w:tc>
        <w:tc>
          <w:tcPr>
            <w:tcW w:w="1685"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951"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监测值</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标准限值</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达标情况</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监测值</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标准限值</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2021年3月31日</w:t>
            </w:r>
          </w:p>
        </w:tc>
        <w:tc>
          <w:tcPr>
            <w:tcW w:w="95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场区东侧1#</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44.6</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达标</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95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场区南侧2#</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44.3</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达标</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95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场区西侧3#</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45.4</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达标</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95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场区北侧4#</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44.5</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达标</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2021年4月1日</w:t>
            </w:r>
          </w:p>
        </w:tc>
        <w:tc>
          <w:tcPr>
            <w:tcW w:w="1766" w:type="dxa"/>
            <w:tcBorders>
              <w:tl2br w:val="nil"/>
              <w:tr2bl w:val="nil"/>
            </w:tcBorders>
            <w:vAlign w:val="center"/>
          </w:tcPr>
          <w:p>
            <w:pPr>
              <w:pStyle w:val="24"/>
              <w:keepNext w:val="0"/>
              <w:keepLines w:val="0"/>
              <w:suppressLineNumbers w:val="0"/>
              <w:bidi w:val="0"/>
              <w:spacing w:before="0" w:beforeAutospacing="0" w:after="0" w:afterAutospacing="0"/>
              <w:ind w:left="0" w:leftChars="0" w:right="0" w:rightChars="0"/>
              <w:rPr>
                <w:rFonts w:hint="eastAsia"/>
                <w:highlight w:val="none"/>
                <w:lang w:val="en-US" w:eastAsia="zh-CN"/>
              </w:rPr>
            </w:pPr>
            <w:r>
              <w:rPr>
                <w:rFonts w:hint="eastAsia"/>
                <w:highlight w:val="none"/>
                <w:lang w:val="en-US" w:eastAsia="zh-CN"/>
              </w:rPr>
              <w:t>场区东侧1#</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44.6</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达标</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39.5</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1766" w:type="dxa"/>
            <w:tcBorders>
              <w:tl2br w:val="nil"/>
              <w:tr2bl w:val="nil"/>
            </w:tcBorders>
            <w:vAlign w:val="center"/>
          </w:tcPr>
          <w:p>
            <w:pPr>
              <w:pStyle w:val="24"/>
              <w:keepNext w:val="0"/>
              <w:keepLines w:val="0"/>
              <w:suppressLineNumbers w:val="0"/>
              <w:bidi w:val="0"/>
              <w:spacing w:before="0" w:beforeAutospacing="0" w:after="0" w:afterAutospacing="0"/>
              <w:ind w:left="0" w:leftChars="0" w:right="0" w:rightChars="0"/>
              <w:rPr>
                <w:rFonts w:hint="eastAsia"/>
                <w:highlight w:val="none"/>
                <w:lang w:val="en-US" w:eastAsia="zh-CN"/>
              </w:rPr>
            </w:pPr>
            <w:r>
              <w:rPr>
                <w:rFonts w:hint="eastAsia"/>
                <w:highlight w:val="none"/>
                <w:lang w:val="en-US" w:eastAsia="zh-CN"/>
              </w:rPr>
              <w:t>场区南侧2#</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44.0</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达标</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39.7</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1766" w:type="dxa"/>
            <w:tcBorders>
              <w:tl2br w:val="nil"/>
              <w:tr2bl w:val="nil"/>
            </w:tcBorders>
            <w:vAlign w:val="center"/>
          </w:tcPr>
          <w:p>
            <w:pPr>
              <w:pStyle w:val="24"/>
              <w:keepNext w:val="0"/>
              <w:keepLines w:val="0"/>
              <w:suppressLineNumbers w:val="0"/>
              <w:bidi w:val="0"/>
              <w:spacing w:before="0" w:beforeAutospacing="0" w:after="0" w:afterAutospacing="0"/>
              <w:ind w:left="0" w:leftChars="0" w:right="0" w:rightChars="0"/>
              <w:rPr>
                <w:rFonts w:hint="eastAsia"/>
                <w:highlight w:val="none"/>
                <w:lang w:val="en-US" w:eastAsia="zh-CN"/>
              </w:rPr>
            </w:pPr>
            <w:r>
              <w:rPr>
                <w:rFonts w:hint="eastAsia"/>
                <w:highlight w:val="none"/>
                <w:lang w:val="en-US" w:eastAsia="zh-CN"/>
              </w:rPr>
              <w:t>场区西侧3#</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44.9</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达标</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39.3</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1766" w:type="dxa"/>
            <w:tcBorders>
              <w:tl2br w:val="nil"/>
              <w:tr2bl w:val="nil"/>
            </w:tcBorders>
            <w:vAlign w:val="center"/>
          </w:tcPr>
          <w:p>
            <w:pPr>
              <w:pStyle w:val="24"/>
              <w:keepNext w:val="0"/>
              <w:keepLines w:val="0"/>
              <w:suppressLineNumbers w:val="0"/>
              <w:bidi w:val="0"/>
              <w:spacing w:before="0" w:beforeAutospacing="0" w:after="0" w:afterAutospacing="0"/>
              <w:ind w:left="0" w:leftChars="0" w:right="0" w:rightChars="0"/>
              <w:rPr>
                <w:rFonts w:hint="eastAsia"/>
                <w:highlight w:val="none"/>
                <w:lang w:val="en-US" w:eastAsia="zh-CN"/>
              </w:rPr>
            </w:pPr>
            <w:r>
              <w:rPr>
                <w:rFonts w:hint="eastAsia"/>
                <w:highlight w:val="none"/>
                <w:lang w:val="en-US" w:eastAsia="zh-CN"/>
              </w:rPr>
              <w:t>场区北侧4#</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45.2</w:t>
            </w: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60</w:t>
            </w: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r>
              <w:rPr>
                <w:rFonts w:hint="eastAsia"/>
                <w:highlight w:val="none"/>
                <w:lang w:val="en-US" w:eastAsia="zh-CN"/>
              </w:rPr>
              <w:t>达标</w:t>
            </w: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39.0</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2021年4月2日</w:t>
            </w:r>
          </w:p>
        </w:tc>
        <w:tc>
          <w:tcPr>
            <w:tcW w:w="1766" w:type="dxa"/>
            <w:tcBorders>
              <w:tl2br w:val="nil"/>
              <w:tr2bl w:val="nil"/>
            </w:tcBorders>
            <w:vAlign w:val="center"/>
          </w:tcPr>
          <w:p>
            <w:pPr>
              <w:pStyle w:val="24"/>
              <w:keepNext w:val="0"/>
              <w:keepLines w:val="0"/>
              <w:suppressLineNumbers w:val="0"/>
              <w:bidi w:val="0"/>
              <w:spacing w:before="0" w:beforeAutospacing="0" w:after="0" w:afterAutospacing="0"/>
              <w:ind w:left="0" w:leftChars="0" w:right="0" w:rightChars="0"/>
              <w:rPr>
                <w:rFonts w:hint="eastAsia"/>
                <w:highlight w:val="none"/>
                <w:lang w:val="en-US" w:eastAsia="zh-CN"/>
              </w:rPr>
            </w:pPr>
            <w:r>
              <w:rPr>
                <w:rFonts w:hint="eastAsia"/>
                <w:highlight w:val="none"/>
                <w:lang w:val="en-US" w:eastAsia="zh-CN"/>
              </w:rPr>
              <w:t>场区东侧1#</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38.8</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1766" w:type="dxa"/>
            <w:tcBorders>
              <w:tl2br w:val="nil"/>
              <w:tr2bl w:val="nil"/>
            </w:tcBorders>
            <w:vAlign w:val="center"/>
          </w:tcPr>
          <w:p>
            <w:pPr>
              <w:pStyle w:val="24"/>
              <w:keepNext w:val="0"/>
              <w:keepLines w:val="0"/>
              <w:suppressLineNumbers w:val="0"/>
              <w:bidi w:val="0"/>
              <w:spacing w:before="0" w:beforeAutospacing="0" w:after="0" w:afterAutospacing="0"/>
              <w:ind w:left="0" w:leftChars="0" w:right="0" w:rightChars="0"/>
              <w:rPr>
                <w:rFonts w:hint="eastAsia"/>
                <w:highlight w:val="none"/>
                <w:lang w:val="en-US" w:eastAsia="zh-CN"/>
              </w:rPr>
            </w:pPr>
            <w:r>
              <w:rPr>
                <w:rFonts w:hint="eastAsia"/>
                <w:highlight w:val="none"/>
                <w:lang w:val="en-US" w:eastAsia="zh-CN"/>
              </w:rPr>
              <w:t>场区南侧2#</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39.3</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1766" w:type="dxa"/>
            <w:tcBorders>
              <w:tl2br w:val="nil"/>
              <w:tr2bl w:val="nil"/>
            </w:tcBorders>
            <w:vAlign w:val="center"/>
          </w:tcPr>
          <w:p>
            <w:pPr>
              <w:pStyle w:val="24"/>
              <w:keepNext w:val="0"/>
              <w:keepLines w:val="0"/>
              <w:suppressLineNumbers w:val="0"/>
              <w:bidi w:val="0"/>
              <w:spacing w:before="0" w:beforeAutospacing="0" w:after="0" w:afterAutospacing="0"/>
              <w:ind w:left="0" w:leftChars="0" w:right="0" w:rightChars="0"/>
              <w:rPr>
                <w:rFonts w:hint="eastAsia"/>
                <w:highlight w:val="none"/>
                <w:lang w:val="en-US" w:eastAsia="zh-CN"/>
              </w:rPr>
            </w:pPr>
            <w:r>
              <w:rPr>
                <w:rFonts w:hint="eastAsia"/>
                <w:highlight w:val="none"/>
                <w:lang w:val="en-US" w:eastAsia="zh-CN"/>
              </w:rPr>
              <w:t>场区西侧3#</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38.5</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1766" w:type="dxa"/>
            <w:tcBorders>
              <w:tl2br w:val="nil"/>
              <w:tr2bl w:val="nil"/>
            </w:tcBorders>
            <w:vAlign w:val="center"/>
          </w:tcPr>
          <w:p>
            <w:pPr>
              <w:pStyle w:val="24"/>
              <w:keepNext w:val="0"/>
              <w:keepLines w:val="0"/>
              <w:suppressLineNumbers w:val="0"/>
              <w:bidi w:val="0"/>
              <w:spacing w:before="0" w:beforeAutospacing="0" w:after="0" w:afterAutospacing="0"/>
              <w:ind w:left="0" w:leftChars="0" w:right="0" w:rightChars="0"/>
              <w:rPr>
                <w:rFonts w:hint="eastAsia"/>
                <w:highlight w:val="none"/>
                <w:lang w:val="en-US" w:eastAsia="zh-CN"/>
              </w:rPr>
            </w:pPr>
            <w:r>
              <w:rPr>
                <w:rFonts w:hint="eastAsia"/>
                <w:highlight w:val="none"/>
                <w:lang w:val="en-US" w:eastAsia="zh-CN"/>
              </w:rPr>
              <w:t>场区北侧4#</w:t>
            </w:r>
          </w:p>
        </w:tc>
        <w:tc>
          <w:tcPr>
            <w:tcW w:w="5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62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63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48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38.9</w:t>
            </w:r>
          </w:p>
        </w:tc>
        <w:tc>
          <w:tcPr>
            <w:tcW w:w="59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50</w:t>
            </w:r>
          </w:p>
        </w:tc>
        <w:tc>
          <w:tcPr>
            <w:tcW w:w="60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达标</w:t>
            </w:r>
          </w:p>
        </w:tc>
      </w:tr>
    </w:tbl>
    <w:p>
      <w:pPr>
        <w:pStyle w:val="4"/>
        <w:ind w:firstLine="48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）声环境质量现状分析</w:t>
      </w:r>
    </w:p>
    <w:p>
      <w:pPr>
        <w:pStyle w:val="4"/>
        <w:rPr>
          <w:rFonts w:hint="eastAsia"/>
          <w:color w:val="auto"/>
          <w:highlight w:val="none"/>
        </w:rPr>
      </w:pPr>
      <w:r>
        <w:rPr>
          <w:rFonts w:hint="eastAsia"/>
          <w:color w:val="auto"/>
          <w:highlight w:val="none"/>
        </w:rPr>
        <w:t>由监测结果可知，项目区域</w:t>
      </w:r>
      <w:r>
        <w:rPr>
          <w:rFonts w:hint="eastAsia"/>
          <w:color w:val="auto"/>
          <w:highlight w:val="none"/>
          <w:lang w:val="en-US" w:eastAsia="zh-CN"/>
        </w:rPr>
        <w:t>声环境现状</w:t>
      </w:r>
      <w:r>
        <w:rPr>
          <w:rFonts w:hint="eastAsia"/>
          <w:color w:val="auto"/>
          <w:highlight w:val="none"/>
        </w:rPr>
        <w:t>监测值</w:t>
      </w:r>
      <w:r>
        <w:rPr>
          <w:rFonts w:hint="eastAsia"/>
          <w:color w:val="auto"/>
          <w:highlight w:val="none"/>
          <w:lang w:val="en-US" w:eastAsia="zh-CN"/>
        </w:rPr>
        <w:t>均</w:t>
      </w:r>
      <w:r>
        <w:rPr>
          <w:rFonts w:hint="eastAsia"/>
          <w:color w:val="auto"/>
          <w:highlight w:val="none"/>
        </w:rPr>
        <w:t>满足《声环境质量标准》（</w:t>
      </w:r>
      <w:r>
        <w:rPr>
          <w:rFonts w:hint="eastAsia"/>
          <w:color w:val="auto"/>
          <w:highlight w:val="none"/>
          <w:lang w:eastAsia="zh-CN"/>
        </w:rPr>
        <w:t>GB</w:t>
      </w:r>
      <w:r>
        <w:rPr>
          <w:rFonts w:hint="eastAsia"/>
          <w:color w:val="auto"/>
          <w:highlight w:val="none"/>
        </w:rPr>
        <w:t>3096-2008）</w:t>
      </w:r>
      <w:r>
        <w:rPr>
          <w:rFonts w:hint="eastAsia"/>
          <w:color w:val="auto"/>
          <w:highlight w:val="none"/>
          <w:lang w:val="en-US" w:eastAsia="zh-CN"/>
        </w:rPr>
        <w:t>2</w:t>
      </w:r>
      <w:r>
        <w:rPr>
          <w:rFonts w:hint="eastAsia"/>
          <w:color w:val="auto"/>
          <w:highlight w:val="none"/>
        </w:rPr>
        <w:t>类标准要求。</w:t>
      </w:r>
    </w:p>
    <w:p>
      <w:pPr>
        <w:pStyle w:val="6"/>
        <w:bidi w:val="0"/>
        <w:rPr>
          <w:rFonts w:hint="eastAsia"/>
          <w:color w:val="auto"/>
          <w:highlight w:val="none"/>
        </w:rPr>
      </w:pPr>
      <w:r>
        <w:rPr>
          <w:rFonts w:hint="eastAsia"/>
          <w:color w:val="auto"/>
          <w:highlight w:val="none"/>
          <w:lang w:val="en-US" w:eastAsia="zh-CN"/>
        </w:rPr>
        <w:t>土壤环境质量现状调查与评价</w:t>
      </w:r>
    </w:p>
    <w:p>
      <w:pPr>
        <w:pStyle w:val="4"/>
        <w:ind w:firstLine="480"/>
        <w:rPr>
          <w:rFonts w:hint="eastAsia" w:eastAsia="宋体"/>
          <w:color w:val="auto"/>
          <w:highlight w:val="none"/>
          <w:lang w:val="en-US" w:eastAsia="zh-CN"/>
        </w:rPr>
      </w:pPr>
      <w:r>
        <w:rPr>
          <w:rFonts w:hint="eastAsia"/>
          <w:color w:val="auto"/>
          <w:highlight w:val="none"/>
          <w:lang w:val="en-US" w:eastAsia="zh-CN"/>
        </w:rPr>
        <w:t>据调查项目区土壤类型为灰漠土，土壤类型单一。</w:t>
      </w:r>
      <w:r>
        <w:rPr>
          <w:rFonts w:hint="eastAsia"/>
          <w:color w:val="auto"/>
          <w:highlight w:val="none"/>
        </w:rPr>
        <w:t>根据《环境影响评价技术导则-</w:t>
      </w:r>
      <w:r>
        <w:rPr>
          <w:rFonts w:hint="eastAsia"/>
          <w:color w:val="auto"/>
          <w:highlight w:val="none"/>
          <w:lang w:val="en-US" w:eastAsia="zh-CN"/>
        </w:rPr>
        <w:t>土壤</w:t>
      </w:r>
      <w:r>
        <w:rPr>
          <w:rFonts w:hint="eastAsia"/>
          <w:color w:val="auto"/>
          <w:highlight w:val="none"/>
        </w:rPr>
        <w:t>环境</w:t>
      </w:r>
      <w:r>
        <w:rPr>
          <w:rFonts w:hint="eastAsia"/>
          <w:color w:val="auto"/>
          <w:highlight w:val="none"/>
          <w:lang w:eastAsia="zh-CN"/>
        </w:rPr>
        <w:t>（</w:t>
      </w:r>
      <w:r>
        <w:rPr>
          <w:rFonts w:hint="eastAsia"/>
          <w:color w:val="auto"/>
          <w:highlight w:val="none"/>
          <w:lang w:val="en-US" w:eastAsia="zh-CN"/>
        </w:rPr>
        <w:t>试行）</w:t>
      </w:r>
      <w:r>
        <w:rPr>
          <w:rFonts w:hint="eastAsia"/>
          <w:color w:val="auto"/>
          <w:highlight w:val="none"/>
        </w:rPr>
        <w:t>》（HJ</w:t>
      </w:r>
      <w:r>
        <w:rPr>
          <w:rFonts w:hint="eastAsia"/>
          <w:color w:val="auto"/>
          <w:highlight w:val="none"/>
          <w:lang w:val="en-US" w:eastAsia="zh-CN"/>
        </w:rPr>
        <w:t>964</w:t>
      </w:r>
      <w:r>
        <w:rPr>
          <w:rFonts w:hint="eastAsia"/>
          <w:color w:val="auto"/>
          <w:highlight w:val="none"/>
        </w:rPr>
        <w:t>-201</w:t>
      </w:r>
      <w:r>
        <w:rPr>
          <w:rFonts w:hint="eastAsia"/>
          <w:color w:val="auto"/>
          <w:highlight w:val="none"/>
          <w:lang w:val="en-US" w:eastAsia="zh-CN"/>
        </w:rPr>
        <w:t>8</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土壤现状调查的基本要求：“7.1.2土壤环境现状调查与评价工作的深度应满足相应的工作级别要求，当现有资料不能满足要求时，应通过组织现场调查、监测等方法获取”，因此本项目土壤现状调查可采用收集资料法。</w:t>
      </w:r>
    </w:p>
    <w:p>
      <w:pPr>
        <w:pStyle w:val="4"/>
        <w:ind w:firstLine="480"/>
        <w:rPr>
          <w:color w:val="auto"/>
          <w:highlight w:val="none"/>
        </w:rPr>
      </w:pPr>
      <w:r>
        <w:rPr>
          <w:rFonts w:hint="eastAsia"/>
          <w:color w:val="auto"/>
          <w:highlight w:val="none"/>
        </w:rPr>
        <w:t>（1）数据来源</w:t>
      </w:r>
    </w:p>
    <w:p>
      <w:pPr>
        <w:pStyle w:val="4"/>
        <w:ind w:firstLine="480"/>
        <w:rPr>
          <w:rFonts w:hint="eastAsia"/>
          <w:color w:val="auto"/>
          <w:highlight w:val="none"/>
          <w:lang w:val="en-US" w:eastAsia="zh-CN"/>
        </w:rPr>
      </w:pPr>
      <w:r>
        <w:rPr>
          <w:rFonts w:hint="eastAsia"/>
          <w:color w:val="auto"/>
          <w:highlight w:val="none"/>
          <w:lang w:val="en-US" w:eastAsia="zh-CN"/>
        </w:rPr>
        <w:t>奇台县瑞丰商贸有限公司于2021年7月就非法倾倒废渣行业进行了场地调查，就此次场调委托新疆博奇清新环境检测有限公司进行了环境质量监测，本次土壤质量现状调查引用《奇台县瑞丰商贸有限公司奇台废渣非法倾倒现场监测报告》（新疆博奇清新环境检测有限公司，2021年7月）（见附件6），引用数据可行性分析如下：</w:t>
      </w:r>
    </w:p>
    <w:p>
      <w:pPr>
        <w:pStyle w:val="4"/>
        <w:ind w:firstLine="480"/>
        <w:rPr>
          <w:rFonts w:hint="eastAsia"/>
          <w:color w:val="auto"/>
          <w:highlight w:val="none"/>
          <w:lang w:val="en-US" w:eastAsia="zh-CN"/>
        </w:rPr>
      </w:pPr>
      <w:r>
        <w:rPr>
          <w:rFonts w:hint="eastAsia"/>
          <w:color w:val="auto"/>
          <w:highlight w:val="none"/>
          <w:lang w:val="en-US" w:eastAsia="zh-CN"/>
        </w:rPr>
        <w:t>1）数据时效性</w:t>
      </w:r>
    </w:p>
    <w:p>
      <w:pPr>
        <w:pStyle w:val="4"/>
        <w:ind w:firstLine="480"/>
        <w:rPr>
          <w:rFonts w:hint="eastAsia"/>
          <w:color w:val="auto"/>
          <w:highlight w:val="none"/>
          <w:lang w:val="en-US" w:eastAsia="zh-CN"/>
        </w:rPr>
      </w:pPr>
      <w:r>
        <w:rPr>
          <w:rFonts w:hint="eastAsia"/>
          <w:color w:val="auto"/>
          <w:highlight w:val="none"/>
          <w:lang w:val="en-US" w:eastAsia="zh-CN"/>
        </w:rPr>
        <w:t>《奇台县瑞丰商贸有限公司奇台废渣非法倾倒现场监测报告》（新疆博奇清新环境检测有限公司，2021年7月）现场监测时间为2021年5月和2021年7月，为三年内有效数据，满足本项目数据时效性需求。</w:t>
      </w:r>
    </w:p>
    <w:p>
      <w:pPr>
        <w:pStyle w:val="4"/>
        <w:ind w:firstLine="480"/>
        <w:rPr>
          <w:rFonts w:hint="eastAsia"/>
          <w:color w:val="auto"/>
          <w:highlight w:val="none"/>
          <w:lang w:val="en-US" w:eastAsia="zh-CN"/>
        </w:rPr>
      </w:pPr>
      <w:r>
        <w:rPr>
          <w:rFonts w:hint="eastAsia"/>
          <w:color w:val="auto"/>
          <w:highlight w:val="none"/>
          <w:lang w:val="en-US" w:eastAsia="zh-CN"/>
        </w:rPr>
        <w:t>2）监测点位布置情况</w:t>
      </w:r>
    </w:p>
    <w:p>
      <w:pPr>
        <w:pStyle w:val="4"/>
        <w:ind w:firstLine="480"/>
        <w:rPr>
          <w:rFonts w:hint="eastAsia"/>
          <w:color w:val="auto"/>
          <w:highlight w:val="none"/>
          <w:lang w:val="en-US" w:eastAsia="zh-CN"/>
        </w:rPr>
      </w:pPr>
      <w:r>
        <w:rPr>
          <w:rFonts w:hint="eastAsia"/>
          <w:color w:val="auto"/>
          <w:highlight w:val="none"/>
          <w:lang w:val="en-US" w:eastAsia="zh-CN"/>
        </w:rPr>
        <w:t>场调监测布点为：在可能被非法倾倒固体废物污染区域设置4个柱状采样点，在其他未堆放固体废物的区域设置5个表层样点，作为本次调查的背景样点。</w:t>
      </w:r>
      <w:r>
        <w:rPr>
          <w:rFonts w:hint="eastAsia"/>
          <w:color w:val="auto"/>
          <w:highlight w:val="none"/>
        </w:rPr>
        <w:t>根据《环境影响评价技术导则-</w:t>
      </w:r>
      <w:r>
        <w:rPr>
          <w:rFonts w:hint="eastAsia"/>
          <w:color w:val="auto"/>
          <w:highlight w:val="none"/>
          <w:lang w:val="en-US" w:eastAsia="zh-CN"/>
        </w:rPr>
        <w:t>土壤</w:t>
      </w:r>
      <w:r>
        <w:rPr>
          <w:rFonts w:hint="eastAsia"/>
          <w:color w:val="auto"/>
          <w:highlight w:val="none"/>
        </w:rPr>
        <w:t>环境</w:t>
      </w:r>
      <w:r>
        <w:rPr>
          <w:rFonts w:hint="eastAsia"/>
          <w:color w:val="auto"/>
          <w:highlight w:val="none"/>
          <w:lang w:eastAsia="zh-CN"/>
        </w:rPr>
        <w:t>（</w:t>
      </w:r>
      <w:r>
        <w:rPr>
          <w:rFonts w:hint="eastAsia"/>
          <w:color w:val="auto"/>
          <w:highlight w:val="none"/>
          <w:lang w:val="en-US" w:eastAsia="zh-CN"/>
        </w:rPr>
        <w:t>试行）</w:t>
      </w:r>
      <w:r>
        <w:rPr>
          <w:rFonts w:hint="eastAsia"/>
          <w:color w:val="auto"/>
          <w:highlight w:val="none"/>
        </w:rPr>
        <w:t>》（HJ</w:t>
      </w:r>
      <w:r>
        <w:rPr>
          <w:rFonts w:hint="eastAsia"/>
          <w:color w:val="auto"/>
          <w:highlight w:val="none"/>
          <w:lang w:val="en-US" w:eastAsia="zh-CN"/>
        </w:rPr>
        <w:t>964</w:t>
      </w:r>
      <w:r>
        <w:rPr>
          <w:rFonts w:hint="eastAsia"/>
          <w:color w:val="auto"/>
          <w:highlight w:val="none"/>
        </w:rPr>
        <w:t>-201</w:t>
      </w:r>
      <w:r>
        <w:rPr>
          <w:rFonts w:hint="eastAsia"/>
          <w:color w:val="auto"/>
          <w:highlight w:val="none"/>
          <w:lang w:val="en-US" w:eastAsia="zh-CN"/>
        </w:rPr>
        <w:t>8</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三级评价补充监测点为场地内3个表层样点。因此《奇台县瑞丰商贸有限公司奇台废渣非法倾倒现场监测报告》（新疆博奇清新环境检测有限公司，2021年7月）样点布置情况可满足本项目需求。</w:t>
      </w:r>
    </w:p>
    <w:p>
      <w:pPr>
        <w:pStyle w:val="4"/>
        <w:ind w:firstLine="480"/>
        <w:rPr>
          <w:rFonts w:hint="eastAsia"/>
          <w:color w:val="auto"/>
          <w:highlight w:val="none"/>
          <w:lang w:val="en-US" w:eastAsia="zh-CN"/>
        </w:rPr>
      </w:pPr>
      <w:r>
        <w:rPr>
          <w:rFonts w:hint="eastAsia"/>
          <w:color w:val="auto"/>
          <w:highlight w:val="none"/>
          <w:lang w:val="en-US" w:eastAsia="zh-CN"/>
        </w:rPr>
        <w:t>监测点位坐标如下表：</w:t>
      </w:r>
    </w:p>
    <w:p>
      <w:pPr>
        <w:pStyle w:val="22"/>
        <w:bidi w:val="0"/>
        <w:rPr>
          <w:rFonts w:hint="default" w:eastAsia="宋体"/>
          <w:lang w:val="en-US" w:eastAsia="zh-CN"/>
        </w:rPr>
      </w:pPr>
      <w:r>
        <w:rPr>
          <w:rFonts w:hint="eastAsia"/>
        </w:rPr>
        <w:t>表</w:t>
      </w:r>
      <w:r>
        <w:rPr>
          <w:rFonts w:hint="eastAsia"/>
          <w:lang w:val="en-US" w:eastAsia="zh-CN"/>
        </w:rPr>
        <w:t>4.2-6</w:t>
      </w:r>
      <w:r>
        <w:rPr>
          <w:rFonts w:hint="eastAsia"/>
        </w:rPr>
        <w:t xml:space="preserve">   </w:t>
      </w:r>
      <w:r>
        <w:rPr>
          <w:rFonts w:hint="eastAsia"/>
          <w:lang w:val="en-US" w:eastAsia="zh-CN"/>
        </w:rPr>
        <w:t>土壤</w:t>
      </w:r>
      <w:r>
        <w:rPr>
          <w:rFonts w:hint="eastAsia"/>
        </w:rPr>
        <w:t>监测</w:t>
      </w:r>
      <w:r>
        <w:rPr>
          <w:rFonts w:hint="eastAsia"/>
          <w:lang w:val="en-US" w:eastAsia="zh-CN"/>
        </w:rPr>
        <w:t>点位布置表</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04"/>
        <w:gridCol w:w="3391"/>
        <w:gridCol w:w="29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点位</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经度</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背景点1</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89°30′31.47″</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背景点2</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89°30′31.40″</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43°54′33.45″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背景点3</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89°30′31.86″</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背景点4</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89°30′32.24″</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背景点5</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89°30′32.43″</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采样点1#</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89°30′28.56″</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43°54′38.16″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采样点2#</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89°30′28.32″</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43°54′38.29″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采样点3#</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89°30′28.24″</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43°54′38.01″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6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采样点4#</w:t>
            </w:r>
          </w:p>
        </w:tc>
        <w:tc>
          <w:tcPr>
            <w:tcW w:w="182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89°30′28.16″</w:t>
            </w:r>
          </w:p>
        </w:tc>
        <w:tc>
          <w:tcPr>
            <w:tcW w:w="160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43°54′37.87″</w:t>
            </w:r>
          </w:p>
        </w:tc>
      </w:tr>
    </w:tbl>
    <w:p>
      <w:pPr>
        <w:pStyle w:val="4"/>
        <w:ind w:firstLine="480"/>
        <w:rPr>
          <w:rFonts w:hint="eastAsia"/>
          <w:color w:val="auto"/>
          <w:highlight w:val="none"/>
          <w:lang w:val="en-US" w:eastAsia="zh-CN"/>
        </w:rPr>
      </w:pPr>
      <w:r>
        <w:rPr>
          <w:rFonts w:hint="eastAsia"/>
          <w:color w:val="auto"/>
          <w:highlight w:val="none"/>
          <w:lang w:val="en-US" w:eastAsia="zh-CN"/>
        </w:rPr>
        <w:t>监测点位布置如下图：</w:t>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drawing>
          <wp:inline distT="0" distB="0" distL="114300" distR="114300">
            <wp:extent cx="5760085" cy="3665855"/>
            <wp:effectExtent l="0" t="0" r="12065" b="1079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32"/>
                    <a:stretch>
                      <a:fillRect/>
                    </a:stretch>
                  </pic:blipFill>
                  <pic:spPr>
                    <a:xfrm>
                      <a:off x="0" y="0"/>
                      <a:ext cx="5760085" cy="3665855"/>
                    </a:xfrm>
                    <a:prstGeom prst="rect">
                      <a:avLst/>
                    </a:prstGeom>
                    <a:noFill/>
                    <a:ln>
                      <a:noFill/>
                    </a:ln>
                  </pic:spPr>
                </pic:pic>
              </a:graphicData>
            </a:graphic>
          </wp:inline>
        </w:drawing>
      </w:r>
    </w:p>
    <w:p>
      <w:pPr>
        <w:pStyle w:val="22"/>
        <w:bidi w:val="0"/>
        <w:rPr>
          <w:rFonts w:hint="default"/>
          <w:lang w:val="en-US" w:eastAsia="zh-CN"/>
        </w:rPr>
      </w:pPr>
      <w:r>
        <w:rPr>
          <w:rFonts w:hint="eastAsia"/>
          <w:lang w:val="en-US" w:eastAsia="zh-CN"/>
        </w:rPr>
        <w:t>图4.2-4    土壤监测点位布置图（博奇清新监测）</w:t>
      </w:r>
    </w:p>
    <w:p>
      <w:pPr>
        <w:pStyle w:val="4"/>
        <w:ind w:firstLine="480"/>
        <w:rPr>
          <w:rFonts w:hint="eastAsia"/>
          <w:color w:val="auto"/>
          <w:highlight w:val="none"/>
          <w:lang w:val="en-US" w:eastAsia="zh-CN"/>
        </w:rPr>
      </w:pPr>
      <w:r>
        <w:rPr>
          <w:rFonts w:hint="eastAsia"/>
          <w:color w:val="auto"/>
          <w:highlight w:val="none"/>
          <w:lang w:val="en-US" w:eastAsia="zh-CN"/>
        </w:rPr>
        <w:t>综上分析，用收集资料法搜集到的数据，监测点位、数据时效性满足本项目土壤三级评价需求，能反映本项目土壤现状调查深度需求，引用以上资料数据可行。</w:t>
      </w:r>
    </w:p>
    <w:p>
      <w:pPr>
        <w:pStyle w:val="4"/>
        <w:ind w:firstLine="480"/>
        <w:rPr>
          <w:rFonts w:hint="eastAsia"/>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）监测结果与分析</w:t>
      </w:r>
    </w:p>
    <w:p>
      <w:pPr>
        <w:pStyle w:val="4"/>
        <w:ind w:firstLine="480"/>
        <w:rPr>
          <w:rFonts w:hint="default" w:eastAsia="宋体"/>
          <w:color w:val="auto"/>
          <w:highlight w:val="none"/>
          <w:lang w:val="en-US" w:eastAsia="zh-CN"/>
        </w:rPr>
      </w:pPr>
      <w:r>
        <w:rPr>
          <w:rFonts w:hint="eastAsia"/>
          <w:color w:val="auto"/>
          <w:highlight w:val="none"/>
          <w:lang w:val="en-US" w:eastAsia="zh-CN"/>
        </w:rPr>
        <w:t>场区内执行《土壤环境质量 建设用地土壤污染风险管控标准（试行）》（GB36600-2018）第二类工业用地筛选值，监测结果如下表：</w:t>
      </w:r>
    </w:p>
    <w:p>
      <w:pPr>
        <w:pStyle w:val="4"/>
        <w:ind w:firstLine="480"/>
        <w:rPr>
          <w:rFonts w:hint="eastAsia"/>
          <w:color w:val="auto"/>
          <w:highlight w:val="none"/>
        </w:rPr>
      </w:pPr>
    </w:p>
    <w:p>
      <w:pPr>
        <w:pStyle w:val="4"/>
        <w:ind w:firstLine="480"/>
        <w:rPr>
          <w:rFonts w:hint="eastAsia"/>
          <w:color w:val="auto"/>
          <w:highlight w:val="none"/>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0" w:num="1"/>
          <w:docGrid w:type="lines" w:linePitch="312" w:charSpace="0"/>
        </w:sectPr>
      </w:pPr>
    </w:p>
    <w:p>
      <w:pPr>
        <w:pStyle w:val="22"/>
        <w:bidi w:val="0"/>
        <w:rPr>
          <w:rFonts w:hint="eastAsia" w:ascii="Times New Roman" w:hAnsi="Times New Roman" w:cs="Times New Roman"/>
        </w:rPr>
      </w:pPr>
      <w:r>
        <w:rPr>
          <w:rFonts w:hint="eastAsia" w:ascii="Times New Roman" w:hAnsi="Times New Roman" w:cs="Times New Roman"/>
        </w:rPr>
        <w:t>表</w:t>
      </w:r>
      <w:r>
        <w:rPr>
          <w:rFonts w:hint="eastAsia" w:cs="Times New Roman"/>
          <w:lang w:val="en-US" w:eastAsia="zh-CN"/>
        </w:rPr>
        <w:t xml:space="preserve">4.2-7    </w:t>
      </w:r>
      <w:r>
        <w:rPr>
          <w:rFonts w:hint="eastAsia" w:ascii="Times New Roman" w:hAnsi="Times New Roman" w:cs="Times New Roman"/>
        </w:rPr>
        <w:t xml:space="preserve"> 场地区域土壤检测结果</w:t>
      </w:r>
    </w:p>
    <w:tbl>
      <w:tblPr>
        <w:tblStyle w:val="16"/>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1726"/>
        <w:gridCol w:w="755"/>
        <w:gridCol w:w="700"/>
        <w:gridCol w:w="683"/>
        <w:gridCol w:w="817"/>
        <w:gridCol w:w="683"/>
        <w:gridCol w:w="684"/>
        <w:gridCol w:w="766"/>
        <w:gridCol w:w="600"/>
        <w:gridCol w:w="684"/>
        <w:gridCol w:w="766"/>
        <w:gridCol w:w="667"/>
        <w:gridCol w:w="700"/>
        <w:gridCol w:w="717"/>
        <w:gridCol w:w="833"/>
        <w:gridCol w:w="700"/>
        <w:gridCol w:w="900"/>
        <w:gridCol w:w="635"/>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blHeader/>
        </w:trPr>
        <w:tc>
          <w:tcPr>
            <w:tcW w:w="885" w:type="pct"/>
            <w:gridSpan w:val="2"/>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点位</w:t>
            </w:r>
          </w:p>
        </w:tc>
        <w:tc>
          <w:tcPr>
            <w:tcW w:w="784" w:type="pct"/>
            <w:gridSpan w:val="3"/>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采样点1#</w:t>
            </w:r>
          </w:p>
        </w:tc>
        <w:tc>
          <w:tcPr>
            <w:tcW w:w="760" w:type="pct"/>
            <w:gridSpan w:val="3"/>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采样点</w:t>
            </w:r>
            <w:r>
              <w:rPr>
                <w:rFonts w:hint="default"/>
                <w:sz w:val="18"/>
                <w:szCs w:val="18"/>
                <w:lang w:val="en-US" w:eastAsia="zh-CN"/>
              </w:rPr>
              <w:t>2</w:t>
            </w:r>
            <w:r>
              <w:rPr>
                <w:rFonts w:hint="eastAsia"/>
                <w:sz w:val="18"/>
                <w:szCs w:val="18"/>
                <w:lang w:val="en-US" w:eastAsia="zh-CN"/>
              </w:rPr>
              <w:t>#</w:t>
            </w:r>
          </w:p>
        </w:tc>
        <w:tc>
          <w:tcPr>
            <w:tcW w:w="731" w:type="pct"/>
            <w:gridSpan w:val="3"/>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采样点</w:t>
            </w:r>
            <w:r>
              <w:rPr>
                <w:rFonts w:hint="default"/>
                <w:sz w:val="18"/>
                <w:szCs w:val="18"/>
                <w:lang w:val="en-US" w:eastAsia="zh-CN"/>
              </w:rPr>
              <w:t>3</w:t>
            </w:r>
            <w:r>
              <w:rPr>
                <w:rFonts w:hint="eastAsia"/>
                <w:sz w:val="18"/>
                <w:szCs w:val="18"/>
                <w:lang w:val="en-US" w:eastAsia="zh-CN"/>
              </w:rPr>
              <w:t>#</w:t>
            </w:r>
          </w:p>
        </w:tc>
        <w:tc>
          <w:tcPr>
            <w:tcW w:w="743" w:type="pct"/>
            <w:gridSpan w:val="3"/>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采样点</w:t>
            </w:r>
            <w:r>
              <w:rPr>
                <w:rFonts w:hint="default"/>
                <w:sz w:val="18"/>
                <w:szCs w:val="18"/>
                <w:lang w:val="en-US" w:eastAsia="zh-CN"/>
              </w:rPr>
              <w:t>4</w:t>
            </w:r>
            <w:r>
              <w:rPr>
                <w:rFonts w:hint="eastAsia"/>
                <w:sz w:val="18"/>
                <w:szCs w:val="18"/>
                <w:lang w:val="en-US" w:eastAsia="zh-CN"/>
              </w:rPr>
              <w:t>#</w:t>
            </w:r>
          </w:p>
        </w:tc>
        <w:tc>
          <w:tcPr>
            <w:tcW w:w="297" w:type="pct"/>
            <w:vMerge w:val="restar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最小值</w:t>
            </w:r>
          </w:p>
        </w:tc>
        <w:tc>
          <w:tcPr>
            <w:tcW w:w="249" w:type="pct"/>
            <w:vMerge w:val="restar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最大值</w:t>
            </w:r>
          </w:p>
        </w:tc>
        <w:tc>
          <w:tcPr>
            <w:tcW w:w="321" w:type="pct"/>
            <w:vMerge w:val="restar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第二类用地筛选值</w:t>
            </w:r>
          </w:p>
        </w:tc>
        <w:tc>
          <w:tcPr>
            <w:tcW w:w="226" w:type="pct"/>
            <w:vMerge w:val="restar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blHeader/>
        </w:trPr>
        <w:tc>
          <w:tcPr>
            <w:tcW w:w="885" w:type="pct"/>
            <w:gridSpan w:val="2"/>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eastAsia"/>
                <w:sz w:val="18"/>
                <w:szCs w:val="18"/>
                <w:lang w:val="en-US" w:eastAsia="zh-CN"/>
              </w:rPr>
              <w:t>检测项目</w:t>
            </w:r>
          </w:p>
        </w:tc>
        <w:tc>
          <w:tcPr>
            <w:tcW w:w="249"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eastAsia"/>
                <w:sz w:val="18"/>
                <w:szCs w:val="18"/>
                <w:lang w:val="en-US" w:eastAsia="zh-CN"/>
              </w:rPr>
              <w:t>0-0.5m</w:t>
            </w:r>
          </w:p>
        </w:tc>
        <w:tc>
          <w:tcPr>
            <w:tcW w:w="243"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0.5-1.5m</w:t>
            </w:r>
          </w:p>
        </w:tc>
        <w:tc>
          <w:tcPr>
            <w:tcW w:w="29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1.5-3.0m</w:t>
            </w:r>
          </w:p>
        </w:tc>
        <w:tc>
          <w:tcPr>
            <w:tcW w:w="243"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eastAsia"/>
                <w:sz w:val="18"/>
                <w:szCs w:val="18"/>
                <w:lang w:val="en-US" w:eastAsia="zh-CN"/>
              </w:rPr>
              <w:t>0-0.5m</w:t>
            </w:r>
          </w:p>
        </w:tc>
        <w:tc>
          <w:tcPr>
            <w:tcW w:w="244"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0.5-1.5m</w:t>
            </w:r>
          </w:p>
        </w:tc>
        <w:tc>
          <w:tcPr>
            <w:tcW w:w="273"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eastAsia"/>
                <w:sz w:val="18"/>
                <w:szCs w:val="18"/>
                <w:lang w:val="en-US" w:eastAsia="zh-CN"/>
              </w:rPr>
              <w:t>1.5-3.0m</w:t>
            </w:r>
          </w:p>
        </w:tc>
        <w:tc>
          <w:tcPr>
            <w:tcW w:w="214"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eastAsia"/>
                <w:sz w:val="18"/>
                <w:szCs w:val="18"/>
                <w:lang w:val="en-US" w:eastAsia="zh-CN"/>
              </w:rPr>
              <w:t>0-0.5m</w:t>
            </w:r>
          </w:p>
        </w:tc>
        <w:tc>
          <w:tcPr>
            <w:tcW w:w="244"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0.5-1.5m</w:t>
            </w:r>
          </w:p>
        </w:tc>
        <w:tc>
          <w:tcPr>
            <w:tcW w:w="273"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1.5-3.0m</w:t>
            </w:r>
          </w:p>
        </w:tc>
        <w:tc>
          <w:tcPr>
            <w:tcW w:w="237"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0-0.5m</w:t>
            </w:r>
          </w:p>
        </w:tc>
        <w:tc>
          <w:tcPr>
            <w:tcW w:w="249"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eastAsia"/>
                <w:sz w:val="18"/>
                <w:szCs w:val="18"/>
                <w:lang w:val="en-US" w:eastAsia="zh-CN"/>
              </w:rPr>
              <w:t>0.5-1.5m</w:t>
            </w:r>
          </w:p>
        </w:tc>
        <w:tc>
          <w:tcPr>
            <w:tcW w:w="255"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eastAsia"/>
                <w:sz w:val="18"/>
                <w:szCs w:val="18"/>
                <w:lang w:val="en-US" w:eastAsia="zh-CN"/>
              </w:rPr>
              <w:t>1.5-3.0m</w:t>
            </w:r>
          </w:p>
        </w:tc>
        <w:tc>
          <w:tcPr>
            <w:tcW w:w="297" w:type="pct"/>
            <w:vMerge w:val="continue"/>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p>
        </w:tc>
        <w:tc>
          <w:tcPr>
            <w:tcW w:w="249" w:type="pct"/>
            <w:vMerge w:val="continue"/>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p>
        </w:tc>
        <w:tc>
          <w:tcPr>
            <w:tcW w:w="321" w:type="pct"/>
            <w:vMerge w:val="continue"/>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p>
        </w:tc>
        <w:tc>
          <w:tcPr>
            <w:tcW w:w="226" w:type="pct"/>
            <w:vMerge w:val="continue"/>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pH</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无量纲</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9.2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8.33</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8.43</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8.98</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8.49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8.58</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8.94</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8.49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8.21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8.38</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8.44</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8.66</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8.21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9.2</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lang w:val="en-US" w:eastAsia="zh-CN"/>
              </w:rPr>
            </w:pPr>
            <w:r>
              <w:rPr>
                <w:rFonts w:hint="eastAsia"/>
                <w:sz w:val="18"/>
                <w:szCs w:val="18"/>
                <w:lang w:val="en-US" w:eastAsia="zh-CN"/>
              </w:rPr>
              <w:t>/</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13.3</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12.3</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13.3</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14.1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12.8</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13</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13.1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15</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13.8</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14.9</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12.3</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8.67</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8.67</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15</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60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汞</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0.015</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0.016</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0.013</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0.017</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0.02</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0.013</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0.034</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0.038</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0.012</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0.012</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0.011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0.038</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38</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铜</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35</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32</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38</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34</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34</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38</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38</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35</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39</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32</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35</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32</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39</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18000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镍</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37</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34</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37</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33</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25</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39</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27</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25</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39</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900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镉</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0.04</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0.04</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0.04</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0.05</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0.04</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0.05</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0.04</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0.07</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0.05</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0.04</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0.05</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0.04</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0.07</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65</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铅</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24.9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20.2</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23.2</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21.2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21.6</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25.7</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23.4</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21.9</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24.1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21.5</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20</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25.7</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800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铬（六价）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5.7</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氯甲烷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3.0</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37000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四氯化碳</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4.9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4.9</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2800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氯仿</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900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1,1-</w:t>
            </w:r>
            <w:r>
              <w:rPr>
                <w:rFonts w:hint="eastAsia"/>
                <w:sz w:val="18"/>
                <w:szCs w:val="18"/>
                <w:lang w:val="en-US" w:eastAsia="zh-CN"/>
              </w:rPr>
              <w:t>二氯乙烷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4.5</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4.5</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4.5</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9000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1,2-</w:t>
            </w:r>
            <w:r>
              <w:rPr>
                <w:rFonts w:hint="eastAsia"/>
                <w:sz w:val="18"/>
                <w:szCs w:val="18"/>
                <w:lang w:val="en-US" w:eastAsia="zh-CN"/>
              </w:rPr>
              <w:t>二氯乙烷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1,1-</w:t>
            </w:r>
            <w:r>
              <w:rPr>
                <w:rFonts w:hint="eastAsia"/>
                <w:sz w:val="18"/>
                <w:szCs w:val="18"/>
                <w:lang w:val="en-US" w:eastAsia="zh-CN"/>
              </w:rPr>
              <w:t>二氯乙烯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66000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shd w:val="clear" w:color="auto" w:fill="FFFFFF"/>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顺</w:t>
            </w:r>
            <w:r>
              <w:rPr>
                <w:rFonts w:hint="default"/>
                <w:sz w:val="18"/>
                <w:szCs w:val="18"/>
                <w:lang w:val="en-US" w:eastAsia="zh-CN"/>
              </w:rPr>
              <w:t>-1,2</w:t>
            </w:r>
            <w:r>
              <w:rPr>
                <w:rFonts w:hint="eastAsia"/>
                <w:sz w:val="18"/>
                <w:szCs w:val="18"/>
                <w:lang w:val="en-US" w:eastAsia="zh-CN"/>
              </w:rPr>
              <w:t>-二氯乙烯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596000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shd w:val="clear" w:color="auto" w:fill="FFFFFF"/>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反-</w:t>
            </w:r>
            <w:r>
              <w:rPr>
                <w:rFonts w:hint="default"/>
                <w:sz w:val="18"/>
                <w:szCs w:val="18"/>
                <w:lang w:val="en-US" w:eastAsia="zh-CN"/>
              </w:rPr>
              <w:t>1,2-</w:t>
            </w:r>
            <w:r>
              <w:rPr>
                <w:rFonts w:hint="eastAsia"/>
                <w:sz w:val="18"/>
                <w:szCs w:val="18"/>
                <w:lang w:val="en-US" w:eastAsia="zh-CN"/>
              </w:rPr>
              <w:t>一氯乙烯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54000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二氯甲烷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2.6</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616000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1,2-</w:t>
            </w:r>
            <w:r>
              <w:rPr>
                <w:rFonts w:hint="eastAsia"/>
                <w:sz w:val="18"/>
                <w:szCs w:val="18"/>
                <w:lang w:val="en-US" w:eastAsia="zh-CN"/>
              </w:rPr>
              <w:t>二氯丙烷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1.9</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1,1,1,2-</w:t>
            </w:r>
            <w:r>
              <w:rPr>
                <w:rFonts w:hint="eastAsia"/>
                <w:sz w:val="18"/>
                <w:szCs w:val="18"/>
                <w:lang w:val="en-US" w:eastAsia="zh-CN"/>
              </w:rPr>
              <w:t>四氯乙烷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1,1,2,2-</w:t>
            </w:r>
            <w:r>
              <w:rPr>
                <w:rFonts w:hint="eastAsia"/>
                <w:sz w:val="18"/>
                <w:szCs w:val="18"/>
                <w:lang w:val="en-US" w:eastAsia="zh-CN"/>
              </w:rPr>
              <w:t>四氯乙烷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6800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四氯乙烯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ascii="Times New Roman" w:hAnsi="Times New Roman" w:cs="Times New Roman"/>
                <w:sz w:val="18"/>
                <w:szCs w:val="18"/>
                <w:lang w:val="en-US" w:eastAsia="zh-CN"/>
              </w:rPr>
              <w:t>&lt;</w:t>
            </w:r>
            <w:r>
              <w:rPr>
                <w:rFonts w:hint="default"/>
                <w:sz w:val="18"/>
                <w:szCs w:val="18"/>
                <w:lang w:val="en-US" w:eastAsia="zh-CN"/>
              </w:rPr>
              <w:t>0.8</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0.8</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53000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1,1,1-</w:t>
            </w:r>
            <w:r>
              <w:rPr>
                <w:rFonts w:hint="eastAsia"/>
                <w:sz w:val="18"/>
                <w:szCs w:val="18"/>
                <w:lang w:val="en-US" w:eastAsia="zh-CN"/>
              </w:rPr>
              <w:t>三氯乙烷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840000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1,1,2-</w:t>
            </w:r>
            <w:r>
              <w:rPr>
                <w:rFonts w:hint="eastAsia"/>
                <w:sz w:val="18"/>
                <w:szCs w:val="18"/>
                <w:lang w:val="en-US" w:eastAsia="zh-CN"/>
              </w:rPr>
              <w:t>三氯乙烷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1.4</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2800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三氯乙烯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0.9</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2800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1,2,3-</w:t>
            </w:r>
            <w:r>
              <w:rPr>
                <w:rFonts w:hint="eastAsia"/>
                <w:sz w:val="18"/>
                <w:szCs w:val="18"/>
                <w:lang w:val="en-US" w:eastAsia="zh-CN"/>
              </w:rPr>
              <w:t>三氯丙烷</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氯乙烯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1.5</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430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1.6</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1.7</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1.6</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1.6</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4000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氯苯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270000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1,2-</w:t>
            </w:r>
            <w:r>
              <w:rPr>
                <w:rFonts w:hint="eastAsia"/>
                <w:sz w:val="18"/>
                <w:szCs w:val="18"/>
                <w:lang w:val="en-US" w:eastAsia="zh-CN"/>
              </w:rPr>
              <w:t>二氯苯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1.0</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560000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1,4-</w:t>
            </w:r>
            <w:r>
              <w:rPr>
                <w:rFonts w:hint="eastAsia"/>
                <w:sz w:val="18"/>
                <w:szCs w:val="18"/>
                <w:lang w:val="en-US" w:eastAsia="zh-CN"/>
              </w:rPr>
              <w:t>二氯苯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乙苯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2.4</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2.8</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4.3</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3.4</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1.7</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1.2</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1.7</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4.3</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28000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苯乙烯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1.6</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1290000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甲苯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2.0</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1200000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间</w:t>
            </w:r>
            <w:r>
              <w:rPr>
                <w:rFonts w:hint="default"/>
                <w:sz w:val="18"/>
                <w:szCs w:val="18"/>
                <w:lang w:val="en-US" w:eastAsia="zh-CN"/>
              </w:rPr>
              <w:t>/</w:t>
            </w:r>
            <w:r>
              <w:rPr>
                <w:rFonts w:hint="eastAsia"/>
                <w:sz w:val="18"/>
                <w:szCs w:val="18"/>
                <w:lang w:val="en-US" w:eastAsia="zh-CN"/>
              </w:rPr>
              <w:t>对</w:t>
            </w:r>
            <w:r>
              <w:rPr>
                <w:rFonts w:hint="default"/>
                <w:sz w:val="18"/>
                <w:szCs w:val="18"/>
                <w:lang w:val="en-US" w:eastAsia="zh-CN"/>
              </w:rPr>
              <w:t>-</w:t>
            </w:r>
            <w:r>
              <w:rPr>
                <w:rFonts w:hint="eastAsia"/>
                <w:sz w:val="18"/>
                <w:szCs w:val="18"/>
                <w:lang w:val="en-US" w:eastAsia="zh-CN"/>
              </w:rPr>
              <w:t>二甲苯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3.6</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570000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邻</w:t>
            </w:r>
            <w:r>
              <w:rPr>
                <w:rFonts w:hint="default"/>
                <w:sz w:val="18"/>
                <w:szCs w:val="18"/>
                <w:lang w:val="en-US" w:eastAsia="zh-CN"/>
              </w:rPr>
              <w:t>-</w:t>
            </w:r>
            <w:r>
              <w:rPr>
                <w:rFonts w:hint="eastAsia"/>
                <w:sz w:val="18"/>
                <w:szCs w:val="18"/>
                <w:lang w:val="en-US" w:eastAsia="zh-CN"/>
              </w:rPr>
              <w:t>二甲苯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μg/kg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1.3</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640000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硝基苯</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76</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苯胺</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260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2-</w:t>
            </w:r>
            <w:r>
              <w:rPr>
                <w:rFonts w:hint="eastAsia"/>
                <w:sz w:val="18"/>
                <w:szCs w:val="18"/>
                <w:lang w:val="en-US" w:eastAsia="zh-CN"/>
              </w:rPr>
              <w:t>氯酚</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0.06</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2256</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苯并［a］蒽</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15</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苯并［</w:t>
            </w:r>
            <w:r>
              <w:rPr>
                <w:rFonts w:hint="default"/>
                <w:sz w:val="18"/>
                <w:szCs w:val="18"/>
                <w:lang w:val="en-US" w:eastAsia="zh-CN"/>
              </w:rPr>
              <w:t>a</w:t>
            </w:r>
            <w:r>
              <w:rPr>
                <w:rFonts w:hint="eastAsia"/>
                <w:sz w:val="18"/>
                <w:szCs w:val="18"/>
                <w:lang w:val="en-US" w:eastAsia="zh-CN"/>
              </w:rPr>
              <w:t>］芘</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1.5</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苯并［</w:t>
            </w:r>
            <w:r>
              <w:rPr>
                <w:rFonts w:hint="default"/>
                <w:sz w:val="18"/>
                <w:szCs w:val="18"/>
                <w:lang w:val="en-US" w:eastAsia="zh-CN"/>
              </w:rPr>
              <w:t>b</w:t>
            </w:r>
            <w:r>
              <w:rPr>
                <w:rFonts w:hint="eastAsia"/>
                <w:sz w:val="18"/>
                <w:szCs w:val="18"/>
                <w:lang w:val="en-US" w:eastAsia="zh-CN"/>
              </w:rPr>
              <w:t>］荧蒽</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0.2</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15</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苯并［</w:t>
            </w:r>
            <w:r>
              <w:rPr>
                <w:rFonts w:hint="default"/>
                <w:sz w:val="18"/>
                <w:szCs w:val="18"/>
                <w:lang w:val="en-US" w:eastAsia="zh-CN"/>
              </w:rPr>
              <w:t>k</w:t>
            </w:r>
            <w:r>
              <w:rPr>
                <w:rFonts w:hint="eastAsia"/>
                <w:sz w:val="18"/>
                <w:szCs w:val="18"/>
                <w:lang w:val="en-US" w:eastAsia="zh-CN"/>
              </w:rPr>
              <w:t>］荧蒽</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151</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䓛</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1293</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shd w:val="clear" w:color="auto" w:fill="FFFFFF"/>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二苯并［</w:t>
            </w:r>
            <w:r>
              <w:rPr>
                <w:rFonts w:hint="default"/>
                <w:sz w:val="18"/>
                <w:szCs w:val="18"/>
                <w:lang w:val="en-US" w:eastAsia="zh-CN"/>
              </w:rPr>
              <w:t>a, h</w:t>
            </w:r>
            <w:r>
              <w:rPr>
                <w:rFonts w:hint="eastAsia"/>
                <w:sz w:val="18"/>
                <w:szCs w:val="18"/>
                <w:lang w:val="en-US" w:eastAsia="zh-CN"/>
              </w:rPr>
              <w:t>］蒽</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1.5</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shd w:val="clear" w:color="auto" w:fill="FFFFFF"/>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茚并［</w:t>
            </w:r>
            <w:r>
              <w:rPr>
                <w:rFonts w:hint="default"/>
                <w:sz w:val="18"/>
                <w:szCs w:val="18"/>
                <w:lang w:val="en-US" w:eastAsia="zh-CN"/>
              </w:rPr>
              <w:t>1,2,3-cd</w:t>
            </w:r>
            <w:r>
              <w:rPr>
                <w:rFonts w:hint="eastAsia"/>
                <w:sz w:val="18"/>
                <w:szCs w:val="18"/>
                <w:lang w:val="en-US" w:eastAsia="zh-CN"/>
              </w:rPr>
              <w:t>］蒽</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0.1</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15</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283" w:hRule="exact"/>
        </w:trPr>
        <w:tc>
          <w:tcPr>
            <w:tcW w:w="61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萘</w:t>
            </w:r>
          </w:p>
        </w:tc>
        <w:tc>
          <w:tcPr>
            <w:tcW w:w="26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mg/kg</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91"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1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4"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73"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3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55"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&lt;</w:t>
            </w:r>
            <w:r>
              <w:rPr>
                <w:rFonts w:hint="default"/>
                <w:sz w:val="18"/>
                <w:szCs w:val="18"/>
                <w:lang w:val="en-US" w:eastAsia="zh-CN"/>
              </w:rPr>
              <w:t>0.09</w:t>
            </w:r>
          </w:p>
        </w:tc>
        <w:tc>
          <w:tcPr>
            <w:tcW w:w="297"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249" w:type="pct"/>
            <w:tcBorders>
              <w:tl2br w:val="nil"/>
              <w:tr2bl w:val="nil"/>
            </w:tcBorders>
            <w:noWrap w:val="0"/>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default"/>
                <w:sz w:val="18"/>
                <w:szCs w:val="18"/>
              </w:rPr>
            </w:pPr>
            <w:r>
              <w:rPr>
                <w:rFonts w:hint="default"/>
                <w:sz w:val="18"/>
                <w:szCs w:val="18"/>
                <w:lang w:val="en-US" w:eastAsia="zh-CN"/>
              </w:rPr>
              <w:t>0</w:t>
            </w:r>
          </w:p>
        </w:tc>
        <w:tc>
          <w:tcPr>
            <w:tcW w:w="321"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70</w:t>
            </w:r>
          </w:p>
        </w:tc>
        <w:tc>
          <w:tcPr>
            <w:tcW w:w="226" w:type="pct"/>
            <w:tcBorders>
              <w:tl2br w:val="nil"/>
              <w:tr2bl w:val="nil"/>
            </w:tcBorders>
            <w:noWrap/>
            <w:tcMar>
              <w:top w:w="10" w:type="dxa"/>
              <w:left w:w="10" w:type="dxa"/>
              <w:right w:w="10" w:type="dxa"/>
            </w:tcMar>
            <w:vAlign w:val="center"/>
          </w:tcPr>
          <w:p>
            <w:pPr>
              <w:pStyle w:val="24"/>
              <w:keepNext w:val="0"/>
              <w:keepLines w:val="0"/>
              <w:suppressLineNumbers w:val="0"/>
              <w:bidi w:val="0"/>
              <w:spacing w:before="0" w:beforeAutospacing="0" w:after="0" w:afterAutospacing="0"/>
              <w:ind w:left="0" w:right="0"/>
              <w:rPr>
                <w:rFonts w:hint="eastAsia"/>
                <w:sz w:val="18"/>
                <w:szCs w:val="18"/>
              </w:rPr>
            </w:pPr>
            <w:r>
              <w:rPr>
                <w:rFonts w:hint="eastAsia"/>
                <w:sz w:val="18"/>
                <w:szCs w:val="18"/>
                <w:lang w:val="en-US" w:eastAsia="zh-CN"/>
              </w:rPr>
              <w:t>是</w:t>
            </w:r>
          </w:p>
        </w:tc>
      </w:tr>
    </w:tbl>
    <w:p>
      <w:pPr>
        <w:pStyle w:val="22"/>
        <w:bidi w:val="0"/>
        <w:rPr>
          <w:rFonts w:hint="eastAsia" w:ascii="Times New Roman" w:hAnsi="Times New Roman" w:cs="Times New Roman"/>
        </w:rPr>
      </w:pPr>
      <w:r>
        <w:rPr>
          <w:rFonts w:hint="eastAsia" w:ascii="Times New Roman" w:hAnsi="Times New Roman" w:cs="Times New Roman"/>
        </w:rPr>
        <w:t>表</w:t>
      </w:r>
      <w:r>
        <w:rPr>
          <w:rFonts w:hint="eastAsia" w:cs="Times New Roman"/>
          <w:lang w:val="en-US" w:eastAsia="zh-CN"/>
        </w:rPr>
        <w:t xml:space="preserve">4.2-8   </w:t>
      </w:r>
      <w:r>
        <w:rPr>
          <w:rFonts w:hint="eastAsia" w:ascii="Times New Roman" w:hAnsi="Times New Roman" w:cs="Times New Roman"/>
        </w:rPr>
        <w:t xml:space="preserve"> 场地区域</w:t>
      </w:r>
      <w:r>
        <w:rPr>
          <w:rFonts w:hint="eastAsia" w:ascii="Times New Roman" w:hAnsi="Times New Roman" w:cs="Times New Roman"/>
          <w:lang w:val="en-US" w:eastAsia="zh-CN"/>
        </w:rPr>
        <w:t>背景</w:t>
      </w:r>
      <w:r>
        <w:rPr>
          <w:rFonts w:hint="eastAsia" w:ascii="Times New Roman" w:hAnsi="Times New Roman" w:cs="Times New Roman"/>
        </w:rPr>
        <w:t>土壤检测结果</w:t>
      </w:r>
    </w:p>
    <w:tbl>
      <w:tblPr>
        <w:tblStyle w:val="16"/>
        <w:tblW w:w="496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00"/>
        <w:gridCol w:w="950"/>
        <w:gridCol w:w="1280"/>
        <w:gridCol w:w="1280"/>
        <w:gridCol w:w="1280"/>
        <w:gridCol w:w="1280"/>
        <w:gridCol w:w="1280"/>
        <w:gridCol w:w="1283"/>
        <w:gridCol w:w="1367"/>
        <w:gridCol w:w="1171"/>
        <w:gridCol w:w="10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tblHeader/>
          <w:jc w:val="center"/>
        </w:trPr>
        <w:tc>
          <w:tcPr>
            <w:tcW w:w="1008" w:type="pct"/>
            <w:gridSpan w:val="2"/>
            <w:tcBorders>
              <w:tl2br w:val="single" w:color="000000" w:sz="8" w:space="0"/>
            </w:tcBorders>
            <w:noWrap w:val="0"/>
            <w:vAlign w:val="center"/>
          </w:tcPr>
          <w:p>
            <w:pPr>
              <w:pStyle w:val="24"/>
              <w:keepNext w:val="0"/>
              <w:keepLines w:val="0"/>
              <w:suppressLineNumbers w:val="0"/>
              <w:bidi w:val="0"/>
              <w:spacing w:before="0" w:beforeAutospacing="0" w:after="0" w:afterAutospacing="0"/>
              <w:ind w:left="0" w:right="0"/>
              <w:jc w:val="right"/>
              <w:rPr>
                <w:rFonts w:hint="eastAsia"/>
                <w:sz w:val="20"/>
                <w:szCs w:val="20"/>
                <w:lang w:val="en-US" w:eastAsia="zh-CN"/>
              </w:rPr>
            </w:pPr>
            <w:r>
              <w:rPr>
                <w:rFonts w:hint="eastAsia"/>
                <w:sz w:val="20"/>
                <w:szCs w:val="20"/>
                <w:lang w:val="en-US" w:eastAsia="zh-CN"/>
              </w:rPr>
              <w:t>点位编号</w:t>
            </w:r>
          </w:p>
          <w:p>
            <w:pPr>
              <w:pStyle w:val="24"/>
              <w:keepNext w:val="0"/>
              <w:keepLines w:val="0"/>
              <w:suppressLineNumbers w:val="0"/>
              <w:bidi w:val="0"/>
              <w:spacing w:before="0" w:beforeAutospacing="0" w:after="0" w:afterAutospacing="0"/>
              <w:ind w:left="0" w:right="0"/>
              <w:jc w:val="left"/>
              <w:rPr>
                <w:rFonts w:hint="default"/>
                <w:sz w:val="20"/>
                <w:szCs w:val="20"/>
                <w:lang w:val="en-US" w:eastAsia="zh-CN"/>
              </w:rPr>
            </w:pPr>
            <w:r>
              <w:rPr>
                <w:rFonts w:hint="default"/>
                <w:sz w:val="20"/>
                <w:szCs w:val="20"/>
                <w:lang w:val="en-US" w:eastAsia="zh-CN"/>
              </w:rPr>
              <w:t>检测项目</w:t>
            </w:r>
          </w:p>
        </w:tc>
        <w:tc>
          <w:tcPr>
            <w:tcW w:w="452"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背景点1</w:t>
            </w:r>
          </w:p>
        </w:tc>
        <w:tc>
          <w:tcPr>
            <w:tcW w:w="452"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背景点2</w:t>
            </w:r>
          </w:p>
        </w:tc>
        <w:tc>
          <w:tcPr>
            <w:tcW w:w="452"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背景点3</w:t>
            </w:r>
          </w:p>
        </w:tc>
        <w:tc>
          <w:tcPr>
            <w:tcW w:w="452"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背景点4</w:t>
            </w:r>
          </w:p>
        </w:tc>
        <w:tc>
          <w:tcPr>
            <w:tcW w:w="452"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背景点5</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平均值</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第二类用地筛选值</w:t>
            </w:r>
          </w:p>
        </w:tc>
        <w:tc>
          <w:tcPr>
            <w:tcW w:w="414" w:type="pct"/>
            <w:noWrap/>
            <w:vAlign w:val="center"/>
          </w:tcPr>
          <w:p>
            <w:pPr>
              <w:pStyle w:val="24"/>
              <w:keepNext w:val="0"/>
              <w:keepLines w:val="0"/>
              <w:suppressLineNumbers w:val="0"/>
              <w:bidi w:val="0"/>
              <w:spacing w:before="0" w:beforeAutospacing="0" w:after="0" w:afterAutospacing="0"/>
              <w:ind w:left="0" w:right="0"/>
              <w:rPr>
                <w:rFonts w:hint="eastAsia" w:eastAsia="宋体"/>
                <w:sz w:val="20"/>
                <w:szCs w:val="20"/>
                <w:lang w:val="en-US" w:eastAsia="zh-CN"/>
              </w:rPr>
            </w:pPr>
            <w:r>
              <w:rPr>
                <w:rFonts w:hint="eastAsia"/>
                <w:color w:val="auto"/>
                <w:sz w:val="20"/>
                <w:szCs w:val="20"/>
              </w:rPr>
              <w:t>标准指数/</w:t>
            </w:r>
            <w:r>
              <w:rPr>
                <w:rFonts w:hint="eastAsia"/>
                <w:color w:val="auto"/>
                <w:sz w:val="20"/>
                <w:szCs w:val="20"/>
                <w:lang w:val="en-US" w:eastAsia="zh-CN"/>
              </w:rPr>
              <w:t>%</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pH</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无量纲</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9.2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9.03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8.27</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8.3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8.9</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8.74</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w:t>
            </w:r>
          </w:p>
        </w:tc>
        <w:tc>
          <w:tcPr>
            <w:tcW w:w="414" w:type="pct"/>
            <w:noWrap/>
            <w:vAlign w:val="center"/>
          </w:tcPr>
          <w:p>
            <w:pPr>
              <w:pStyle w:val="24"/>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w:t>
            </w:r>
          </w:p>
        </w:tc>
        <w:tc>
          <w:tcPr>
            <w:tcW w:w="37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11.7</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11.7</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11.42</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60</w:t>
            </w:r>
          </w:p>
        </w:tc>
        <w:tc>
          <w:tcPr>
            <w:tcW w:w="1171" w:type="dxa"/>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19.0333</w:t>
            </w:r>
          </w:p>
        </w:tc>
        <w:tc>
          <w:tcPr>
            <w:tcW w:w="37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汞</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0.007</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0.007</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0.006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0.01</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0.0082</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38</w:t>
            </w:r>
          </w:p>
        </w:tc>
        <w:tc>
          <w:tcPr>
            <w:tcW w:w="1171" w:type="dxa"/>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0.0216</w:t>
            </w:r>
          </w:p>
        </w:tc>
        <w:tc>
          <w:tcPr>
            <w:tcW w:w="37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铜</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32</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18000</w:t>
            </w:r>
          </w:p>
        </w:tc>
        <w:tc>
          <w:tcPr>
            <w:tcW w:w="1171" w:type="dxa"/>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0.1722</w:t>
            </w:r>
          </w:p>
        </w:tc>
        <w:tc>
          <w:tcPr>
            <w:tcW w:w="37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镍</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27</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31</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29</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900</w:t>
            </w:r>
          </w:p>
        </w:tc>
        <w:tc>
          <w:tcPr>
            <w:tcW w:w="1171" w:type="dxa"/>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3.2222</w:t>
            </w:r>
          </w:p>
        </w:tc>
        <w:tc>
          <w:tcPr>
            <w:tcW w:w="37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镉</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0.04</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0.04</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0.05</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w:t>
            </w:r>
            <w:r>
              <w:rPr>
                <w:rFonts w:hint="eastAsia"/>
                <w:sz w:val="20"/>
                <w:szCs w:val="20"/>
                <w:lang w:val="en-US" w:eastAsia="zh-CN"/>
              </w:rPr>
              <w:t>5</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65</w:t>
            </w:r>
          </w:p>
        </w:tc>
        <w:tc>
          <w:tcPr>
            <w:tcW w:w="1171" w:type="dxa"/>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0.0769</w:t>
            </w:r>
          </w:p>
        </w:tc>
        <w:tc>
          <w:tcPr>
            <w:tcW w:w="37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铅</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20.2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19.5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19.9</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20.5</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800</w:t>
            </w:r>
          </w:p>
        </w:tc>
        <w:tc>
          <w:tcPr>
            <w:tcW w:w="1171" w:type="dxa"/>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2.5625</w:t>
            </w:r>
          </w:p>
        </w:tc>
        <w:tc>
          <w:tcPr>
            <w:tcW w:w="37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六价铬</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5.7</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35.0877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氯甲烷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3.0</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3.0</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37000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0.0081</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四氯化碳</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2.3</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2800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0.0750</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氯仿</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1.5</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900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0.1667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1,1-二氯乙烷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1.6</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9000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0.0178</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1,2-二氯乙烷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1.3</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0.0260</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1,1-二氯乙烯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0.8</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66000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0.0012</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顺 1,2-二氯乙烯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0.9</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596000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0.0002</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反 1,2-二氯乙烯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0.9</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54000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0.0017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二氯甲烷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2.6</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2.6</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616000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0.0004</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1,2-二氯丙烷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1.9</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1.9</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0.0380</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1,1,1,2-四氯乙烷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1.0</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0.0100</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1,1,2,2-四氯乙烷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1.0</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6800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0.0147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四氯乙烯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0.8</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0.8</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53000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0.0015</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1,1,1-三氯乙烷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840000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0.0001</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1,1,2-三氯乙烷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1.4</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1.4</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1.4</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1.4</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1.4</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1.4</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2800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0.0500</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三氯乙烯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0.9</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0.9</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2800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0.0321</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1,2,3-三氯丙烷</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氯乙烯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1.5</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1.5</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430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0.3488</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1.6</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4000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0.0400</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氯苯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270000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0.0004</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1,2-二氯苯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1.0</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1.0</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560000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0.0002</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1,4-二氯苯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1.2</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0.0060</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乙苯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1.83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1.2</w:t>
            </w:r>
          </w:p>
        </w:tc>
        <w:tc>
          <w:tcPr>
            <w:tcW w:w="454"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1.3</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28000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0.0046</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苯乙烯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1.6</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1.6</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1290000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0.0001</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甲苯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2.0</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2.0</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2.0</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1200000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0.0002</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间/对-二甲苯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3.6</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3.6</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570000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0.0006</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邻-二甲苯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μg/kg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1.3</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1.3</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640000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0.0002</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硝基苯</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0.09</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76</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0.1184</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苯胺</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260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0.0385</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2-氯酚</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0.06</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0.06</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0.06</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2256</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0.0027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苯并(a)蒽</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15</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0.6667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苯并(a)芘</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1.5</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6.6667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苯并（b）荧蒽</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0.2</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0.2</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0.2</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15</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1.3333</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苯并（k）荧蒽</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151</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0.0662</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䓛</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1293</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0.0077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二苯并（a，h）蒽</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1.5</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6.6667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茚并（1,2,3-c,d)芘</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0.1</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0.1</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15</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0.6667</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exact"/>
          <w:jc w:val="center"/>
        </w:trPr>
        <w:tc>
          <w:tcPr>
            <w:tcW w:w="67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萘</w:t>
            </w:r>
          </w:p>
        </w:tc>
        <w:tc>
          <w:tcPr>
            <w:tcW w:w="336"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mg/kg</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2"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&lt;</w:t>
            </w:r>
            <w:r>
              <w:rPr>
                <w:rFonts w:hint="default"/>
                <w:sz w:val="20"/>
                <w:szCs w:val="20"/>
                <w:lang w:val="en-US" w:eastAsia="zh-CN"/>
              </w:rPr>
              <w:t>0.09</w:t>
            </w:r>
          </w:p>
        </w:tc>
        <w:tc>
          <w:tcPr>
            <w:tcW w:w="454" w:type="pct"/>
            <w:noWrap w:val="0"/>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default"/>
                <w:sz w:val="20"/>
                <w:szCs w:val="20"/>
                <w:lang w:val="en-US" w:eastAsia="zh-CN"/>
              </w:rPr>
              <w:t>0.09</w:t>
            </w:r>
          </w:p>
        </w:tc>
        <w:tc>
          <w:tcPr>
            <w:tcW w:w="483" w:type="pct"/>
            <w:noWrap/>
            <w:vAlign w:val="center"/>
          </w:tcPr>
          <w:p>
            <w:pPr>
              <w:pStyle w:val="24"/>
              <w:keepNext w:val="0"/>
              <w:keepLines w:val="0"/>
              <w:suppressLineNumbers w:val="0"/>
              <w:bidi w:val="0"/>
              <w:spacing w:before="0" w:beforeAutospacing="0" w:after="0" w:afterAutospacing="0"/>
              <w:ind w:left="0" w:right="0"/>
              <w:rPr>
                <w:rFonts w:hint="default"/>
                <w:sz w:val="20"/>
                <w:szCs w:val="20"/>
                <w:lang w:val="en-US" w:eastAsia="zh-CN"/>
              </w:rPr>
            </w:pPr>
            <w:r>
              <w:rPr>
                <w:rFonts w:hint="eastAsia"/>
                <w:sz w:val="20"/>
                <w:szCs w:val="20"/>
                <w:lang w:val="en-US" w:eastAsia="zh-CN"/>
              </w:rPr>
              <w:t>70</w:t>
            </w:r>
          </w:p>
        </w:tc>
        <w:tc>
          <w:tcPr>
            <w:tcW w:w="1171" w:type="dxa"/>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0.1286</w:t>
            </w:r>
          </w:p>
        </w:tc>
        <w:tc>
          <w:tcPr>
            <w:tcW w:w="374" w:type="pct"/>
            <w:noWrap/>
            <w:vAlign w:val="center"/>
          </w:tcPr>
          <w:p>
            <w:pPr>
              <w:pStyle w:val="24"/>
              <w:keepNext w:val="0"/>
              <w:keepLines w:val="0"/>
              <w:suppressLineNumbers w:val="0"/>
              <w:bidi w:val="0"/>
              <w:spacing w:before="0" w:beforeAutospacing="0" w:after="0" w:afterAutospacing="0"/>
              <w:ind w:left="0" w:right="0"/>
              <w:rPr>
                <w:rFonts w:hint="eastAsia"/>
                <w:sz w:val="20"/>
                <w:szCs w:val="20"/>
                <w:lang w:val="en-US" w:eastAsia="zh-CN"/>
              </w:rPr>
            </w:pPr>
            <w:r>
              <w:rPr>
                <w:rFonts w:hint="eastAsia"/>
                <w:sz w:val="20"/>
                <w:szCs w:val="20"/>
                <w:lang w:val="en-US" w:eastAsia="zh-CN"/>
              </w:rPr>
              <w:t>达标</w:t>
            </w:r>
          </w:p>
        </w:tc>
      </w:tr>
    </w:tbl>
    <w:p>
      <w:pPr>
        <w:bidi w:val="0"/>
        <w:rPr>
          <w:rFonts w:hint="eastAsia"/>
          <w:color w:val="auto"/>
          <w:highlight w:val="none"/>
        </w:rPr>
      </w:pPr>
    </w:p>
    <w:p>
      <w:pPr>
        <w:pStyle w:val="4"/>
        <w:ind w:firstLine="480"/>
        <w:rPr>
          <w:color w:val="auto"/>
          <w:highlight w:val="none"/>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pStyle w:val="4"/>
        <w:rPr>
          <w:rFonts w:hint="default" w:eastAsia="宋体"/>
          <w:color w:val="auto"/>
          <w:highlight w:val="none"/>
          <w:lang w:val="en-US" w:eastAsia="zh-CN"/>
        </w:rPr>
      </w:pPr>
      <w:r>
        <w:rPr>
          <w:rFonts w:hint="eastAsia"/>
          <w:color w:val="auto"/>
          <w:highlight w:val="none"/>
          <w:lang w:val="en-US" w:eastAsia="zh-CN"/>
        </w:rPr>
        <w:t>以上监测数据表明，场区内监测结果满足《土壤环境质量 建设用地土壤污染风险管控标准（试行）》（GB36600-2018）第二类工业用地筛选值要求。</w:t>
      </w:r>
    </w:p>
    <w:p>
      <w:pPr>
        <w:pStyle w:val="6"/>
        <w:bidi w:val="0"/>
        <w:rPr>
          <w:rFonts w:hint="eastAsia"/>
          <w:color w:val="auto"/>
          <w:highlight w:val="none"/>
        </w:rPr>
      </w:pPr>
      <w:r>
        <w:rPr>
          <w:rFonts w:hint="eastAsia"/>
          <w:color w:val="auto"/>
          <w:highlight w:val="none"/>
          <w:lang w:val="en-US" w:eastAsia="zh-CN"/>
        </w:rPr>
        <w:t>生态环境现状调查与评价</w:t>
      </w:r>
    </w:p>
    <w:p>
      <w:pPr>
        <w:pStyle w:val="7"/>
        <w:bidi w:val="0"/>
        <w:rPr>
          <w:rFonts w:hint="eastAsia"/>
          <w:color w:val="auto"/>
          <w:highlight w:val="none"/>
        </w:rPr>
      </w:pPr>
      <w:r>
        <w:rPr>
          <w:rFonts w:hint="eastAsia"/>
          <w:color w:val="auto"/>
          <w:highlight w:val="none"/>
          <w:lang w:val="en-US" w:eastAsia="zh-CN"/>
        </w:rPr>
        <w:t>生态功能区划</w:t>
      </w:r>
    </w:p>
    <w:p>
      <w:pPr>
        <w:pStyle w:val="4"/>
        <w:bidi w:val="0"/>
        <w:rPr>
          <w:color w:val="auto"/>
          <w:highlight w:val="none"/>
        </w:rPr>
      </w:pPr>
      <w:r>
        <w:rPr>
          <w:rFonts w:hint="eastAsia"/>
          <w:color w:val="auto"/>
          <w:highlight w:val="none"/>
        </w:rPr>
        <w:t>根据《新疆生态功能区划》，</w:t>
      </w:r>
      <w:r>
        <w:rPr>
          <w:rFonts w:hint="eastAsia"/>
          <w:color w:val="auto"/>
          <w:highlight w:val="none"/>
          <w:lang w:val="en-US" w:eastAsia="zh-CN"/>
        </w:rPr>
        <w:t>项目所在区域生态</w:t>
      </w:r>
      <w:r>
        <w:rPr>
          <w:rFonts w:hint="eastAsia"/>
          <w:color w:val="auto"/>
          <w:highlight w:val="none"/>
        </w:rPr>
        <w:t>功能区</w:t>
      </w:r>
      <w:r>
        <w:rPr>
          <w:rFonts w:hint="eastAsia"/>
          <w:color w:val="auto"/>
          <w:highlight w:val="none"/>
          <w:lang w:val="en-US" w:eastAsia="zh-CN"/>
        </w:rPr>
        <w:t>为“</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准噶尔盆地温性荒漠也绿洲农业生态区——</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准噶尔盆地南部荒漠绿洲农业生态亚区——28.阜康—木垒绿洲农业、荒漠草地保护生态功能区”，区域生态</w:t>
      </w:r>
      <w:r>
        <w:rPr>
          <w:rFonts w:hint="eastAsia"/>
          <w:color w:val="auto"/>
          <w:highlight w:val="none"/>
        </w:rPr>
        <w:t>特征见下表：</w:t>
      </w:r>
    </w:p>
    <w:p>
      <w:pPr>
        <w:pStyle w:val="22"/>
        <w:bidi w:val="0"/>
      </w:pPr>
      <w:r>
        <w:rPr>
          <w:rFonts w:hint="eastAsia"/>
        </w:rPr>
        <w:t>表</w:t>
      </w:r>
      <w:r>
        <w:rPr>
          <w:rFonts w:hint="eastAsia"/>
          <w:lang w:val="en-US" w:eastAsia="zh-CN"/>
        </w:rPr>
        <w:t>4.2-9</w:t>
      </w:r>
      <w:r>
        <w:rPr>
          <w:rFonts w:hint="eastAsia"/>
        </w:rPr>
        <w:t xml:space="preserve">    生态功能区主要特征</w:t>
      </w:r>
    </w:p>
    <w:tbl>
      <w:tblPr>
        <w:tblStyle w:val="17"/>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260"/>
        <w:gridCol w:w="52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91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名称</w:t>
            </w:r>
          </w:p>
        </w:tc>
        <w:tc>
          <w:tcPr>
            <w:tcW w:w="308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1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主要生态服务功能</w:t>
            </w:r>
          </w:p>
        </w:tc>
        <w:tc>
          <w:tcPr>
            <w:tcW w:w="308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rPr>
              <w:t>农牧业产品生产、人居环境、荒</w:t>
            </w:r>
            <w:r>
              <w:rPr>
                <w:rFonts w:hint="eastAsia"/>
                <w:lang w:val="en-US" w:eastAsia="zh-CN"/>
              </w:rPr>
              <w:t>漠</w:t>
            </w:r>
            <w:r>
              <w:rPr>
                <w:rFonts w:hint="eastAsia"/>
              </w:rPr>
              <w:t>化控制</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1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主要生态环境问题</w:t>
            </w:r>
          </w:p>
        </w:tc>
        <w:tc>
          <w:tcPr>
            <w:tcW w:w="308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rPr>
              <w:t>地下水超采、荒漠植被退化、沙漠化威胁、局部土攘盐</w:t>
            </w:r>
            <w:r>
              <w:rPr>
                <w:rFonts w:hint="eastAsia"/>
                <w:lang w:val="en-US" w:eastAsia="zh-CN"/>
              </w:rPr>
              <w:t>渍</w:t>
            </w:r>
            <w:r>
              <w:rPr>
                <w:rFonts w:hint="eastAsia"/>
              </w:rPr>
              <w:t>化、河流萎缩、滥开荒地</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1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主要生态敏感因子、敏感程度</w:t>
            </w:r>
          </w:p>
        </w:tc>
        <w:tc>
          <w:tcPr>
            <w:tcW w:w="308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生物多样性及其生境中度敏感，土壤侵蚀轻度敏感，土地沙漠化中度敏感，土壤盐渍化轻度敏感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1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主要保护目标</w:t>
            </w:r>
          </w:p>
        </w:tc>
        <w:tc>
          <w:tcPr>
            <w:tcW w:w="308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rPr>
              <w:t>保护基本农田、保护荒</w:t>
            </w:r>
            <w:r>
              <w:rPr>
                <w:rFonts w:hint="eastAsia"/>
                <w:lang w:val="en-US" w:eastAsia="zh-CN"/>
              </w:rPr>
              <w:t>漠</w:t>
            </w:r>
            <w:r>
              <w:rPr>
                <w:rFonts w:hint="eastAsia"/>
              </w:rPr>
              <w:t>植被</w:t>
            </w:r>
            <w:r>
              <w:rPr>
                <w:rFonts w:hint="eastAsia"/>
                <w:lang w:eastAsia="zh-CN"/>
              </w:rPr>
              <w:t>、</w:t>
            </w:r>
            <w:r>
              <w:rPr>
                <w:rFonts w:hint="eastAsia"/>
              </w:rPr>
              <w:t>保护土壤环</w:t>
            </w:r>
            <w:r>
              <w:rPr>
                <w:rFonts w:hint="eastAsia"/>
                <w:lang w:val="en-US" w:eastAsia="zh-CN"/>
              </w:rPr>
              <w:t>境质量</w:t>
            </w:r>
            <w:r>
              <w:rPr>
                <w:rFonts w:hint="eastAsia"/>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1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主要保护措施</w:t>
            </w:r>
          </w:p>
        </w:tc>
        <w:tc>
          <w:tcPr>
            <w:tcW w:w="308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节水灌溉、草场休牧、对坡耕地和沙化土地实施退耕还牧（草），在水源无保障、植被稀少、生态脆弱地带禁止开荒、加强农田投入品的使用管理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1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适宜发展方向</w:t>
            </w:r>
          </w:p>
        </w:tc>
        <w:tc>
          <w:tcPr>
            <w:tcW w:w="308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农牧结合，发展优质、高效特色农业和畜牧业</w:t>
            </w:r>
          </w:p>
        </w:tc>
      </w:tr>
    </w:tbl>
    <w:p>
      <w:pPr>
        <w:pStyle w:val="7"/>
        <w:bidi w:val="0"/>
        <w:rPr>
          <w:rFonts w:hint="eastAsia"/>
          <w:color w:val="auto"/>
          <w:highlight w:val="none"/>
        </w:rPr>
      </w:pPr>
      <w:r>
        <w:rPr>
          <w:rFonts w:hint="eastAsia"/>
          <w:color w:val="auto"/>
          <w:highlight w:val="none"/>
          <w:lang w:val="en-US" w:eastAsia="zh-CN"/>
        </w:rPr>
        <w:t>植被现状</w:t>
      </w:r>
    </w:p>
    <w:p>
      <w:pPr>
        <w:pStyle w:val="4"/>
        <w:ind w:firstLine="480"/>
        <w:rPr>
          <w:rFonts w:hint="eastAsia"/>
          <w:color w:val="auto"/>
          <w:highlight w:val="none"/>
        </w:rPr>
      </w:pPr>
      <w:r>
        <w:rPr>
          <w:rFonts w:hint="eastAsia"/>
          <w:color w:val="auto"/>
          <w:highlight w:val="none"/>
          <w:lang w:val="en-US" w:eastAsia="zh-CN"/>
        </w:rPr>
        <w:t>项目区位于国道G7高速公路南侧250m处，</w:t>
      </w:r>
      <w:r>
        <w:rPr>
          <w:rFonts w:hint="eastAsia"/>
          <w:color w:val="auto"/>
          <w:highlight w:val="none"/>
        </w:rPr>
        <w:t>承受一定的人类活动干扰。</w:t>
      </w:r>
      <w:r>
        <w:rPr>
          <w:rFonts w:hint="eastAsia"/>
          <w:color w:val="auto"/>
          <w:highlight w:val="none"/>
          <w:lang w:val="en-US" w:eastAsia="zh-CN"/>
        </w:rPr>
        <w:t>区域</w:t>
      </w:r>
      <w:r>
        <w:rPr>
          <w:rFonts w:hint="eastAsia"/>
          <w:color w:val="auto"/>
          <w:highlight w:val="none"/>
        </w:rPr>
        <w:t>林木主要是沿公路、街道两边分布的道路林，主要树种有榆树、杨树等</w:t>
      </w:r>
      <w:r>
        <w:rPr>
          <w:rFonts w:hint="eastAsia"/>
          <w:color w:val="auto"/>
          <w:highlight w:val="none"/>
          <w:lang w:eastAsia="zh-CN"/>
        </w:rPr>
        <w:t>，</w:t>
      </w:r>
      <w:r>
        <w:rPr>
          <w:rFonts w:hint="eastAsia"/>
          <w:color w:val="auto"/>
          <w:highlight w:val="none"/>
          <w:lang w:val="en-US" w:eastAsia="zh-CN"/>
        </w:rPr>
        <w:t>周边耕地</w:t>
      </w:r>
      <w:r>
        <w:rPr>
          <w:rFonts w:hint="eastAsia"/>
          <w:color w:val="auto"/>
          <w:highlight w:val="none"/>
          <w:lang w:eastAsia="zh-CN"/>
        </w:rPr>
        <w:t>主要植被类型以</w:t>
      </w:r>
      <w:r>
        <w:rPr>
          <w:rFonts w:hint="eastAsia"/>
          <w:color w:val="auto"/>
          <w:highlight w:val="none"/>
          <w:lang w:val="en-US" w:eastAsia="zh-CN"/>
        </w:rPr>
        <w:t>小麦</w:t>
      </w:r>
      <w:r>
        <w:rPr>
          <w:rFonts w:hint="eastAsia"/>
          <w:color w:val="auto"/>
          <w:highlight w:val="none"/>
          <w:lang w:eastAsia="zh-CN"/>
        </w:rPr>
        <w:t>、</w:t>
      </w:r>
      <w:r>
        <w:rPr>
          <w:rFonts w:hint="eastAsia"/>
          <w:color w:val="auto"/>
          <w:highlight w:val="none"/>
          <w:lang w:val="en-US" w:eastAsia="zh-CN"/>
        </w:rPr>
        <w:t>玉米等农作物和</w:t>
      </w:r>
      <w:r>
        <w:rPr>
          <w:rFonts w:hint="eastAsia"/>
          <w:color w:val="auto"/>
          <w:highlight w:val="none"/>
        </w:rPr>
        <w:t>向日葵、打瓜、加工番茄、西甜瓜</w:t>
      </w:r>
      <w:r>
        <w:rPr>
          <w:rFonts w:hint="eastAsia"/>
          <w:color w:val="auto"/>
          <w:highlight w:val="none"/>
          <w:lang w:val="en-US" w:eastAsia="zh-CN"/>
        </w:rPr>
        <w:t>等经济作物</w:t>
      </w:r>
      <w:r>
        <w:rPr>
          <w:rFonts w:hint="eastAsia"/>
          <w:color w:val="auto"/>
          <w:highlight w:val="none"/>
          <w:lang w:eastAsia="zh-CN"/>
        </w:rPr>
        <w:t>为主，</w:t>
      </w:r>
      <w:r>
        <w:rPr>
          <w:rFonts w:hint="eastAsia"/>
          <w:color w:val="auto"/>
          <w:highlight w:val="none"/>
          <w:lang w:val="en-US" w:eastAsia="zh-CN"/>
        </w:rPr>
        <w:t>其余地类为低覆盖度荒草地，地表植被为荒草和低矮灌草植被，</w:t>
      </w:r>
      <w:r>
        <w:rPr>
          <w:rFonts w:hint="eastAsia"/>
          <w:color w:val="auto"/>
          <w:highlight w:val="none"/>
          <w:lang w:eastAsia="zh-CN"/>
        </w:rPr>
        <w:t>主要群落类型有梭梭群落，盐爪爪群落，碱蓬群落等，植物种类组成单调和旱生性是当地植被的主要特征</w:t>
      </w:r>
      <w:r>
        <w:rPr>
          <w:rFonts w:hint="eastAsia"/>
          <w:color w:val="auto"/>
          <w:highlight w:val="none"/>
        </w:rPr>
        <w:t>。</w:t>
      </w:r>
      <w:r>
        <w:rPr>
          <w:rFonts w:hint="eastAsia"/>
          <w:color w:val="auto"/>
          <w:highlight w:val="none"/>
          <w:lang w:val="en-US" w:eastAsia="zh-CN"/>
        </w:rPr>
        <w:t>天然</w:t>
      </w:r>
      <w:r>
        <w:rPr>
          <w:rFonts w:hint="eastAsia"/>
          <w:color w:val="auto"/>
          <w:highlight w:val="none"/>
        </w:rPr>
        <w:t>植物稀疏，盖度约10%。</w:t>
      </w:r>
    </w:p>
    <w:p>
      <w:pPr>
        <w:pStyle w:val="7"/>
        <w:bidi w:val="0"/>
        <w:rPr>
          <w:rFonts w:hint="eastAsia"/>
          <w:color w:val="auto"/>
          <w:highlight w:val="none"/>
        </w:rPr>
      </w:pPr>
      <w:r>
        <w:rPr>
          <w:rFonts w:hint="eastAsia"/>
          <w:color w:val="auto"/>
          <w:highlight w:val="none"/>
          <w:lang w:val="en-US" w:eastAsia="zh-CN"/>
        </w:rPr>
        <w:t>野生动物现状</w:t>
      </w:r>
    </w:p>
    <w:p>
      <w:pPr>
        <w:pStyle w:val="4"/>
        <w:rPr>
          <w:rFonts w:hint="eastAsia"/>
          <w:color w:val="auto"/>
          <w:highlight w:val="none"/>
        </w:rPr>
      </w:pPr>
      <w:r>
        <w:rPr>
          <w:rFonts w:hint="eastAsia"/>
          <w:color w:val="auto"/>
          <w:highlight w:val="none"/>
        </w:rPr>
        <w:t>项目区</w:t>
      </w:r>
      <w:r>
        <w:rPr>
          <w:rFonts w:hint="eastAsia"/>
          <w:color w:val="auto"/>
          <w:highlight w:val="none"/>
          <w:lang w:val="en-US" w:eastAsia="zh-CN"/>
        </w:rPr>
        <w:t>人为干扰程度较大</w:t>
      </w:r>
      <w:r>
        <w:rPr>
          <w:rFonts w:hint="eastAsia"/>
          <w:color w:val="auto"/>
          <w:highlight w:val="none"/>
        </w:rPr>
        <w:t>，</w:t>
      </w:r>
      <w:r>
        <w:rPr>
          <w:rFonts w:hint="eastAsia"/>
          <w:color w:val="auto"/>
          <w:highlight w:val="none"/>
          <w:lang w:val="en-US" w:eastAsia="zh-CN"/>
        </w:rPr>
        <w:t>区域主要为农田、耕地</w:t>
      </w:r>
      <w:r>
        <w:rPr>
          <w:rFonts w:hint="eastAsia"/>
          <w:color w:val="auto"/>
          <w:highlight w:val="none"/>
        </w:rPr>
        <w:t>。根据</w:t>
      </w:r>
      <w:r>
        <w:rPr>
          <w:rFonts w:hint="eastAsia"/>
          <w:color w:val="auto"/>
          <w:highlight w:val="none"/>
          <w:lang w:eastAsia="zh-CN"/>
        </w:rPr>
        <w:t>查</w:t>
      </w:r>
      <w:r>
        <w:rPr>
          <w:rFonts w:hint="eastAsia"/>
          <w:color w:val="auto"/>
          <w:highlight w:val="none"/>
        </w:rPr>
        <w:t>阅资料和现状调</w:t>
      </w:r>
      <w:r>
        <w:rPr>
          <w:rFonts w:hint="eastAsia"/>
          <w:color w:val="auto"/>
          <w:highlight w:val="none"/>
          <w:lang w:eastAsia="zh-CN"/>
        </w:rPr>
        <w:t>查</w:t>
      </w:r>
      <w:r>
        <w:rPr>
          <w:rFonts w:hint="eastAsia"/>
          <w:color w:val="auto"/>
          <w:highlight w:val="none"/>
        </w:rPr>
        <w:t>，</w:t>
      </w:r>
      <w:r>
        <w:rPr>
          <w:rFonts w:hint="eastAsia"/>
          <w:color w:val="auto"/>
          <w:highlight w:val="none"/>
          <w:lang w:val="en-US" w:eastAsia="zh-CN"/>
        </w:rPr>
        <w:t>项目区周边</w:t>
      </w:r>
      <w:r>
        <w:rPr>
          <w:rFonts w:hint="eastAsia"/>
          <w:color w:val="auto"/>
          <w:highlight w:val="none"/>
        </w:rPr>
        <w:t>野生动物较少，以多种昆虫居多，其次是鼠类，常见野生动物有喜鹊、麻雀、沙鼠等，区域内没有珍稀野生动植物，周边也没有生态敏感保护目标。</w:t>
      </w:r>
    </w:p>
    <w:p>
      <w:pPr>
        <w:pStyle w:val="5"/>
        <w:bidi w:val="0"/>
        <w:rPr>
          <w:rFonts w:hint="eastAsia"/>
          <w:color w:val="auto"/>
          <w:highlight w:val="none"/>
        </w:rPr>
      </w:pPr>
      <w:bookmarkStart w:id="49" w:name="_Toc4284"/>
      <w:bookmarkStart w:id="50" w:name="_Toc22621"/>
      <w:r>
        <w:rPr>
          <w:rFonts w:hint="eastAsia"/>
          <w:color w:val="auto"/>
          <w:highlight w:val="none"/>
          <w:lang w:val="en-US" w:eastAsia="zh-CN"/>
        </w:rPr>
        <w:t>区域污染源调查</w:t>
      </w:r>
      <w:bookmarkEnd w:id="49"/>
      <w:bookmarkEnd w:id="50"/>
    </w:p>
    <w:p>
      <w:pPr>
        <w:pStyle w:val="4"/>
        <w:rPr>
          <w:rFonts w:hint="eastAsia"/>
          <w:color w:val="auto"/>
          <w:highlight w:val="none"/>
          <w:lang w:val="en-US" w:eastAsia="zh-CN"/>
        </w:rPr>
      </w:pPr>
      <w:r>
        <w:rPr>
          <w:rFonts w:hint="eastAsia"/>
          <w:color w:val="auto"/>
          <w:highlight w:val="none"/>
          <w:lang w:val="en-US" w:eastAsia="zh-CN"/>
        </w:rPr>
        <w:t>根据现场踏勘，项目区南侧隔路50m和西侧200m均为历史遗留采砂坑，根据调查，新疆金塔固体废物治理有限公司拟对这两处采砂坑进行生态恢复，建设一般工业固体废物填埋场，现将其项目基本情况和污染源情况简单介绍如下：</w:t>
      </w:r>
    </w:p>
    <w:p>
      <w:pPr>
        <w:pStyle w:val="4"/>
        <w:rPr>
          <w:rFonts w:hint="default"/>
          <w:color w:val="auto"/>
          <w:highlight w:val="none"/>
          <w:lang w:val="en-US" w:eastAsia="zh-CN"/>
        </w:rPr>
      </w:pPr>
      <w:r>
        <w:rPr>
          <w:rFonts w:hint="eastAsia"/>
          <w:color w:val="auto"/>
          <w:highlight w:val="none"/>
          <w:lang w:val="en-US" w:eastAsia="zh-CN"/>
        </w:rPr>
        <w:t>（1）项目基本情况</w:t>
      </w:r>
    </w:p>
    <w:p>
      <w:pPr>
        <w:pStyle w:val="4"/>
        <w:rPr>
          <w:rFonts w:hint="default"/>
          <w:color w:val="auto"/>
          <w:highlight w:val="none"/>
          <w:lang w:val="en-US" w:eastAsia="zh-CN"/>
        </w:rPr>
      </w:pPr>
      <w:r>
        <w:rPr>
          <w:rFonts w:hint="eastAsia"/>
          <w:color w:val="auto"/>
          <w:highlight w:val="none"/>
          <w:lang w:val="en-US" w:eastAsia="zh-CN"/>
        </w:rPr>
        <w:t>其项目由两个采砂坑组成，分别位于本项目的南侧隔路50m和西侧200m，</w:t>
      </w:r>
      <w:r>
        <w:rPr>
          <w:rFonts w:hint="eastAsia" w:cs="Times New Roman"/>
          <w:color w:val="auto"/>
          <w:highlight w:val="none"/>
          <w:lang w:val="en-US" w:eastAsia="zh-CN"/>
        </w:rPr>
        <w:t>南侧采砂坑面积134867.4</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s="Times New Roman"/>
          <w:color w:val="auto"/>
          <w:highlight w:val="none"/>
          <w:lang w:val="en-US" w:eastAsia="zh-CN"/>
        </w:rPr>
        <w:t>，西侧采砂坑面积44691.5</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s="Times New Roman"/>
          <w:color w:val="auto"/>
          <w:highlight w:val="none"/>
          <w:lang w:val="en-US" w:eastAsia="zh-CN"/>
        </w:rPr>
        <w:t>，</w:t>
      </w:r>
      <w:r>
        <w:rPr>
          <w:rFonts w:hint="eastAsia"/>
          <w:color w:val="auto"/>
          <w:highlight w:val="none"/>
          <w:lang w:val="en-US" w:eastAsia="zh-CN"/>
        </w:rPr>
        <w:t>总库体容积500万m</w:t>
      </w:r>
      <w:r>
        <w:rPr>
          <w:rFonts w:hint="eastAsia"/>
          <w:color w:val="auto"/>
          <w:highlight w:val="none"/>
          <w:vertAlign w:val="superscript"/>
          <w:lang w:val="en-US" w:eastAsia="zh-CN"/>
        </w:rPr>
        <w:t>3</w:t>
      </w:r>
      <w:r>
        <w:rPr>
          <w:rFonts w:hint="eastAsia"/>
          <w:color w:val="auto"/>
          <w:highlight w:val="none"/>
          <w:lang w:val="en-US" w:eastAsia="zh-CN"/>
        </w:rPr>
        <w:t>，可处理工业固体废物50万m</w:t>
      </w:r>
      <w:r>
        <w:rPr>
          <w:rFonts w:hint="eastAsia"/>
          <w:color w:val="auto"/>
          <w:highlight w:val="none"/>
          <w:vertAlign w:val="superscript"/>
          <w:lang w:val="en-US" w:eastAsia="zh-CN"/>
        </w:rPr>
        <w:t>3</w:t>
      </w:r>
      <w:r>
        <w:rPr>
          <w:rFonts w:hint="eastAsia"/>
          <w:color w:val="auto"/>
          <w:highlight w:val="none"/>
          <w:lang w:val="en-US" w:eastAsia="zh-CN"/>
        </w:rPr>
        <w:t>/a，设计使用年限10年。拟采用</w:t>
      </w:r>
      <w:r>
        <w:rPr>
          <w:rFonts w:hint="eastAsia"/>
          <w:color w:val="auto"/>
          <w:highlight w:val="none"/>
        </w:rPr>
        <w:t>奇台县喇嘛湖梁工业园</w:t>
      </w:r>
      <w:r>
        <w:rPr>
          <w:rFonts w:hint="eastAsia"/>
          <w:color w:val="auto"/>
          <w:highlight w:val="none"/>
          <w:lang w:val="en-US" w:eastAsia="zh-CN"/>
        </w:rPr>
        <w:t>以及奇台县城西工业园区石材区产生的</w:t>
      </w:r>
      <w:r>
        <w:rPr>
          <w:rFonts w:hint="default" w:ascii="Times New Roman" w:hAnsi="Times New Roman" w:cs="Times New Roman"/>
          <w:color w:val="auto"/>
          <w:highlight w:val="none"/>
          <w:lang w:val="en-US" w:eastAsia="zh-CN"/>
        </w:rPr>
        <w:t>Ⅰ</w:t>
      </w:r>
      <w:r>
        <w:rPr>
          <w:rFonts w:hint="eastAsia"/>
          <w:color w:val="auto"/>
          <w:highlight w:val="none"/>
          <w:lang w:val="en-US" w:eastAsia="zh-CN"/>
        </w:rPr>
        <w:t>、</w:t>
      </w:r>
      <w:r>
        <w:rPr>
          <w:rFonts w:hint="default" w:ascii="Times New Roman" w:hAnsi="Times New Roman" w:cs="Times New Roman"/>
          <w:color w:val="auto"/>
          <w:highlight w:val="none"/>
          <w:lang w:val="en-US" w:eastAsia="zh-CN"/>
        </w:rPr>
        <w:t>Ⅱ</w:t>
      </w:r>
      <w:r>
        <w:rPr>
          <w:rFonts w:hint="eastAsia" w:cs="Times New Roman"/>
          <w:color w:val="auto"/>
          <w:highlight w:val="none"/>
          <w:lang w:val="en-US" w:eastAsia="zh-CN"/>
        </w:rPr>
        <w:t>类</w:t>
      </w:r>
      <w:r>
        <w:rPr>
          <w:rFonts w:hint="eastAsia"/>
          <w:color w:val="auto"/>
          <w:highlight w:val="none"/>
          <w:lang w:val="en-US" w:eastAsia="zh-CN"/>
        </w:rPr>
        <w:t>一般工业固体废物回填，封场后及时进行土地复垦和植被恢复。该项目预期2022年初开始施工建设，2022年中旬投入运行。</w:t>
      </w:r>
    </w:p>
    <w:p>
      <w:pPr>
        <w:pStyle w:val="4"/>
        <w:rPr>
          <w:rFonts w:hint="eastAsia"/>
          <w:color w:val="auto"/>
          <w:highlight w:val="none"/>
          <w:lang w:val="en-US" w:eastAsia="zh-CN"/>
        </w:rPr>
      </w:pPr>
      <w:r>
        <w:rPr>
          <w:rFonts w:hint="eastAsia"/>
          <w:color w:val="auto"/>
          <w:highlight w:val="none"/>
          <w:lang w:val="en-US" w:eastAsia="zh-CN"/>
        </w:rPr>
        <w:t>（2）污染源情况</w:t>
      </w:r>
    </w:p>
    <w:p>
      <w:pPr>
        <w:pStyle w:val="4"/>
        <w:rPr>
          <w:rFonts w:hint="eastAsia"/>
          <w:color w:val="auto"/>
          <w:highlight w:val="none"/>
          <w:lang w:val="en-US" w:eastAsia="zh-CN"/>
        </w:rPr>
      </w:pPr>
      <w:r>
        <w:rPr>
          <w:rFonts w:hint="eastAsia"/>
          <w:color w:val="auto"/>
          <w:highlight w:val="none"/>
          <w:lang w:val="en-US" w:eastAsia="zh-CN"/>
        </w:rPr>
        <w:t>1）废气</w:t>
      </w:r>
    </w:p>
    <w:p>
      <w:pPr>
        <w:pStyle w:val="4"/>
        <w:bidi w:val="0"/>
        <w:rPr>
          <w:rFonts w:hint="eastAsia"/>
          <w:color w:val="auto"/>
          <w:highlight w:val="none"/>
        </w:rPr>
      </w:pPr>
      <w:r>
        <w:rPr>
          <w:rFonts w:hint="eastAsia"/>
          <w:color w:val="auto"/>
          <w:highlight w:val="none"/>
          <w:lang w:val="en-US" w:eastAsia="zh-CN"/>
        </w:rPr>
        <w:t>其运营期废气污染源主要为无组织扬尘，</w:t>
      </w:r>
      <w:r>
        <w:rPr>
          <w:color w:val="auto"/>
          <w:highlight w:val="none"/>
        </w:rPr>
        <w:t>扬尘污染</w:t>
      </w:r>
      <w:r>
        <w:rPr>
          <w:rFonts w:hint="eastAsia"/>
          <w:color w:val="auto"/>
          <w:highlight w:val="none"/>
        </w:rPr>
        <w:t>来</w:t>
      </w:r>
      <w:r>
        <w:rPr>
          <w:color w:val="auto"/>
          <w:highlight w:val="none"/>
        </w:rPr>
        <w:t>源主要</w:t>
      </w:r>
      <w:r>
        <w:rPr>
          <w:rFonts w:hint="eastAsia"/>
          <w:color w:val="auto"/>
          <w:highlight w:val="none"/>
        </w:rPr>
        <w:t>包括固废</w:t>
      </w:r>
      <w:r>
        <w:rPr>
          <w:color w:val="auto"/>
          <w:highlight w:val="none"/>
        </w:rPr>
        <w:t>卸车</w:t>
      </w:r>
      <w:r>
        <w:rPr>
          <w:rFonts w:hint="eastAsia"/>
          <w:color w:val="auto"/>
          <w:highlight w:val="none"/>
          <w:lang w:val="en-US" w:eastAsia="zh-CN"/>
        </w:rPr>
        <w:t>及填埋作业</w:t>
      </w:r>
      <w:r>
        <w:rPr>
          <w:rFonts w:hint="eastAsia"/>
          <w:color w:val="auto"/>
          <w:highlight w:val="none"/>
        </w:rPr>
        <w:t>扬尘、</w:t>
      </w:r>
      <w:r>
        <w:rPr>
          <w:rFonts w:hint="eastAsia"/>
          <w:color w:val="auto"/>
          <w:highlight w:val="none"/>
          <w:lang w:val="en-US" w:eastAsia="zh-CN"/>
        </w:rPr>
        <w:t>填埋场</w:t>
      </w:r>
      <w:r>
        <w:rPr>
          <w:color w:val="auto"/>
          <w:highlight w:val="none"/>
        </w:rPr>
        <w:t>区</w:t>
      </w:r>
      <w:r>
        <w:rPr>
          <w:rFonts w:hint="eastAsia"/>
          <w:color w:val="auto"/>
          <w:highlight w:val="none"/>
          <w:lang w:val="en-US" w:eastAsia="zh-CN"/>
        </w:rPr>
        <w:t>堆体起</w:t>
      </w:r>
      <w:r>
        <w:rPr>
          <w:color w:val="auto"/>
          <w:highlight w:val="none"/>
        </w:rPr>
        <w:t>尘。</w:t>
      </w:r>
      <w:r>
        <w:rPr>
          <w:rFonts w:hint="eastAsia"/>
          <w:color w:val="auto"/>
          <w:highlight w:val="none"/>
          <w:lang w:val="en-US" w:eastAsia="zh-CN"/>
        </w:rPr>
        <w:t>在采取减少松散裸露面积，及时压实、</w:t>
      </w:r>
      <w:r>
        <w:rPr>
          <w:color w:val="auto"/>
          <w:highlight w:val="none"/>
        </w:rPr>
        <w:t>洒水</w:t>
      </w:r>
      <w:r>
        <w:rPr>
          <w:rFonts w:hint="eastAsia"/>
          <w:color w:val="auto"/>
          <w:highlight w:val="none"/>
          <w:lang w:val="en-US" w:eastAsia="zh-CN"/>
        </w:rPr>
        <w:t>降尘、喷洒壳剂、植被恢复等措施后</w:t>
      </w:r>
      <w:r>
        <w:rPr>
          <w:rFonts w:hint="eastAsia"/>
          <w:color w:val="auto"/>
          <w:highlight w:val="none"/>
        </w:rPr>
        <w:t>，无组织</w:t>
      </w:r>
      <w:r>
        <w:rPr>
          <w:color w:val="auto"/>
          <w:highlight w:val="none"/>
        </w:rPr>
        <w:t>扬尘</w:t>
      </w:r>
      <w:r>
        <w:rPr>
          <w:rFonts w:hint="eastAsia"/>
          <w:color w:val="auto"/>
          <w:highlight w:val="none"/>
        </w:rPr>
        <w:t>排放量</w:t>
      </w:r>
      <w:r>
        <w:rPr>
          <w:color w:val="auto"/>
          <w:highlight w:val="none"/>
        </w:rPr>
        <w:t>约</w:t>
      </w:r>
      <w:r>
        <w:rPr>
          <w:rFonts w:hint="eastAsia"/>
          <w:color w:val="auto"/>
          <w:highlight w:val="none"/>
          <w:lang w:val="en-US" w:eastAsia="zh-CN"/>
        </w:rPr>
        <w:t>4.11</w:t>
      </w:r>
      <w:r>
        <w:rPr>
          <w:rFonts w:hint="eastAsia"/>
          <w:color w:val="auto"/>
          <w:highlight w:val="none"/>
        </w:rPr>
        <w:t>t/a。</w:t>
      </w:r>
    </w:p>
    <w:p>
      <w:pPr>
        <w:pStyle w:val="4"/>
        <w:ind w:firstLine="480"/>
        <w:rPr>
          <w:rFonts w:hint="eastAsia"/>
          <w:color w:val="auto"/>
          <w:highlight w:val="none"/>
        </w:rPr>
      </w:pPr>
      <w:r>
        <w:rPr>
          <w:rFonts w:hint="eastAsia"/>
          <w:color w:val="auto"/>
          <w:highlight w:val="none"/>
          <w:lang w:val="en-US" w:eastAsia="zh-CN"/>
        </w:rPr>
        <w:t>根据其环评大气评价预测结果，</w:t>
      </w:r>
      <w:r>
        <w:rPr>
          <w:rFonts w:hint="eastAsia"/>
          <w:color w:val="auto"/>
          <w:highlight w:val="none"/>
        </w:rPr>
        <w:t>运营期无组织排放的废气特征污染物</w:t>
      </w:r>
      <w:r>
        <w:rPr>
          <w:rFonts w:hint="eastAsia"/>
          <w:color w:val="auto"/>
          <w:highlight w:val="none"/>
          <w:lang w:val="en-US" w:eastAsia="zh-CN"/>
        </w:rPr>
        <w:t>TSP</w:t>
      </w:r>
      <w:r>
        <w:rPr>
          <w:rFonts w:hint="eastAsia"/>
          <w:color w:val="auto"/>
          <w:highlight w:val="none"/>
        </w:rPr>
        <w:t>厂界处的预测排放浓度为</w:t>
      </w:r>
      <w:r>
        <w:rPr>
          <w:rFonts w:hint="eastAsia"/>
          <w:color w:val="auto"/>
          <w:highlight w:val="none"/>
          <w:lang w:val="en-US" w:eastAsia="zh-CN"/>
        </w:rPr>
        <w:t>40.73</w:t>
      </w:r>
      <w:r>
        <w:rPr>
          <w:color w:val="auto"/>
          <w:highlight w:val="none"/>
        </w:rPr>
        <w:t>μg/m</w:t>
      </w:r>
      <w:r>
        <w:rPr>
          <w:color w:val="auto"/>
          <w:highlight w:val="none"/>
          <w:vertAlign w:val="superscript"/>
        </w:rPr>
        <w:t>3</w:t>
      </w:r>
      <w:r>
        <w:rPr>
          <w:color w:val="auto"/>
          <w:highlight w:val="none"/>
        </w:rPr>
        <w:t>，</w:t>
      </w:r>
      <w:r>
        <w:rPr>
          <w:rFonts w:hint="eastAsia"/>
          <w:color w:val="auto"/>
          <w:highlight w:val="none"/>
        </w:rPr>
        <w:t>满足</w:t>
      </w:r>
      <w:r>
        <w:rPr>
          <w:color w:val="auto"/>
          <w:highlight w:val="none"/>
        </w:rPr>
        <w:t>《大气污染物综合排放标准》（GB16297-1996）</w:t>
      </w:r>
      <w:r>
        <w:rPr>
          <w:rFonts w:hint="eastAsia"/>
          <w:color w:val="auto"/>
          <w:highlight w:val="none"/>
        </w:rPr>
        <w:t>二级</w:t>
      </w:r>
      <w:r>
        <w:rPr>
          <w:rFonts w:hint="eastAsia"/>
          <w:color w:val="auto"/>
          <w:highlight w:val="none"/>
          <w:lang w:val="en-US" w:eastAsia="zh-CN"/>
        </w:rPr>
        <w:t>标准</w:t>
      </w:r>
      <w:r>
        <w:rPr>
          <w:rFonts w:hint="eastAsia"/>
          <w:color w:val="auto"/>
          <w:highlight w:val="none"/>
        </w:rPr>
        <w:t>要求。厂区无组织排放的颗粒物</w:t>
      </w:r>
      <w:r>
        <w:rPr>
          <w:color w:val="auto"/>
          <w:highlight w:val="none"/>
        </w:rPr>
        <w:t>最大落地浓度</w:t>
      </w:r>
      <w:r>
        <w:rPr>
          <w:rFonts w:hint="eastAsia"/>
          <w:color w:val="auto"/>
          <w:highlight w:val="none"/>
        </w:rPr>
        <w:t>点距厂界</w:t>
      </w:r>
      <w:r>
        <w:rPr>
          <w:rFonts w:hint="eastAsia"/>
          <w:color w:val="auto"/>
          <w:highlight w:val="none"/>
          <w:lang w:val="en-US" w:eastAsia="zh-CN"/>
        </w:rPr>
        <w:t>536</w:t>
      </w:r>
      <w:r>
        <w:rPr>
          <w:rFonts w:hint="eastAsia"/>
          <w:color w:val="auto"/>
          <w:highlight w:val="none"/>
        </w:rPr>
        <w:t>m，最大预测浓度</w:t>
      </w:r>
      <w:r>
        <w:rPr>
          <w:color w:val="auto"/>
          <w:highlight w:val="none"/>
        </w:rPr>
        <w:t>为</w:t>
      </w:r>
      <w:r>
        <w:rPr>
          <w:rFonts w:hint="eastAsia"/>
          <w:color w:val="auto"/>
          <w:highlight w:val="none"/>
          <w:lang w:val="en-US" w:eastAsia="zh-CN"/>
        </w:rPr>
        <w:t>89.43</w:t>
      </w:r>
      <w:r>
        <w:rPr>
          <w:color w:val="auto"/>
          <w:highlight w:val="none"/>
        </w:rPr>
        <w:t>μg/m</w:t>
      </w:r>
      <w:r>
        <w:rPr>
          <w:color w:val="auto"/>
          <w:highlight w:val="none"/>
          <w:vertAlign w:val="superscript"/>
        </w:rPr>
        <w:t>3</w:t>
      </w:r>
      <w:r>
        <w:rPr>
          <w:color w:val="auto"/>
          <w:highlight w:val="none"/>
        </w:rPr>
        <w:t>，其占标率为</w:t>
      </w:r>
      <w:r>
        <w:rPr>
          <w:rFonts w:hint="eastAsia"/>
          <w:color w:val="auto"/>
          <w:highlight w:val="none"/>
          <w:lang w:val="en-US" w:eastAsia="zh-CN"/>
        </w:rPr>
        <w:t>9.94</w:t>
      </w:r>
      <w:r>
        <w:rPr>
          <w:color w:val="auto"/>
          <w:highlight w:val="none"/>
        </w:rPr>
        <w:t>%</w:t>
      </w:r>
      <w:r>
        <w:rPr>
          <w:rFonts w:hint="eastAsia"/>
          <w:color w:val="auto"/>
          <w:highlight w:val="none"/>
        </w:rPr>
        <w:t>，满足《环境空气质量标准》（GB3095-2012）及修改单</w:t>
      </w:r>
      <w:r>
        <w:rPr>
          <w:color w:val="auto"/>
          <w:highlight w:val="none"/>
        </w:rPr>
        <w:t>二级</w:t>
      </w:r>
      <w:r>
        <w:rPr>
          <w:rFonts w:hint="eastAsia"/>
          <w:color w:val="auto"/>
          <w:highlight w:val="none"/>
        </w:rPr>
        <w:t>要求。</w:t>
      </w:r>
      <w:r>
        <w:rPr>
          <w:color w:val="auto"/>
          <w:highlight w:val="none"/>
        </w:rPr>
        <w:t>项目</w:t>
      </w:r>
      <w:r>
        <w:rPr>
          <w:rFonts w:hint="eastAsia"/>
          <w:color w:val="auto"/>
          <w:highlight w:val="none"/>
        </w:rPr>
        <w:t>无组织</w:t>
      </w:r>
      <w:r>
        <w:rPr>
          <w:color w:val="auto"/>
          <w:highlight w:val="none"/>
        </w:rPr>
        <w:t>排放的</w:t>
      </w:r>
      <w:r>
        <w:rPr>
          <w:rFonts w:hint="eastAsia"/>
          <w:color w:val="auto"/>
          <w:highlight w:val="none"/>
        </w:rPr>
        <w:t>废气特征污染物（颗粒物）不同距离处</w:t>
      </w:r>
      <w:r>
        <w:rPr>
          <w:color w:val="auto"/>
          <w:highlight w:val="none"/>
        </w:rPr>
        <w:t>预测浓度占标率均低于10</w:t>
      </w:r>
      <w:r>
        <w:rPr>
          <w:rFonts w:hint="eastAsia"/>
          <w:color w:val="auto"/>
          <w:highlight w:val="none"/>
        </w:rPr>
        <w:t>%</w:t>
      </w:r>
      <w:r>
        <w:rPr>
          <w:color w:val="auto"/>
          <w:highlight w:val="none"/>
        </w:rPr>
        <w:t>，对区域大气环境质量</w:t>
      </w:r>
      <w:r>
        <w:rPr>
          <w:rFonts w:hint="eastAsia"/>
          <w:color w:val="auto"/>
          <w:highlight w:val="none"/>
        </w:rPr>
        <w:t>影响</w:t>
      </w:r>
      <w:r>
        <w:rPr>
          <w:color w:val="auto"/>
          <w:highlight w:val="none"/>
        </w:rPr>
        <w:t>较小</w:t>
      </w:r>
      <w:r>
        <w:rPr>
          <w:rFonts w:hint="eastAsia"/>
          <w:color w:val="auto"/>
          <w:highlight w:val="none"/>
        </w:rPr>
        <w:t>。</w:t>
      </w:r>
    </w:p>
    <w:p>
      <w:pPr>
        <w:pStyle w:val="4"/>
        <w:ind w:firstLine="480"/>
        <w:rPr>
          <w:rFonts w:hint="eastAsia"/>
          <w:color w:val="auto"/>
          <w:highlight w:val="none"/>
          <w:lang w:val="en-US" w:eastAsia="zh-CN"/>
        </w:rPr>
      </w:pPr>
      <w:r>
        <w:rPr>
          <w:rFonts w:hint="eastAsia"/>
          <w:color w:val="auto"/>
          <w:highlight w:val="none"/>
          <w:lang w:val="en-US" w:eastAsia="zh-CN"/>
        </w:rPr>
        <w:t>2）废水</w:t>
      </w:r>
    </w:p>
    <w:p>
      <w:pPr>
        <w:pStyle w:val="4"/>
        <w:rPr>
          <w:rFonts w:hint="eastAsia"/>
          <w:color w:val="auto"/>
          <w:highlight w:val="none"/>
          <w:lang w:val="en-US" w:eastAsia="zh-CN"/>
        </w:rPr>
      </w:pPr>
      <w:r>
        <w:rPr>
          <w:rFonts w:hint="eastAsia"/>
          <w:color w:val="auto"/>
          <w:highlight w:val="none"/>
          <w:lang w:val="en-US" w:eastAsia="zh-CN"/>
        </w:rPr>
        <w:t>其运营期废水主要为填埋堆体渗滤液和管理人员生活污水。</w:t>
      </w:r>
    </w:p>
    <w:p>
      <w:pPr>
        <w:pStyle w:val="4"/>
        <w:rPr>
          <w:rFonts w:hint="default"/>
          <w:color w:val="auto"/>
          <w:highlight w:val="none"/>
          <w:lang w:val="en-US" w:eastAsia="zh-CN"/>
        </w:rPr>
      </w:pPr>
      <w:r>
        <w:rPr>
          <w:rFonts w:hint="eastAsia"/>
          <w:color w:val="auto"/>
          <w:highlight w:val="none"/>
          <w:lang w:val="en-US" w:eastAsia="zh-CN"/>
        </w:rPr>
        <w:t>渗滤液最大产生量17812m</w:t>
      </w:r>
      <w:r>
        <w:rPr>
          <w:rFonts w:hint="eastAsia"/>
          <w:color w:val="auto"/>
          <w:highlight w:val="none"/>
          <w:vertAlign w:val="superscript"/>
          <w:lang w:val="en-US" w:eastAsia="zh-CN"/>
        </w:rPr>
        <w:t>3</w:t>
      </w:r>
      <w:r>
        <w:rPr>
          <w:rFonts w:hint="eastAsia"/>
          <w:color w:val="auto"/>
          <w:highlight w:val="none"/>
          <w:lang w:val="en-US" w:eastAsia="zh-CN"/>
        </w:rPr>
        <w:t>/a，生活污水产生量为350.4m</w:t>
      </w:r>
      <w:r>
        <w:rPr>
          <w:rFonts w:hint="eastAsia"/>
          <w:color w:val="auto"/>
          <w:highlight w:val="none"/>
          <w:vertAlign w:val="superscript"/>
          <w:lang w:val="en-US" w:eastAsia="zh-CN"/>
        </w:rPr>
        <w:t>3</w:t>
      </w:r>
      <w:r>
        <w:rPr>
          <w:rFonts w:hint="eastAsia"/>
          <w:color w:val="auto"/>
          <w:highlight w:val="none"/>
          <w:lang w:val="en-US" w:eastAsia="zh-CN"/>
        </w:rPr>
        <w:t>/a。</w:t>
      </w:r>
      <w:r>
        <w:rPr>
          <w:rFonts w:hint="default"/>
          <w:color w:val="auto"/>
          <w:highlight w:val="none"/>
          <w:lang w:val="en-US" w:eastAsia="zh-CN"/>
        </w:rPr>
        <w:t>渗滤液集中收集后进入集液池内，</w:t>
      </w:r>
      <w:r>
        <w:rPr>
          <w:rFonts w:hint="eastAsia"/>
          <w:color w:val="auto"/>
          <w:highlight w:val="none"/>
          <w:lang w:val="en-US" w:eastAsia="zh-CN"/>
        </w:rPr>
        <w:t>拉运至喇嘛湖梁工业园区污水处理厂处理</w:t>
      </w:r>
      <w:r>
        <w:rPr>
          <w:rFonts w:hint="default"/>
          <w:color w:val="auto"/>
          <w:highlight w:val="none"/>
          <w:lang w:val="en-US" w:eastAsia="zh-CN"/>
        </w:rPr>
        <w:t>，不外排。生活污水采用移动式环保公厕收集，定期由吸污车清运至</w:t>
      </w:r>
      <w:r>
        <w:rPr>
          <w:rFonts w:hint="eastAsia"/>
          <w:color w:val="auto"/>
          <w:highlight w:val="none"/>
          <w:lang w:val="en-US" w:eastAsia="zh-CN"/>
        </w:rPr>
        <w:t>奇台</w:t>
      </w:r>
      <w:r>
        <w:rPr>
          <w:rFonts w:hint="default"/>
          <w:color w:val="auto"/>
          <w:highlight w:val="none"/>
          <w:lang w:val="en-US" w:eastAsia="zh-CN"/>
        </w:rPr>
        <w:t>县污水处理厂处理。</w:t>
      </w:r>
      <w:r>
        <w:rPr>
          <w:rFonts w:hint="eastAsia"/>
          <w:color w:val="auto"/>
          <w:highlight w:val="none"/>
          <w:lang w:val="en-US" w:eastAsia="zh-CN"/>
        </w:rPr>
        <w:t>对外环境基本无影响。</w:t>
      </w:r>
    </w:p>
    <w:p>
      <w:pPr>
        <w:pStyle w:val="4"/>
        <w:rPr>
          <w:rFonts w:hint="eastAsia"/>
          <w:color w:val="auto"/>
          <w:highlight w:val="none"/>
          <w:lang w:val="en-US" w:eastAsia="zh-CN"/>
        </w:rPr>
      </w:pPr>
      <w:r>
        <w:rPr>
          <w:rFonts w:hint="eastAsia"/>
          <w:color w:val="auto"/>
          <w:highlight w:val="none"/>
          <w:lang w:val="en-US" w:eastAsia="zh-CN"/>
        </w:rPr>
        <w:t>3）噪声</w:t>
      </w:r>
    </w:p>
    <w:p>
      <w:pPr>
        <w:pStyle w:val="4"/>
        <w:rPr>
          <w:rFonts w:hint="default"/>
          <w:color w:val="auto"/>
          <w:highlight w:val="none"/>
          <w:lang w:val="en-US" w:eastAsia="zh-CN"/>
        </w:rPr>
      </w:pPr>
      <w:r>
        <w:rPr>
          <w:rFonts w:hint="eastAsia"/>
          <w:color w:val="auto"/>
          <w:highlight w:val="none"/>
          <w:lang w:val="en-US" w:eastAsia="zh-CN"/>
        </w:rPr>
        <w:t>其运营期噪声主要来自于回填作业机械设备，声压级范围在80~90dB（A）之间。根据其噪声预测结果，</w:t>
      </w:r>
      <w:r>
        <w:rPr>
          <w:color w:val="auto"/>
          <w:highlight w:val="none"/>
        </w:rPr>
        <w:t>项目</w:t>
      </w:r>
      <w:r>
        <w:rPr>
          <w:rFonts w:hint="eastAsia"/>
          <w:color w:val="auto"/>
          <w:highlight w:val="none"/>
        </w:rPr>
        <w:t>厂界</w:t>
      </w:r>
      <w:r>
        <w:rPr>
          <w:rFonts w:hint="eastAsia"/>
          <w:color w:val="auto"/>
          <w:highlight w:val="none"/>
          <w:lang w:val="en-US" w:eastAsia="zh-CN"/>
        </w:rPr>
        <w:t>昼间</w:t>
      </w:r>
      <w:r>
        <w:rPr>
          <w:rFonts w:hint="eastAsia"/>
          <w:color w:val="auto"/>
          <w:highlight w:val="none"/>
        </w:rPr>
        <w:t>噪声排放最大值</w:t>
      </w:r>
      <w:r>
        <w:rPr>
          <w:rFonts w:hint="eastAsia"/>
          <w:color w:val="auto"/>
          <w:highlight w:val="none"/>
          <w:lang w:val="en-US" w:eastAsia="zh-CN"/>
        </w:rPr>
        <w:t>为53.5</w:t>
      </w:r>
      <w:r>
        <w:rPr>
          <w:rFonts w:hint="eastAsia"/>
          <w:color w:val="auto"/>
          <w:highlight w:val="none"/>
        </w:rPr>
        <w:t>dB</w:t>
      </w:r>
      <w:r>
        <w:rPr>
          <w:rFonts w:hint="eastAsia"/>
          <w:color w:val="auto"/>
          <w:highlight w:val="none"/>
          <w:lang w:eastAsia="zh-CN"/>
        </w:rPr>
        <w:t>，</w:t>
      </w:r>
      <w:r>
        <w:rPr>
          <w:color w:val="auto"/>
          <w:highlight w:val="none"/>
        </w:rPr>
        <w:t>厂界噪声昼</w:t>
      </w:r>
      <w:r>
        <w:rPr>
          <w:rFonts w:hint="eastAsia"/>
          <w:color w:val="auto"/>
          <w:highlight w:val="none"/>
          <w:lang w:val="en-US" w:eastAsia="zh-CN"/>
        </w:rPr>
        <w:t>间、</w:t>
      </w:r>
      <w:r>
        <w:rPr>
          <w:rFonts w:hint="eastAsia"/>
          <w:color w:val="auto"/>
          <w:highlight w:val="none"/>
        </w:rPr>
        <w:t>夜</w:t>
      </w:r>
      <w:r>
        <w:rPr>
          <w:rFonts w:hint="eastAsia"/>
          <w:color w:val="auto"/>
          <w:highlight w:val="none"/>
          <w:lang w:val="en-US" w:eastAsia="zh-CN"/>
        </w:rPr>
        <w:t>间</w:t>
      </w:r>
      <w:r>
        <w:rPr>
          <w:rFonts w:hint="eastAsia"/>
          <w:color w:val="auto"/>
          <w:highlight w:val="none"/>
        </w:rPr>
        <w:t>均</w:t>
      </w:r>
      <w:r>
        <w:rPr>
          <w:color w:val="auto"/>
          <w:highlight w:val="none"/>
        </w:rPr>
        <w:t>满足《工业企业厂界环境噪声排放标准》（</w:t>
      </w:r>
      <w:r>
        <w:rPr>
          <w:rFonts w:hint="eastAsia"/>
          <w:color w:val="auto"/>
          <w:highlight w:val="none"/>
          <w:lang w:eastAsia="zh-CN"/>
        </w:rPr>
        <w:t>GB</w:t>
      </w:r>
      <w:r>
        <w:rPr>
          <w:color w:val="auto"/>
          <w:highlight w:val="none"/>
        </w:rPr>
        <w:t>12348-2008）</w:t>
      </w:r>
      <w:r>
        <w:rPr>
          <w:rFonts w:hint="eastAsia"/>
          <w:color w:val="auto"/>
          <w:highlight w:val="none"/>
          <w:lang w:val="en-US" w:eastAsia="zh-CN"/>
        </w:rPr>
        <w:t>2</w:t>
      </w:r>
      <w:r>
        <w:rPr>
          <w:color w:val="auto"/>
          <w:highlight w:val="none"/>
        </w:rPr>
        <w:t>类标准要求。</w:t>
      </w:r>
      <w:r>
        <w:rPr>
          <w:rFonts w:hint="eastAsia"/>
          <w:color w:val="auto"/>
          <w:highlight w:val="none"/>
        </w:rPr>
        <w:t>项目运营期噪声</w:t>
      </w:r>
      <w:r>
        <w:rPr>
          <w:color w:val="auto"/>
          <w:highlight w:val="none"/>
        </w:rPr>
        <w:t>对周围环境噪声影响</w:t>
      </w:r>
      <w:r>
        <w:rPr>
          <w:rFonts w:hint="eastAsia"/>
          <w:color w:val="auto"/>
          <w:highlight w:val="none"/>
          <w:lang w:val="en-US" w:eastAsia="zh-CN"/>
        </w:rPr>
        <w:t>可以接受</w:t>
      </w:r>
      <w:r>
        <w:rPr>
          <w:color w:val="auto"/>
          <w:highlight w:val="none"/>
        </w:rPr>
        <w:t>。</w:t>
      </w:r>
    </w:p>
    <w:p>
      <w:pPr>
        <w:pStyle w:val="3"/>
        <w:bidi w:val="0"/>
        <w:rPr>
          <w:rFonts w:hint="eastAsia"/>
          <w:color w:val="auto"/>
          <w:highlight w:val="none"/>
        </w:rPr>
      </w:pPr>
      <w:bookmarkStart w:id="51" w:name="_Toc18982"/>
      <w:bookmarkStart w:id="52" w:name="_Toc1916"/>
      <w:r>
        <w:rPr>
          <w:rFonts w:hint="eastAsia"/>
          <w:color w:val="auto"/>
          <w:highlight w:val="none"/>
          <w:lang w:val="en-US" w:eastAsia="zh-CN"/>
        </w:rPr>
        <w:t>环境影响预测与评价</w:t>
      </w:r>
      <w:bookmarkEnd w:id="51"/>
      <w:bookmarkEnd w:id="52"/>
    </w:p>
    <w:p>
      <w:pPr>
        <w:pStyle w:val="5"/>
        <w:bidi w:val="0"/>
        <w:rPr>
          <w:rFonts w:hint="eastAsia"/>
          <w:color w:val="auto"/>
          <w:highlight w:val="none"/>
        </w:rPr>
      </w:pPr>
      <w:bookmarkStart w:id="53" w:name="_Toc11848"/>
      <w:bookmarkStart w:id="54" w:name="_Toc20455"/>
      <w:r>
        <w:rPr>
          <w:rFonts w:hint="eastAsia"/>
          <w:color w:val="auto"/>
          <w:highlight w:val="none"/>
          <w:lang w:val="en-US" w:eastAsia="zh-CN"/>
        </w:rPr>
        <w:t>环境影响分析与评价</w:t>
      </w:r>
      <w:bookmarkEnd w:id="53"/>
      <w:bookmarkEnd w:id="54"/>
    </w:p>
    <w:p>
      <w:pPr>
        <w:pStyle w:val="4"/>
        <w:rPr>
          <w:rFonts w:hint="eastAsia"/>
          <w:color w:val="auto"/>
          <w:highlight w:val="none"/>
          <w:lang w:val="en-US" w:eastAsia="zh-CN"/>
        </w:rPr>
      </w:pPr>
      <w:r>
        <w:rPr>
          <w:rFonts w:hint="eastAsia"/>
          <w:color w:val="auto"/>
          <w:highlight w:val="none"/>
          <w:lang w:val="en-US" w:eastAsia="zh-CN"/>
        </w:rPr>
        <w:t>本项目不生产运营，不存在运营期，现对施工对其环境影响预测与评价如下：</w:t>
      </w:r>
    </w:p>
    <w:p>
      <w:pPr>
        <w:pStyle w:val="6"/>
        <w:bidi w:val="0"/>
        <w:rPr>
          <w:rFonts w:hint="eastAsia"/>
          <w:color w:val="auto"/>
          <w:highlight w:val="none"/>
        </w:rPr>
      </w:pPr>
      <w:r>
        <w:rPr>
          <w:rFonts w:hint="eastAsia"/>
          <w:color w:val="auto"/>
          <w:highlight w:val="none"/>
          <w:lang w:val="en-US" w:eastAsia="zh-CN"/>
        </w:rPr>
        <w:t>施工期大气环境影响预测与评价</w:t>
      </w:r>
    </w:p>
    <w:p>
      <w:pPr>
        <w:pStyle w:val="7"/>
        <w:bidi w:val="0"/>
        <w:rPr>
          <w:color w:val="auto"/>
          <w:highlight w:val="none"/>
        </w:rPr>
      </w:pPr>
      <w:r>
        <w:rPr>
          <w:rFonts w:hint="eastAsia"/>
          <w:color w:val="auto"/>
          <w:highlight w:val="none"/>
          <w:lang w:val="en-US" w:eastAsia="zh-CN"/>
        </w:rPr>
        <w:t>预测因子</w:t>
      </w:r>
    </w:p>
    <w:p>
      <w:pPr>
        <w:pStyle w:val="4"/>
        <w:rPr>
          <w:rFonts w:hint="eastAsia"/>
          <w:color w:val="auto"/>
          <w:highlight w:val="none"/>
        </w:rPr>
      </w:pPr>
      <w:r>
        <w:rPr>
          <w:rFonts w:hint="eastAsia"/>
          <w:color w:val="auto"/>
          <w:highlight w:val="none"/>
        </w:rPr>
        <w:t>根据本项目废气污染特征，选取</w:t>
      </w:r>
      <w:r>
        <w:rPr>
          <w:rFonts w:hint="eastAsia"/>
          <w:color w:val="auto"/>
          <w:highlight w:val="none"/>
          <w:lang w:val="en-US" w:eastAsia="zh-CN"/>
        </w:rPr>
        <w:t>颗粒物</w:t>
      </w:r>
      <w:r>
        <w:rPr>
          <w:rFonts w:hint="eastAsia"/>
          <w:color w:val="auto"/>
          <w:highlight w:val="none"/>
        </w:rPr>
        <w:t>为评价因子。</w:t>
      </w:r>
    </w:p>
    <w:p>
      <w:pPr>
        <w:pStyle w:val="7"/>
        <w:rPr>
          <w:color w:val="auto"/>
          <w:highlight w:val="none"/>
        </w:rPr>
      </w:pPr>
      <w:r>
        <w:rPr>
          <w:rFonts w:hint="eastAsia"/>
          <w:color w:val="auto"/>
          <w:highlight w:val="none"/>
          <w:lang w:val="en-US" w:eastAsia="zh-CN"/>
        </w:rPr>
        <w:t>预测模型及相关参数</w:t>
      </w:r>
    </w:p>
    <w:p>
      <w:pPr>
        <w:pStyle w:val="4"/>
        <w:ind w:firstLine="480"/>
        <w:rPr>
          <w:color w:val="auto"/>
          <w:highlight w:val="none"/>
        </w:rPr>
      </w:pPr>
      <w:r>
        <w:rPr>
          <w:color w:val="auto"/>
          <w:highlight w:val="none"/>
        </w:rPr>
        <w:t>预测模式采用《环境影响评价技术导则 大气环境》（HJ2.2-2018）所推荐的AERSCREEN模型对大气污染物浓度进行估算预测。估算模型相关参数见下表：</w:t>
      </w:r>
    </w:p>
    <w:p>
      <w:pPr>
        <w:pStyle w:val="22"/>
        <w:bidi w:val="0"/>
      </w:pPr>
      <w:r>
        <w:rPr>
          <w:rFonts w:hint="eastAsia"/>
        </w:rPr>
        <w:t>表5.2-</w:t>
      </w:r>
      <w:r>
        <w:rPr>
          <w:rFonts w:hint="eastAsia"/>
          <w:lang w:val="en-US" w:eastAsia="zh-CN"/>
        </w:rPr>
        <w:t>1</w:t>
      </w:r>
      <w:r>
        <w:rPr>
          <w:rFonts w:hint="eastAsia"/>
        </w:rPr>
        <w:t xml:space="preserve">    </w:t>
      </w:r>
      <w:r>
        <w:t>估算模型参数表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00"/>
        <w:tblLayout w:type="autofit"/>
        <w:tblCellMar>
          <w:top w:w="0" w:type="dxa"/>
          <w:left w:w="108" w:type="dxa"/>
          <w:bottom w:w="0" w:type="dxa"/>
          <w:right w:w="108" w:type="dxa"/>
        </w:tblCellMar>
      </w:tblPr>
      <w:tblGrid>
        <w:gridCol w:w="2888"/>
        <w:gridCol w:w="2901"/>
        <w:gridCol w:w="27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00"/>
          <w:tblCellMar>
            <w:top w:w="0" w:type="dxa"/>
            <w:left w:w="108" w:type="dxa"/>
            <w:bottom w:w="0" w:type="dxa"/>
            <w:right w:w="108" w:type="dxa"/>
          </w:tblCellMar>
        </w:tblPrEx>
        <w:trPr>
          <w:tblHeader/>
        </w:trPr>
        <w:tc>
          <w:tcPr>
            <w:tcW w:w="3397"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参数</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00"/>
          <w:tblCellMar>
            <w:top w:w="0" w:type="dxa"/>
            <w:left w:w="108" w:type="dxa"/>
            <w:bottom w:w="0" w:type="dxa"/>
            <w:right w:w="108" w:type="dxa"/>
          </w:tblCellMar>
        </w:tblPrEx>
        <w:tc>
          <w:tcPr>
            <w:tcW w:w="1695" w:type="pct"/>
            <w:vMerge w:val="restar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城市/农村选项</w:t>
            </w:r>
          </w:p>
        </w:tc>
        <w:tc>
          <w:tcPr>
            <w:tcW w:w="17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城市/农村</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00"/>
          <w:tblCellMar>
            <w:top w:w="0" w:type="dxa"/>
            <w:left w:w="108" w:type="dxa"/>
            <w:bottom w:w="0" w:type="dxa"/>
            <w:right w:w="108" w:type="dxa"/>
          </w:tblCellMar>
        </w:tblPrEx>
        <w:tc>
          <w:tcPr>
            <w:tcW w:w="1695" w:type="pct"/>
            <w:vMerge w:val="continue"/>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p>
        </w:tc>
        <w:tc>
          <w:tcPr>
            <w:tcW w:w="17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人口数（城市选项时）</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97"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最高环境温度/℃</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397"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最低环境温度/℃</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00"/>
          <w:tblCellMar>
            <w:top w:w="0" w:type="dxa"/>
            <w:left w:w="108" w:type="dxa"/>
            <w:bottom w:w="0" w:type="dxa"/>
            <w:right w:w="108" w:type="dxa"/>
          </w:tblCellMar>
        </w:tblPrEx>
        <w:tc>
          <w:tcPr>
            <w:tcW w:w="3397"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土地利用类型</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耕地、农田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00"/>
          <w:tblCellMar>
            <w:top w:w="0" w:type="dxa"/>
            <w:left w:w="108" w:type="dxa"/>
            <w:bottom w:w="0" w:type="dxa"/>
            <w:right w:w="108" w:type="dxa"/>
          </w:tblCellMar>
        </w:tblPrEx>
        <w:tc>
          <w:tcPr>
            <w:tcW w:w="3397" w:type="pct"/>
            <w:gridSpan w:val="2"/>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区域湿度条件</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干燥气候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00"/>
          <w:tblCellMar>
            <w:top w:w="0" w:type="dxa"/>
            <w:left w:w="108" w:type="dxa"/>
            <w:bottom w:w="0" w:type="dxa"/>
            <w:right w:w="108" w:type="dxa"/>
          </w:tblCellMar>
        </w:tblPrEx>
        <w:tc>
          <w:tcPr>
            <w:tcW w:w="1695" w:type="pct"/>
            <w:vMerge w:val="restar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是否考虑地形</w:t>
            </w:r>
          </w:p>
        </w:tc>
        <w:tc>
          <w:tcPr>
            <w:tcW w:w="17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考虑地形</w:t>
            </w:r>
          </w:p>
        </w:tc>
        <w:tc>
          <w:tcPr>
            <w:tcW w:w="1602" w:type="pct"/>
            <w:tcBorders>
              <w:tl2br w:val="nil"/>
              <w:tr2bl w:val="nil"/>
            </w:tcBorders>
            <w:shd w:val="clear" w:color="auto" w:fill="auto"/>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rPr>
            </w:pPr>
            <w:r>
              <w:rPr>
                <w:rFonts w:hint="default"/>
              </w:rPr>
              <w:sym w:font="Wingdings 2" w:char="0052"/>
            </w:r>
            <w:r>
              <w:rPr>
                <w:rFonts w:hint="default"/>
              </w:rPr>
              <w:t xml:space="preserve">是 </w:t>
            </w:r>
            <w:r>
              <w:rPr>
                <w:rFonts w:hint="default"/>
              </w:rPr>
              <w:sym w:font="Wingdings 2" w:char="00A3"/>
            </w: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5" w:type="pct"/>
            <w:vMerge w:val="continue"/>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p>
        </w:tc>
        <w:tc>
          <w:tcPr>
            <w:tcW w:w="17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地形数据分辨率</w:t>
            </w:r>
          </w:p>
        </w:tc>
        <w:tc>
          <w:tcPr>
            <w:tcW w:w="1602" w:type="pct"/>
            <w:tcBorders>
              <w:tl2br w:val="nil"/>
              <w:tr2bl w:val="nil"/>
            </w:tcBorders>
            <w:shd w:val="clear" w:color="auto" w:fill="auto"/>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rPr>
            </w:pPr>
            <w:r>
              <w:rPr>
                <w:rFonts w:hint="default"/>
              </w:rPr>
              <w:t>90m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5" w:type="pct"/>
            <w:vMerge w:val="restar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是否考虑岸线熏烟</w:t>
            </w:r>
          </w:p>
        </w:tc>
        <w:tc>
          <w:tcPr>
            <w:tcW w:w="17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考虑岸线熏烟</w:t>
            </w:r>
          </w:p>
        </w:tc>
        <w:tc>
          <w:tcPr>
            <w:tcW w:w="1602" w:type="pct"/>
            <w:tcBorders>
              <w:tl2br w:val="nil"/>
              <w:tr2bl w:val="nil"/>
            </w:tcBorders>
            <w:shd w:val="clear" w:color="auto" w:fill="auto"/>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rPr>
            </w:pPr>
            <w:r>
              <w:rPr>
                <w:rFonts w:hint="default"/>
              </w:rPr>
              <w:sym w:font="Wingdings 2" w:char="00A3"/>
            </w:r>
            <w:r>
              <w:rPr>
                <w:rFonts w:hint="default"/>
              </w:rPr>
              <w:t xml:space="preserve">是 </w:t>
            </w:r>
            <w:r>
              <w:rPr>
                <w:rFonts w:hint="default"/>
              </w:rPr>
              <w:sym w:font="Wingdings 2" w:char="0052"/>
            </w:r>
            <w:r>
              <w:rPr>
                <w:rFonts w:hint="default"/>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95" w:type="pct"/>
            <w:vMerge w:val="continue"/>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p>
        </w:tc>
        <w:tc>
          <w:tcPr>
            <w:tcW w:w="17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岸线距离/km</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FFFF00"/>
          <w:tblCellMar>
            <w:top w:w="0" w:type="dxa"/>
            <w:left w:w="108" w:type="dxa"/>
            <w:bottom w:w="0" w:type="dxa"/>
            <w:right w:w="108" w:type="dxa"/>
          </w:tblCellMar>
        </w:tblPrEx>
        <w:tc>
          <w:tcPr>
            <w:tcW w:w="1695" w:type="pct"/>
            <w:vMerge w:val="continue"/>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p>
        </w:tc>
        <w:tc>
          <w:tcPr>
            <w:tcW w:w="17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岸线方向/°</w:t>
            </w:r>
          </w:p>
        </w:tc>
        <w:tc>
          <w:tcPr>
            <w:tcW w:w="1602" w:type="pct"/>
            <w:tcBorders>
              <w:tl2br w:val="nil"/>
              <w:tr2bl w:val="nil"/>
            </w:tcBorders>
            <w:shd w:val="clear" w:color="auto" w:fill="auto"/>
            <w:vAlign w:val="center"/>
          </w:tcPr>
          <w:p>
            <w:pPr>
              <w:pStyle w:val="24"/>
              <w:keepNext w:val="0"/>
              <w:keepLines w:val="0"/>
              <w:suppressLineNumbers w:val="0"/>
              <w:bidi w:val="0"/>
              <w:spacing w:before="0" w:beforeAutospacing="0" w:after="0" w:afterAutospacing="0"/>
              <w:ind w:left="0" w:right="0"/>
              <w:rPr>
                <w:rFonts w:hint="default"/>
              </w:rPr>
            </w:pPr>
            <w:r>
              <w:rPr>
                <w:rFonts w:hint="default"/>
              </w:rPr>
              <w:t>/</w:t>
            </w:r>
          </w:p>
        </w:tc>
      </w:tr>
    </w:tbl>
    <w:p>
      <w:pPr>
        <w:pStyle w:val="4"/>
        <w:rPr>
          <w:rFonts w:hint="eastAsia"/>
          <w:color w:val="auto"/>
          <w:highlight w:val="none"/>
          <w:lang w:val="en-US" w:eastAsia="zh-CN"/>
        </w:rPr>
      </w:pPr>
      <w:r>
        <w:rPr>
          <w:rFonts w:hint="eastAsia"/>
          <w:color w:val="auto"/>
          <w:highlight w:val="none"/>
          <w:lang w:val="en-US" w:eastAsia="zh-CN"/>
        </w:rPr>
        <w:t>根据工程分析，源强核算结果，本项目新增大气污染面源源强及相关参数如下表：</w:t>
      </w:r>
    </w:p>
    <w:p>
      <w:pPr>
        <w:pStyle w:val="22"/>
        <w:bidi w:val="0"/>
      </w:pPr>
      <w:r>
        <w:rPr>
          <w:rFonts w:hint="eastAsia"/>
        </w:rPr>
        <w:t>表5.2-</w:t>
      </w:r>
      <w:r>
        <w:rPr>
          <w:rFonts w:hint="eastAsia"/>
          <w:lang w:val="en-US" w:eastAsia="zh-CN"/>
        </w:rPr>
        <w:t>2</w:t>
      </w:r>
      <w:r>
        <w:rPr>
          <w:rFonts w:hint="eastAsia"/>
        </w:rPr>
        <w:t xml:space="preserve">    </w:t>
      </w:r>
      <w:r>
        <w:t>矩形面源参数表</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4"/>
        <w:gridCol w:w="756"/>
        <w:gridCol w:w="676"/>
        <w:gridCol w:w="815"/>
        <w:gridCol w:w="601"/>
        <w:gridCol w:w="649"/>
        <w:gridCol w:w="750"/>
        <w:gridCol w:w="818"/>
        <w:gridCol w:w="716"/>
        <w:gridCol w:w="632"/>
        <w:gridCol w:w="12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427"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名称</w:t>
            </w:r>
          </w:p>
        </w:tc>
        <w:tc>
          <w:tcPr>
            <w:tcW w:w="856" w:type="pct"/>
            <w:gridSpan w:val="2"/>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面源起点坐标/m</w:t>
            </w:r>
          </w:p>
        </w:tc>
        <w:tc>
          <w:tcPr>
            <w:tcW w:w="487"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面源海拔高度/m</w:t>
            </w:r>
          </w:p>
        </w:tc>
        <w:tc>
          <w:tcPr>
            <w:tcW w:w="359"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面源长度/m</w:t>
            </w:r>
          </w:p>
        </w:tc>
        <w:tc>
          <w:tcPr>
            <w:tcW w:w="388"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面源宽度/m</w:t>
            </w:r>
          </w:p>
        </w:tc>
        <w:tc>
          <w:tcPr>
            <w:tcW w:w="448"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与正北向夹角/°</w:t>
            </w:r>
          </w:p>
        </w:tc>
        <w:tc>
          <w:tcPr>
            <w:tcW w:w="489"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面源有效排放高度/m</w:t>
            </w:r>
          </w:p>
        </w:tc>
        <w:tc>
          <w:tcPr>
            <w:tcW w:w="428"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年排放小时数/h</w:t>
            </w:r>
          </w:p>
        </w:tc>
        <w:tc>
          <w:tcPr>
            <w:tcW w:w="378"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排放工况</w:t>
            </w:r>
          </w:p>
        </w:tc>
        <w:tc>
          <w:tcPr>
            <w:tcW w:w="735"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污染物排放速率/(kg/h)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427"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5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X</w:t>
            </w:r>
          </w:p>
        </w:tc>
        <w:tc>
          <w:tcPr>
            <w:tcW w:w="404"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Y</w:t>
            </w:r>
          </w:p>
        </w:tc>
        <w:tc>
          <w:tcPr>
            <w:tcW w:w="487"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359"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388"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48"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89"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428"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378"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735"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rPr>
            </w:pPr>
            <w:r>
              <w:rPr>
                <w:rFonts w:hint="eastAsia"/>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7"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采砂坑</w:t>
            </w:r>
          </w:p>
        </w:tc>
        <w:tc>
          <w:tcPr>
            <w:tcW w:w="45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-100</w:t>
            </w:r>
          </w:p>
        </w:tc>
        <w:tc>
          <w:tcPr>
            <w:tcW w:w="404"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-120</w:t>
            </w:r>
          </w:p>
        </w:tc>
        <w:tc>
          <w:tcPr>
            <w:tcW w:w="487"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928</w:t>
            </w:r>
          </w:p>
        </w:tc>
        <w:tc>
          <w:tcPr>
            <w:tcW w:w="359"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230</w:t>
            </w:r>
          </w:p>
        </w:tc>
        <w:tc>
          <w:tcPr>
            <w:tcW w:w="388"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200</w:t>
            </w:r>
          </w:p>
        </w:tc>
        <w:tc>
          <w:tcPr>
            <w:tcW w:w="448"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w:t>
            </w:r>
          </w:p>
        </w:tc>
        <w:tc>
          <w:tcPr>
            <w:tcW w:w="489"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428"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720</w:t>
            </w:r>
          </w:p>
        </w:tc>
        <w:tc>
          <w:tcPr>
            <w:tcW w:w="378"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正常</w:t>
            </w:r>
          </w:p>
        </w:tc>
        <w:tc>
          <w:tcPr>
            <w:tcW w:w="735"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0.528</w:t>
            </w:r>
          </w:p>
        </w:tc>
      </w:tr>
    </w:tbl>
    <w:p>
      <w:pPr>
        <w:pStyle w:val="7"/>
        <w:bidi w:val="0"/>
        <w:rPr>
          <w:color w:val="auto"/>
          <w:highlight w:val="none"/>
        </w:rPr>
      </w:pPr>
      <w:r>
        <w:rPr>
          <w:rFonts w:hint="eastAsia"/>
          <w:color w:val="auto"/>
          <w:highlight w:val="none"/>
          <w:lang w:val="en-US" w:eastAsia="zh-CN"/>
        </w:rPr>
        <w:t>预测结果与分析评价</w:t>
      </w:r>
    </w:p>
    <w:p>
      <w:pPr>
        <w:pStyle w:val="4"/>
        <w:ind w:firstLine="480"/>
        <w:rPr>
          <w:color w:val="auto"/>
          <w:highlight w:val="none"/>
        </w:rPr>
      </w:pPr>
      <w:r>
        <w:rPr>
          <w:color w:val="auto"/>
          <w:highlight w:val="none"/>
        </w:rPr>
        <w:t>将</w:t>
      </w:r>
      <w:r>
        <w:rPr>
          <w:rFonts w:hint="eastAsia"/>
          <w:color w:val="auto"/>
          <w:highlight w:val="none"/>
        </w:rPr>
        <w:t>以上</w:t>
      </w:r>
      <w:r>
        <w:rPr>
          <w:color w:val="auto"/>
          <w:highlight w:val="none"/>
        </w:rPr>
        <w:t>参数代入ARSCREEN估算模型，污染物扩散浓度预测结果见下表：</w:t>
      </w:r>
    </w:p>
    <w:p>
      <w:pPr>
        <w:pStyle w:val="22"/>
        <w:bidi w:val="0"/>
      </w:pPr>
      <w:r>
        <w:rPr>
          <w:rFonts w:hint="eastAsia"/>
        </w:rPr>
        <w:t>表5.2-</w:t>
      </w:r>
      <w:r>
        <w:rPr>
          <w:rFonts w:hint="eastAsia"/>
          <w:lang w:val="en-US" w:eastAsia="zh-CN"/>
        </w:rPr>
        <w:t>4</w:t>
      </w:r>
      <w:r>
        <w:rPr>
          <w:rFonts w:hint="eastAsia"/>
        </w:rPr>
        <w:t xml:space="preserve">    </w:t>
      </w:r>
      <w:r>
        <w:t>无组织排放污染物</w:t>
      </w:r>
      <w:r>
        <w:rPr>
          <w:rFonts w:hint="eastAsia"/>
        </w:rPr>
        <w:t>（颗粒物</w:t>
      </w:r>
      <w:r>
        <w:rPr>
          <w:rFonts w:hint="eastAsia"/>
          <w:lang w:val="en-US" w:eastAsia="zh-CN"/>
        </w:rPr>
        <w:t>TSP</w:t>
      </w:r>
      <w:r>
        <w:rPr>
          <w:rFonts w:hint="eastAsia"/>
        </w:rPr>
        <w:t>）</w:t>
      </w:r>
      <w:r>
        <w:t>扩散浓度预测结果</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77"/>
        <w:gridCol w:w="2361"/>
        <w:gridCol w:w="2043"/>
        <w:gridCol w:w="19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183" w:type="pct"/>
            <w:vMerge w:val="restar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距源中心下风向距离D/m</w:t>
            </w:r>
          </w:p>
        </w:tc>
        <w:tc>
          <w:tcPr>
            <w:tcW w:w="3816" w:type="pct"/>
            <w:gridSpan w:val="3"/>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183" w:type="pct"/>
            <w:vMerge w:val="continue"/>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141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default"/>
              </w:rPr>
              <w:t>预测浓度/(μg/m</w:t>
            </w:r>
            <w:r>
              <w:rPr>
                <w:rFonts w:hint="default"/>
                <w:vertAlign w:val="superscript"/>
              </w:rPr>
              <w:t>3</w:t>
            </w:r>
            <w:r>
              <w:rPr>
                <w:rFonts w:hint="default"/>
              </w:rPr>
              <w:t>)</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标准值</w:t>
            </w:r>
            <w:r>
              <w:rPr>
                <w:rFonts w:hint="default"/>
              </w:rPr>
              <w:t>/(μg/m</w:t>
            </w:r>
            <w:r>
              <w:rPr>
                <w:rFonts w:hint="default"/>
                <w:vertAlign w:val="superscript"/>
              </w:rPr>
              <w:t>3</w:t>
            </w:r>
            <w:r>
              <w:rPr>
                <w:rFonts w:hint="default"/>
              </w:rPr>
              <w:t>)</w:t>
            </w:r>
          </w:p>
        </w:tc>
        <w:tc>
          <w:tcPr>
            <w:tcW w:w="1181"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ascii="Times New Roman" w:hAnsi="Times New Roman" w:eastAsia="宋体" w:cs="Times New Roman"/>
                <w:kern w:val="2"/>
                <w:sz w:val="21"/>
                <w:szCs w:val="21"/>
                <w:lang w:val="en-US" w:eastAsia="zh-CN" w:bidi="ar-SA"/>
              </w:rPr>
            </w:pPr>
            <w:r>
              <w:rPr>
                <w:rFonts w:hint="default"/>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场</w:t>
            </w:r>
            <w:r>
              <w:rPr>
                <w:rFonts w:hint="eastAsia"/>
              </w:rPr>
              <w:t>界1</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41.09</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rPr>
            </w:pPr>
            <w:r>
              <w:rPr>
                <w:rFonts w:hint="default"/>
                <w:color w:val="FF0000"/>
              </w:rPr>
              <w:t>25</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48.44</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5.38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50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55.92</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6.21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100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70.68</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7.85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eastAsia="宋体"/>
                <w:color w:val="FF0000"/>
                <w:lang w:val="en-US" w:eastAsia="zh-CN"/>
              </w:rPr>
            </w:pPr>
            <w:r>
              <w:rPr>
                <w:rFonts w:hint="eastAsia"/>
                <w:color w:val="FF0000"/>
              </w:rPr>
              <w:t>最大落地浓度点</w:t>
            </w:r>
            <w:r>
              <w:rPr>
                <w:rFonts w:hint="eastAsia"/>
                <w:color w:val="FF0000"/>
                <w:lang w:val="en-US" w:eastAsia="zh-CN"/>
              </w:rPr>
              <w:t>188</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87.87</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200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86.63</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300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79.25</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8.81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73.31</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8.15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500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68.50</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7.61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600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67.96</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7.55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700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66.66</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7.41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800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64.90</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7.21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900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62.94</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6.99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1000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61.27</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6.81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rPr>
            </w:pPr>
            <w:r>
              <w:rPr>
                <w:rFonts w:hint="eastAsia"/>
                <w:color w:val="FF0000"/>
              </w:rPr>
              <w:t>2000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49.66</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5.52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rPr>
            </w:pPr>
            <w:r>
              <w:rPr>
                <w:rFonts w:hint="eastAsia"/>
                <w:color w:val="FF0000"/>
              </w:rPr>
              <w:t>2500</w:t>
            </w:r>
          </w:p>
        </w:tc>
        <w:tc>
          <w:tcPr>
            <w:tcW w:w="2361"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lang w:val="en-US" w:eastAsia="zh-CN"/>
              </w:rPr>
            </w:pPr>
            <w:r>
              <w:rPr>
                <w:rFonts w:hint="eastAsia"/>
                <w:color w:val="FF0000"/>
                <w:lang w:val="en-US" w:eastAsia="zh-CN"/>
              </w:rPr>
              <w:t>44.18</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900</w:t>
            </w:r>
          </w:p>
        </w:tc>
        <w:tc>
          <w:tcPr>
            <w:tcW w:w="1978" w:type="dxa"/>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color w:val="FF0000"/>
                <w:lang w:val="en-US" w:eastAsia="zh-CN"/>
              </w:rPr>
            </w:pPr>
            <w:r>
              <w:rPr>
                <w:rFonts w:hint="eastAsia"/>
                <w:color w:val="FF0000"/>
                <w:lang w:val="en-US" w:eastAsia="zh-CN"/>
              </w:rPr>
              <w:t>4.91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rPr>
            </w:pPr>
            <w:r>
              <w:rPr>
                <w:rFonts w:hint="eastAsia"/>
                <w:color w:val="FF0000"/>
              </w:rPr>
              <w:t>下风向最大浓度及占标率/%</w:t>
            </w:r>
          </w:p>
        </w:tc>
        <w:tc>
          <w:tcPr>
            <w:tcW w:w="141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color w:val="FF0000"/>
              </w:rPr>
            </w:pPr>
            <w:r>
              <w:rPr>
                <w:rFonts w:hint="eastAsia"/>
                <w:color w:val="FF0000"/>
              </w:rPr>
              <w:t>Cmax=</w:t>
            </w:r>
            <w:r>
              <w:rPr>
                <w:rFonts w:hint="eastAsia"/>
                <w:color w:val="FF0000"/>
                <w:lang w:val="en-US" w:eastAsia="zh-CN"/>
              </w:rPr>
              <w:t>87.87</w:t>
            </w:r>
            <w:r>
              <w:rPr>
                <w:rFonts w:hint="default"/>
                <w:color w:val="FF0000"/>
              </w:rPr>
              <w:t>μ</w:t>
            </w:r>
            <w:r>
              <w:rPr>
                <w:rFonts w:hint="eastAsia"/>
                <w:color w:val="FF0000"/>
              </w:rPr>
              <w:t>g/m</w:t>
            </w:r>
            <w:r>
              <w:rPr>
                <w:rFonts w:hint="default"/>
                <w:color w:val="FF0000"/>
              </w:rPr>
              <w:t>³</w:t>
            </w:r>
          </w:p>
        </w:tc>
        <w:tc>
          <w:tcPr>
            <w:tcW w:w="1222"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eastAsia="宋体"/>
                <w:color w:val="FF0000"/>
                <w:lang w:val="en-US" w:eastAsia="zh-CN"/>
              </w:rPr>
            </w:pPr>
            <w:r>
              <w:rPr>
                <w:rFonts w:hint="eastAsia"/>
                <w:color w:val="FF0000"/>
                <w:lang w:val="en-US" w:eastAsia="zh-CN"/>
              </w:rPr>
              <w:t>900</w:t>
            </w:r>
          </w:p>
        </w:tc>
        <w:tc>
          <w:tcPr>
            <w:tcW w:w="1181"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ascii="Times New Roman" w:hAnsi="Times New Roman" w:eastAsia="宋体" w:cs="Times New Roman"/>
                <w:color w:val="FF0000"/>
                <w:kern w:val="2"/>
                <w:sz w:val="21"/>
                <w:szCs w:val="21"/>
                <w:lang w:val="en-US" w:eastAsia="zh-CN" w:bidi="ar-SA"/>
              </w:rPr>
            </w:pPr>
            <w:r>
              <w:rPr>
                <w:rFonts w:hint="eastAsia"/>
                <w:color w:val="FF0000"/>
              </w:rPr>
              <w:t>Pmax=</w:t>
            </w:r>
            <w:r>
              <w:rPr>
                <w:rFonts w:hint="eastAsia"/>
                <w:color w:val="FF0000"/>
                <w:lang w:val="en-US" w:eastAsia="zh-CN"/>
              </w:rPr>
              <w:t>9.76%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3" w:type="pct"/>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default"/>
              </w:rPr>
            </w:pPr>
            <w:r>
              <w:rPr>
                <w:rFonts w:hint="eastAsia"/>
              </w:rPr>
              <w:t>D10%最远距离/m</w:t>
            </w:r>
          </w:p>
        </w:tc>
        <w:tc>
          <w:tcPr>
            <w:tcW w:w="3816" w:type="pct"/>
            <w:gridSpan w:val="3"/>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rPr>
                <w:rFonts w:hint="eastAsia" w:ascii="Times New Roman" w:hAnsi="Times New Roman" w:eastAsia="宋体" w:cs="Times New Roman"/>
                <w:kern w:val="2"/>
                <w:sz w:val="21"/>
                <w:szCs w:val="21"/>
                <w:lang w:val="en-US" w:eastAsia="zh-CN" w:bidi="ar-SA"/>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4"/>
            <w:tcBorders>
              <w:tl2br w:val="nil"/>
              <w:tr2bl w:val="nil"/>
            </w:tcBorders>
            <w:shd w:val="clear" w:color="auto" w:fill="auto"/>
            <w:tcMar>
              <w:top w:w="0" w:type="dxa"/>
              <w:left w:w="28" w:type="dxa"/>
              <w:bottom w:w="0" w:type="dxa"/>
              <w:right w:w="28" w:type="dxa"/>
            </w:tcMar>
            <w:vAlign w:val="center"/>
          </w:tcPr>
          <w:p>
            <w:pPr>
              <w:pStyle w:val="24"/>
              <w:keepNext w:val="0"/>
              <w:keepLines w:val="0"/>
              <w:suppressLineNumbers w:val="0"/>
              <w:bidi w:val="0"/>
              <w:spacing w:before="0" w:beforeAutospacing="0" w:after="0" w:afterAutospacing="0"/>
              <w:ind w:left="0" w:right="0"/>
              <w:jc w:val="left"/>
              <w:rPr>
                <w:rFonts w:hint="eastAsia"/>
              </w:rPr>
            </w:pPr>
            <w:r>
              <w:rPr>
                <w:rFonts w:hint="eastAsia"/>
              </w:rPr>
              <w:t>对仅有8h平均质量浓度限值、日平均质量浓度限值或年平均质量浓度限值的，可分别按2倍、3倍、6倍折算为1h平均质量浓度限值。</w:t>
            </w:r>
            <w:r>
              <w:rPr>
                <w:rFonts w:hint="eastAsia"/>
                <w:lang w:val="en-US" w:eastAsia="zh-CN"/>
              </w:rPr>
              <w:t>此处TSP用24小时浓度300</w:t>
            </w:r>
            <w:r>
              <w:rPr>
                <w:rFonts w:hint="default"/>
              </w:rPr>
              <w:t>μg/m</w:t>
            </w:r>
            <w:r>
              <w:rPr>
                <w:rFonts w:hint="default"/>
                <w:vertAlign w:val="superscript"/>
              </w:rPr>
              <w:t>3</w:t>
            </w:r>
            <w:r>
              <w:rPr>
                <w:rFonts w:hint="eastAsia"/>
                <w:lang w:val="en-US" w:eastAsia="zh-CN"/>
              </w:rPr>
              <w:t>的3倍折算为小时浓度为900</w:t>
            </w:r>
            <w:r>
              <w:rPr>
                <w:rFonts w:hint="default"/>
              </w:rPr>
              <w:t>μg/m</w:t>
            </w:r>
            <w:r>
              <w:rPr>
                <w:rFonts w:hint="default"/>
                <w:vertAlign w:val="superscript"/>
              </w:rPr>
              <w:t>3</w:t>
            </w:r>
            <w:r>
              <w:rPr>
                <w:rFonts w:hint="eastAsia"/>
                <w:lang w:eastAsia="zh-CN"/>
              </w:rPr>
              <w:t>。</w:t>
            </w:r>
          </w:p>
        </w:tc>
      </w:tr>
    </w:tbl>
    <w:p>
      <w:pPr>
        <w:pStyle w:val="4"/>
        <w:ind w:firstLine="480"/>
        <w:rPr>
          <w:color w:val="auto"/>
          <w:highlight w:val="none"/>
        </w:rPr>
      </w:pPr>
      <w:r>
        <w:rPr>
          <w:color w:val="auto"/>
          <w:highlight w:val="none"/>
        </w:rPr>
        <w:t>本项目大气环境影响评价等级为二级，</w:t>
      </w:r>
      <w:r>
        <w:rPr>
          <w:rFonts w:hint="eastAsia"/>
          <w:color w:val="auto"/>
          <w:highlight w:val="none"/>
        </w:rPr>
        <w:t>按《环境影响评价技术导则 大气环境》（HJ2.2-2018）要求，可不进行进一步预测与评价，只对污染物排放量进行核算</w:t>
      </w:r>
      <w:r>
        <w:rPr>
          <w:rFonts w:hint="eastAsia"/>
          <w:color w:val="auto"/>
          <w:highlight w:val="none"/>
          <w:lang w:eastAsia="zh-CN"/>
        </w:rPr>
        <w:t>。</w:t>
      </w:r>
      <w:r>
        <w:rPr>
          <w:rFonts w:hint="eastAsia"/>
          <w:color w:val="auto"/>
          <w:highlight w:val="none"/>
        </w:rPr>
        <w:t>现只</w:t>
      </w:r>
      <w:r>
        <w:rPr>
          <w:color w:val="auto"/>
          <w:highlight w:val="none"/>
        </w:rPr>
        <w:t>以估算模式预测结果</w:t>
      </w:r>
      <w:r>
        <w:rPr>
          <w:rFonts w:hint="eastAsia"/>
          <w:color w:val="auto"/>
          <w:highlight w:val="none"/>
        </w:rPr>
        <w:t>对</w:t>
      </w:r>
      <w:r>
        <w:rPr>
          <w:color w:val="auto"/>
          <w:highlight w:val="none"/>
        </w:rPr>
        <w:t>大气环境影响</w:t>
      </w:r>
      <w:r>
        <w:rPr>
          <w:rFonts w:hint="eastAsia"/>
          <w:color w:val="auto"/>
          <w:highlight w:val="none"/>
        </w:rPr>
        <w:t>作简单分析如下：</w:t>
      </w:r>
    </w:p>
    <w:p>
      <w:pPr>
        <w:pStyle w:val="4"/>
        <w:ind w:firstLine="480"/>
        <w:rPr>
          <w:color w:val="auto"/>
          <w:highlight w:val="none"/>
        </w:rPr>
      </w:pPr>
      <w:r>
        <w:rPr>
          <w:rFonts w:hint="eastAsia"/>
          <w:color w:val="auto"/>
          <w:highlight w:val="none"/>
        </w:rPr>
        <w:t>（1）厂界无组织排放</w:t>
      </w:r>
    </w:p>
    <w:p>
      <w:pPr>
        <w:pStyle w:val="4"/>
        <w:ind w:firstLine="480"/>
        <w:rPr>
          <w:rFonts w:hint="eastAsia"/>
          <w:color w:val="auto"/>
          <w:highlight w:val="none"/>
        </w:rPr>
      </w:pPr>
      <w:r>
        <w:rPr>
          <w:color w:val="auto"/>
          <w:highlight w:val="none"/>
        </w:rPr>
        <w:t>由</w:t>
      </w:r>
      <w:r>
        <w:rPr>
          <w:rFonts w:hint="eastAsia"/>
          <w:color w:val="auto"/>
          <w:highlight w:val="none"/>
        </w:rPr>
        <w:t>上表预测结果</w:t>
      </w:r>
      <w:r>
        <w:rPr>
          <w:color w:val="auto"/>
          <w:highlight w:val="none"/>
        </w:rPr>
        <w:t>可知，</w:t>
      </w:r>
      <w:r>
        <w:rPr>
          <w:rFonts w:hint="eastAsia"/>
          <w:color w:val="auto"/>
          <w:highlight w:val="none"/>
        </w:rPr>
        <w:t>本项目运营期无组织排放的废气特征污染物</w:t>
      </w:r>
      <w:r>
        <w:rPr>
          <w:rFonts w:hint="eastAsia"/>
          <w:color w:val="auto"/>
          <w:highlight w:val="none"/>
          <w:lang w:val="en-US" w:eastAsia="zh-CN"/>
        </w:rPr>
        <w:t>TSP</w:t>
      </w:r>
      <w:r>
        <w:rPr>
          <w:rFonts w:hint="eastAsia"/>
          <w:color w:val="auto"/>
          <w:highlight w:val="none"/>
        </w:rPr>
        <w:t>厂界处的预测排放浓度为</w:t>
      </w:r>
      <w:r>
        <w:rPr>
          <w:rFonts w:hint="eastAsia"/>
          <w:color w:val="auto"/>
          <w:highlight w:val="none"/>
          <w:lang w:val="en-US" w:eastAsia="zh-CN"/>
        </w:rPr>
        <w:t>41.09</w:t>
      </w:r>
      <w:r>
        <w:rPr>
          <w:color w:val="auto"/>
          <w:highlight w:val="none"/>
        </w:rPr>
        <w:t>μg/m</w:t>
      </w:r>
      <w:r>
        <w:rPr>
          <w:color w:val="auto"/>
          <w:highlight w:val="none"/>
          <w:vertAlign w:val="superscript"/>
        </w:rPr>
        <w:t>3</w:t>
      </w:r>
      <w:r>
        <w:rPr>
          <w:color w:val="auto"/>
          <w:highlight w:val="none"/>
        </w:rPr>
        <w:t>，</w:t>
      </w:r>
      <w:r>
        <w:rPr>
          <w:rFonts w:hint="eastAsia"/>
          <w:color w:val="auto"/>
          <w:highlight w:val="none"/>
        </w:rPr>
        <w:t>满足</w:t>
      </w:r>
      <w:r>
        <w:rPr>
          <w:color w:val="auto"/>
          <w:highlight w:val="none"/>
        </w:rPr>
        <w:t>《大气污染物综合排放标准》（GB16297-1996）</w:t>
      </w:r>
      <w:r>
        <w:rPr>
          <w:rFonts w:hint="eastAsia"/>
          <w:color w:val="auto"/>
          <w:highlight w:val="none"/>
        </w:rPr>
        <w:t>二级</w:t>
      </w:r>
      <w:r>
        <w:rPr>
          <w:rFonts w:hint="eastAsia"/>
          <w:color w:val="auto"/>
          <w:highlight w:val="none"/>
          <w:lang w:val="en-US" w:eastAsia="zh-CN"/>
        </w:rPr>
        <w:t>标准</w:t>
      </w:r>
      <w:r>
        <w:rPr>
          <w:rFonts w:hint="eastAsia"/>
          <w:color w:val="auto"/>
          <w:highlight w:val="none"/>
        </w:rPr>
        <w:t>要求。</w:t>
      </w:r>
    </w:p>
    <w:p>
      <w:pPr>
        <w:pStyle w:val="4"/>
        <w:ind w:firstLine="480"/>
        <w:rPr>
          <w:color w:val="auto"/>
          <w:highlight w:val="none"/>
        </w:rPr>
      </w:pPr>
      <w:r>
        <w:rPr>
          <w:rFonts w:hint="eastAsia"/>
          <w:color w:val="auto"/>
          <w:highlight w:val="none"/>
        </w:rPr>
        <w:t>（2）最大落地浓度</w:t>
      </w:r>
    </w:p>
    <w:p>
      <w:pPr>
        <w:pStyle w:val="4"/>
        <w:ind w:firstLine="480"/>
        <w:rPr>
          <w:color w:val="auto"/>
          <w:highlight w:val="none"/>
        </w:rPr>
      </w:pPr>
      <w:r>
        <w:rPr>
          <w:rFonts w:hint="eastAsia"/>
          <w:color w:val="auto"/>
          <w:highlight w:val="none"/>
        </w:rPr>
        <w:t>无组织排放的颗粒物</w:t>
      </w:r>
      <w:r>
        <w:rPr>
          <w:color w:val="auto"/>
          <w:highlight w:val="none"/>
        </w:rPr>
        <w:t>最大落地浓度</w:t>
      </w:r>
      <w:r>
        <w:rPr>
          <w:rFonts w:hint="eastAsia"/>
          <w:color w:val="auto"/>
          <w:highlight w:val="none"/>
        </w:rPr>
        <w:t>点距厂界</w:t>
      </w:r>
      <w:r>
        <w:rPr>
          <w:rFonts w:hint="eastAsia"/>
          <w:color w:val="auto"/>
          <w:highlight w:val="none"/>
          <w:lang w:val="en-US" w:eastAsia="zh-CN"/>
        </w:rPr>
        <w:t>188</w:t>
      </w:r>
      <w:r>
        <w:rPr>
          <w:rFonts w:hint="eastAsia"/>
          <w:color w:val="auto"/>
          <w:highlight w:val="none"/>
        </w:rPr>
        <w:t>m，最大预测浓度</w:t>
      </w:r>
      <w:r>
        <w:rPr>
          <w:color w:val="auto"/>
          <w:highlight w:val="none"/>
        </w:rPr>
        <w:t>为</w:t>
      </w:r>
      <w:r>
        <w:rPr>
          <w:rFonts w:hint="eastAsia"/>
          <w:color w:val="auto"/>
          <w:highlight w:val="none"/>
          <w:lang w:val="en-US" w:eastAsia="zh-CN"/>
        </w:rPr>
        <w:t>87.87</w:t>
      </w:r>
      <w:r>
        <w:rPr>
          <w:color w:val="auto"/>
          <w:highlight w:val="none"/>
        </w:rPr>
        <w:t>μg/m</w:t>
      </w:r>
      <w:r>
        <w:rPr>
          <w:color w:val="auto"/>
          <w:highlight w:val="none"/>
          <w:vertAlign w:val="superscript"/>
        </w:rPr>
        <w:t>3</w:t>
      </w:r>
      <w:r>
        <w:rPr>
          <w:color w:val="auto"/>
          <w:highlight w:val="none"/>
        </w:rPr>
        <w:t>，其占标率为</w:t>
      </w:r>
      <w:r>
        <w:rPr>
          <w:rFonts w:hint="eastAsia"/>
          <w:color w:val="auto"/>
          <w:highlight w:val="none"/>
          <w:lang w:val="en-US" w:eastAsia="zh-CN"/>
        </w:rPr>
        <w:t>9.76%</w:t>
      </w:r>
      <w:r>
        <w:rPr>
          <w:rFonts w:hint="eastAsia"/>
          <w:color w:val="auto"/>
          <w:highlight w:val="none"/>
        </w:rPr>
        <w:t>，满足《环境空气质量标准》（GB3095-2012）及修改单</w:t>
      </w:r>
      <w:r>
        <w:rPr>
          <w:color w:val="auto"/>
          <w:highlight w:val="none"/>
        </w:rPr>
        <w:t>二级</w:t>
      </w:r>
      <w:r>
        <w:rPr>
          <w:rFonts w:hint="eastAsia"/>
          <w:color w:val="auto"/>
          <w:highlight w:val="none"/>
        </w:rPr>
        <w:t>要求。</w:t>
      </w:r>
      <w:r>
        <w:rPr>
          <w:color w:val="auto"/>
          <w:highlight w:val="none"/>
        </w:rPr>
        <w:t>项目</w:t>
      </w:r>
      <w:r>
        <w:rPr>
          <w:rFonts w:hint="eastAsia"/>
          <w:color w:val="auto"/>
          <w:highlight w:val="none"/>
        </w:rPr>
        <w:t>无组织</w:t>
      </w:r>
      <w:r>
        <w:rPr>
          <w:color w:val="auto"/>
          <w:highlight w:val="none"/>
        </w:rPr>
        <w:t>排放的</w:t>
      </w:r>
      <w:r>
        <w:rPr>
          <w:rFonts w:hint="eastAsia"/>
          <w:color w:val="auto"/>
          <w:highlight w:val="none"/>
        </w:rPr>
        <w:t>废气特征污染物（颗粒物）不同距离处</w:t>
      </w:r>
      <w:r>
        <w:rPr>
          <w:color w:val="auto"/>
          <w:highlight w:val="none"/>
        </w:rPr>
        <w:t>预测浓度占标率均低于10</w:t>
      </w:r>
      <w:r>
        <w:rPr>
          <w:rFonts w:hint="eastAsia"/>
          <w:color w:val="auto"/>
          <w:highlight w:val="none"/>
        </w:rPr>
        <w:t>%</w:t>
      </w:r>
      <w:r>
        <w:rPr>
          <w:color w:val="auto"/>
          <w:highlight w:val="none"/>
        </w:rPr>
        <w:t>，对区域大气环境质量</w:t>
      </w:r>
      <w:r>
        <w:rPr>
          <w:rFonts w:hint="eastAsia"/>
          <w:color w:val="auto"/>
          <w:highlight w:val="none"/>
        </w:rPr>
        <w:t>影响</w:t>
      </w:r>
      <w:r>
        <w:rPr>
          <w:color w:val="auto"/>
          <w:highlight w:val="none"/>
        </w:rPr>
        <w:t>较小</w:t>
      </w:r>
      <w:r>
        <w:rPr>
          <w:rFonts w:hint="eastAsia"/>
          <w:color w:val="auto"/>
          <w:highlight w:val="none"/>
        </w:rPr>
        <w:t>。</w:t>
      </w:r>
    </w:p>
    <w:p>
      <w:pPr>
        <w:pStyle w:val="4"/>
        <w:ind w:firstLine="480"/>
        <w:rPr>
          <w:color w:val="auto"/>
          <w:highlight w:val="none"/>
        </w:rPr>
      </w:pPr>
      <w:r>
        <w:rPr>
          <w:rFonts w:hint="eastAsia"/>
          <w:color w:val="auto"/>
          <w:highlight w:val="none"/>
        </w:rPr>
        <w:t>（3）敏感点</w:t>
      </w:r>
    </w:p>
    <w:p>
      <w:pPr>
        <w:pStyle w:val="4"/>
        <w:ind w:firstLine="480"/>
        <w:rPr>
          <w:rFonts w:hint="eastAsia"/>
          <w:color w:val="auto"/>
          <w:highlight w:val="none"/>
        </w:rPr>
      </w:pPr>
      <w:r>
        <w:rPr>
          <w:rFonts w:hint="eastAsia"/>
          <w:color w:val="auto"/>
          <w:highlight w:val="none"/>
        </w:rPr>
        <w:t>本项目</w:t>
      </w:r>
      <w:r>
        <w:rPr>
          <w:color w:val="auto"/>
          <w:highlight w:val="none"/>
        </w:rPr>
        <w:t>周围</w:t>
      </w:r>
      <w:r>
        <w:rPr>
          <w:rFonts w:hint="eastAsia"/>
          <w:color w:val="auto"/>
          <w:highlight w:val="none"/>
        </w:rPr>
        <w:t>2.5</w:t>
      </w:r>
      <w:r>
        <w:rPr>
          <w:color w:val="auto"/>
          <w:highlight w:val="none"/>
        </w:rPr>
        <w:t>km范围</w:t>
      </w:r>
      <w:r>
        <w:rPr>
          <w:rFonts w:hint="eastAsia"/>
          <w:color w:val="auto"/>
          <w:highlight w:val="none"/>
        </w:rPr>
        <w:t>大气环境敏感点为</w:t>
      </w:r>
      <w:r>
        <w:rPr>
          <w:rFonts w:hint="eastAsia"/>
          <w:color w:val="auto"/>
          <w:highlight w:val="none"/>
          <w:lang w:val="en-US" w:eastAsia="zh-CN"/>
        </w:rPr>
        <w:t>吉布库镇各村庄</w:t>
      </w:r>
      <w:r>
        <w:rPr>
          <w:rFonts w:hint="eastAsia"/>
          <w:color w:val="auto"/>
          <w:highlight w:val="none"/>
        </w:rPr>
        <w:t>，由以上预测结果可知，</w:t>
      </w:r>
      <w:r>
        <w:rPr>
          <w:rFonts w:hint="eastAsia"/>
          <w:color w:val="auto"/>
          <w:highlight w:val="none"/>
          <w:lang w:val="en-US" w:eastAsia="zh-CN"/>
        </w:rPr>
        <w:t>各村庄与项目最大距离均大于最大落地点浓度的距离，</w:t>
      </w:r>
      <w:r>
        <w:rPr>
          <w:rFonts w:hint="eastAsia"/>
          <w:color w:val="auto"/>
          <w:highlight w:val="none"/>
        </w:rPr>
        <w:t>颗粒物最大预测浓度占标率</w:t>
      </w:r>
      <w:r>
        <w:rPr>
          <w:rFonts w:hint="eastAsia"/>
          <w:color w:val="auto"/>
          <w:highlight w:val="none"/>
          <w:lang w:val="en-US" w:eastAsia="zh-CN"/>
        </w:rPr>
        <w:t>均</w:t>
      </w:r>
      <w:r>
        <w:rPr>
          <w:rFonts w:hint="eastAsia"/>
          <w:color w:val="auto"/>
          <w:highlight w:val="none"/>
          <w:lang w:eastAsia="zh-CN"/>
        </w:rPr>
        <w:t>&lt;</w:t>
      </w:r>
      <w:r>
        <w:rPr>
          <w:rFonts w:hint="eastAsia"/>
          <w:color w:val="auto"/>
          <w:highlight w:val="none"/>
          <w:lang w:val="en-US" w:eastAsia="zh-CN"/>
        </w:rPr>
        <w:t>10%</w:t>
      </w:r>
      <w:r>
        <w:rPr>
          <w:rFonts w:hint="eastAsia"/>
          <w:color w:val="auto"/>
          <w:highlight w:val="none"/>
        </w:rPr>
        <w:t>，项目运营期无组织排放的</w:t>
      </w:r>
      <w:r>
        <w:rPr>
          <w:rFonts w:hint="eastAsia"/>
          <w:color w:val="auto"/>
          <w:highlight w:val="none"/>
          <w:lang w:val="en-US" w:eastAsia="zh-CN"/>
        </w:rPr>
        <w:t>颗粒物</w:t>
      </w:r>
      <w:r>
        <w:rPr>
          <w:rFonts w:hint="eastAsia"/>
          <w:color w:val="auto"/>
          <w:highlight w:val="none"/>
        </w:rPr>
        <w:t>对</w:t>
      </w:r>
      <w:r>
        <w:rPr>
          <w:rFonts w:hint="eastAsia"/>
          <w:color w:val="auto"/>
          <w:highlight w:val="none"/>
          <w:lang w:val="en-US" w:eastAsia="zh-CN"/>
        </w:rPr>
        <w:t>周围评价范围内居住区</w:t>
      </w:r>
      <w:r>
        <w:rPr>
          <w:rFonts w:hint="eastAsia"/>
          <w:color w:val="auto"/>
          <w:highlight w:val="none"/>
        </w:rPr>
        <w:t>的影响较小。</w:t>
      </w:r>
    </w:p>
    <w:p>
      <w:pPr>
        <w:pStyle w:val="4"/>
        <w:bidi w:val="0"/>
        <w:rPr>
          <w:rFonts w:hint="default" w:eastAsia="宋体"/>
          <w:color w:val="auto"/>
          <w:highlight w:val="none"/>
          <w:lang w:val="en-US" w:eastAsia="zh-CN"/>
        </w:rPr>
      </w:pPr>
      <w:r>
        <w:rPr>
          <w:rFonts w:hint="eastAsia"/>
          <w:color w:val="auto"/>
          <w:highlight w:val="none"/>
          <w:lang w:val="en-US" w:eastAsia="zh-CN"/>
        </w:rPr>
        <w:t>另外，项目大气环境评价范围为以厂址为中心，边长5km的矩形区域，在此区域范围内，达板河属于河流发育末端，根据现场调查及咨询当地村民，评价范围内达板河无常年性地表水体，呈无水冲沟状态，根据</w:t>
      </w:r>
      <w:r>
        <w:rPr>
          <w:color w:val="auto"/>
          <w:highlight w:val="none"/>
        </w:rPr>
        <w:t>《环境影响评价技术导则 大气环境》（HJ2.2-2018）</w:t>
      </w:r>
      <w:r>
        <w:rPr>
          <w:rFonts w:hint="eastAsia"/>
          <w:color w:val="auto"/>
          <w:highlight w:val="none"/>
          <w:lang w:eastAsia="zh-CN"/>
        </w:rPr>
        <w:t>，</w:t>
      </w:r>
      <w:r>
        <w:rPr>
          <w:rFonts w:hint="eastAsia"/>
          <w:color w:val="auto"/>
          <w:highlight w:val="none"/>
          <w:lang w:val="en-US" w:eastAsia="zh-CN"/>
        </w:rPr>
        <w:t>评论范围内达板河不属于大气环境敏感目标。根据本项目接收一般工业固体废物理化性质分析，项目不属于如重有色金属矿、铅蓄电池、化工、电镀等涉重金属污染重点行业，降尘对地表水体环境影响小。</w:t>
      </w:r>
    </w:p>
    <w:p>
      <w:pPr>
        <w:pStyle w:val="4"/>
        <w:ind w:firstLine="480"/>
        <w:rPr>
          <w:color w:val="auto"/>
          <w:highlight w:val="none"/>
        </w:rPr>
      </w:pPr>
      <w:r>
        <w:rPr>
          <w:rFonts w:hint="eastAsia"/>
          <w:color w:val="auto"/>
          <w:highlight w:val="none"/>
        </w:rPr>
        <w:t>综上所述，本项目运营期</w:t>
      </w:r>
      <w:r>
        <w:rPr>
          <w:color w:val="auto"/>
          <w:highlight w:val="none"/>
        </w:rPr>
        <w:t>正常排放情况下对周边环境空气不会造成明显不良影响。</w:t>
      </w:r>
    </w:p>
    <w:p>
      <w:pPr>
        <w:pStyle w:val="7"/>
        <w:rPr>
          <w:color w:val="auto"/>
          <w:highlight w:val="none"/>
        </w:rPr>
      </w:pPr>
      <w:r>
        <w:rPr>
          <w:rFonts w:hint="eastAsia"/>
          <w:color w:val="auto"/>
          <w:highlight w:val="none"/>
        </w:rPr>
        <w:t>大气环境防护距离</w:t>
      </w:r>
    </w:p>
    <w:p>
      <w:pPr>
        <w:spacing w:line="360" w:lineRule="auto"/>
        <w:ind w:firstLine="480" w:firstLineChars="200"/>
        <w:rPr>
          <w:rFonts w:hint="eastAsia"/>
          <w:color w:val="auto"/>
          <w:sz w:val="24"/>
          <w:highlight w:val="none"/>
        </w:rPr>
      </w:pPr>
      <w:r>
        <w:rPr>
          <w:rFonts w:hint="eastAsia"/>
          <w:color w:val="auto"/>
          <w:sz w:val="24"/>
          <w:highlight w:val="none"/>
        </w:rPr>
        <w:t>根据《环境影响评价技术导则 大气环境》（HJ2.2-2018），采用估算模式预测结果，厂界外未出现大气污染物超标点，因此不设大气环境防护距离。</w:t>
      </w:r>
    </w:p>
    <w:p>
      <w:pPr>
        <w:pStyle w:val="7"/>
        <w:rPr>
          <w:color w:val="FF0000"/>
          <w:highlight w:val="none"/>
        </w:rPr>
      </w:pPr>
      <w:r>
        <w:rPr>
          <w:rFonts w:hint="eastAsia"/>
          <w:color w:val="FF0000"/>
          <w:highlight w:val="none"/>
          <w:lang w:val="en-US" w:eastAsia="zh-CN"/>
        </w:rPr>
        <w:t>污染物排放量核算表</w:t>
      </w:r>
    </w:p>
    <w:p>
      <w:pPr>
        <w:pStyle w:val="4"/>
        <w:rPr>
          <w:rFonts w:hint="eastAsia"/>
          <w:color w:val="FF0000"/>
          <w:highlight w:val="none"/>
          <w:lang w:val="en-US" w:eastAsia="zh-CN"/>
        </w:rPr>
      </w:pPr>
      <w:r>
        <w:rPr>
          <w:rFonts w:hint="eastAsia"/>
          <w:color w:val="FF0000"/>
          <w:highlight w:val="none"/>
          <w:lang w:val="en-US" w:eastAsia="zh-CN"/>
        </w:rPr>
        <w:t>本项目大气污染物主要为车辆行驶动力起尘、固体废物卸车以及填埋堆体无组织排放的颗粒物，颗粒物排放具体核算过程见源强核算章节，颗粒物无组织排放量核算表如下：</w:t>
      </w:r>
    </w:p>
    <w:p>
      <w:pPr>
        <w:pStyle w:val="22"/>
        <w:bidi w:val="0"/>
        <w:rPr>
          <w:rFonts w:hint="eastAsia"/>
          <w:color w:val="FF0000"/>
          <w:lang w:val="en-US" w:eastAsia="zh-CN"/>
        </w:rPr>
      </w:pPr>
      <w:r>
        <w:rPr>
          <w:rFonts w:hint="eastAsia"/>
          <w:color w:val="FF0000"/>
        </w:rPr>
        <w:t>表</w:t>
      </w:r>
      <w:r>
        <w:rPr>
          <w:rFonts w:hint="eastAsia"/>
          <w:color w:val="FF0000"/>
          <w:lang w:val="en-US" w:eastAsia="zh-CN"/>
        </w:rPr>
        <w:t>5.2-5</w:t>
      </w:r>
      <w:r>
        <w:rPr>
          <w:rFonts w:hint="eastAsia"/>
          <w:color w:val="FF0000"/>
        </w:rPr>
        <w:t xml:space="preserve">   </w:t>
      </w:r>
      <w:r>
        <w:rPr>
          <w:rFonts w:hint="eastAsia"/>
          <w:color w:val="FF0000"/>
          <w:lang w:val="en-US" w:eastAsia="zh-CN"/>
        </w:rPr>
        <w:t>大气污染物无组织排放量核算表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7"/>
        <w:gridCol w:w="765"/>
        <w:gridCol w:w="1017"/>
        <w:gridCol w:w="883"/>
        <w:gridCol w:w="950"/>
        <w:gridCol w:w="2517"/>
        <w:gridCol w:w="899"/>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92" w:type="pct"/>
            <w:vMerge w:val="restart"/>
            <w:tcBorders>
              <w:top w:val="single" w:color="auto" w:sz="12" w:space="0"/>
              <w:left w:val="nil"/>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cs="Times New Roman"/>
                <w:color w:val="FF0000"/>
                <w:sz w:val="20"/>
                <w:szCs w:val="20"/>
                <w:lang w:val="en-US" w:eastAsia="zh-CN"/>
              </w:rPr>
            </w:pPr>
            <w:r>
              <w:rPr>
                <w:rFonts w:hint="eastAsia" w:cs="Times New Roman"/>
                <w:color w:val="FF0000"/>
                <w:sz w:val="20"/>
                <w:szCs w:val="20"/>
                <w:lang w:val="en-US" w:eastAsia="zh-CN"/>
              </w:rPr>
              <w:t>序号</w:t>
            </w:r>
          </w:p>
        </w:tc>
        <w:tc>
          <w:tcPr>
            <w:tcW w:w="459" w:type="pct"/>
            <w:vMerge w:val="restart"/>
            <w:tcBorders>
              <w:top w:val="single" w:color="auto" w:sz="12" w:space="0"/>
              <w:left w:val="nil"/>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lang w:val="en-US" w:eastAsia="zh-CN"/>
              </w:rPr>
            </w:pPr>
            <w:r>
              <w:rPr>
                <w:rFonts w:hint="eastAsia" w:cs="Times New Roman"/>
                <w:color w:val="FF0000"/>
                <w:sz w:val="20"/>
                <w:szCs w:val="20"/>
                <w:lang w:val="en-US" w:eastAsia="zh-CN"/>
              </w:rPr>
              <w:t>排放口编号</w:t>
            </w:r>
          </w:p>
        </w:tc>
        <w:tc>
          <w:tcPr>
            <w:tcW w:w="610" w:type="pct"/>
            <w:vMerge w:val="restart"/>
            <w:tcBorders>
              <w:top w:val="single" w:color="auto" w:sz="12" w:space="0"/>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lang w:val="en-US" w:eastAsia="zh-CN"/>
              </w:rPr>
            </w:pPr>
            <w:r>
              <w:rPr>
                <w:rFonts w:hint="eastAsia" w:ascii="Times New Roman" w:hAnsi="Times New Roman" w:cs="Times New Roman"/>
                <w:color w:val="FF0000"/>
                <w:sz w:val="20"/>
                <w:szCs w:val="20"/>
                <w:lang w:val="en-US" w:eastAsia="zh-CN"/>
              </w:rPr>
              <w:t>产污环节</w:t>
            </w:r>
          </w:p>
        </w:tc>
        <w:tc>
          <w:tcPr>
            <w:tcW w:w="529" w:type="pct"/>
            <w:vMerge w:val="restart"/>
            <w:tcBorders>
              <w:top w:val="single" w:color="auto" w:sz="12" w:space="0"/>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lang w:val="en-US"/>
              </w:rPr>
            </w:pPr>
            <w:r>
              <w:rPr>
                <w:rFonts w:hint="eastAsia" w:ascii="Times New Roman" w:hAnsi="Times New Roman" w:cs="Times New Roman"/>
                <w:color w:val="FF0000"/>
                <w:sz w:val="20"/>
                <w:szCs w:val="20"/>
                <w:lang w:val="en-US" w:eastAsia="zh-CN"/>
              </w:rPr>
              <w:t>污染物</w:t>
            </w:r>
          </w:p>
        </w:tc>
        <w:tc>
          <w:tcPr>
            <w:tcW w:w="570" w:type="pct"/>
            <w:vMerge w:val="restart"/>
            <w:tcBorders>
              <w:top w:val="single" w:color="auto" w:sz="12" w:space="0"/>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lang w:val="en-US"/>
              </w:rPr>
            </w:pPr>
            <w:r>
              <w:rPr>
                <w:rFonts w:hint="eastAsia" w:ascii="Times New Roman" w:hAnsi="Times New Roman" w:cs="Times New Roman"/>
                <w:color w:val="FF0000"/>
                <w:sz w:val="20"/>
                <w:szCs w:val="20"/>
                <w:lang w:val="en-US" w:eastAsia="zh-CN"/>
              </w:rPr>
              <w:t>主要污染防治措施</w:t>
            </w:r>
          </w:p>
        </w:tc>
        <w:tc>
          <w:tcPr>
            <w:tcW w:w="2049" w:type="pct"/>
            <w:gridSpan w:val="2"/>
            <w:tcBorders>
              <w:top w:val="single" w:color="auto" w:sz="12" w:space="0"/>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lang w:val="en-US"/>
              </w:rPr>
            </w:pPr>
            <w:r>
              <w:rPr>
                <w:rFonts w:hint="eastAsia" w:ascii="Times New Roman" w:hAnsi="Times New Roman" w:cs="Times New Roman"/>
                <w:color w:val="FF0000"/>
                <w:sz w:val="20"/>
                <w:szCs w:val="20"/>
                <w:lang w:val="en-US" w:eastAsia="zh-CN"/>
              </w:rPr>
              <w:t>国家或地方污染物排放标准</w:t>
            </w:r>
          </w:p>
        </w:tc>
        <w:tc>
          <w:tcPr>
            <w:tcW w:w="489" w:type="pct"/>
            <w:vMerge w:val="restart"/>
            <w:tcBorders>
              <w:top w:val="single" w:color="auto" w:sz="12" w:space="0"/>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lang w:val="en-US"/>
              </w:rPr>
            </w:pPr>
            <w:r>
              <w:rPr>
                <w:rFonts w:hint="eastAsia" w:ascii="Times New Roman" w:hAnsi="Times New Roman" w:cs="Times New Roman"/>
                <w:color w:val="FF0000"/>
                <w:sz w:val="20"/>
                <w:szCs w:val="20"/>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92" w:type="pct"/>
            <w:vMerge w:val="continue"/>
            <w:tcBorders>
              <w:left w:val="nil"/>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rPr>
            </w:pPr>
          </w:p>
        </w:tc>
        <w:tc>
          <w:tcPr>
            <w:tcW w:w="459" w:type="pct"/>
            <w:vMerge w:val="continue"/>
            <w:tcBorders>
              <w:left w:val="nil"/>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rPr>
            </w:pPr>
          </w:p>
        </w:tc>
        <w:tc>
          <w:tcPr>
            <w:tcW w:w="610" w:type="pct"/>
            <w:vMerge w:val="continue"/>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rPr>
            </w:pPr>
          </w:p>
        </w:tc>
        <w:tc>
          <w:tcPr>
            <w:tcW w:w="529" w:type="pct"/>
            <w:vMerge w:val="continue"/>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rPr>
            </w:pPr>
          </w:p>
        </w:tc>
        <w:tc>
          <w:tcPr>
            <w:tcW w:w="570" w:type="pct"/>
            <w:vMerge w:val="continue"/>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rPr>
            </w:pPr>
          </w:p>
        </w:tc>
        <w:tc>
          <w:tcPr>
            <w:tcW w:w="1510" w:type="pct"/>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eastAsia="宋体" w:cs="Times New Roman"/>
                <w:color w:val="FF0000"/>
                <w:sz w:val="20"/>
                <w:szCs w:val="20"/>
                <w:lang w:val="en-US" w:eastAsia="zh-CN"/>
              </w:rPr>
            </w:pPr>
            <w:r>
              <w:rPr>
                <w:rFonts w:hint="eastAsia" w:ascii="Times New Roman" w:hAnsi="Times New Roman" w:cs="Times New Roman"/>
                <w:color w:val="FF0000"/>
                <w:sz w:val="20"/>
                <w:szCs w:val="20"/>
                <w:lang w:val="en-US" w:eastAsia="zh-CN"/>
              </w:rPr>
              <w:t>标准名称</w:t>
            </w:r>
          </w:p>
        </w:tc>
        <w:tc>
          <w:tcPr>
            <w:tcW w:w="539" w:type="pct"/>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rPr>
            </w:pPr>
            <w:r>
              <w:rPr>
                <w:rFonts w:hint="eastAsia" w:ascii="Times New Roman" w:hAnsi="Times New Roman" w:cs="Times New Roman"/>
                <w:color w:val="FF0000"/>
                <w:sz w:val="20"/>
                <w:szCs w:val="20"/>
                <w:lang w:val="en-US" w:eastAsia="zh-CN"/>
              </w:rPr>
              <w:t>浓度限值/（</w:t>
            </w:r>
            <w:r>
              <w:rPr>
                <w:rFonts w:hint="default" w:ascii="Times New Roman" w:hAnsi="Times New Roman" w:cs="Times New Roman"/>
                <w:color w:val="FF0000"/>
                <w:sz w:val="20"/>
                <w:szCs w:val="20"/>
                <w:lang w:val="en-US" w:eastAsia="zh-CN"/>
              </w:rPr>
              <w:t>μ</w:t>
            </w:r>
            <w:r>
              <w:rPr>
                <w:rFonts w:hint="eastAsia" w:ascii="Times New Roman" w:hAnsi="Times New Roman" w:cs="Times New Roman"/>
                <w:color w:val="FF0000"/>
                <w:sz w:val="20"/>
                <w:szCs w:val="20"/>
                <w:lang w:val="en-US" w:eastAsia="zh-CN"/>
              </w:rPr>
              <w:t>g/m</w:t>
            </w:r>
            <w:r>
              <w:rPr>
                <w:rFonts w:hint="eastAsia" w:ascii="Times New Roman" w:hAnsi="Times New Roman" w:cs="Times New Roman"/>
                <w:color w:val="FF0000"/>
                <w:sz w:val="20"/>
                <w:szCs w:val="20"/>
                <w:vertAlign w:val="superscript"/>
                <w:lang w:val="en-US" w:eastAsia="zh-CN"/>
              </w:rPr>
              <w:t>3</w:t>
            </w:r>
            <w:r>
              <w:rPr>
                <w:rFonts w:hint="eastAsia" w:ascii="Times New Roman" w:hAnsi="Times New Roman" w:cs="Times New Roman"/>
                <w:color w:val="FF0000"/>
                <w:sz w:val="20"/>
                <w:szCs w:val="20"/>
                <w:lang w:val="en-US" w:eastAsia="zh-CN"/>
              </w:rPr>
              <w:t>）</w:t>
            </w:r>
          </w:p>
        </w:tc>
        <w:tc>
          <w:tcPr>
            <w:tcW w:w="489" w:type="pct"/>
            <w:vMerge w:val="continue"/>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292" w:type="pct"/>
            <w:tcBorders>
              <w:left w:val="nil"/>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eastAsia" w:ascii="Times New Roman" w:hAnsi="Times New Roman" w:eastAsia="宋体" w:cs="Times New Roman"/>
                <w:color w:val="FF0000"/>
                <w:sz w:val="20"/>
                <w:szCs w:val="20"/>
                <w:lang w:val="en-US" w:eastAsia="zh-CN"/>
              </w:rPr>
            </w:pPr>
            <w:r>
              <w:rPr>
                <w:rFonts w:hint="eastAsia" w:ascii="Times New Roman" w:hAnsi="Times New Roman" w:cs="Times New Roman"/>
                <w:color w:val="FF0000"/>
                <w:sz w:val="20"/>
                <w:szCs w:val="20"/>
                <w:lang w:val="en-US" w:eastAsia="zh-CN"/>
              </w:rPr>
              <w:t>1</w:t>
            </w:r>
          </w:p>
        </w:tc>
        <w:tc>
          <w:tcPr>
            <w:tcW w:w="459" w:type="pct"/>
            <w:tcBorders>
              <w:left w:val="nil"/>
            </w:tcBorders>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eastAsia="宋体" w:cs="Times New Roman"/>
                <w:color w:val="FF0000"/>
                <w:sz w:val="20"/>
                <w:szCs w:val="20"/>
                <w:lang w:val="en-US" w:eastAsia="zh-CN"/>
              </w:rPr>
            </w:pPr>
            <w:r>
              <w:rPr>
                <w:rFonts w:hint="eastAsia" w:ascii="Times New Roman" w:hAnsi="Times New Roman" w:cs="Times New Roman"/>
                <w:color w:val="FF0000"/>
                <w:sz w:val="20"/>
                <w:szCs w:val="20"/>
                <w:lang w:val="en-US" w:eastAsia="zh-CN"/>
              </w:rPr>
              <w:t>DA001</w:t>
            </w:r>
          </w:p>
        </w:tc>
        <w:tc>
          <w:tcPr>
            <w:tcW w:w="610" w:type="pct"/>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eastAsia="宋体" w:cs="Times New Roman"/>
                <w:color w:val="FF0000"/>
                <w:sz w:val="20"/>
                <w:szCs w:val="20"/>
                <w:lang w:val="en-US" w:eastAsia="zh-CN"/>
              </w:rPr>
            </w:pPr>
            <w:r>
              <w:rPr>
                <w:rFonts w:hint="eastAsia" w:ascii="Times New Roman" w:hAnsi="Times New Roman" w:cs="Times New Roman"/>
                <w:color w:val="FF0000"/>
                <w:sz w:val="20"/>
                <w:szCs w:val="20"/>
                <w:lang w:val="en-US" w:eastAsia="zh-CN"/>
              </w:rPr>
              <w:t>项目区</w:t>
            </w:r>
          </w:p>
        </w:tc>
        <w:tc>
          <w:tcPr>
            <w:tcW w:w="529" w:type="pct"/>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eastAsia="宋体" w:cs="Times New Roman"/>
                <w:color w:val="FF0000"/>
                <w:sz w:val="20"/>
                <w:szCs w:val="20"/>
                <w:lang w:val="en-US" w:eastAsia="zh-CN"/>
              </w:rPr>
            </w:pPr>
            <w:r>
              <w:rPr>
                <w:rFonts w:hint="eastAsia" w:ascii="Times New Roman" w:hAnsi="Times New Roman" w:cs="Times New Roman"/>
                <w:color w:val="FF0000"/>
                <w:sz w:val="20"/>
                <w:szCs w:val="20"/>
                <w:lang w:val="en-US" w:eastAsia="zh-CN"/>
              </w:rPr>
              <w:t>颗粒物</w:t>
            </w:r>
          </w:p>
        </w:tc>
        <w:tc>
          <w:tcPr>
            <w:tcW w:w="570" w:type="pct"/>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eastAsia="宋体" w:cs="Times New Roman"/>
                <w:color w:val="FF0000"/>
                <w:sz w:val="20"/>
                <w:szCs w:val="20"/>
                <w:lang w:val="en-US" w:eastAsia="zh-CN"/>
              </w:rPr>
            </w:pPr>
            <w:r>
              <w:rPr>
                <w:rFonts w:hint="eastAsia" w:ascii="Times New Roman" w:hAnsi="Times New Roman" w:cs="Times New Roman"/>
                <w:color w:val="FF0000"/>
                <w:sz w:val="20"/>
                <w:szCs w:val="20"/>
                <w:lang w:val="en-US" w:eastAsia="zh-CN"/>
              </w:rPr>
              <w:t>洒水抑尘</w:t>
            </w:r>
          </w:p>
        </w:tc>
        <w:tc>
          <w:tcPr>
            <w:tcW w:w="1510" w:type="pct"/>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eastAsia" w:ascii="Times New Roman" w:hAnsi="Times New Roman" w:cs="Times New Roman"/>
                <w:color w:val="FF0000"/>
                <w:sz w:val="20"/>
                <w:szCs w:val="20"/>
                <w:lang w:val="en-US" w:eastAsia="zh-CN"/>
              </w:rPr>
            </w:pPr>
            <w:r>
              <w:rPr>
                <w:rFonts w:hint="default"/>
                <w:color w:val="FF0000"/>
                <w:highlight w:val="none"/>
              </w:rPr>
              <w:t>《大气污染物综合排放标准》（</w:t>
            </w:r>
            <w:r>
              <w:rPr>
                <w:rFonts w:hint="eastAsia"/>
                <w:color w:val="FF0000"/>
                <w:highlight w:val="none"/>
                <w:lang w:eastAsia="zh-CN"/>
              </w:rPr>
              <w:t>GB</w:t>
            </w:r>
            <w:r>
              <w:rPr>
                <w:rFonts w:hint="default"/>
                <w:color w:val="FF0000"/>
                <w:highlight w:val="none"/>
              </w:rPr>
              <w:t>16297-1996）</w:t>
            </w:r>
          </w:p>
        </w:tc>
        <w:tc>
          <w:tcPr>
            <w:tcW w:w="539" w:type="pct"/>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cs="Times New Roman"/>
                <w:color w:val="FF0000"/>
                <w:sz w:val="20"/>
                <w:szCs w:val="20"/>
                <w:lang w:val="en-US" w:eastAsia="zh-CN"/>
              </w:rPr>
            </w:pPr>
            <w:r>
              <w:rPr>
                <w:rFonts w:hint="eastAsia" w:ascii="Times New Roman" w:hAnsi="Times New Roman" w:cs="Times New Roman"/>
                <w:color w:val="FF0000"/>
                <w:sz w:val="20"/>
                <w:szCs w:val="20"/>
                <w:lang w:val="en-US" w:eastAsia="zh-CN"/>
              </w:rPr>
              <w:t>1.0</w:t>
            </w:r>
          </w:p>
        </w:tc>
        <w:tc>
          <w:tcPr>
            <w:tcW w:w="489" w:type="pct"/>
            <w:shd w:val="clear" w:color="auto" w:fill="auto"/>
            <w:noWrap w:val="0"/>
            <w:tcMar>
              <w:top w:w="15" w:type="dxa"/>
              <w:left w:w="15" w:type="dxa"/>
              <w:right w:w="15" w:type="dxa"/>
            </w:tcMar>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textAlignment w:val="center"/>
              <w:rPr>
                <w:rFonts w:hint="default" w:ascii="Times New Roman" w:hAnsi="Times New Roman" w:eastAsia="宋体" w:cs="Times New Roman"/>
                <w:color w:val="FF0000"/>
                <w:sz w:val="20"/>
                <w:szCs w:val="20"/>
                <w:lang w:val="en-US" w:eastAsia="zh-CN"/>
              </w:rPr>
            </w:pPr>
            <w:r>
              <w:rPr>
                <w:rFonts w:hint="eastAsia" w:cs="Times New Roman"/>
                <w:color w:val="FF0000"/>
                <w:sz w:val="20"/>
                <w:szCs w:val="20"/>
                <w:lang w:val="en-US" w:eastAsia="zh-CN"/>
              </w:rPr>
              <w:t>0.3803</w:t>
            </w:r>
          </w:p>
        </w:tc>
      </w:tr>
    </w:tbl>
    <w:p>
      <w:pPr>
        <w:pStyle w:val="22"/>
        <w:bidi w:val="0"/>
      </w:pPr>
      <w:r>
        <w:rPr>
          <w:rFonts w:hint="eastAsia"/>
        </w:rPr>
        <w:t>表</w:t>
      </w:r>
      <w:r>
        <w:rPr>
          <w:rFonts w:hint="eastAsia"/>
          <w:lang w:val="en-US" w:eastAsia="zh-CN"/>
        </w:rPr>
        <w:t>5.2-6</w:t>
      </w:r>
      <w:r>
        <w:rPr>
          <w:rFonts w:hint="eastAsia"/>
        </w:rPr>
        <w:t xml:space="preserve">    </w:t>
      </w:r>
      <w:r>
        <w:t>大气环境影响评价自查表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835"/>
        <w:gridCol w:w="1634"/>
        <w:gridCol w:w="792"/>
        <w:gridCol w:w="72"/>
        <w:gridCol w:w="354"/>
        <w:gridCol w:w="54"/>
        <w:gridCol w:w="155"/>
        <w:gridCol w:w="281"/>
        <w:gridCol w:w="76"/>
        <w:gridCol w:w="94"/>
        <w:gridCol w:w="229"/>
        <w:gridCol w:w="512"/>
        <w:gridCol w:w="18"/>
        <w:gridCol w:w="120"/>
        <w:gridCol w:w="659"/>
        <w:gridCol w:w="61"/>
        <w:gridCol w:w="77"/>
        <w:gridCol w:w="243"/>
        <w:gridCol w:w="237"/>
        <w:gridCol w:w="120"/>
        <w:gridCol w:w="87"/>
        <w:gridCol w:w="190"/>
        <w:gridCol w:w="88"/>
        <w:gridCol w:w="85"/>
        <w:gridCol w:w="210"/>
        <w:gridCol w:w="318"/>
        <w:gridCol w:w="52"/>
        <w:gridCol w:w="7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blHeader/>
          <w:jc w:val="center"/>
        </w:trPr>
        <w:tc>
          <w:tcPr>
            <w:tcW w:w="1466"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工作内容</w:t>
            </w:r>
          </w:p>
        </w:tc>
        <w:tc>
          <w:tcPr>
            <w:tcW w:w="3533" w:type="pct"/>
            <w:gridSpan w:val="2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自查项目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评价等级与范围</w:t>
            </w: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评价等级</w:t>
            </w:r>
          </w:p>
        </w:tc>
        <w:tc>
          <w:tcPr>
            <w:tcW w:w="1014"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一级 </w:t>
            </w:r>
            <w:r>
              <w:rPr>
                <w:rFonts w:hint="default"/>
                <w:color w:val="auto"/>
                <w:sz w:val="18"/>
                <w:szCs w:val="18"/>
                <w:highlight w:val="none"/>
              </w:rPr>
              <w:sym w:font="Wingdings" w:char="00A8"/>
            </w:r>
          </w:p>
        </w:tc>
        <w:tc>
          <w:tcPr>
            <w:tcW w:w="1504" w:type="pct"/>
            <w:gridSpan w:val="1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二级 </w:t>
            </w:r>
            <w:r>
              <w:rPr>
                <w:rFonts w:hint="default"/>
                <w:color w:val="auto"/>
                <w:sz w:val="18"/>
                <w:szCs w:val="18"/>
                <w:highlight w:val="none"/>
              </w:rPr>
              <w:sym w:font="Wingdings" w:char="00FE"/>
            </w:r>
          </w:p>
        </w:tc>
        <w:tc>
          <w:tcPr>
            <w:tcW w:w="1014" w:type="pct"/>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三级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评价范围</w:t>
            </w:r>
          </w:p>
        </w:tc>
        <w:tc>
          <w:tcPr>
            <w:tcW w:w="1014"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边长=50km </w:t>
            </w:r>
            <w:r>
              <w:rPr>
                <w:rFonts w:hint="default"/>
                <w:color w:val="auto"/>
                <w:sz w:val="18"/>
                <w:szCs w:val="18"/>
                <w:highlight w:val="none"/>
              </w:rPr>
              <w:sym w:font="Wingdings" w:char="00A8"/>
            </w:r>
          </w:p>
        </w:tc>
        <w:tc>
          <w:tcPr>
            <w:tcW w:w="1504" w:type="pct"/>
            <w:gridSpan w:val="1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边长5～50km </w:t>
            </w:r>
            <w:r>
              <w:rPr>
                <w:rFonts w:hint="default"/>
                <w:color w:val="auto"/>
                <w:sz w:val="18"/>
                <w:szCs w:val="18"/>
                <w:highlight w:val="none"/>
              </w:rPr>
              <w:sym w:font="Wingdings" w:char="00A8"/>
            </w:r>
          </w:p>
        </w:tc>
        <w:tc>
          <w:tcPr>
            <w:tcW w:w="1014" w:type="pct"/>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边长=5km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评价因子</w:t>
            </w: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SO</w:t>
            </w:r>
            <w:r>
              <w:rPr>
                <w:rFonts w:hint="default"/>
                <w:color w:val="auto"/>
                <w:sz w:val="18"/>
                <w:szCs w:val="18"/>
                <w:highlight w:val="none"/>
                <w:vertAlign w:val="subscript"/>
              </w:rPr>
              <w:t>2</w:t>
            </w:r>
            <w:r>
              <w:rPr>
                <w:rFonts w:hint="default"/>
                <w:color w:val="auto"/>
                <w:sz w:val="18"/>
                <w:szCs w:val="18"/>
                <w:highlight w:val="none"/>
              </w:rPr>
              <w:t>+NO</w:t>
            </w:r>
            <w:r>
              <w:rPr>
                <w:rFonts w:hint="default"/>
                <w:color w:val="auto"/>
                <w:sz w:val="18"/>
                <w:szCs w:val="18"/>
                <w:highlight w:val="none"/>
                <w:vertAlign w:val="subscript"/>
              </w:rPr>
              <w:t>X</w:t>
            </w:r>
            <w:r>
              <w:rPr>
                <w:rFonts w:hint="default"/>
                <w:color w:val="auto"/>
                <w:sz w:val="18"/>
                <w:szCs w:val="18"/>
                <w:highlight w:val="none"/>
              </w:rPr>
              <w:t>排放量</w:t>
            </w:r>
          </w:p>
        </w:tc>
        <w:tc>
          <w:tcPr>
            <w:tcW w:w="1014"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≥2000t/a </w:t>
            </w:r>
            <w:r>
              <w:rPr>
                <w:rFonts w:hint="default"/>
                <w:color w:val="auto"/>
                <w:sz w:val="18"/>
                <w:szCs w:val="18"/>
                <w:highlight w:val="none"/>
              </w:rPr>
              <w:sym w:font="Wingdings" w:char="00A8"/>
            </w:r>
          </w:p>
        </w:tc>
        <w:tc>
          <w:tcPr>
            <w:tcW w:w="1504" w:type="pct"/>
            <w:gridSpan w:val="1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500～2000t/a </w:t>
            </w:r>
            <w:r>
              <w:rPr>
                <w:rFonts w:hint="default"/>
                <w:color w:val="auto"/>
                <w:sz w:val="18"/>
                <w:szCs w:val="18"/>
                <w:highlight w:val="none"/>
              </w:rPr>
              <w:sym w:font="Wingdings" w:char="00A8"/>
            </w:r>
          </w:p>
        </w:tc>
        <w:tc>
          <w:tcPr>
            <w:tcW w:w="1014" w:type="pct"/>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≤500t/a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评价因子</w:t>
            </w:r>
          </w:p>
        </w:tc>
        <w:tc>
          <w:tcPr>
            <w:tcW w:w="2519" w:type="pct"/>
            <w:gridSpan w:val="19"/>
            <w:tcBorders>
              <w:tl2br w:val="nil"/>
              <w:tr2bl w:val="nil"/>
            </w:tcBorders>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基本污染物(SO</w:t>
            </w:r>
            <w:r>
              <w:rPr>
                <w:rFonts w:hint="default"/>
                <w:color w:val="auto"/>
                <w:sz w:val="18"/>
                <w:szCs w:val="18"/>
                <w:highlight w:val="none"/>
                <w:vertAlign w:val="subscript"/>
              </w:rPr>
              <w:t>2</w:t>
            </w:r>
            <w:r>
              <w:rPr>
                <w:rFonts w:hint="default"/>
                <w:color w:val="auto"/>
                <w:sz w:val="18"/>
                <w:szCs w:val="18"/>
                <w:highlight w:val="none"/>
              </w:rPr>
              <w:t>、NO</w:t>
            </w:r>
            <w:r>
              <w:rPr>
                <w:rFonts w:hint="default"/>
                <w:color w:val="auto"/>
                <w:sz w:val="18"/>
                <w:szCs w:val="18"/>
                <w:highlight w:val="none"/>
                <w:vertAlign w:val="subscript"/>
              </w:rPr>
              <w:t>2</w:t>
            </w:r>
            <w:r>
              <w:rPr>
                <w:rFonts w:hint="default"/>
                <w:color w:val="auto"/>
                <w:sz w:val="18"/>
                <w:szCs w:val="18"/>
                <w:highlight w:val="none"/>
              </w:rPr>
              <w:t>、PM</w:t>
            </w:r>
            <w:r>
              <w:rPr>
                <w:rFonts w:hint="default"/>
                <w:color w:val="auto"/>
                <w:sz w:val="18"/>
                <w:szCs w:val="18"/>
                <w:highlight w:val="none"/>
                <w:vertAlign w:val="subscript"/>
              </w:rPr>
              <w:t>10</w:t>
            </w:r>
            <w:r>
              <w:rPr>
                <w:rFonts w:hint="default"/>
                <w:color w:val="auto"/>
                <w:sz w:val="18"/>
                <w:szCs w:val="18"/>
                <w:highlight w:val="none"/>
              </w:rPr>
              <w:t>、PM</w:t>
            </w:r>
            <w:r>
              <w:rPr>
                <w:rFonts w:hint="default"/>
                <w:color w:val="auto"/>
                <w:sz w:val="18"/>
                <w:szCs w:val="18"/>
                <w:highlight w:val="none"/>
                <w:vertAlign w:val="subscript"/>
              </w:rPr>
              <w:t>2.5</w:t>
            </w:r>
            <w:r>
              <w:rPr>
                <w:rFonts w:hint="default"/>
                <w:color w:val="auto"/>
                <w:sz w:val="18"/>
                <w:szCs w:val="18"/>
                <w:highlight w:val="none"/>
              </w:rPr>
              <w:t>、CO、O</w:t>
            </w:r>
            <w:r>
              <w:rPr>
                <w:rFonts w:hint="default"/>
                <w:color w:val="auto"/>
                <w:sz w:val="18"/>
                <w:szCs w:val="18"/>
                <w:highlight w:val="none"/>
                <w:vertAlign w:val="subscript"/>
              </w:rPr>
              <w:t>3</w:t>
            </w:r>
            <w:r>
              <w:rPr>
                <w:rFonts w:hint="default"/>
                <w:color w:val="auto"/>
                <w:sz w:val="18"/>
                <w:szCs w:val="18"/>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其他污染物（</w:t>
            </w:r>
            <w:r>
              <w:rPr>
                <w:rFonts w:hint="eastAsia"/>
                <w:color w:val="auto"/>
                <w:sz w:val="18"/>
                <w:szCs w:val="18"/>
                <w:highlight w:val="none"/>
              </w:rPr>
              <w:t>颗粒物</w:t>
            </w:r>
            <w:r>
              <w:rPr>
                <w:rFonts w:hint="eastAsia"/>
                <w:color w:val="auto"/>
                <w:sz w:val="18"/>
                <w:szCs w:val="18"/>
                <w:highlight w:val="none"/>
                <w:lang w:val="en-US" w:eastAsia="zh-CN"/>
              </w:rPr>
              <w:t>TSP</w:t>
            </w:r>
            <w:r>
              <w:rPr>
                <w:rFonts w:hint="default"/>
                <w:color w:val="auto"/>
                <w:sz w:val="18"/>
                <w:szCs w:val="18"/>
                <w:highlight w:val="none"/>
              </w:rPr>
              <w:t>）</w:t>
            </w:r>
          </w:p>
        </w:tc>
        <w:tc>
          <w:tcPr>
            <w:tcW w:w="1014" w:type="pct"/>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包括二次PM</w:t>
            </w:r>
            <w:r>
              <w:rPr>
                <w:rFonts w:hint="default"/>
                <w:color w:val="auto"/>
                <w:sz w:val="18"/>
                <w:szCs w:val="18"/>
                <w:highlight w:val="none"/>
                <w:vertAlign w:val="subscript"/>
              </w:rPr>
              <w:t>2.5</w:t>
            </w:r>
            <w:r>
              <w:rPr>
                <w:rFonts w:hint="default"/>
                <w:color w:val="auto"/>
                <w:sz w:val="18"/>
                <w:szCs w:val="18"/>
                <w:highlight w:val="none"/>
              </w:rPr>
              <w:t xml:space="preserve"> </w:t>
            </w:r>
            <w:r>
              <w:rPr>
                <w:rFonts w:hint="default"/>
                <w:color w:val="auto"/>
                <w:sz w:val="18"/>
                <w:szCs w:val="18"/>
                <w:highlight w:val="none"/>
              </w:rPr>
              <w:sym w:font="Wingdings" w:char="00A8"/>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不包括二次PM</w:t>
            </w:r>
            <w:r>
              <w:rPr>
                <w:rFonts w:hint="default"/>
                <w:color w:val="auto"/>
                <w:sz w:val="18"/>
                <w:szCs w:val="18"/>
                <w:highlight w:val="none"/>
                <w:vertAlign w:val="subscript"/>
              </w:rPr>
              <w:t>2.5</w:t>
            </w:r>
            <w:r>
              <w:rPr>
                <w:rFonts w:hint="default"/>
                <w:color w:val="auto"/>
                <w:sz w:val="18"/>
                <w:szCs w:val="18"/>
                <w:highlight w:val="none"/>
              </w:rPr>
              <w:t xml:space="preserve">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评价标准</w:t>
            </w: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评价标准</w:t>
            </w:r>
          </w:p>
        </w:tc>
        <w:tc>
          <w:tcPr>
            <w:tcW w:w="723" w:type="pct"/>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国家标准 </w:t>
            </w:r>
            <w:r>
              <w:rPr>
                <w:rFonts w:hint="default"/>
                <w:color w:val="auto"/>
                <w:sz w:val="18"/>
                <w:szCs w:val="18"/>
                <w:highlight w:val="none"/>
              </w:rPr>
              <w:sym w:font="Wingdings" w:char="00FE"/>
            </w:r>
          </w:p>
        </w:tc>
        <w:tc>
          <w:tcPr>
            <w:tcW w:w="914" w:type="pct"/>
            <w:gridSpan w:val="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地方标准 </w:t>
            </w:r>
            <w:r>
              <w:rPr>
                <w:rFonts w:hint="default"/>
                <w:color w:val="auto"/>
                <w:sz w:val="18"/>
                <w:szCs w:val="18"/>
                <w:highlight w:val="none"/>
              </w:rPr>
              <w:sym w:font="Wingdings" w:char="00A8"/>
            </w:r>
          </w:p>
        </w:tc>
        <w:tc>
          <w:tcPr>
            <w:tcW w:w="994" w:type="pct"/>
            <w:gridSpan w:val="8"/>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附录D </w:t>
            </w:r>
            <w:r>
              <w:rPr>
                <w:rFonts w:hint="default"/>
                <w:color w:val="auto"/>
                <w:sz w:val="18"/>
                <w:szCs w:val="18"/>
                <w:highlight w:val="none"/>
              </w:rPr>
              <w:sym w:font="Wingdings" w:char="00A8"/>
            </w:r>
          </w:p>
        </w:tc>
        <w:tc>
          <w:tcPr>
            <w:tcW w:w="901"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其他标准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现状评价</w:t>
            </w: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环境功能区</w:t>
            </w:r>
          </w:p>
        </w:tc>
        <w:tc>
          <w:tcPr>
            <w:tcW w:w="1059" w:type="pct"/>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一类区 </w:t>
            </w:r>
            <w:r>
              <w:rPr>
                <w:rFonts w:hint="default"/>
                <w:color w:val="auto"/>
                <w:sz w:val="18"/>
                <w:szCs w:val="18"/>
                <w:highlight w:val="none"/>
              </w:rPr>
              <w:sym w:font="Wingdings" w:char="00A8"/>
            </w:r>
          </w:p>
        </w:tc>
        <w:tc>
          <w:tcPr>
            <w:tcW w:w="1195" w:type="pct"/>
            <w:gridSpan w:val="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二类区 </w:t>
            </w:r>
            <w:r>
              <w:rPr>
                <w:rFonts w:hint="default"/>
                <w:color w:val="auto"/>
                <w:sz w:val="18"/>
                <w:szCs w:val="18"/>
                <w:highlight w:val="none"/>
              </w:rPr>
              <w:sym w:font="Wingdings" w:char="00FE"/>
            </w:r>
          </w:p>
        </w:tc>
        <w:tc>
          <w:tcPr>
            <w:tcW w:w="1277" w:type="pct"/>
            <w:gridSpan w:val="10"/>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一类区和二类区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评价基准年</w:t>
            </w:r>
          </w:p>
        </w:tc>
        <w:tc>
          <w:tcPr>
            <w:tcW w:w="3533" w:type="pct"/>
            <w:gridSpan w:val="2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w:t>
            </w:r>
            <w:r>
              <w:rPr>
                <w:rFonts w:hint="eastAsia"/>
                <w:color w:val="auto"/>
                <w:sz w:val="18"/>
                <w:szCs w:val="18"/>
                <w:highlight w:val="none"/>
              </w:rPr>
              <w:t>20</w:t>
            </w:r>
            <w:r>
              <w:rPr>
                <w:rFonts w:hint="eastAsia"/>
                <w:color w:val="auto"/>
                <w:sz w:val="18"/>
                <w:szCs w:val="18"/>
                <w:highlight w:val="none"/>
                <w:lang w:val="en-US" w:eastAsia="zh-CN"/>
              </w:rPr>
              <w:t>20</w:t>
            </w:r>
            <w:r>
              <w:rPr>
                <w:rFonts w:hint="default"/>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环境空气质量现状调查数据来源</w:t>
            </w:r>
          </w:p>
        </w:tc>
        <w:tc>
          <w:tcPr>
            <w:tcW w:w="1014"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长期例行监测数据 </w:t>
            </w:r>
            <w:r>
              <w:rPr>
                <w:rFonts w:hint="default"/>
                <w:color w:val="auto"/>
                <w:sz w:val="18"/>
                <w:szCs w:val="18"/>
                <w:highlight w:val="none"/>
              </w:rPr>
              <w:sym w:font="Wingdings" w:char="00A8"/>
            </w:r>
          </w:p>
        </w:tc>
        <w:tc>
          <w:tcPr>
            <w:tcW w:w="1845" w:type="pct"/>
            <w:gridSpan w:val="1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主管部门发布的数据 </w:t>
            </w:r>
            <w:r>
              <w:rPr>
                <w:rFonts w:hint="default"/>
                <w:color w:val="auto"/>
                <w:sz w:val="18"/>
                <w:szCs w:val="18"/>
                <w:highlight w:val="none"/>
              </w:rPr>
              <w:sym w:font="Wingdings" w:char="00FE"/>
            </w:r>
          </w:p>
        </w:tc>
        <w:tc>
          <w:tcPr>
            <w:tcW w:w="673" w:type="pct"/>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现状补充监测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现状评价</w:t>
            </w:r>
          </w:p>
        </w:tc>
        <w:tc>
          <w:tcPr>
            <w:tcW w:w="2029" w:type="pct"/>
            <w:gridSpan w:val="1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达标区 </w:t>
            </w:r>
            <w:r>
              <w:rPr>
                <w:rFonts w:hint="default"/>
                <w:color w:val="auto"/>
                <w:sz w:val="18"/>
                <w:szCs w:val="18"/>
                <w:highlight w:val="none"/>
              </w:rPr>
              <w:sym w:font="Wingdings" w:char="00A8"/>
            </w:r>
          </w:p>
        </w:tc>
        <w:tc>
          <w:tcPr>
            <w:tcW w:w="1504" w:type="pct"/>
            <w:gridSpan w:val="1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不达标区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污染源调查</w:t>
            </w: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调查内容</w:t>
            </w:r>
          </w:p>
        </w:tc>
        <w:tc>
          <w:tcPr>
            <w:tcW w:w="1251" w:type="pct"/>
            <w:gridSpan w:val="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本项目正常排放源 </w:t>
            </w:r>
            <w:r>
              <w:rPr>
                <w:rFonts w:hint="default"/>
                <w:color w:val="auto"/>
                <w:sz w:val="18"/>
                <w:szCs w:val="18"/>
                <w:highlight w:val="none"/>
              </w:rPr>
              <w:sym w:font="Wingdings" w:char="00FE"/>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本项目非正常排放源 </w:t>
            </w:r>
            <w:r>
              <w:rPr>
                <w:rFonts w:hint="default"/>
                <w:color w:val="auto"/>
                <w:sz w:val="18"/>
                <w:szCs w:val="18"/>
                <w:highlight w:val="none"/>
              </w:rPr>
              <w:sym w:font="Wingdings" w:char="00A8"/>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现有污染源 </w:t>
            </w:r>
            <w:r>
              <w:rPr>
                <w:rFonts w:hint="default"/>
                <w:color w:val="auto"/>
                <w:sz w:val="18"/>
                <w:szCs w:val="18"/>
                <w:highlight w:val="none"/>
              </w:rPr>
              <w:sym w:font="Wingdings" w:char="00A8"/>
            </w:r>
          </w:p>
        </w:tc>
        <w:tc>
          <w:tcPr>
            <w:tcW w:w="1144" w:type="pct"/>
            <w:gridSpan w:val="8"/>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拟替代的污染源 </w:t>
            </w:r>
            <w:r>
              <w:rPr>
                <w:rFonts w:hint="default"/>
                <w:color w:val="auto"/>
                <w:sz w:val="18"/>
                <w:szCs w:val="18"/>
                <w:highlight w:val="none"/>
              </w:rPr>
              <w:sym w:font="Wingdings" w:char="00A8"/>
            </w:r>
          </w:p>
        </w:tc>
        <w:tc>
          <w:tcPr>
            <w:tcW w:w="652" w:type="pct"/>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其他在建、拟建项目污染源 </w:t>
            </w:r>
            <w:r>
              <w:rPr>
                <w:rFonts w:hint="default"/>
                <w:color w:val="auto"/>
                <w:sz w:val="18"/>
                <w:szCs w:val="18"/>
                <w:highlight w:val="none"/>
              </w:rPr>
              <w:sym w:font="Wingdings" w:char="00FE"/>
            </w:r>
          </w:p>
        </w:tc>
        <w:tc>
          <w:tcPr>
            <w:tcW w:w="484"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区域污染源</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大气环境影响预测与评价</w:t>
            </w: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预测模型</w:t>
            </w:r>
          </w:p>
        </w:tc>
        <w:tc>
          <w:tcPr>
            <w:tcW w:w="4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AERMOD </w:t>
            </w:r>
            <w:r>
              <w:rPr>
                <w:rFonts w:hint="default"/>
                <w:color w:val="auto"/>
                <w:sz w:val="18"/>
                <w:szCs w:val="18"/>
                <w:highlight w:val="none"/>
              </w:rPr>
              <w:sym w:font="Wingdings" w:char="00A8"/>
            </w:r>
          </w:p>
        </w:tc>
        <w:tc>
          <w:tcPr>
            <w:tcW w:w="377" w:type="pct"/>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ADMS </w:t>
            </w:r>
            <w:r>
              <w:rPr>
                <w:rFonts w:hint="default"/>
                <w:color w:val="auto"/>
                <w:sz w:val="18"/>
                <w:szCs w:val="18"/>
                <w:highlight w:val="none"/>
              </w:rPr>
              <w:sym w:font="Wingdings" w:char="00A8"/>
            </w:r>
          </w:p>
        </w:tc>
        <w:tc>
          <w:tcPr>
            <w:tcW w:w="708" w:type="pct"/>
            <w:gridSpan w:val="5"/>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AUSTAL2000</w:t>
            </w:r>
            <w:r>
              <w:rPr>
                <w:rFonts w:hint="default"/>
                <w:color w:val="auto"/>
                <w:sz w:val="18"/>
                <w:szCs w:val="18"/>
                <w:highlight w:val="none"/>
              </w:rPr>
              <w:sym w:font="Wingdings" w:char="00A8"/>
            </w:r>
          </w:p>
        </w:tc>
        <w:tc>
          <w:tcPr>
            <w:tcW w:w="555" w:type="pct"/>
            <w:gridSpan w:val="5"/>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EDMS/AEDT </w:t>
            </w:r>
            <w:r>
              <w:rPr>
                <w:rFonts w:hint="default"/>
                <w:color w:val="auto"/>
                <w:sz w:val="18"/>
                <w:szCs w:val="18"/>
                <w:highlight w:val="none"/>
              </w:rPr>
              <w:sym w:font="Wingdings" w:char="00A8"/>
            </w:r>
          </w:p>
        </w:tc>
        <w:tc>
          <w:tcPr>
            <w:tcW w:w="573"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CALPUFF </w:t>
            </w:r>
            <w:r>
              <w:rPr>
                <w:rFonts w:hint="default"/>
                <w:color w:val="auto"/>
                <w:sz w:val="18"/>
                <w:szCs w:val="18"/>
                <w:highlight w:val="none"/>
              </w:rPr>
              <w:sym w:font="Wingdings" w:char="00A8"/>
            </w:r>
          </w:p>
        </w:tc>
        <w:tc>
          <w:tcPr>
            <w:tcW w:w="395" w:type="pct"/>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网格模型</w:t>
            </w:r>
            <w:r>
              <w:rPr>
                <w:rFonts w:hint="default"/>
                <w:color w:val="auto"/>
                <w:sz w:val="18"/>
                <w:szCs w:val="18"/>
                <w:highlight w:val="none"/>
              </w:rPr>
              <w:sym w:font="Wingdings" w:char="00A8"/>
            </w:r>
          </w:p>
        </w:tc>
        <w:tc>
          <w:tcPr>
            <w:tcW w:w="45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其他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预测范围</w:t>
            </w:r>
          </w:p>
        </w:tc>
        <w:tc>
          <w:tcPr>
            <w:tcW w:w="1115" w:type="pct"/>
            <w:gridSpan w:val="8"/>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边长≥50km </w:t>
            </w:r>
            <w:r>
              <w:rPr>
                <w:rFonts w:hint="default"/>
                <w:color w:val="auto"/>
                <w:sz w:val="18"/>
                <w:szCs w:val="18"/>
                <w:highlight w:val="none"/>
              </w:rPr>
              <w:sym w:font="Wingdings" w:char="00A8"/>
            </w:r>
          </w:p>
        </w:tc>
        <w:tc>
          <w:tcPr>
            <w:tcW w:w="1568" w:type="pct"/>
            <w:gridSpan w:val="1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边长5</w:t>
            </w:r>
            <w:r>
              <w:rPr>
                <w:rFonts w:hint="default" w:ascii="Times New Roman" w:hAnsi="Times New Roman" w:cs="Times New Roman"/>
                <w:color w:val="auto"/>
                <w:sz w:val="18"/>
                <w:szCs w:val="18"/>
                <w:highlight w:val="none"/>
              </w:rPr>
              <w:t>~</w:t>
            </w:r>
            <w:r>
              <w:rPr>
                <w:rFonts w:hint="default"/>
                <w:color w:val="auto"/>
                <w:sz w:val="18"/>
                <w:szCs w:val="18"/>
                <w:highlight w:val="none"/>
              </w:rPr>
              <w:t xml:space="preserve">50km </w:t>
            </w:r>
            <w:r>
              <w:rPr>
                <w:rFonts w:hint="default"/>
                <w:color w:val="auto"/>
                <w:sz w:val="18"/>
                <w:szCs w:val="18"/>
                <w:highlight w:val="none"/>
              </w:rPr>
              <w:sym w:font="Wingdings" w:char="00A8"/>
            </w:r>
          </w:p>
        </w:tc>
        <w:tc>
          <w:tcPr>
            <w:tcW w:w="848" w:type="pct"/>
            <w:gridSpan w:val="5"/>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边长=5km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预测因子</w:t>
            </w:r>
          </w:p>
        </w:tc>
        <w:tc>
          <w:tcPr>
            <w:tcW w:w="2065" w:type="pct"/>
            <w:gridSpan w:val="1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预测因子（</w:t>
            </w:r>
            <w:r>
              <w:rPr>
                <w:rFonts w:hint="eastAsia"/>
                <w:color w:val="auto"/>
                <w:sz w:val="18"/>
                <w:szCs w:val="18"/>
                <w:highlight w:val="none"/>
                <w:lang w:val="en-US" w:eastAsia="zh-CN"/>
              </w:rPr>
              <w:t>TSP</w:t>
            </w:r>
            <w:r>
              <w:rPr>
                <w:rFonts w:hint="default"/>
                <w:color w:val="auto"/>
                <w:sz w:val="18"/>
                <w:szCs w:val="18"/>
                <w:highlight w:val="none"/>
              </w:rPr>
              <w:t>）</w:t>
            </w:r>
          </w:p>
        </w:tc>
        <w:tc>
          <w:tcPr>
            <w:tcW w:w="1467" w:type="pct"/>
            <w:gridSpan w:val="1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包括二次PM</w:t>
            </w:r>
            <w:r>
              <w:rPr>
                <w:rFonts w:hint="default"/>
                <w:color w:val="auto"/>
                <w:sz w:val="18"/>
                <w:szCs w:val="18"/>
                <w:highlight w:val="none"/>
                <w:vertAlign w:val="subscript"/>
              </w:rPr>
              <w:t>2.5</w:t>
            </w:r>
            <w:r>
              <w:rPr>
                <w:rFonts w:hint="default"/>
                <w:color w:val="auto"/>
                <w:sz w:val="18"/>
                <w:szCs w:val="18"/>
                <w:highlight w:val="none"/>
              </w:rPr>
              <w:t xml:space="preserve"> </w:t>
            </w:r>
            <w:r>
              <w:rPr>
                <w:rFonts w:hint="default"/>
                <w:color w:val="auto"/>
                <w:sz w:val="18"/>
                <w:szCs w:val="18"/>
                <w:highlight w:val="none"/>
              </w:rPr>
              <w:sym w:font="Wingdings" w:char="00A8"/>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不包括二次PM</w:t>
            </w:r>
            <w:r>
              <w:rPr>
                <w:rFonts w:hint="default"/>
                <w:color w:val="auto"/>
                <w:sz w:val="18"/>
                <w:szCs w:val="18"/>
                <w:highlight w:val="none"/>
                <w:vertAlign w:val="subscript"/>
              </w:rPr>
              <w:t>2.5</w:t>
            </w:r>
            <w:r>
              <w:rPr>
                <w:rFonts w:hint="default"/>
                <w:color w:val="auto"/>
                <w:sz w:val="18"/>
                <w:szCs w:val="18"/>
                <w:highlight w:val="none"/>
              </w:rPr>
              <w:t xml:space="preserve">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正常排放短期浓度贡献值</w:t>
            </w:r>
          </w:p>
        </w:tc>
        <w:tc>
          <w:tcPr>
            <w:tcW w:w="2065" w:type="pct"/>
            <w:gridSpan w:val="1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C本项目最大占标率≤100% </w:t>
            </w:r>
            <w:r>
              <w:rPr>
                <w:rFonts w:hint="default"/>
                <w:color w:val="auto"/>
                <w:sz w:val="18"/>
                <w:szCs w:val="18"/>
                <w:highlight w:val="none"/>
              </w:rPr>
              <w:sym w:font="Wingdings" w:char="00FE"/>
            </w:r>
          </w:p>
        </w:tc>
        <w:tc>
          <w:tcPr>
            <w:tcW w:w="1467" w:type="pct"/>
            <w:gridSpan w:val="1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C本项目最大占标率</w:t>
            </w:r>
            <w:r>
              <w:rPr>
                <w:rFonts w:hint="eastAsia"/>
                <w:color w:val="auto"/>
                <w:sz w:val="18"/>
                <w:szCs w:val="18"/>
                <w:highlight w:val="none"/>
              </w:rPr>
              <w:t>&gt;</w:t>
            </w:r>
            <w:r>
              <w:rPr>
                <w:rFonts w:hint="default"/>
                <w:color w:val="auto"/>
                <w:sz w:val="18"/>
                <w:szCs w:val="18"/>
                <w:highlight w:val="none"/>
              </w:rPr>
              <w:t xml:space="preserve">100%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正常排放年均浓度贡献值</w:t>
            </w:r>
          </w:p>
        </w:tc>
        <w:tc>
          <w:tcPr>
            <w:tcW w:w="513"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一类区</w:t>
            </w:r>
          </w:p>
        </w:tc>
        <w:tc>
          <w:tcPr>
            <w:tcW w:w="1552" w:type="pct"/>
            <w:gridSpan w:val="1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C本项目最大占标率≤10% </w:t>
            </w:r>
            <w:r>
              <w:rPr>
                <w:rFonts w:hint="default"/>
                <w:color w:val="auto"/>
                <w:sz w:val="18"/>
                <w:szCs w:val="18"/>
                <w:highlight w:val="none"/>
              </w:rPr>
              <w:sym w:font="Wingdings" w:char="00A8"/>
            </w:r>
          </w:p>
        </w:tc>
        <w:tc>
          <w:tcPr>
            <w:tcW w:w="1467" w:type="pct"/>
            <w:gridSpan w:val="1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C本项目最大占标率</w:t>
            </w:r>
            <w:r>
              <w:rPr>
                <w:rFonts w:hint="eastAsia"/>
                <w:color w:val="auto"/>
                <w:sz w:val="18"/>
                <w:szCs w:val="18"/>
                <w:highlight w:val="none"/>
              </w:rPr>
              <w:t>&gt;</w:t>
            </w:r>
            <w:r>
              <w:rPr>
                <w:rFonts w:hint="default"/>
                <w:color w:val="auto"/>
                <w:sz w:val="18"/>
                <w:szCs w:val="18"/>
                <w:highlight w:val="none"/>
              </w:rPr>
              <w:t xml:space="preserve">10%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513"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二类区</w:t>
            </w:r>
          </w:p>
        </w:tc>
        <w:tc>
          <w:tcPr>
            <w:tcW w:w="1552" w:type="pct"/>
            <w:gridSpan w:val="1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C本项目最大占标率≤30% </w:t>
            </w:r>
            <w:r>
              <w:rPr>
                <w:rFonts w:hint="default"/>
                <w:color w:val="auto"/>
                <w:sz w:val="18"/>
                <w:szCs w:val="18"/>
                <w:highlight w:val="none"/>
              </w:rPr>
              <w:sym w:font="Wingdings" w:char="00A8"/>
            </w:r>
          </w:p>
        </w:tc>
        <w:tc>
          <w:tcPr>
            <w:tcW w:w="1467" w:type="pct"/>
            <w:gridSpan w:val="1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C本项目最大占标率</w:t>
            </w:r>
            <w:r>
              <w:rPr>
                <w:rFonts w:hint="eastAsia"/>
                <w:color w:val="auto"/>
                <w:sz w:val="18"/>
                <w:szCs w:val="18"/>
                <w:highlight w:val="none"/>
              </w:rPr>
              <w:t>&gt;</w:t>
            </w:r>
            <w:r>
              <w:rPr>
                <w:rFonts w:hint="default"/>
                <w:color w:val="auto"/>
                <w:sz w:val="18"/>
                <w:szCs w:val="18"/>
                <w:highlight w:val="none"/>
              </w:rPr>
              <w:t xml:space="preserve">30%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非正常排放1h浓度贡献值</w:t>
            </w:r>
          </w:p>
        </w:tc>
        <w:tc>
          <w:tcPr>
            <w:tcW w:w="1014" w:type="pct"/>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非正常持续时长（</w:t>
            </w:r>
            <w:r>
              <w:rPr>
                <w:rFonts w:hint="eastAsia"/>
                <w:color w:val="auto"/>
                <w:sz w:val="18"/>
                <w:szCs w:val="18"/>
                <w:highlight w:val="none"/>
              </w:rPr>
              <w:t xml:space="preserve">   </w:t>
            </w:r>
            <w:r>
              <w:rPr>
                <w:rFonts w:hint="default"/>
                <w:color w:val="auto"/>
                <w:sz w:val="18"/>
                <w:szCs w:val="18"/>
                <w:highlight w:val="none"/>
              </w:rPr>
              <w:t>）h</w:t>
            </w:r>
          </w:p>
        </w:tc>
        <w:tc>
          <w:tcPr>
            <w:tcW w:w="1453" w:type="pct"/>
            <w:gridSpan w:val="1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C非正常占标率≤100% </w:t>
            </w:r>
            <w:r>
              <w:rPr>
                <w:rFonts w:hint="default"/>
                <w:color w:val="auto"/>
                <w:sz w:val="18"/>
                <w:szCs w:val="18"/>
                <w:highlight w:val="none"/>
              </w:rPr>
              <w:sym w:font="Wingdings" w:char="00A8"/>
            </w:r>
          </w:p>
        </w:tc>
        <w:tc>
          <w:tcPr>
            <w:tcW w:w="1065" w:type="pct"/>
            <w:gridSpan w:val="8"/>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C非正常占标率</w:t>
            </w:r>
            <w:r>
              <w:rPr>
                <w:rFonts w:hint="eastAsia"/>
                <w:color w:val="auto"/>
                <w:sz w:val="18"/>
                <w:szCs w:val="18"/>
                <w:highlight w:val="none"/>
              </w:rPr>
              <w:t>&gt;</w:t>
            </w:r>
            <w:r>
              <w:rPr>
                <w:rFonts w:hint="default"/>
                <w:color w:val="auto"/>
                <w:sz w:val="18"/>
                <w:szCs w:val="18"/>
                <w:highlight w:val="none"/>
              </w:rPr>
              <w:t xml:space="preserve">100%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保证率日平均浓度和年平均浓度叠加值</w:t>
            </w:r>
          </w:p>
        </w:tc>
        <w:tc>
          <w:tcPr>
            <w:tcW w:w="1555" w:type="pct"/>
            <w:gridSpan w:val="10"/>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C叠加达标 </w:t>
            </w:r>
            <w:r>
              <w:rPr>
                <w:rFonts w:hint="default"/>
                <w:color w:val="auto"/>
                <w:sz w:val="18"/>
                <w:szCs w:val="18"/>
                <w:highlight w:val="none"/>
              </w:rPr>
              <w:sym w:font="Wingdings" w:char="00A8"/>
            </w:r>
          </w:p>
        </w:tc>
        <w:tc>
          <w:tcPr>
            <w:tcW w:w="1977" w:type="pct"/>
            <w:gridSpan w:val="1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C叠加不达标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区域环境质量的整体变化情况</w:t>
            </w:r>
          </w:p>
        </w:tc>
        <w:tc>
          <w:tcPr>
            <w:tcW w:w="2519" w:type="pct"/>
            <w:gridSpan w:val="1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k≤-20% </w:t>
            </w:r>
            <w:r>
              <w:rPr>
                <w:rFonts w:hint="default"/>
                <w:color w:val="auto"/>
                <w:sz w:val="18"/>
                <w:szCs w:val="18"/>
                <w:highlight w:val="none"/>
              </w:rPr>
              <w:sym w:font="Wingdings" w:char="00A8"/>
            </w:r>
          </w:p>
        </w:tc>
        <w:tc>
          <w:tcPr>
            <w:tcW w:w="1014" w:type="pct"/>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k</w:t>
            </w:r>
            <w:r>
              <w:rPr>
                <w:rFonts w:hint="eastAsia"/>
                <w:color w:val="auto"/>
                <w:sz w:val="18"/>
                <w:szCs w:val="18"/>
                <w:highlight w:val="none"/>
              </w:rPr>
              <w:t>&gt;</w:t>
            </w:r>
            <w:r>
              <w:rPr>
                <w:rFonts w:hint="default"/>
                <w:color w:val="auto"/>
                <w:sz w:val="18"/>
                <w:szCs w:val="18"/>
                <w:highlight w:val="none"/>
              </w:rPr>
              <w:t xml:space="preserve">-20%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环境监测计划</w:t>
            </w: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污染源监测</w:t>
            </w:r>
          </w:p>
        </w:tc>
        <w:tc>
          <w:tcPr>
            <w:tcW w:w="1555" w:type="pct"/>
            <w:gridSpan w:val="10"/>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监测因子：（</w:t>
            </w:r>
            <w:r>
              <w:rPr>
                <w:rFonts w:hint="eastAsia"/>
                <w:color w:val="auto"/>
                <w:sz w:val="18"/>
                <w:szCs w:val="18"/>
                <w:highlight w:val="none"/>
              </w:rPr>
              <w:t xml:space="preserve"> 颗粒物 </w:t>
            </w:r>
            <w:r>
              <w:rPr>
                <w:rFonts w:hint="default"/>
                <w:color w:val="auto"/>
                <w:sz w:val="18"/>
                <w:szCs w:val="18"/>
                <w:highlight w:val="none"/>
              </w:rPr>
              <w:t>）</w:t>
            </w:r>
          </w:p>
        </w:tc>
        <w:tc>
          <w:tcPr>
            <w:tcW w:w="1492" w:type="pct"/>
            <w:gridSpan w:val="1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有组织废气监测 </w:t>
            </w:r>
            <w:r>
              <w:rPr>
                <w:rFonts w:hint="default"/>
                <w:color w:val="auto"/>
                <w:sz w:val="18"/>
                <w:szCs w:val="18"/>
                <w:highlight w:val="none"/>
              </w:rPr>
              <w:sym w:font="Wingdings" w:char="00A8"/>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无组织废气监测 </w:t>
            </w:r>
            <w:r>
              <w:rPr>
                <w:rFonts w:hint="default"/>
                <w:color w:val="auto"/>
                <w:sz w:val="18"/>
                <w:szCs w:val="18"/>
                <w:highlight w:val="none"/>
              </w:rPr>
              <w:sym w:font="Wingdings" w:char="00FE"/>
            </w:r>
          </w:p>
        </w:tc>
        <w:tc>
          <w:tcPr>
            <w:tcW w:w="484"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无监测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环境质量监测</w:t>
            </w:r>
          </w:p>
        </w:tc>
        <w:tc>
          <w:tcPr>
            <w:tcW w:w="1555" w:type="pct"/>
            <w:gridSpan w:val="10"/>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监测因子：（</w:t>
            </w:r>
            <w:r>
              <w:rPr>
                <w:rFonts w:hint="eastAsia"/>
                <w:color w:val="auto"/>
                <w:sz w:val="18"/>
                <w:szCs w:val="18"/>
                <w:highlight w:val="none"/>
              </w:rPr>
              <w:t xml:space="preserve">   </w:t>
            </w:r>
            <w:r>
              <w:rPr>
                <w:rFonts w:hint="default"/>
                <w:color w:val="auto"/>
                <w:sz w:val="18"/>
                <w:szCs w:val="18"/>
                <w:highlight w:val="none"/>
              </w:rPr>
              <w:t>）</w:t>
            </w:r>
          </w:p>
        </w:tc>
        <w:tc>
          <w:tcPr>
            <w:tcW w:w="1492" w:type="pct"/>
            <w:gridSpan w:val="1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监测点位数（ </w:t>
            </w:r>
            <w:r>
              <w:rPr>
                <w:rFonts w:hint="eastAsia"/>
                <w:color w:val="auto"/>
                <w:sz w:val="18"/>
                <w:szCs w:val="18"/>
                <w:highlight w:val="none"/>
                <w:lang w:val="en-US" w:eastAsia="zh-CN"/>
              </w:rPr>
              <w:t xml:space="preserve"> </w:t>
            </w:r>
            <w:r>
              <w:rPr>
                <w:rFonts w:hint="default"/>
                <w:color w:val="auto"/>
                <w:sz w:val="18"/>
                <w:szCs w:val="18"/>
                <w:highlight w:val="none"/>
              </w:rPr>
              <w:t>）</w:t>
            </w:r>
          </w:p>
        </w:tc>
        <w:tc>
          <w:tcPr>
            <w:tcW w:w="484"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无监测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评价结论</w:t>
            </w: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环境影响</w:t>
            </w:r>
          </w:p>
        </w:tc>
        <w:tc>
          <w:tcPr>
            <w:tcW w:w="3533" w:type="pct"/>
            <w:gridSpan w:val="2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 xml:space="preserve">可以接受 </w:t>
            </w:r>
            <w:r>
              <w:rPr>
                <w:rFonts w:hint="default"/>
                <w:color w:val="auto"/>
                <w:sz w:val="18"/>
                <w:szCs w:val="18"/>
                <w:highlight w:val="none"/>
              </w:rPr>
              <w:sym w:font="Wingdings" w:char="00FE"/>
            </w:r>
            <w:r>
              <w:rPr>
                <w:rFonts w:hint="default"/>
                <w:color w:val="auto"/>
                <w:sz w:val="18"/>
                <w:szCs w:val="18"/>
                <w:highlight w:val="none"/>
              </w:rPr>
              <w:t xml:space="preserve">   不可以接受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大气环境防护距离</w:t>
            </w:r>
          </w:p>
        </w:tc>
        <w:tc>
          <w:tcPr>
            <w:tcW w:w="3533" w:type="pct"/>
            <w:gridSpan w:val="2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距（      ）厂界最远（      ）m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49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p>
        </w:tc>
        <w:tc>
          <w:tcPr>
            <w:tcW w:w="97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污染源年排放量</w:t>
            </w:r>
          </w:p>
        </w:tc>
        <w:tc>
          <w:tcPr>
            <w:tcW w:w="755" w:type="pct"/>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SO</w:t>
            </w:r>
            <w:r>
              <w:rPr>
                <w:rFonts w:hint="default"/>
                <w:color w:val="auto"/>
                <w:sz w:val="18"/>
                <w:szCs w:val="18"/>
                <w:highlight w:val="none"/>
                <w:vertAlign w:val="subscript"/>
              </w:rPr>
              <w:t>2</w:t>
            </w:r>
            <w:r>
              <w:rPr>
                <w:rFonts w:hint="default"/>
                <w:color w:val="auto"/>
                <w:sz w:val="18"/>
                <w:szCs w:val="18"/>
                <w:highlight w:val="none"/>
              </w:rPr>
              <w:t>：（  ）t/a</w:t>
            </w:r>
          </w:p>
        </w:tc>
        <w:tc>
          <w:tcPr>
            <w:tcW w:w="810" w:type="pct"/>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NO</w:t>
            </w:r>
            <w:r>
              <w:rPr>
                <w:rFonts w:hint="default"/>
                <w:color w:val="auto"/>
                <w:sz w:val="18"/>
                <w:szCs w:val="18"/>
                <w:highlight w:val="none"/>
                <w:vertAlign w:val="subscript"/>
              </w:rPr>
              <w:t>X</w:t>
            </w:r>
            <w:r>
              <w:rPr>
                <w:rFonts w:hint="default"/>
                <w:color w:val="auto"/>
                <w:sz w:val="18"/>
                <w:szCs w:val="18"/>
                <w:highlight w:val="none"/>
              </w:rPr>
              <w:t>：（  ）t/a</w:t>
            </w:r>
          </w:p>
        </w:tc>
        <w:tc>
          <w:tcPr>
            <w:tcW w:w="1168" w:type="pct"/>
            <w:gridSpan w:val="11"/>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颗粒物：（</w:t>
            </w:r>
            <w:r>
              <w:rPr>
                <w:rFonts w:hint="eastAsia"/>
                <w:color w:val="auto"/>
                <w:sz w:val="18"/>
                <w:szCs w:val="18"/>
                <w:highlight w:val="none"/>
                <w:lang w:val="en-US" w:eastAsia="zh-CN"/>
              </w:rPr>
              <w:t>0.3803</w:t>
            </w:r>
            <w:r>
              <w:rPr>
                <w:rFonts w:hint="default"/>
                <w:color w:val="auto"/>
                <w:sz w:val="18"/>
                <w:szCs w:val="18"/>
                <w:highlight w:val="none"/>
              </w:rPr>
              <w:t>）t/a</w:t>
            </w:r>
          </w:p>
        </w:tc>
        <w:tc>
          <w:tcPr>
            <w:tcW w:w="798" w:type="pct"/>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18"/>
                <w:szCs w:val="18"/>
                <w:highlight w:val="none"/>
              </w:rPr>
            </w:pPr>
            <w:r>
              <w:rPr>
                <w:rFonts w:hint="default"/>
                <w:color w:val="auto"/>
                <w:sz w:val="18"/>
                <w:szCs w:val="18"/>
                <w:highlight w:val="none"/>
              </w:rPr>
              <w:t>VOC</w:t>
            </w:r>
            <w:r>
              <w:rPr>
                <w:rFonts w:hint="default"/>
                <w:color w:val="auto"/>
                <w:sz w:val="18"/>
                <w:szCs w:val="18"/>
                <w:highlight w:val="none"/>
                <w:vertAlign w:val="subscript"/>
              </w:rPr>
              <w:t>S</w:t>
            </w:r>
            <w:r>
              <w:rPr>
                <w:rFonts w:hint="default"/>
                <w:color w:val="auto"/>
                <w:sz w:val="18"/>
                <w:szCs w:val="18"/>
                <w:highlight w:val="none"/>
              </w:rPr>
              <w:t>：（  ）t/a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jc w:val="center"/>
        </w:trPr>
        <w:tc>
          <w:tcPr>
            <w:tcW w:w="5000" w:type="pct"/>
            <w:gridSpan w:val="28"/>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color w:val="auto"/>
                <w:sz w:val="18"/>
                <w:szCs w:val="18"/>
                <w:highlight w:val="none"/>
              </w:rPr>
            </w:pPr>
            <w:r>
              <w:rPr>
                <w:rFonts w:hint="default"/>
                <w:color w:val="auto"/>
                <w:sz w:val="18"/>
                <w:szCs w:val="18"/>
                <w:highlight w:val="none"/>
              </w:rPr>
              <w:t>注：“□”为勾选项，填“√”；“（   ）”为内容填写项</w:t>
            </w:r>
          </w:p>
        </w:tc>
      </w:tr>
    </w:tbl>
    <w:p>
      <w:pPr>
        <w:pStyle w:val="6"/>
        <w:bidi w:val="0"/>
        <w:rPr>
          <w:rFonts w:hint="eastAsia"/>
          <w:color w:val="auto"/>
          <w:highlight w:val="none"/>
        </w:rPr>
      </w:pPr>
      <w:r>
        <w:rPr>
          <w:rFonts w:hint="eastAsia"/>
          <w:color w:val="auto"/>
          <w:highlight w:val="none"/>
          <w:lang w:val="en-US" w:eastAsia="zh-CN"/>
        </w:rPr>
        <w:t>施工期水环境影响分析与评价</w:t>
      </w:r>
    </w:p>
    <w:p>
      <w:pPr>
        <w:pStyle w:val="4"/>
        <w:rPr>
          <w:rFonts w:hint="eastAsia"/>
          <w:color w:val="auto"/>
          <w:highlight w:val="none"/>
          <w:lang w:val="en-US" w:eastAsia="zh-CN"/>
        </w:rPr>
      </w:pPr>
      <w:r>
        <w:rPr>
          <w:rFonts w:hint="eastAsia"/>
          <w:color w:val="auto"/>
          <w:highlight w:val="none"/>
          <w:lang w:val="en-US" w:eastAsia="zh-CN"/>
        </w:rPr>
        <w:t>施工作业主要为场地平整及防渗层铺设，不施工废水排放，施工人员生活依托周围村庄，无生活废水排放，施工期不对水环境产生影响。</w:t>
      </w:r>
    </w:p>
    <w:p>
      <w:pPr>
        <w:pStyle w:val="6"/>
        <w:bidi w:val="0"/>
        <w:rPr>
          <w:rFonts w:hint="eastAsia"/>
          <w:color w:val="auto"/>
          <w:highlight w:val="none"/>
        </w:rPr>
      </w:pPr>
      <w:r>
        <w:rPr>
          <w:rFonts w:hint="eastAsia"/>
          <w:color w:val="auto"/>
          <w:highlight w:val="none"/>
          <w:lang w:val="en-US" w:eastAsia="zh-CN"/>
        </w:rPr>
        <w:t>施工期声环境影响预测与评价</w:t>
      </w:r>
    </w:p>
    <w:p>
      <w:pPr>
        <w:pStyle w:val="7"/>
        <w:bidi w:val="0"/>
        <w:rPr>
          <w:color w:val="auto"/>
          <w:highlight w:val="none"/>
        </w:rPr>
      </w:pPr>
      <w:r>
        <w:rPr>
          <w:color w:val="auto"/>
          <w:highlight w:val="none"/>
        </w:rPr>
        <w:t>噪声源</w:t>
      </w:r>
    </w:p>
    <w:p>
      <w:pPr>
        <w:pStyle w:val="4"/>
        <w:rPr>
          <w:rFonts w:hint="eastAsia"/>
          <w:color w:val="auto"/>
          <w:highlight w:val="none"/>
          <w:lang w:val="en-US" w:eastAsia="zh-CN"/>
        </w:rPr>
      </w:pPr>
      <w:r>
        <w:rPr>
          <w:rFonts w:hint="eastAsia"/>
          <w:color w:val="auto"/>
          <w:highlight w:val="none"/>
          <w:lang w:val="en-US" w:eastAsia="zh-CN"/>
        </w:rPr>
        <w:t>项目主要噪声污染源是运输车辆和回填作业设备，如垃圾运输车、推土机、压路机等，根据《环境噪声与振动控制工程技术导则》（HJ2034-2013），其声压级范围在80~90dB（A）之间，垃圾运输车辆噪声属于流动声源，回填作业设备噪声属于固定点声源。各噪声源强如下表：</w:t>
      </w:r>
    </w:p>
    <w:p>
      <w:pPr>
        <w:pStyle w:val="22"/>
        <w:bidi w:val="0"/>
        <w:rPr>
          <w:rFonts w:hint="default"/>
          <w:lang w:val="en-US"/>
        </w:rPr>
      </w:pPr>
      <w:r>
        <w:t>表</w:t>
      </w:r>
      <w:r>
        <w:rPr>
          <w:rFonts w:hint="eastAsia"/>
          <w:lang w:val="en-US" w:eastAsia="zh-CN"/>
        </w:rPr>
        <w:t>5.2-10</w:t>
      </w:r>
      <w:r>
        <w:rPr>
          <w:rFonts w:hint="eastAsia"/>
        </w:rPr>
        <w:t xml:space="preserve">    </w:t>
      </w:r>
      <w:r>
        <w:rPr>
          <w:rFonts w:hint="eastAsia"/>
          <w:lang w:val="en-US" w:eastAsia="zh-CN"/>
        </w:rPr>
        <w:t xml:space="preserve"> 噪声源源强一览表    单位：dB(A)</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95"/>
        <w:gridCol w:w="2214"/>
        <w:gridCol w:w="1352"/>
        <w:gridCol w:w="17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噪声源</w:t>
            </w:r>
          </w:p>
        </w:tc>
        <w:tc>
          <w:tcPr>
            <w:tcW w:w="131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种类</w:t>
            </w: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台数</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距声源5m源强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自卸卡车（运输车）</w:t>
            </w:r>
          </w:p>
        </w:tc>
        <w:tc>
          <w:tcPr>
            <w:tcW w:w="131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流动噪声/间歇性排放</w:t>
            </w: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挖掘机</w:t>
            </w:r>
          </w:p>
        </w:tc>
        <w:tc>
          <w:tcPr>
            <w:tcW w:w="1315" w:type="pct"/>
            <w:vMerge w:val="restar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固定声源/间歇性排放</w:t>
            </w: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推土机（带碾压）</w:t>
            </w:r>
          </w:p>
        </w:tc>
        <w:tc>
          <w:tcPr>
            <w:tcW w:w="1315" w:type="pct"/>
            <w:vMerge w:val="continue"/>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83～88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压路机</w:t>
            </w:r>
          </w:p>
        </w:tc>
        <w:tc>
          <w:tcPr>
            <w:tcW w:w="1315" w:type="pct"/>
            <w:vMerge w:val="continue"/>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3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洒水车</w:t>
            </w:r>
          </w:p>
        </w:tc>
        <w:tc>
          <w:tcPr>
            <w:tcW w:w="1315" w:type="pct"/>
            <w:vMerge w:val="continue"/>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80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104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80～85</w:t>
            </w:r>
          </w:p>
        </w:tc>
      </w:tr>
    </w:tbl>
    <w:p>
      <w:pPr>
        <w:pStyle w:val="7"/>
        <w:rPr>
          <w:color w:val="auto"/>
          <w:highlight w:val="none"/>
        </w:rPr>
      </w:pPr>
      <w:r>
        <w:rPr>
          <w:color w:val="auto"/>
          <w:highlight w:val="none"/>
        </w:rPr>
        <w:t>预测</w:t>
      </w:r>
      <w:r>
        <w:rPr>
          <w:rFonts w:hint="eastAsia"/>
          <w:color w:val="auto"/>
          <w:highlight w:val="none"/>
        </w:rPr>
        <w:t>模式</w:t>
      </w:r>
    </w:p>
    <w:p>
      <w:pPr>
        <w:pStyle w:val="4"/>
        <w:ind w:firstLine="480"/>
        <w:rPr>
          <w:color w:val="auto"/>
          <w:highlight w:val="none"/>
        </w:rPr>
      </w:pPr>
      <w:r>
        <w:rPr>
          <w:rFonts w:hint="eastAsia"/>
          <w:color w:val="auto"/>
          <w:highlight w:val="none"/>
        </w:rPr>
        <w:t>根据《环境影响评价技术导则 声环境》（HJ2.4-2009），噪声预测步骤如下：将分布</w:t>
      </w:r>
      <w:r>
        <w:rPr>
          <w:rFonts w:hint="eastAsia"/>
          <w:color w:val="auto"/>
          <w:highlight w:val="none"/>
          <w:lang w:val="en-US" w:eastAsia="zh-CN"/>
        </w:rPr>
        <w:t>相对</w:t>
      </w:r>
      <w:r>
        <w:rPr>
          <w:rFonts w:hint="eastAsia"/>
          <w:color w:val="auto"/>
          <w:highlight w:val="none"/>
        </w:rPr>
        <w:t>集中、处于同一生产单元的噪声源叠加等效为一个点声源——</w:t>
      </w:r>
      <w:r>
        <w:rPr>
          <w:rFonts w:hint="eastAsia"/>
          <w:color w:val="auto"/>
          <w:highlight w:val="none"/>
          <w:lang w:val="en-US" w:eastAsia="zh-CN"/>
        </w:rPr>
        <w:t>通过距离衰减计算其在场界和敏感点处噪声贡献值——场界处噪声按贡献值直接预测——敏感点处叠加环境现状背景值后进行噪声预测</w:t>
      </w:r>
      <w:r>
        <w:rPr>
          <w:rFonts w:hint="eastAsia"/>
          <w:color w:val="auto"/>
          <w:highlight w:val="none"/>
        </w:rPr>
        <w:t>。</w:t>
      </w:r>
    </w:p>
    <w:p>
      <w:pPr>
        <w:pStyle w:val="4"/>
        <w:ind w:firstLine="480"/>
        <w:rPr>
          <w:color w:val="auto"/>
          <w:highlight w:val="none"/>
        </w:rPr>
      </w:pPr>
      <w:r>
        <w:rPr>
          <w:color w:val="auto"/>
          <w:highlight w:val="none"/>
        </w:rPr>
        <w:t>（1）</w:t>
      </w:r>
      <w:r>
        <w:rPr>
          <w:rFonts w:hint="eastAsia"/>
          <w:color w:val="auto"/>
          <w:highlight w:val="none"/>
        </w:rPr>
        <w:t>将分布</w:t>
      </w:r>
      <w:r>
        <w:rPr>
          <w:rFonts w:hint="eastAsia"/>
          <w:color w:val="auto"/>
          <w:highlight w:val="none"/>
          <w:lang w:val="en-US" w:eastAsia="zh-CN"/>
        </w:rPr>
        <w:t>相对</w:t>
      </w:r>
      <w:r>
        <w:rPr>
          <w:rFonts w:hint="eastAsia"/>
          <w:color w:val="auto"/>
          <w:highlight w:val="none"/>
        </w:rPr>
        <w:t>集中、处于同一生产单元的噪声源叠加等效为一个点声源，叠加计算公式：</w:t>
      </w:r>
    </w:p>
    <w:p>
      <w:pPr>
        <w:pStyle w:val="4"/>
        <w:ind w:firstLine="0" w:firstLineChars="0"/>
        <w:jc w:val="center"/>
        <w:textAlignment w:val="auto"/>
        <w:rPr>
          <w:color w:val="auto"/>
          <w:highlight w:val="none"/>
        </w:rPr>
      </w:pPr>
      <w:r>
        <w:rPr>
          <w:color w:val="auto"/>
          <w:position w:val="-32"/>
          <w:highlight w:val="none"/>
        </w:rPr>
        <w:object>
          <v:shape id="_x0000_i1034" o:spt="75" type="#_x0000_t75" style="height:38pt;width:99pt;" o:ole="t" filled="f" o:preferrelative="t" stroked="f" coordsize="21600,21600">
            <v:path/>
            <v:fill on="f" focussize="0,0"/>
            <v:stroke on="f" joinstyle="miter"/>
            <v:imagedata r:id="rId34" o:title=""/>
            <o:lock v:ext="edit" aspectratio="t"/>
            <w10:wrap type="none"/>
            <w10:anchorlock/>
          </v:shape>
          <o:OLEObject Type="Embed" ProgID="Equation.KSEE3" ShapeID="_x0000_i1034" DrawAspect="Content" ObjectID="_1468075731" r:id="rId33">
            <o:LockedField>false</o:LockedField>
          </o:OLEObject>
        </w:object>
      </w:r>
    </w:p>
    <w:p>
      <w:pPr>
        <w:pStyle w:val="4"/>
        <w:ind w:firstLine="480"/>
        <w:rPr>
          <w:color w:val="auto"/>
          <w:highlight w:val="none"/>
        </w:rPr>
      </w:pPr>
      <w:r>
        <w:rPr>
          <w:rFonts w:hint="eastAsia"/>
          <w:color w:val="auto"/>
          <w:highlight w:val="none"/>
        </w:rPr>
        <w:t>式中：</w:t>
      </w:r>
    </w:p>
    <w:p>
      <w:pPr>
        <w:pStyle w:val="4"/>
        <w:ind w:firstLine="480"/>
        <w:rPr>
          <w:color w:val="auto"/>
          <w:highlight w:val="none"/>
        </w:rPr>
      </w:pPr>
      <w:r>
        <w:rPr>
          <w:rFonts w:hint="eastAsia"/>
          <w:color w:val="auto"/>
          <w:highlight w:val="none"/>
        </w:rPr>
        <w:t>L</w:t>
      </w:r>
      <w:r>
        <w:rPr>
          <w:rFonts w:hint="eastAsia"/>
          <w:color w:val="auto"/>
          <w:highlight w:val="none"/>
          <w:vertAlign w:val="subscript"/>
        </w:rPr>
        <w:t>总</w:t>
      </w:r>
      <w:r>
        <w:rPr>
          <w:rFonts w:hint="eastAsia"/>
          <w:color w:val="auto"/>
          <w:highlight w:val="none"/>
        </w:rPr>
        <w:t>——几个声压级相加后的总声压级，dB；</w:t>
      </w:r>
    </w:p>
    <w:p>
      <w:pPr>
        <w:pStyle w:val="4"/>
        <w:ind w:firstLine="480"/>
        <w:rPr>
          <w:color w:val="auto"/>
          <w:highlight w:val="none"/>
        </w:rPr>
      </w:pPr>
      <w:r>
        <w:rPr>
          <w:rFonts w:hint="eastAsia"/>
          <w:color w:val="auto"/>
          <w:highlight w:val="none"/>
        </w:rPr>
        <w:t>L</w:t>
      </w:r>
      <w:r>
        <w:rPr>
          <w:rFonts w:hint="eastAsia"/>
          <w:color w:val="auto"/>
          <w:highlight w:val="none"/>
          <w:vertAlign w:val="subscript"/>
        </w:rPr>
        <w:t>i</w:t>
      </w:r>
      <w:r>
        <w:rPr>
          <w:rFonts w:hint="eastAsia"/>
          <w:color w:val="auto"/>
          <w:highlight w:val="none"/>
        </w:rPr>
        <w:t>——某个声压级，dB；</w:t>
      </w:r>
    </w:p>
    <w:p>
      <w:pPr>
        <w:pStyle w:val="4"/>
        <w:ind w:firstLine="480"/>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只考虑半自由空间几何发散衰减的情况下，厂界处噪声值计算公式如下：</w:t>
      </w:r>
    </w:p>
    <w:p>
      <w:pPr>
        <w:pStyle w:val="4"/>
        <w:ind w:firstLine="0" w:firstLineChars="0"/>
        <w:jc w:val="center"/>
        <w:textAlignment w:val="auto"/>
        <w:rPr>
          <w:color w:val="auto"/>
          <w:highlight w:val="none"/>
        </w:rPr>
      </w:pPr>
      <w:r>
        <w:rPr>
          <w:color w:val="auto"/>
          <w:position w:val="-12"/>
          <w:highlight w:val="none"/>
        </w:rPr>
        <w:object>
          <v:shape id="_x0000_i1035" o:spt="75" type="#_x0000_t75" style="height:18pt;width:114pt;" o:ole="t" filled="f" o:preferrelative="t" stroked="f" coordsize="21600,21600">
            <v:path/>
            <v:fill on="f" focussize="0,0"/>
            <v:stroke on="f"/>
            <v:imagedata r:id="rId36" o:title=""/>
            <o:lock v:ext="edit" aspectratio="t"/>
            <w10:wrap type="none"/>
            <w10:anchorlock/>
          </v:shape>
          <o:OLEObject Type="Embed" ProgID="Equation.KSEE3" ShapeID="_x0000_i1035" DrawAspect="Content" ObjectID="_1468075732" r:id="rId35">
            <o:LockedField>false</o:LockedField>
          </o:OLEObject>
        </w:object>
      </w:r>
    </w:p>
    <w:p>
      <w:pPr>
        <w:pStyle w:val="7"/>
        <w:rPr>
          <w:color w:val="auto"/>
          <w:highlight w:val="none"/>
        </w:rPr>
      </w:pPr>
      <w:r>
        <w:rPr>
          <w:color w:val="auto"/>
          <w:highlight w:val="none"/>
        </w:rPr>
        <w:t>预测结果</w:t>
      </w:r>
      <w:r>
        <w:rPr>
          <w:rFonts w:hint="eastAsia"/>
          <w:color w:val="auto"/>
          <w:highlight w:val="none"/>
        </w:rPr>
        <w:t>与</w:t>
      </w:r>
      <w:r>
        <w:rPr>
          <w:color w:val="auto"/>
          <w:highlight w:val="none"/>
        </w:rPr>
        <w:t>评价</w:t>
      </w:r>
    </w:p>
    <w:p>
      <w:pPr>
        <w:pStyle w:val="4"/>
        <w:bidi w:val="0"/>
        <w:rPr>
          <w:rFonts w:hint="default" w:eastAsia="宋体"/>
          <w:color w:val="auto"/>
          <w:highlight w:val="none"/>
          <w:lang w:val="en-US" w:eastAsia="zh-CN"/>
        </w:rPr>
      </w:pPr>
      <w:r>
        <w:rPr>
          <w:rFonts w:hint="eastAsia"/>
          <w:color w:val="auto"/>
          <w:highlight w:val="none"/>
          <w:lang w:val="en-US" w:eastAsia="zh-CN"/>
        </w:rPr>
        <w:t>回填作业只在白天进行，夜间不工作，回填作业分区进行，回填作业机械设备离场界最近距离控制在25m左右，根据声环境导则要求，场界处噪声按贡献值直接预测，敏感点处叠加环境现状背景值后进行噪声预测。通过以上公式计算本项目昼间场界处噪声预测值如下表：</w:t>
      </w:r>
    </w:p>
    <w:p>
      <w:pPr>
        <w:pStyle w:val="22"/>
        <w:bidi w:val="0"/>
        <w:rPr>
          <w:rFonts w:hint="default"/>
          <w:lang w:val="en-US"/>
        </w:rPr>
      </w:pPr>
      <w:r>
        <w:t>表</w:t>
      </w:r>
      <w:r>
        <w:rPr>
          <w:rFonts w:hint="eastAsia"/>
          <w:lang w:val="en-US" w:eastAsia="zh-CN"/>
        </w:rPr>
        <w:t>5.2-11</w:t>
      </w:r>
      <w:r>
        <w:rPr>
          <w:rFonts w:hint="eastAsia"/>
        </w:rPr>
        <w:t xml:space="preserve">  </w:t>
      </w:r>
      <w:r>
        <w:rPr>
          <w:rFonts w:hint="eastAsia"/>
          <w:lang w:val="en-US" w:eastAsia="zh-CN"/>
        </w:rPr>
        <w:t xml:space="preserve"> 昼间场界噪声预测计算结果    单位：dB(A)</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3"/>
        <w:gridCol w:w="951"/>
        <w:gridCol w:w="893"/>
        <w:gridCol w:w="882"/>
        <w:gridCol w:w="832"/>
        <w:gridCol w:w="983"/>
        <w:gridCol w:w="951"/>
        <w:gridCol w:w="12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1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点位</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噪声源强</w:t>
            </w:r>
          </w:p>
        </w:tc>
        <w:tc>
          <w:tcPr>
            <w:tcW w:w="53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距离/m</w:t>
            </w:r>
          </w:p>
        </w:tc>
        <w:tc>
          <w:tcPr>
            <w:tcW w:w="52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贡献值</w:t>
            </w:r>
          </w:p>
        </w:tc>
        <w:tc>
          <w:tcPr>
            <w:tcW w:w="49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现状值</w:t>
            </w:r>
          </w:p>
        </w:tc>
        <w:tc>
          <w:tcPr>
            <w:tcW w:w="58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预测值</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标准值</w:t>
            </w:r>
          </w:p>
        </w:tc>
        <w:tc>
          <w:tcPr>
            <w:tcW w:w="71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1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东场界</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99.9</w:t>
            </w:r>
          </w:p>
        </w:tc>
        <w:tc>
          <w:tcPr>
            <w:tcW w:w="53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w:t>
            </w:r>
          </w:p>
        </w:tc>
        <w:tc>
          <w:tcPr>
            <w:tcW w:w="52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64.0</w:t>
            </w:r>
          </w:p>
        </w:tc>
        <w:tc>
          <w:tcPr>
            <w:tcW w:w="49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58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64.0</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71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1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南场界</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99.9</w:t>
            </w:r>
          </w:p>
        </w:tc>
        <w:tc>
          <w:tcPr>
            <w:tcW w:w="53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w:t>
            </w:r>
          </w:p>
        </w:tc>
        <w:tc>
          <w:tcPr>
            <w:tcW w:w="52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64.0</w:t>
            </w:r>
          </w:p>
        </w:tc>
        <w:tc>
          <w:tcPr>
            <w:tcW w:w="49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58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64.0</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71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1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西场界</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99.9</w:t>
            </w:r>
          </w:p>
        </w:tc>
        <w:tc>
          <w:tcPr>
            <w:tcW w:w="53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w:t>
            </w:r>
          </w:p>
        </w:tc>
        <w:tc>
          <w:tcPr>
            <w:tcW w:w="52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64.0</w:t>
            </w:r>
          </w:p>
        </w:tc>
        <w:tc>
          <w:tcPr>
            <w:tcW w:w="49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58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64.0</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71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1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北场界</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99.9</w:t>
            </w:r>
          </w:p>
        </w:tc>
        <w:tc>
          <w:tcPr>
            <w:tcW w:w="530"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w:t>
            </w:r>
          </w:p>
        </w:tc>
        <w:tc>
          <w:tcPr>
            <w:tcW w:w="52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64.0</w:t>
            </w:r>
          </w:p>
        </w:tc>
        <w:tc>
          <w:tcPr>
            <w:tcW w:w="49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584"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64.0</w:t>
            </w:r>
          </w:p>
        </w:tc>
        <w:tc>
          <w:tcPr>
            <w:tcW w:w="565"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71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bl>
    <w:p>
      <w:pPr>
        <w:pStyle w:val="4"/>
        <w:rPr>
          <w:rFonts w:hint="eastAsia"/>
          <w:color w:val="auto"/>
          <w:highlight w:val="none"/>
          <w:lang w:val="en-US" w:eastAsia="zh-CN"/>
        </w:rPr>
      </w:pPr>
      <w:r>
        <w:rPr>
          <w:rFonts w:hint="eastAsia"/>
          <w:color w:val="auto"/>
          <w:highlight w:val="none"/>
          <w:lang w:val="en-US" w:eastAsia="zh-CN"/>
        </w:rPr>
        <w:t>根据上表预测结果</w:t>
      </w:r>
      <w:r>
        <w:rPr>
          <w:color w:val="auto"/>
          <w:highlight w:val="none"/>
        </w:rPr>
        <w:t>，本项目</w:t>
      </w:r>
      <w:r>
        <w:rPr>
          <w:rFonts w:hint="eastAsia"/>
          <w:color w:val="auto"/>
          <w:highlight w:val="none"/>
          <w:lang w:val="en-US" w:eastAsia="zh-CN"/>
        </w:rPr>
        <w:t>施工场</w:t>
      </w:r>
      <w:r>
        <w:rPr>
          <w:rFonts w:hint="eastAsia"/>
          <w:color w:val="auto"/>
          <w:highlight w:val="none"/>
        </w:rPr>
        <w:t>界</w:t>
      </w:r>
      <w:r>
        <w:rPr>
          <w:rFonts w:hint="eastAsia"/>
          <w:color w:val="auto"/>
          <w:highlight w:val="none"/>
          <w:lang w:val="en-US" w:eastAsia="zh-CN"/>
        </w:rPr>
        <w:t>昼间</w:t>
      </w:r>
      <w:r>
        <w:rPr>
          <w:rFonts w:hint="eastAsia"/>
          <w:color w:val="auto"/>
          <w:highlight w:val="none"/>
        </w:rPr>
        <w:t>噪声排放最大值</w:t>
      </w:r>
      <w:r>
        <w:rPr>
          <w:rFonts w:hint="eastAsia"/>
          <w:color w:val="auto"/>
          <w:highlight w:val="none"/>
          <w:lang w:val="en-US" w:eastAsia="zh-CN"/>
        </w:rPr>
        <w:t>为64.0</w:t>
      </w:r>
      <w:r>
        <w:rPr>
          <w:rFonts w:hint="eastAsia"/>
          <w:color w:val="auto"/>
          <w:highlight w:val="none"/>
        </w:rPr>
        <w:t>dB</w:t>
      </w:r>
      <w:r>
        <w:rPr>
          <w:rFonts w:hint="eastAsia"/>
          <w:color w:val="auto"/>
          <w:highlight w:val="none"/>
          <w:lang w:eastAsia="zh-CN"/>
        </w:rPr>
        <w:t>，</w:t>
      </w:r>
      <w:r>
        <w:rPr>
          <w:rFonts w:hint="eastAsia"/>
          <w:color w:val="auto"/>
          <w:highlight w:val="none"/>
          <w:lang w:val="en-US" w:eastAsia="zh-CN"/>
        </w:rPr>
        <w:t>夜间不施工，场界昼间</w:t>
      </w:r>
      <w:r>
        <w:rPr>
          <w:color w:val="auto"/>
          <w:highlight w:val="none"/>
        </w:rPr>
        <w:t>噪声满足</w:t>
      </w:r>
      <w:r>
        <w:rPr>
          <w:rFonts w:hint="default"/>
        </w:rPr>
        <w:t>《建筑施工场界环境噪声排放标准》（</w:t>
      </w:r>
      <w:r>
        <w:rPr>
          <w:rFonts w:hint="eastAsia"/>
          <w:lang w:eastAsia="zh-CN"/>
        </w:rPr>
        <w:t>GB</w:t>
      </w:r>
      <w:r>
        <w:rPr>
          <w:rFonts w:hint="default"/>
        </w:rPr>
        <w:t>12523-2011）</w:t>
      </w:r>
      <w:r>
        <w:rPr>
          <w:color w:val="auto"/>
          <w:highlight w:val="none"/>
        </w:rPr>
        <w:t>标准要求。</w:t>
      </w:r>
      <w:r>
        <w:rPr>
          <w:rFonts w:hint="eastAsia"/>
          <w:color w:val="auto"/>
          <w:highlight w:val="none"/>
        </w:rPr>
        <w:t>本项目</w:t>
      </w:r>
      <w:r>
        <w:rPr>
          <w:rFonts w:hint="eastAsia"/>
          <w:color w:val="auto"/>
          <w:highlight w:val="none"/>
          <w:lang w:val="en-US" w:eastAsia="zh-CN"/>
        </w:rPr>
        <w:t>周边200m范围内无声环境敏感点，施工周期短，</w:t>
      </w:r>
      <w:r>
        <w:rPr>
          <w:rFonts w:hint="eastAsia"/>
          <w:color w:val="auto"/>
          <w:highlight w:val="none"/>
        </w:rPr>
        <w:t>噪声</w:t>
      </w:r>
      <w:r>
        <w:rPr>
          <w:color w:val="auto"/>
          <w:highlight w:val="none"/>
        </w:rPr>
        <w:t>对周围环境噪声影响</w:t>
      </w:r>
      <w:r>
        <w:rPr>
          <w:rFonts w:hint="eastAsia"/>
          <w:color w:val="auto"/>
          <w:highlight w:val="none"/>
          <w:lang w:val="en-US" w:eastAsia="zh-CN"/>
        </w:rPr>
        <w:t>可以接受</w:t>
      </w:r>
      <w:r>
        <w:rPr>
          <w:color w:val="auto"/>
          <w:highlight w:val="none"/>
        </w:rPr>
        <w:t>。</w:t>
      </w:r>
    </w:p>
    <w:p>
      <w:pPr>
        <w:pStyle w:val="6"/>
        <w:bidi w:val="0"/>
        <w:rPr>
          <w:rFonts w:hint="eastAsia"/>
          <w:color w:val="auto"/>
          <w:highlight w:val="none"/>
        </w:rPr>
      </w:pPr>
      <w:r>
        <w:rPr>
          <w:rFonts w:hint="eastAsia"/>
          <w:color w:val="auto"/>
          <w:highlight w:val="none"/>
          <w:lang w:val="en-US" w:eastAsia="zh-CN"/>
        </w:rPr>
        <w:t>施工期固体废物环境影响分析与评价</w:t>
      </w:r>
    </w:p>
    <w:p>
      <w:pPr>
        <w:pStyle w:val="4"/>
        <w:ind w:firstLine="480"/>
        <w:rPr>
          <w:color w:val="auto"/>
          <w:highlight w:val="none"/>
        </w:rPr>
      </w:pPr>
      <w:r>
        <w:rPr>
          <w:rFonts w:hint="eastAsia"/>
          <w:color w:val="auto"/>
          <w:highlight w:val="none"/>
        </w:rPr>
        <w:t>施工期的固废主要为生活垃圾、施工土石方及建筑垃圾。</w:t>
      </w:r>
    </w:p>
    <w:p>
      <w:pPr>
        <w:pStyle w:val="4"/>
        <w:ind w:firstLine="480"/>
        <w:rPr>
          <w:color w:val="auto"/>
          <w:highlight w:val="none"/>
        </w:rPr>
      </w:pPr>
      <w:r>
        <w:rPr>
          <w:rFonts w:hint="eastAsia"/>
          <w:color w:val="auto"/>
          <w:highlight w:val="none"/>
        </w:rPr>
        <w:t>（1）生活垃圾</w:t>
      </w:r>
    </w:p>
    <w:p>
      <w:pPr>
        <w:pStyle w:val="4"/>
        <w:ind w:firstLine="480"/>
        <w:rPr>
          <w:color w:val="auto"/>
          <w:highlight w:val="none"/>
        </w:rPr>
      </w:pPr>
      <w:r>
        <w:rPr>
          <w:rFonts w:hint="eastAsia"/>
          <w:color w:val="auto"/>
          <w:highlight w:val="none"/>
        </w:rPr>
        <w:t>本项目施工期生活垃圾产生总量</w:t>
      </w:r>
      <w:r>
        <w:rPr>
          <w:rFonts w:hint="eastAsia"/>
          <w:color w:val="auto"/>
          <w:highlight w:val="none"/>
          <w:lang w:val="en-US" w:eastAsia="zh-CN"/>
        </w:rPr>
        <w:t>1.2</w:t>
      </w:r>
      <w:r>
        <w:rPr>
          <w:rFonts w:hint="eastAsia"/>
          <w:color w:val="auto"/>
          <w:highlight w:val="none"/>
        </w:rPr>
        <w:t>t，集中收集由当地环卫部门清运处置。</w:t>
      </w:r>
    </w:p>
    <w:p>
      <w:pPr>
        <w:pStyle w:val="4"/>
        <w:ind w:firstLine="480"/>
        <w:rPr>
          <w:color w:val="auto"/>
          <w:highlight w:val="none"/>
        </w:rPr>
      </w:pPr>
      <w:r>
        <w:rPr>
          <w:rFonts w:hint="eastAsia"/>
          <w:color w:val="auto"/>
          <w:highlight w:val="none"/>
        </w:rPr>
        <w:t>（2）土石方</w:t>
      </w:r>
    </w:p>
    <w:p>
      <w:pPr>
        <w:pStyle w:val="4"/>
        <w:ind w:firstLine="480"/>
        <w:rPr>
          <w:rFonts w:hint="eastAsia"/>
          <w:color w:val="auto"/>
          <w:highlight w:val="none"/>
          <w:lang w:val="en-US" w:eastAsia="zh-CN"/>
        </w:rPr>
      </w:pPr>
      <w:r>
        <w:rPr>
          <w:rFonts w:hint="eastAsia"/>
          <w:color w:val="auto"/>
          <w:highlight w:val="none"/>
          <w:lang w:val="en-US" w:eastAsia="zh-CN"/>
        </w:rPr>
        <w:t>根据土石方平衡分析，施工期无弃土产生。</w:t>
      </w:r>
    </w:p>
    <w:p>
      <w:pPr>
        <w:pStyle w:val="4"/>
        <w:ind w:firstLine="48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）建筑垃圾</w:t>
      </w:r>
    </w:p>
    <w:p>
      <w:pPr>
        <w:pStyle w:val="4"/>
        <w:ind w:firstLine="480"/>
        <w:rPr>
          <w:color w:val="auto"/>
          <w:highlight w:val="none"/>
        </w:rPr>
      </w:pPr>
      <w:r>
        <w:rPr>
          <w:rFonts w:hint="eastAsia"/>
          <w:color w:val="auto"/>
          <w:highlight w:val="none"/>
        </w:rPr>
        <w:t>施工期产生的建筑垃圾主要</w:t>
      </w:r>
      <w:r>
        <w:rPr>
          <w:rFonts w:hint="eastAsia"/>
          <w:color w:val="auto"/>
          <w:highlight w:val="none"/>
          <w:lang w:val="en-US" w:eastAsia="zh-CN"/>
        </w:rPr>
        <w:t>为废弃土工膜</w:t>
      </w:r>
      <w:r>
        <w:rPr>
          <w:rFonts w:hint="eastAsia"/>
          <w:color w:val="auto"/>
          <w:highlight w:val="none"/>
        </w:rPr>
        <w:t>，产生量约</w:t>
      </w:r>
      <w:r>
        <w:rPr>
          <w:rFonts w:hint="eastAsia"/>
          <w:color w:val="auto"/>
          <w:highlight w:val="none"/>
          <w:lang w:val="en-US" w:eastAsia="zh-CN"/>
        </w:rPr>
        <w:t>2</w:t>
      </w:r>
      <w:r>
        <w:rPr>
          <w:rFonts w:hint="eastAsia"/>
          <w:color w:val="auto"/>
          <w:highlight w:val="none"/>
        </w:rPr>
        <w:t>t</w:t>
      </w:r>
      <w:r>
        <w:rPr>
          <w:rFonts w:hint="eastAsia"/>
          <w:color w:val="auto"/>
          <w:highlight w:val="none"/>
          <w:lang w:eastAsia="zh-CN"/>
        </w:rPr>
        <w:t>，</w:t>
      </w:r>
      <w:r>
        <w:rPr>
          <w:rFonts w:hint="eastAsia"/>
          <w:color w:val="auto"/>
          <w:highlight w:val="none"/>
        </w:rPr>
        <w:t>集中收集后拉运至</w:t>
      </w:r>
      <w:r>
        <w:rPr>
          <w:rFonts w:hint="eastAsia"/>
          <w:color w:val="auto"/>
          <w:highlight w:val="none"/>
          <w:lang w:val="en-US" w:eastAsia="zh-CN"/>
        </w:rPr>
        <w:t>当地</w:t>
      </w:r>
      <w:r>
        <w:rPr>
          <w:rFonts w:hint="eastAsia"/>
          <w:color w:val="auto"/>
          <w:highlight w:val="none"/>
        </w:rPr>
        <w:t>垃圾填埋场处理。</w:t>
      </w:r>
    </w:p>
    <w:p>
      <w:pPr>
        <w:pStyle w:val="4"/>
        <w:rPr>
          <w:rFonts w:hint="eastAsia"/>
          <w:color w:val="auto"/>
          <w:highlight w:val="none"/>
        </w:rPr>
      </w:pPr>
      <w:r>
        <w:rPr>
          <w:rFonts w:hint="eastAsia"/>
          <w:color w:val="auto"/>
          <w:highlight w:val="none"/>
        </w:rPr>
        <w:t>通过采取以上措施，施工固体废物得以合理处置，对周围环境影响</w:t>
      </w:r>
      <w:r>
        <w:rPr>
          <w:rFonts w:hint="eastAsia"/>
          <w:color w:val="auto"/>
          <w:highlight w:val="none"/>
          <w:lang w:val="en-US" w:eastAsia="zh-CN"/>
        </w:rPr>
        <w:t>小</w:t>
      </w:r>
      <w:r>
        <w:rPr>
          <w:rFonts w:hint="eastAsia"/>
          <w:color w:val="auto"/>
          <w:highlight w:val="none"/>
        </w:rPr>
        <w:t>。</w:t>
      </w:r>
    </w:p>
    <w:p>
      <w:pPr>
        <w:pStyle w:val="6"/>
        <w:bidi w:val="0"/>
        <w:rPr>
          <w:rFonts w:hint="eastAsia"/>
          <w:color w:val="auto"/>
          <w:highlight w:val="none"/>
        </w:rPr>
      </w:pPr>
      <w:r>
        <w:rPr>
          <w:rFonts w:hint="eastAsia"/>
          <w:color w:val="auto"/>
          <w:highlight w:val="none"/>
          <w:lang w:val="en-US" w:eastAsia="zh-CN"/>
        </w:rPr>
        <w:t>施工期生态环境影响分析与评价</w:t>
      </w:r>
    </w:p>
    <w:p>
      <w:pPr>
        <w:pStyle w:val="4"/>
        <w:bidi w:val="0"/>
        <w:rPr>
          <w:rFonts w:hint="eastAsia"/>
          <w:lang w:val="en-US" w:eastAsia="zh-CN"/>
        </w:rPr>
      </w:pPr>
      <w:r>
        <w:rPr>
          <w:rFonts w:hint="eastAsia"/>
          <w:lang w:val="en-US" w:eastAsia="zh-CN"/>
        </w:rPr>
        <w:t>施工期生态环境影响主要表现在施工占地、动植物影响及水土流失。</w:t>
      </w:r>
    </w:p>
    <w:p>
      <w:pPr>
        <w:pStyle w:val="4"/>
        <w:bidi w:val="0"/>
        <w:rPr>
          <w:rFonts w:hint="eastAsia"/>
          <w:lang w:val="en-US" w:eastAsia="zh-CN"/>
        </w:rPr>
      </w:pPr>
      <w:r>
        <w:rPr>
          <w:rFonts w:hint="eastAsia"/>
          <w:lang w:eastAsia="zh-CN"/>
        </w:rPr>
        <w:t>（</w:t>
      </w:r>
      <w:r>
        <w:rPr>
          <w:rFonts w:hint="eastAsia"/>
          <w:lang w:val="en-US" w:eastAsia="zh-CN"/>
        </w:rPr>
        <w:t>1）施工占地</w:t>
      </w:r>
    </w:p>
    <w:p>
      <w:pPr>
        <w:pStyle w:val="4"/>
        <w:bidi w:val="0"/>
        <w:rPr>
          <w:rFonts w:hint="default"/>
          <w:lang w:val="en-US" w:eastAsia="zh-CN"/>
        </w:rPr>
      </w:pPr>
      <w:r>
        <w:rPr>
          <w:rFonts w:hint="eastAsia"/>
          <w:lang w:val="en-US" w:eastAsia="zh-CN"/>
        </w:rPr>
        <w:t>本项目土石方转运在项目内完成，防渗层铺设材料运输车辆依靠现状乡村道路，不另设施工便道。场地平整、防渗层铺装集中在项目区内完成，不设置采土场、取料场、弃渣场等工业场地，基本不占用项目区外场地。</w:t>
      </w:r>
    </w:p>
    <w:p>
      <w:pPr>
        <w:pStyle w:val="4"/>
        <w:bidi w:val="0"/>
        <w:rPr>
          <w:rFonts w:hint="eastAsia"/>
          <w:lang w:val="en-US" w:eastAsia="zh-CN"/>
        </w:rPr>
      </w:pPr>
      <w:r>
        <w:rPr>
          <w:rFonts w:hint="eastAsia"/>
          <w:lang w:val="en-US" w:eastAsia="zh-CN"/>
        </w:rPr>
        <w:t>项目区本身为天山砂石料场的采矿工业用地，</w:t>
      </w:r>
      <w:r>
        <w:rPr>
          <w:rFonts w:hint="eastAsia"/>
          <w:color w:val="auto"/>
          <w:highlight w:val="none"/>
          <w:lang w:val="en-US" w:eastAsia="zh-CN"/>
        </w:rPr>
        <w:t>污染区面积5700m</w:t>
      </w:r>
      <w:r>
        <w:rPr>
          <w:rFonts w:hint="eastAsia"/>
          <w:color w:val="auto"/>
          <w:highlight w:val="none"/>
          <w:vertAlign w:val="superscript"/>
          <w:lang w:val="en-US" w:eastAsia="zh-CN"/>
        </w:rPr>
        <w:t>2</w:t>
      </w:r>
      <w:r>
        <w:rPr>
          <w:rFonts w:hint="eastAsia"/>
          <w:color w:val="auto"/>
          <w:highlight w:val="none"/>
          <w:lang w:val="en-US" w:eastAsia="zh-CN"/>
        </w:rPr>
        <w:t>，就地回填的采砂坑坑底面积11075m</w:t>
      </w:r>
      <w:r>
        <w:rPr>
          <w:rFonts w:hint="eastAsia"/>
          <w:color w:val="auto"/>
          <w:highlight w:val="none"/>
          <w:vertAlign w:val="superscript"/>
          <w:lang w:val="en-US" w:eastAsia="zh-CN"/>
        </w:rPr>
        <w:t>2</w:t>
      </w:r>
      <w:r>
        <w:rPr>
          <w:rFonts w:hint="eastAsia"/>
          <w:color w:val="auto"/>
          <w:highlight w:val="none"/>
          <w:lang w:val="en-US" w:eastAsia="zh-CN"/>
        </w:rPr>
        <w:t>，坑口面积26183m</w:t>
      </w:r>
      <w:r>
        <w:rPr>
          <w:rFonts w:hint="eastAsia"/>
          <w:color w:val="auto"/>
          <w:highlight w:val="none"/>
          <w:vertAlign w:val="superscript"/>
          <w:lang w:val="en-US" w:eastAsia="zh-CN"/>
        </w:rPr>
        <w:t>2</w:t>
      </w:r>
      <w:r>
        <w:rPr>
          <w:rFonts w:hint="eastAsia"/>
          <w:color w:val="auto"/>
          <w:highlight w:val="none"/>
          <w:vertAlign w:val="baseline"/>
          <w:lang w:val="en-US" w:eastAsia="zh-CN"/>
        </w:rPr>
        <w:t>，</w:t>
      </w:r>
      <w:r>
        <w:rPr>
          <w:rFonts w:hint="eastAsia"/>
          <w:lang w:val="en-US" w:eastAsia="zh-CN"/>
        </w:rPr>
        <w:t>本次利用非法倾倒的灰渣回填天山砂石料场开采产生的废弃砂坑，不新增工业用地面积。</w:t>
      </w:r>
    </w:p>
    <w:p>
      <w:pPr>
        <w:pStyle w:val="4"/>
        <w:bidi w:val="0"/>
        <w:rPr>
          <w:rFonts w:hint="eastAsia"/>
          <w:lang w:val="en-US" w:eastAsia="zh-CN"/>
        </w:rPr>
      </w:pPr>
      <w:r>
        <w:rPr>
          <w:rFonts w:hint="eastAsia"/>
          <w:lang w:val="en-US" w:eastAsia="zh-CN"/>
        </w:rPr>
        <w:t>综上，项目施工期占地对生态环境影响小。</w:t>
      </w:r>
    </w:p>
    <w:p>
      <w:pPr>
        <w:pStyle w:val="4"/>
        <w:bidi w:val="0"/>
        <w:rPr>
          <w:rFonts w:hint="eastAsia"/>
        </w:rPr>
      </w:pPr>
      <w:r>
        <w:rPr>
          <w:rFonts w:hint="eastAsia"/>
        </w:rPr>
        <w:t>（2）对</w:t>
      </w:r>
      <w:r>
        <w:t>植被的影响</w:t>
      </w:r>
    </w:p>
    <w:p>
      <w:pPr>
        <w:pStyle w:val="4"/>
        <w:bidi w:val="0"/>
        <w:rPr>
          <w:rFonts w:hint="eastAsia"/>
        </w:rPr>
      </w:pPr>
      <w:r>
        <w:rPr>
          <w:rFonts w:hint="eastAsia"/>
        </w:rPr>
        <w:t>本工程施工期对植被的主要影响形式是土地的占用、施工阶段清场过程中对地表植被的清理以及施工过程中的辗压。地表保护层被破坏后，其稳定性下降，防止水土流失的能力也随之下降。</w:t>
      </w:r>
      <w:r>
        <w:rPr>
          <w:rFonts w:hint="eastAsia"/>
          <w:lang w:val="en-US" w:eastAsia="zh-CN"/>
        </w:rPr>
        <w:t>填埋库区现状没有植被，占地是为了对现状倾倒的灰渣进行治理，项目施工作业控制在项目区内，无临时占地，对植被无影响。</w:t>
      </w:r>
    </w:p>
    <w:p>
      <w:pPr>
        <w:pStyle w:val="4"/>
        <w:bidi w:val="0"/>
      </w:pPr>
      <w:r>
        <w:rPr>
          <w:rFonts w:hint="eastAsia"/>
        </w:rPr>
        <w:t>（3）对</w:t>
      </w:r>
      <w:r>
        <w:t>动物的影响</w:t>
      </w:r>
    </w:p>
    <w:p>
      <w:pPr>
        <w:pStyle w:val="4"/>
        <w:bidi w:val="0"/>
        <w:rPr>
          <w:rFonts w:hint="eastAsia"/>
        </w:rPr>
      </w:pPr>
      <w:r>
        <w:rPr>
          <w:rFonts w:hint="eastAsia"/>
        </w:rPr>
        <w:t>本工程施工期对野生动物生存环境、分布范围和种群数量的影响主要分为直接影响和间接影响两个方面。直接影响主要表现为建设项目占地，使野生动物的原始生存环境被破坏或改变；间接影响主要表现为由于植被的减少或污染破坏而引起野生动物食物来源减少。建设过程中，由于机械设备的轰鸣惊扰、人群活动的增加，使区域内单位面积上的动物种群数量下降。但此类影响对爬行类和小型啮齿动物的干扰不大，它们能很快适应当地的环境，并重建新栖息地。施工结束后，野生动物将逐步回归原有生境。</w:t>
      </w:r>
    </w:p>
    <w:p>
      <w:pPr>
        <w:pStyle w:val="4"/>
        <w:ind w:firstLine="480"/>
        <w:rPr>
          <w:color w:val="auto"/>
          <w:highlight w:val="none"/>
        </w:rPr>
      </w:pPr>
      <w:r>
        <w:rPr>
          <w:rFonts w:hint="eastAsia"/>
          <w:color w:val="auto"/>
          <w:highlight w:val="none"/>
        </w:rPr>
        <w:t>本项目施工时间短，</w:t>
      </w:r>
      <w:r>
        <w:rPr>
          <w:rFonts w:hint="eastAsia"/>
          <w:color w:val="auto"/>
          <w:highlight w:val="none"/>
          <w:lang w:val="en-US" w:eastAsia="zh-CN"/>
        </w:rPr>
        <w:t>通过建设防渗层回填现状非法倾倒的灰渣，对废弃采砂坑起到一定生态环境治理作用</w:t>
      </w:r>
      <w:r>
        <w:rPr>
          <w:color w:val="auto"/>
          <w:highlight w:val="none"/>
        </w:rPr>
        <w:t>。</w:t>
      </w:r>
    </w:p>
    <w:p>
      <w:pPr>
        <w:pStyle w:val="6"/>
        <w:bidi w:val="0"/>
        <w:rPr>
          <w:rFonts w:hint="eastAsia"/>
          <w:color w:val="auto"/>
          <w:highlight w:val="none"/>
        </w:rPr>
      </w:pPr>
      <w:r>
        <w:rPr>
          <w:rFonts w:hint="eastAsia"/>
          <w:color w:val="auto"/>
          <w:highlight w:val="none"/>
          <w:lang w:val="en-US" w:eastAsia="zh-CN"/>
        </w:rPr>
        <w:t>土壤环境影响评价</w:t>
      </w:r>
    </w:p>
    <w:p>
      <w:pPr>
        <w:pStyle w:val="7"/>
        <w:bidi w:val="0"/>
        <w:rPr>
          <w:rFonts w:hint="eastAsia"/>
          <w:color w:val="auto"/>
          <w:highlight w:val="none"/>
          <w:lang w:val="en-US" w:eastAsia="zh-CN"/>
        </w:rPr>
      </w:pPr>
      <w:r>
        <w:rPr>
          <w:rFonts w:hint="eastAsia"/>
          <w:color w:val="auto"/>
          <w:highlight w:val="none"/>
          <w:lang w:val="en-US" w:eastAsia="zh-CN"/>
        </w:rPr>
        <w:t>土壤环境影响类型及途经</w:t>
      </w:r>
    </w:p>
    <w:p>
      <w:pPr>
        <w:pStyle w:val="4"/>
        <w:rPr>
          <w:rFonts w:hint="eastAsia"/>
          <w:color w:val="auto"/>
          <w:highlight w:val="none"/>
          <w:lang w:val="en-US" w:eastAsia="zh-CN"/>
        </w:rPr>
      </w:pPr>
      <w:r>
        <w:rPr>
          <w:rFonts w:hint="eastAsia"/>
          <w:color w:val="auto"/>
          <w:highlight w:val="none"/>
          <w:lang w:val="en-US" w:eastAsia="zh-CN"/>
        </w:rPr>
        <w:t>本项目属于土壤评价行业分类中的“环境和公共设施管理业——采取填埋和焚烧方式的一般工业固体废物处置及综合利用”行业，为</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类项目，土壤环境影响类型为污染影响型。</w:t>
      </w:r>
    </w:p>
    <w:p>
      <w:pPr>
        <w:pStyle w:val="4"/>
        <w:rPr>
          <w:rFonts w:hint="default"/>
          <w:color w:val="auto"/>
          <w:highlight w:val="none"/>
          <w:lang w:val="en-US" w:eastAsia="zh-CN"/>
        </w:rPr>
      </w:pPr>
      <w:r>
        <w:rPr>
          <w:rFonts w:hint="eastAsia"/>
          <w:color w:val="auto"/>
          <w:highlight w:val="none"/>
          <w:lang w:val="en-US" w:eastAsia="zh-CN"/>
        </w:rPr>
        <w:t>根据项目特点，本项目运营期对土壤和环境影响主要为“大气沉降”和“垂直入渗”。</w:t>
      </w:r>
    </w:p>
    <w:p>
      <w:pPr>
        <w:pStyle w:val="7"/>
        <w:bidi w:val="0"/>
        <w:rPr>
          <w:rFonts w:hint="eastAsia"/>
          <w:color w:val="auto"/>
          <w:highlight w:val="none"/>
          <w:lang w:val="en-US" w:eastAsia="zh-CN"/>
        </w:rPr>
      </w:pPr>
      <w:r>
        <w:rPr>
          <w:rFonts w:hint="eastAsia"/>
          <w:color w:val="auto"/>
          <w:highlight w:val="none"/>
          <w:lang w:val="en-US" w:eastAsia="zh-CN"/>
        </w:rPr>
        <w:t>土壤环境影响源与影响因子</w:t>
      </w:r>
    </w:p>
    <w:p>
      <w:pPr>
        <w:pStyle w:val="4"/>
        <w:rPr>
          <w:rFonts w:hint="eastAsia"/>
          <w:color w:val="auto"/>
          <w:highlight w:val="none"/>
          <w:lang w:val="en-US" w:eastAsia="zh-CN"/>
        </w:rPr>
      </w:pPr>
      <w:r>
        <w:rPr>
          <w:rFonts w:hint="eastAsia"/>
          <w:color w:val="auto"/>
          <w:highlight w:val="none"/>
          <w:lang w:val="en-US" w:eastAsia="zh-CN"/>
        </w:rPr>
        <w:t>项目所填埋固体废物为粉煤灰、炉渣，废物中含有一定量的重金属污染物，主要为：</w:t>
      </w:r>
      <w:r>
        <w:rPr>
          <w:rFonts w:hint="eastAsia"/>
          <w:color w:val="FF0000"/>
          <w:highlight w:val="none"/>
          <w:lang w:val="en-US" w:eastAsia="zh-CN"/>
        </w:rPr>
        <w:t>汞、</w:t>
      </w:r>
      <w:r>
        <w:rPr>
          <w:rFonts w:hint="eastAsia"/>
          <w:color w:val="auto"/>
          <w:highlight w:val="none"/>
          <w:lang w:val="en-US" w:eastAsia="zh-CN"/>
        </w:rPr>
        <w:t>砷、铅、镍、铜、六价铬、铬。主要污染形式为大气沉降和垂直入渗。</w:t>
      </w:r>
    </w:p>
    <w:p>
      <w:pPr>
        <w:pStyle w:val="4"/>
        <w:rPr>
          <w:rFonts w:hint="eastAsia"/>
          <w:color w:val="auto"/>
          <w:highlight w:val="none"/>
          <w:lang w:val="en-US" w:eastAsia="zh-CN"/>
        </w:rPr>
      </w:pPr>
      <w:r>
        <w:rPr>
          <w:rFonts w:hint="eastAsia"/>
          <w:color w:val="auto"/>
          <w:highlight w:val="none"/>
          <w:lang w:val="en-US" w:eastAsia="zh-CN"/>
        </w:rPr>
        <w:t>大气沉降：填埋区作业时将产生间歇性较强烈的扬尘，另外填埋堆体如未采取面源扬尘污染防治措施，可引起较大面积的面源风力扬尘污染，废物中含有一定量的重金属污染物，可随扬尘飘散入四周的耕地，在农作物叶面表层沉积，影响农作物光合和呼吸作用，对农作物及其生长所需土壤环境造成不良影响。</w:t>
      </w:r>
    </w:p>
    <w:p>
      <w:pPr>
        <w:pStyle w:val="4"/>
        <w:rPr>
          <w:rFonts w:hint="default"/>
          <w:color w:val="auto"/>
          <w:highlight w:val="none"/>
          <w:lang w:val="en-US" w:eastAsia="zh-CN"/>
        </w:rPr>
      </w:pPr>
      <w:r>
        <w:rPr>
          <w:rFonts w:hint="eastAsia"/>
          <w:color w:val="auto"/>
          <w:highlight w:val="none"/>
          <w:lang w:val="en-US" w:eastAsia="zh-CN"/>
        </w:rPr>
        <w:t>垂直入渗：本项目填埋的固体废物为粉煤灰、炉渣，通过对同类项目调查，渗滤液产生量很小或基本无渗滤液产生，分析其原因和所填埋固体废物含水率低以及新疆干燥的气候有关。</w:t>
      </w:r>
    </w:p>
    <w:p>
      <w:pPr>
        <w:pStyle w:val="7"/>
        <w:bidi w:val="0"/>
        <w:rPr>
          <w:rFonts w:hint="eastAsia"/>
          <w:color w:val="auto"/>
          <w:highlight w:val="none"/>
        </w:rPr>
      </w:pPr>
      <w:r>
        <w:rPr>
          <w:rFonts w:hint="eastAsia"/>
          <w:color w:val="auto"/>
          <w:highlight w:val="none"/>
          <w:lang w:val="en-US" w:eastAsia="zh-CN"/>
        </w:rPr>
        <w:t>土壤环境影响分析</w:t>
      </w:r>
    </w:p>
    <w:p>
      <w:pPr>
        <w:pStyle w:val="4"/>
        <w:rPr>
          <w:rFonts w:hint="default"/>
          <w:color w:val="auto"/>
          <w:highlight w:val="none"/>
          <w:lang w:val="en-US" w:eastAsia="zh-CN"/>
        </w:rPr>
      </w:pPr>
      <w:r>
        <w:rPr>
          <w:rFonts w:hint="eastAsia"/>
          <w:color w:val="auto"/>
          <w:highlight w:val="none"/>
          <w:lang w:val="en-US" w:eastAsia="zh-CN"/>
        </w:rPr>
        <w:t>本项目土壤环境影响为三级评价，根据导则要求，可采用定性描述法对其影响简单分析如下：</w:t>
      </w:r>
    </w:p>
    <w:p>
      <w:pPr>
        <w:pStyle w:val="4"/>
        <w:rPr>
          <w:rFonts w:hint="eastAsia"/>
          <w:color w:val="auto"/>
          <w:highlight w:val="none"/>
          <w:lang w:val="en-US" w:eastAsia="zh-CN"/>
        </w:rPr>
      </w:pPr>
      <w:r>
        <w:rPr>
          <w:rFonts w:hint="eastAsia"/>
          <w:color w:val="auto"/>
          <w:highlight w:val="none"/>
          <w:lang w:val="en-US" w:eastAsia="zh-CN"/>
        </w:rPr>
        <w:t>本项目大气沉降影响主要来自于垃圾库区填埋作业及垃圾堆体本身在风力作用下产生的扬尘，扬尘成分为煤化工和电厂产生的粉煤灰、炉渣，粉煤灰、炉渣含有一定量的</w:t>
      </w:r>
      <w:r>
        <w:rPr>
          <w:rFonts w:hint="eastAsia"/>
          <w:color w:val="FF0000"/>
          <w:highlight w:val="none"/>
          <w:lang w:val="en-US" w:eastAsia="zh-CN"/>
        </w:rPr>
        <w:t>汞、</w:t>
      </w:r>
      <w:r>
        <w:rPr>
          <w:rFonts w:hint="eastAsia"/>
          <w:color w:val="auto"/>
          <w:highlight w:val="none"/>
          <w:lang w:val="en-US" w:eastAsia="zh-CN"/>
        </w:rPr>
        <w:t>砷、铅、铬等土壤污染因子。项目运营期在采取一系列洒水降尘、控制作业面积、及时压实及喷洒结壳剂等废气治理措施后，扬尘中重金属大气沉降作用对评价范围内土壤环境的影响极小，可满足《土壤环境质量 农用地土壤污染风险管控标准（试行）》（GB36600-2018）筛选值要求。</w:t>
      </w:r>
    </w:p>
    <w:p>
      <w:pPr>
        <w:pStyle w:val="4"/>
        <w:ind w:firstLine="480"/>
        <w:rPr>
          <w:rFonts w:hint="eastAsia"/>
          <w:color w:val="auto"/>
          <w:highlight w:val="none"/>
          <w:lang w:val="en-US" w:eastAsia="zh-CN"/>
        </w:rPr>
      </w:pPr>
      <w:r>
        <w:rPr>
          <w:rFonts w:hint="eastAsia"/>
          <w:color w:val="FF0000"/>
          <w:highlight w:val="none"/>
          <w:lang w:val="en-US" w:eastAsia="zh-CN"/>
        </w:rPr>
        <w:t>查阅相关资料（4年12月电环境保护第10卷第四期，粉煤灰的理化特性与浸出特性试验），</w:t>
      </w:r>
      <w:r>
        <w:rPr>
          <w:rFonts w:hint="eastAsia"/>
          <w:color w:val="auto"/>
          <w:highlight w:val="none"/>
          <w:lang w:val="en-US" w:eastAsia="zh-CN"/>
        </w:rPr>
        <w:t>粉煤灰、炉渣浸出液中各种重金属的浓度远低于《危险废物鉴别标准浸出毒性鉴别》（GB50853-2007）中的浸出毒性鉴别标准值，pH值符合《危险废物鉴别标准-腐蚀性鉴别》（GB5085.1-2007）中的规定，且不在《国家危险废物名录》（2021版）中，因此不属危险废物。根据《一般工业固体废物贮存和填埋污染控制标准》（GB18599-2020）中的规定，按照GB5086.1~2-1997规定方法进行浸出试验而获得的浸出液中任何一种污染物的浓度均未超过《污水综合排放标准》GB8978-1996）最高允许排放浓度（三级标准），pH值为11.46，在6</w:t>
      </w:r>
      <w:r>
        <w:rPr>
          <w:rFonts w:hint="default" w:ascii="Times New Roman" w:hAnsi="Times New Roman" w:cs="Times New Roman"/>
          <w:color w:val="auto"/>
          <w:highlight w:val="none"/>
          <w:lang w:val="en-US" w:eastAsia="zh-CN"/>
        </w:rPr>
        <w:t>~</w:t>
      </w:r>
      <w:r>
        <w:rPr>
          <w:rFonts w:hint="eastAsia"/>
          <w:color w:val="auto"/>
          <w:highlight w:val="none"/>
          <w:lang w:val="en-US" w:eastAsia="zh-CN"/>
        </w:rPr>
        <w:t>9范围之外，属第</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类一般工业固体废物。项目对可能产生的垂直入渗污染影响区域进行了防渗处理，防渗效果满足《一般工业固体废物贮存和填埋污染控制标准》（GB18599-2020）中</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类场相关要求。</w:t>
      </w:r>
    </w:p>
    <w:p>
      <w:pPr>
        <w:pStyle w:val="4"/>
        <w:ind w:firstLine="480"/>
        <w:rPr>
          <w:rFonts w:hint="eastAsia"/>
          <w:color w:val="auto"/>
          <w:highlight w:val="none"/>
          <w:lang w:eastAsia="zh-CN"/>
        </w:rPr>
      </w:pPr>
      <w:r>
        <w:rPr>
          <w:rFonts w:hint="eastAsia"/>
          <w:color w:val="auto"/>
          <w:highlight w:val="none"/>
          <w:lang w:val="en-US" w:eastAsia="zh-CN"/>
        </w:rPr>
        <w:t>综合以上分析结果，本项目</w:t>
      </w:r>
      <w:r>
        <w:rPr>
          <w:rFonts w:hint="eastAsia"/>
          <w:color w:val="auto"/>
          <w:highlight w:val="none"/>
        </w:rPr>
        <w:t>在做好</w:t>
      </w:r>
      <w:r>
        <w:rPr>
          <w:rFonts w:hint="eastAsia"/>
          <w:color w:val="auto"/>
          <w:highlight w:val="none"/>
          <w:lang w:val="en-US" w:eastAsia="zh-CN"/>
        </w:rPr>
        <w:t>大气扬尘污染防控、填埋区</w:t>
      </w:r>
      <w:r>
        <w:rPr>
          <w:rFonts w:hint="eastAsia"/>
          <w:color w:val="auto"/>
          <w:highlight w:val="none"/>
        </w:rPr>
        <w:t>防渗</w:t>
      </w:r>
      <w:r>
        <w:rPr>
          <w:rFonts w:hint="eastAsia"/>
          <w:color w:val="auto"/>
          <w:highlight w:val="none"/>
          <w:lang w:eastAsia="zh-CN"/>
        </w:rPr>
        <w:t>、</w:t>
      </w:r>
      <w:r>
        <w:rPr>
          <w:rFonts w:hint="eastAsia"/>
          <w:color w:val="auto"/>
          <w:highlight w:val="none"/>
          <w:lang w:val="en-US" w:eastAsia="zh-CN"/>
        </w:rPr>
        <w:t>风险防范</w:t>
      </w:r>
      <w:r>
        <w:rPr>
          <w:rFonts w:hint="eastAsia"/>
          <w:color w:val="auto"/>
          <w:highlight w:val="none"/>
        </w:rPr>
        <w:t>和</w:t>
      </w:r>
      <w:r>
        <w:rPr>
          <w:rFonts w:hint="eastAsia"/>
          <w:color w:val="auto"/>
          <w:highlight w:val="none"/>
          <w:lang w:val="en-US" w:eastAsia="zh-CN"/>
        </w:rPr>
        <w:t>日常</w:t>
      </w:r>
      <w:r>
        <w:rPr>
          <w:rFonts w:hint="eastAsia"/>
          <w:color w:val="auto"/>
          <w:highlight w:val="none"/>
        </w:rPr>
        <w:t>环境管理的基础上，本项目的</w:t>
      </w:r>
      <w:r>
        <w:rPr>
          <w:rFonts w:hint="eastAsia"/>
          <w:color w:val="auto"/>
          <w:highlight w:val="none"/>
          <w:lang w:val="en-US" w:eastAsia="zh-CN"/>
        </w:rPr>
        <w:t>大气沉降及垂直入渗对</w:t>
      </w:r>
      <w:r>
        <w:rPr>
          <w:rFonts w:hint="eastAsia"/>
          <w:color w:val="auto"/>
          <w:highlight w:val="none"/>
        </w:rPr>
        <w:t>土壤环境影响可</w:t>
      </w:r>
      <w:r>
        <w:rPr>
          <w:rFonts w:hint="eastAsia"/>
          <w:color w:val="auto"/>
          <w:highlight w:val="none"/>
          <w:lang w:val="en-US" w:eastAsia="zh-CN"/>
        </w:rPr>
        <w:t>以</w:t>
      </w:r>
      <w:r>
        <w:rPr>
          <w:rFonts w:hint="eastAsia"/>
          <w:color w:val="auto"/>
          <w:highlight w:val="none"/>
        </w:rPr>
        <w:t>接受</w:t>
      </w:r>
      <w:r>
        <w:rPr>
          <w:rFonts w:hint="eastAsia"/>
          <w:color w:val="auto"/>
          <w:highlight w:val="none"/>
          <w:lang w:eastAsia="zh-CN"/>
        </w:rPr>
        <w:t>。</w:t>
      </w:r>
    </w:p>
    <w:p>
      <w:pPr>
        <w:pStyle w:val="22"/>
        <w:bidi w:val="0"/>
        <w:rPr>
          <w:rFonts w:hint="default"/>
        </w:rPr>
      </w:pPr>
      <w:r>
        <w:rPr>
          <w:rFonts w:hint="eastAsia"/>
          <w:lang w:val="en-US" w:eastAsia="zh-CN"/>
        </w:rPr>
        <w:t>表5.2-12    土壤</w:t>
      </w:r>
      <w:r>
        <w:rPr>
          <w:rFonts w:hint="eastAsia"/>
          <w:lang w:eastAsia="zh-CN"/>
        </w:rPr>
        <w:t>环境</w:t>
      </w:r>
      <w:r>
        <w:rPr>
          <w:rFonts w:hint="eastAsia"/>
        </w:rPr>
        <w:t>评价自查表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23"/>
        <w:gridCol w:w="1677"/>
        <w:gridCol w:w="1252"/>
        <w:gridCol w:w="13"/>
        <w:gridCol w:w="1200"/>
        <w:gridCol w:w="1246"/>
        <w:gridCol w:w="5"/>
        <w:gridCol w:w="1569"/>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188"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rPr>
            </w:pPr>
            <w:r>
              <w:rPr>
                <w:rFonts w:hint="eastAsia"/>
                <w:sz w:val="20"/>
                <w:szCs w:val="20"/>
              </w:rPr>
              <w:t>工作内容</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完成情况</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影响识别</w:t>
            </w: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影响类型</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default"/>
                <w:sz w:val="20"/>
                <w:szCs w:val="20"/>
                <w:lang w:val="en-US" w:eastAsia="zh-CN"/>
              </w:rPr>
              <w:t>污染影响型</w:t>
            </w:r>
            <w:r>
              <w:rPr>
                <w:rFonts w:hint="default"/>
                <w:sz w:val="20"/>
                <w:szCs w:val="20"/>
                <w:lang w:val="en-US" w:eastAsia="zh-CN"/>
              </w:rPr>
              <w:sym w:font="Wingdings 2" w:char="0052"/>
            </w:r>
            <w:r>
              <w:rPr>
                <w:rFonts w:hint="default"/>
                <w:sz w:val="20"/>
                <w:szCs w:val="20"/>
                <w:lang w:val="en-US" w:eastAsia="zh-CN"/>
              </w:rPr>
              <w:t>；生态影响型</w:t>
            </w:r>
            <w:r>
              <w:rPr>
                <w:rFonts w:hint="default"/>
                <w:sz w:val="20"/>
                <w:szCs w:val="20"/>
                <w:lang w:val="en-US" w:eastAsia="zh-CN"/>
              </w:rPr>
              <w:sym w:font="Wingdings 2" w:char="00A3"/>
            </w:r>
            <w:r>
              <w:rPr>
                <w:rFonts w:hint="default"/>
                <w:sz w:val="20"/>
                <w:szCs w:val="20"/>
                <w:lang w:val="en-US" w:eastAsia="zh-CN"/>
              </w:rPr>
              <w:t>；两种兼有</w:t>
            </w:r>
            <w:r>
              <w:rPr>
                <w:rFonts w:hint="default"/>
                <w:sz w:val="20"/>
                <w:szCs w:val="20"/>
                <w:lang w:val="en-US" w:eastAsia="zh-CN"/>
              </w:rPr>
              <w:sym w:font="Wingdings 2" w:char="00A3"/>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r>
              <w:rPr>
                <w:rFonts w:hint="eastAsia"/>
                <w:sz w:val="20"/>
                <w:szCs w:val="20"/>
              </w:rPr>
              <w:t>土地利用类型</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建设用地</w:t>
            </w:r>
            <w:r>
              <w:rPr>
                <w:rFonts w:hint="default"/>
                <w:sz w:val="20"/>
                <w:szCs w:val="20"/>
                <w:lang w:val="en-US" w:eastAsia="zh-CN"/>
              </w:rPr>
              <w:sym w:font="Wingdings 2" w:char="0052"/>
            </w:r>
            <w:r>
              <w:rPr>
                <w:rFonts w:hint="eastAsia"/>
                <w:sz w:val="20"/>
                <w:szCs w:val="20"/>
                <w:lang w:eastAsia="zh-CN"/>
              </w:rPr>
              <w:t>；农用地</w:t>
            </w:r>
            <w:r>
              <w:rPr>
                <w:rFonts w:hint="default"/>
                <w:sz w:val="20"/>
                <w:szCs w:val="20"/>
                <w:lang w:val="en-US" w:eastAsia="zh-CN"/>
              </w:rPr>
              <w:sym w:font="Wingdings 2" w:char="00A3"/>
            </w:r>
            <w:r>
              <w:rPr>
                <w:rFonts w:hint="eastAsia"/>
                <w:sz w:val="20"/>
                <w:szCs w:val="20"/>
                <w:lang w:eastAsia="zh-CN"/>
              </w:rPr>
              <w:t>；未利用地</w:t>
            </w:r>
            <w:r>
              <w:rPr>
                <w:rFonts w:hint="default"/>
                <w:sz w:val="20"/>
                <w:szCs w:val="20"/>
                <w:lang w:val="en-US" w:eastAsia="zh-CN"/>
              </w:rPr>
              <w:sym w:font="Wingdings 2" w:char="0052"/>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土地利用类型图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占地规模</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eastAsia="zh-CN"/>
              </w:rPr>
              <w:t>（</w:t>
            </w:r>
            <w:r>
              <w:rPr>
                <w:rFonts w:hint="eastAsia"/>
                <w:sz w:val="20"/>
                <w:szCs w:val="20"/>
                <w:lang w:val="en-US" w:eastAsia="zh-CN"/>
              </w:rPr>
              <w:t>4.66）hm</w:t>
            </w:r>
            <w:r>
              <w:rPr>
                <w:rFonts w:hint="eastAsia"/>
                <w:sz w:val="20"/>
                <w:szCs w:val="20"/>
                <w:vertAlign w:val="superscript"/>
                <w:lang w:val="en-US" w:eastAsia="zh-CN"/>
              </w:rPr>
              <w:t>2</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敏感目标信息</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敏感目标（荒草地）、方位（东北）、距离（场界外50m内）</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影响途径</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default"/>
                <w:sz w:val="20"/>
                <w:szCs w:val="20"/>
                <w:lang w:val="en-US" w:eastAsia="zh-CN"/>
              </w:rPr>
              <w:t>大气沉降</w:t>
            </w:r>
            <w:r>
              <w:rPr>
                <w:rFonts w:hint="default"/>
                <w:sz w:val="20"/>
                <w:szCs w:val="20"/>
                <w:lang w:val="en-US" w:eastAsia="zh-CN"/>
              </w:rPr>
              <w:sym w:font="Wingdings 2" w:char="0052"/>
            </w:r>
            <w:r>
              <w:rPr>
                <w:rFonts w:hint="default"/>
                <w:sz w:val="20"/>
                <w:szCs w:val="20"/>
                <w:lang w:val="en-US" w:eastAsia="zh-CN"/>
              </w:rPr>
              <w:t>；地面漫流</w:t>
            </w:r>
            <w:r>
              <w:rPr>
                <w:rFonts w:hint="default"/>
                <w:sz w:val="20"/>
                <w:szCs w:val="20"/>
                <w:lang w:val="en-US" w:eastAsia="zh-CN"/>
              </w:rPr>
              <w:sym w:font="Wingdings 2" w:char="00A3"/>
            </w:r>
            <w:r>
              <w:rPr>
                <w:rFonts w:hint="default"/>
                <w:sz w:val="20"/>
                <w:szCs w:val="20"/>
                <w:lang w:val="en-US" w:eastAsia="zh-CN"/>
              </w:rPr>
              <w:t>：垂直入渗</w:t>
            </w:r>
            <w:r>
              <w:rPr>
                <w:rFonts w:hint="default"/>
                <w:sz w:val="20"/>
                <w:szCs w:val="20"/>
                <w:lang w:val="en-US" w:eastAsia="zh-CN"/>
              </w:rPr>
              <w:sym w:font="Wingdings 2" w:char="0052"/>
            </w:r>
            <w:r>
              <w:rPr>
                <w:rFonts w:hint="default"/>
                <w:sz w:val="20"/>
                <w:szCs w:val="20"/>
                <w:lang w:val="en-US" w:eastAsia="zh-CN"/>
              </w:rPr>
              <w:t>；地下水位</w:t>
            </w:r>
            <w:r>
              <w:rPr>
                <w:rFonts w:hint="default"/>
                <w:sz w:val="20"/>
                <w:szCs w:val="20"/>
                <w:lang w:val="en-US" w:eastAsia="zh-CN"/>
              </w:rPr>
              <w:sym w:font="Wingdings 2" w:char="00A3"/>
            </w:r>
            <w:r>
              <w:rPr>
                <w:rFonts w:hint="default"/>
                <w:sz w:val="20"/>
                <w:szCs w:val="20"/>
                <w:lang w:val="en-US" w:eastAsia="zh-CN"/>
              </w:rPr>
              <w:t>；其他（</w:t>
            </w:r>
            <w:r>
              <w:rPr>
                <w:rFonts w:hint="eastAsia"/>
                <w:sz w:val="20"/>
                <w:szCs w:val="20"/>
                <w:lang w:val="en-US" w:eastAsia="zh-CN"/>
              </w:rPr>
              <w:t xml:space="preserve">  </w:t>
            </w:r>
            <w:r>
              <w:rPr>
                <w:rFonts w:hint="default"/>
                <w:sz w:val="20"/>
                <w:szCs w:val="20"/>
                <w:lang w:val="en-US" w:eastAsia="zh-CN"/>
              </w:rPr>
              <w:t>）</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全部污染物</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color w:val="FF0000"/>
                <w:highlight w:val="none"/>
                <w:lang w:val="en-US" w:eastAsia="zh-CN"/>
              </w:rPr>
              <w:t>汞、</w:t>
            </w:r>
            <w:r>
              <w:rPr>
                <w:rFonts w:hint="eastAsia"/>
                <w:sz w:val="20"/>
                <w:szCs w:val="20"/>
                <w:lang w:val="en-US" w:eastAsia="zh-CN"/>
              </w:rPr>
              <w:t>砷、铅、镍、铜、六价铬、铬</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特征因子</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color w:val="FF0000"/>
                <w:highlight w:val="none"/>
                <w:lang w:val="en-US" w:eastAsia="zh-CN"/>
              </w:rPr>
              <w:t>汞、</w:t>
            </w:r>
            <w:r>
              <w:rPr>
                <w:rFonts w:hint="eastAsia"/>
                <w:sz w:val="20"/>
                <w:szCs w:val="20"/>
                <w:lang w:val="en-US" w:eastAsia="zh-CN"/>
              </w:rPr>
              <w:t>砷、铅、镍、铜、六价铬、铬</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所属土壤环境影响评价项目类别</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I类</w:t>
            </w:r>
            <w:r>
              <w:rPr>
                <w:rFonts w:hint="default"/>
                <w:sz w:val="20"/>
                <w:szCs w:val="20"/>
                <w:lang w:val="en-US" w:eastAsia="zh-CN"/>
              </w:rPr>
              <w:sym w:font="Wingdings 2" w:char="00A3"/>
            </w:r>
            <w:r>
              <w:rPr>
                <w:rFonts w:hint="eastAsia"/>
                <w:sz w:val="20"/>
                <w:szCs w:val="20"/>
                <w:lang w:eastAsia="zh-CN"/>
              </w:rPr>
              <w:t>：</w:t>
            </w:r>
            <w:r>
              <w:rPr>
                <w:rFonts w:hint="default"/>
                <w:sz w:val="20"/>
                <w:szCs w:val="20"/>
                <w:lang w:eastAsia="zh-CN"/>
              </w:rPr>
              <w:t>Ⅱ</w:t>
            </w:r>
            <w:r>
              <w:rPr>
                <w:rFonts w:hint="eastAsia"/>
                <w:sz w:val="20"/>
                <w:szCs w:val="20"/>
                <w:lang w:eastAsia="zh-CN"/>
              </w:rPr>
              <w:t>类</w:t>
            </w:r>
            <w:r>
              <w:rPr>
                <w:rFonts w:hint="default"/>
                <w:sz w:val="20"/>
                <w:szCs w:val="20"/>
                <w:lang w:val="en-US" w:eastAsia="zh-CN"/>
              </w:rPr>
              <w:sym w:font="Wingdings 2" w:char="0052"/>
            </w:r>
            <w:r>
              <w:rPr>
                <w:rFonts w:hint="eastAsia"/>
                <w:sz w:val="20"/>
                <w:szCs w:val="20"/>
                <w:lang w:eastAsia="zh-CN"/>
              </w:rPr>
              <w:t>；</w:t>
            </w:r>
            <w:r>
              <w:rPr>
                <w:rFonts w:hint="default"/>
                <w:sz w:val="20"/>
                <w:szCs w:val="20"/>
                <w:lang w:eastAsia="zh-CN"/>
              </w:rPr>
              <w:t>Ⅲ</w:t>
            </w:r>
            <w:r>
              <w:rPr>
                <w:rFonts w:hint="eastAsia"/>
                <w:sz w:val="20"/>
                <w:szCs w:val="20"/>
                <w:lang w:eastAsia="zh-CN"/>
              </w:rPr>
              <w:t>类</w:t>
            </w:r>
            <w:r>
              <w:rPr>
                <w:rFonts w:hint="default"/>
                <w:sz w:val="20"/>
                <w:szCs w:val="20"/>
                <w:lang w:val="en-US" w:eastAsia="zh-CN"/>
              </w:rPr>
              <w:sym w:font="Wingdings 2" w:char="00A3"/>
            </w:r>
            <w:r>
              <w:rPr>
                <w:rFonts w:hint="eastAsia"/>
                <w:sz w:val="20"/>
                <w:szCs w:val="20"/>
                <w:lang w:eastAsia="zh-CN"/>
              </w:rPr>
              <w:t>；</w:t>
            </w:r>
            <w:r>
              <w:rPr>
                <w:rFonts w:hint="default"/>
                <w:sz w:val="20"/>
                <w:szCs w:val="20"/>
                <w:lang w:eastAsia="zh-CN"/>
              </w:rPr>
              <w:t>Ⅳ</w:t>
            </w:r>
            <w:r>
              <w:rPr>
                <w:rFonts w:hint="eastAsia"/>
                <w:sz w:val="20"/>
                <w:szCs w:val="20"/>
                <w:lang w:eastAsia="zh-CN"/>
              </w:rPr>
              <w:t>类</w:t>
            </w:r>
            <w:r>
              <w:rPr>
                <w:rFonts w:hint="default"/>
                <w:sz w:val="20"/>
                <w:szCs w:val="20"/>
                <w:lang w:val="en-US" w:eastAsia="zh-CN"/>
              </w:rPr>
              <w:sym w:font="Wingdings 2" w:char="00A3"/>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敏感程度</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敏感</w:t>
            </w:r>
            <w:r>
              <w:rPr>
                <w:rFonts w:hint="default"/>
                <w:sz w:val="20"/>
                <w:szCs w:val="20"/>
                <w:lang w:val="en-US" w:eastAsia="zh-CN"/>
              </w:rPr>
              <w:sym w:font="Wingdings 2" w:char="00A3"/>
            </w:r>
            <w:r>
              <w:rPr>
                <w:rFonts w:hint="eastAsia"/>
                <w:sz w:val="20"/>
                <w:szCs w:val="20"/>
                <w:lang w:eastAsia="zh-CN"/>
              </w:rPr>
              <w:t>；较敏感</w:t>
            </w:r>
            <w:r>
              <w:rPr>
                <w:rFonts w:hint="default"/>
                <w:sz w:val="20"/>
                <w:szCs w:val="20"/>
                <w:lang w:val="en-US" w:eastAsia="zh-CN"/>
              </w:rPr>
              <w:sym w:font="Wingdings 2" w:char="0052"/>
            </w:r>
            <w:r>
              <w:rPr>
                <w:rFonts w:hint="eastAsia"/>
                <w:sz w:val="20"/>
                <w:szCs w:val="20"/>
                <w:lang w:eastAsia="zh-CN"/>
              </w:rPr>
              <w:t>：不敏感</w:t>
            </w:r>
            <w:r>
              <w:rPr>
                <w:rFonts w:hint="default"/>
                <w:sz w:val="20"/>
                <w:szCs w:val="20"/>
                <w:lang w:val="en-US" w:eastAsia="zh-CN"/>
              </w:rPr>
              <w:sym w:font="Wingdings 2" w:char="00A3"/>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188"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评价工作等级</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一</w:t>
            </w:r>
            <w:r>
              <w:rPr>
                <w:rFonts w:hint="default"/>
                <w:sz w:val="20"/>
                <w:szCs w:val="20"/>
                <w:lang w:val="en-US" w:eastAsia="zh-CN"/>
              </w:rPr>
              <w:t>级</w:t>
            </w:r>
            <w:r>
              <w:rPr>
                <w:rFonts w:hint="default"/>
                <w:sz w:val="20"/>
                <w:szCs w:val="20"/>
                <w:lang w:val="en-US" w:eastAsia="zh-CN"/>
              </w:rPr>
              <w:sym w:font="Wingdings 2" w:char="00A3"/>
            </w:r>
            <w:r>
              <w:rPr>
                <w:rFonts w:hint="default"/>
                <w:sz w:val="20"/>
                <w:szCs w:val="20"/>
                <w:lang w:val="en-US" w:eastAsia="zh-CN"/>
              </w:rPr>
              <w:t>；二级</w:t>
            </w:r>
            <w:r>
              <w:rPr>
                <w:rFonts w:hint="default"/>
                <w:sz w:val="20"/>
                <w:szCs w:val="20"/>
                <w:lang w:val="en-US" w:eastAsia="zh-CN"/>
              </w:rPr>
              <w:sym w:font="Wingdings 2" w:char="00A3"/>
            </w:r>
            <w:r>
              <w:rPr>
                <w:rFonts w:hint="default"/>
                <w:sz w:val="20"/>
                <w:szCs w:val="20"/>
                <w:lang w:val="en-US" w:eastAsia="zh-CN"/>
              </w:rPr>
              <w:t>；三级</w:t>
            </w:r>
            <w:r>
              <w:rPr>
                <w:rFonts w:hint="default"/>
                <w:sz w:val="20"/>
                <w:szCs w:val="20"/>
                <w:lang w:val="en-US" w:eastAsia="zh-CN"/>
              </w:rPr>
              <w:sym w:font="Wingdings 2" w:char="0052"/>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现状调查内容</w:t>
            </w: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资料收集</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a）</w:t>
            </w:r>
            <w:r>
              <w:rPr>
                <w:rFonts w:hint="default"/>
                <w:sz w:val="20"/>
                <w:szCs w:val="20"/>
                <w:lang w:val="en-US" w:eastAsia="zh-CN"/>
              </w:rPr>
              <w:sym w:font="Wingdings 2" w:char="0052"/>
            </w:r>
            <w:r>
              <w:rPr>
                <w:rFonts w:hint="eastAsia"/>
                <w:sz w:val="20"/>
                <w:szCs w:val="20"/>
                <w:lang w:eastAsia="zh-CN"/>
              </w:rPr>
              <w:t>；b）</w:t>
            </w:r>
            <w:r>
              <w:rPr>
                <w:rFonts w:hint="default"/>
                <w:sz w:val="20"/>
                <w:szCs w:val="20"/>
                <w:lang w:val="en-US" w:eastAsia="zh-CN"/>
              </w:rPr>
              <w:sym w:font="Wingdings 2" w:char="0052"/>
            </w:r>
            <w:r>
              <w:rPr>
                <w:rFonts w:hint="eastAsia"/>
                <w:sz w:val="20"/>
                <w:szCs w:val="20"/>
                <w:lang w:val="en-US" w:eastAsia="zh-CN"/>
              </w:rPr>
              <w:t>；</w:t>
            </w:r>
            <w:r>
              <w:rPr>
                <w:rFonts w:hint="eastAsia"/>
                <w:sz w:val="20"/>
                <w:szCs w:val="20"/>
                <w:lang w:eastAsia="zh-CN"/>
              </w:rPr>
              <w:t>c）</w:t>
            </w:r>
            <w:r>
              <w:rPr>
                <w:rFonts w:hint="default"/>
                <w:sz w:val="20"/>
                <w:szCs w:val="20"/>
                <w:lang w:val="en-US" w:eastAsia="zh-CN"/>
              </w:rPr>
              <w:sym w:font="Wingdings 2" w:char="0052"/>
            </w:r>
            <w:r>
              <w:rPr>
                <w:rFonts w:hint="eastAsia"/>
                <w:sz w:val="20"/>
                <w:szCs w:val="20"/>
                <w:lang w:val="en-US" w:eastAsia="zh-CN"/>
              </w:rPr>
              <w:t>；</w:t>
            </w:r>
            <w:r>
              <w:rPr>
                <w:rFonts w:hint="eastAsia"/>
                <w:sz w:val="20"/>
                <w:szCs w:val="20"/>
                <w:lang w:eastAsia="zh-CN"/>
              </w:rPr>
              <w:t>d）</w:t>
            </w:r>
            <w:r>
              <w:rPr>
                <w:rFonts w:hint="default"/>
                <w:sz w:val="20"/>
                <w:szCs w:val="20"/>
                <w:lang w:val="en-US" w:eastAsia="zh-CN"/>
              </w:rPr>
              <w:sym w:font="Wingdings 2" w:char="0052"/>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理化特性</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现状监测点位</w:t>
            </w:r>
          </w:p>
        </w:tc>
        <w:tc>
          <w:tcPr>
            <w:tcW w:w="744"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c>
          <w:tcPr>
            <w:tcW w:w="721"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占地范围内</w:t>
            </w:r>
          </w:p>
        </w:tc>
        <w:tc>
          <w:tcPr>
            <w:tcW w:w="743"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占地范围外</w:t>
            </w:r>
          </w:p>
        </w:tc>
        <w:tc>
          <w:tcPr>
            <w:tcW w:w="930"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深度</w:t>
            </w:r>
          </w:p>
        </w:tc>
        <w:tc>
          <w:tcPr>
            <w:tcW w:w="671"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val="en-US" w:eastAsia="zh-CN"/>
              </w:rPr>
            </w:pPr>
          </w:p>
        </w:tc>
        <w:tc>
          <w:tcPr>
            <w:tcW w:w="744"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表层样点数</w:t>
            </w:r>
          </w:p>
        </w:tc>
        <w:tc>
          <w:tcPr>
            <w:tcW w:w="721"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3</w:t>
            </w:r>
          </w:p>
        </w:tc>
        <w:tc>
          <w:tcPr>
            <w:tcW w:w="743"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0</w:t>
            </w:r>
          </w:p>
        </w:tc>
        <w:tc>
          <w:tcPr>
            <w:tcW w:w="930"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0.2m</w:t>
            </w:r>
          </w:p>
        </w:tc>
        <w:tc>
          <w:tcPr>
            <w:tcW w:w="671"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val="en-US" w:eastAsia="zh-CN"/>
              </w:rPr>
            </w:pPr>
          </w:p>
        </w:tc>
        <w:tc>
          <w:tcPr>
            <w:tcW w:w="744"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柱状样点数</w:t>
            </w:r>
          </w:p>
        </w:tc>
        <w:tc>
          <w:tcPr>
            <w:tcW w:w="721"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0</w:t>
            </w:r>
          </w:p>
        </w:tc>
        <w:tc>
          <w:tcPr>
            <w:tcW w:w="743"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0</w:t>
            </w:r>
          </w:p>
        </w:tc>
        <w:tc>
          <w:tcPr>
            <w:tcW w:w="930"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w:t>
            </w:r>
          </w:p>
        </w:tc>
        <w:tc>
          <w:tcPr>
            <w:tcW w:w="671"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现状监测因子</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氯苯、1,4-二氯苯、乙苯、苯乙烯、甲苯、间二甲苯+对二甲苯、邻二甲苯、硝基苯、苯胺、2-氯酚、苯并[a]蒽、苯并[a]芘、苯并[b]荧蒽、苯并[k]荧蒽、崫、二苯并[a,h]蒽、茚并[1,2,3-cd]芘、萘</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192"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现状评价</w:t>
            </w: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评价因子</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eastAsia="zh-CN"/>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氯苯、1,4-二氯苯、乙苯、苯乙烯、甲苯、间二甲苯+对二甲苯、邻二甲苯、硝基苯、苯胺、2-氯酚、苯并[a]蒽、苯并[a]芘、苯并[b]荧蒽、苯并[k]荧蒽、崫、二苯并[a,h]蒽、茚并[1,2,3-cd]芘、萘。</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评价标准</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eastAsia="zh-CN"/>
              </w:rPr>
              <w:t>GB15618</w:t>
            </w:r>
            <w:r>
              <w:rPr>
                <w:rFonts w:hint="default"/>
                <w:sz w:val="20"/>
                <w:szCs w:val="20"/>
                <w:lang w:val="en-US" w:eastAsia="zh-CN"/>
              </w:rPr>
              <w:sym w:font="Wingdings 2" w:char="00A3"/>
            </w:r>
            <w:r>
              <w:rPr>
                <w:rFonts w:hint="eastAsia"/>
                <w:sz w:val="20"/>
                <w:szCs w:val="20"/>
                <w:lang w:eastAsia="zh-CN"/>
              </w:rPr>
              <w:t>；GB36600</w:t>
            </w:r>
            <w:r>
              <w:rPr>
                <w:rFonts w:hint="default"/>
                <w:sz w:val="20"/>
                <w:szCs w:val="20"/>
                <w:lang w:val="en-US" w:eastAsia="zh-CN"/>
              </w:rPr>
              <w:sym w:font="Wingdings 2" w:char="0052"/>
            </w:r>
            <w:r>
              <w:rPr>
                <w:rFonts w:hint="eastAsia"/>
                <w:sz w:val="20"/>
                <w:szCs w:val="20"/>
                <w:lang w:eastAsia="zh-CN"/>
              </w:rPr>
              <w:t>；表D.1</w:t>
            </w:r>
            <w:r>
              <w:rPr>
                <w:rFonts w:hint="default"/>
                <w:sz w:val="20"/>
                <w:szCs w:val="20"/>
                <w:lang w:val="en-US" w:eastAsia="zh-CN"/>
              </w:rPr>
              <w:sym w:font="Wingdings 2" w:char="00A3"/>
            </w:r>
            <w:r>
              <w:rPr>
                <w:rFonts w:hint="eastAsia"/>
                <w:sz w:val="20"/>
                <w:szCs w:val="20"/>
                <w:lang w:eastAsia="zh-CN"/>
              </w:rPr>
              <w:t>；表D2</w:t>
            </w:r>
            <w:r>
              <w:rPr>
                <w:rFonts w:hint="default"/>
                <w:sz w:val="20"/>
                <w:szCs w:val="20"/>
                <w:lang w:val="en-US" w:eastAsia="zh-CN"/>
              </w:rPr>
              <w:sym w:font="Wingdings 2" w:char="00A3"/>
            </w:r>
            <w:r>
              <w:rPr>
                <w:rFonts w:hint="eastAsia"/>
                <w:sz w:val="20"/>
                <w:szCs w:val="20"/>
                <w:lang w:eastAsia="zh-CN"/>
              </w:rPr>
              <w:t>；其他（</w:t>
            </w:r>
            <w:r>
              <w:rPr>
                <w:rFonts w:hint="eastAsia"/>
                <w:sz w:val="20"/>
                <w:szCs w:val="20"/>
                <w:lang w:val="en-US" w:eastAsia="zh-CN"/>
              </w:rPr>
              <w:t xml:space="preserve">    ）</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现状评价结论</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jc w:val="left"/>
              <w:textAlignment w:val="baseline"/>
              <w:rPr>
                <w:rFonts w:hint="eastAsia"/>
                <w:sz w:val="20"/>
                <w:szCs w:val="20"/>
                <w:lang w:eastAsia="zh-CN"/>
              </w:rPr>
            </w:pPr>
            <w:r>
              <w:rPr>
                <w:rFonts w:hint="eastAsia"/>
                <w:sz w:val="20"/>
                <w:szCs w:val="20"/>
                <w:lang w:eastAsia="zh-CN"/>
              </w:rPr>
              <w:t>场区内表层样监测结果满足《土壤环境质量 建设用地土壤污染风险管控标准（试行）》（GB36600-2018）第二类工业用地筛选值。</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影响预测</w:t>
            </w: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预测因子</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砷、铅、镍、铜、六价铬、铬</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预测方法</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eastAsia="zh-CN"/>
              </w:rPr>
              <w:t>附录E</w:t>
            </w:r>
            <w:r>
              <w:rPr>
                <w:rFonts w:hint="default"/>
                <w:sz w:val="20"/>
                <w:szCs w:val="20"/>
                <w:lang w:val="en-US" w:eastAsia="zh-CN"/>
              </w:rPr>
              <w:sym w:font="Wingdings 2" w:char="00A3"/>
            </w:r>
            <w:r>
              <w:rPr>
                <w:rFonts w:hint="eastAsia"/>
                <w:sz w:val="20"/>
                <w:szCs w:val="20"/>
                <w:lang w:eastAsia="zh-CN"/>
              </w:rPr>
              <w:t>；附录F</w:t>
            </w:r>
            <w:r>
              <w:rPr>
                <w:rFonts w:hint="default"/>
                <w:sz w:val="20"/>
                <w:szCs w:val="20"/>
                <w:lang w:val="en-US" w:eastAsia="zh-CN"/>
              </w:rPr>
              <w:sym w:font="Wingdings 2" w:char="00A3"/>
            </w:r>
            <w:r>
              <w:rPr>
                <w:rFonts w:hint="eastAsia"/>
                <w:sz w:val="20"/>
                <w:szCs w:val="20"/>
                <w:lang w:eastAsia="zh-CN"/>
              </w:rPr>
              <w:t>；其他（</w:t>
            </w:r>
            <w:r>
              <w:rPr>
                <w:rFonts w:hint="eastAsia"/>
                <w:sz w:val="20"/>
                <w:szCs w:val="20"/>
                <w:lang w:val="en-US" w:eastAsia="zh-CN"/>
              </w:rPr>
              <w:t xml:space="preserve"> 定性描述 ）</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预测分析内容</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val="en-US" w:eastAsia="zh-CN"/>
              </w:rPr>
            </w:pPr>
            <w:r>
              <w:rPr>
                <w:rFonts w:hint="eastAsia"/>
                <w:sz w:val="20"/>
                <w:szCs w:val="20"/>
                <w:lang w:val="en-US" w:eastAsia="zh-CN"/>
              </w:rPr>
              <w:t>影响范围（  50m  ）</w:t>
            </w:r>
          </w:p>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影响程度（  较小  ）</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预测结论</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达标结论：a）</w:t>
            </w:r>
            <w:r>
              <w:rPr>
                <w:rFonts w:hint="default"/>
                <w:sz w:val="20"/>
                <w:szCs w:val="20"/>
                <w:lang w:val="en-US" w:eastAsia="zh-CN"/>
              </w:rPr>
              <w:sym w:font="Wingdings 2" w:char="0052"/>
            </w:r>
            <w:r>
              <w:rPr>
                <w:rFonts w:hint="eastAsia"/>
                <w:sz w:val="20"/>
                <w:szCs w:val="20"/>
                <w:lang w:eastAsia="zh-CN"/>
              </w:rPr>
              <w:t>；b）</w:t>
            </w:r>
            <w:r>
              <w:rPr>
                <w:rFonts w:hint="default"/>
                <w:sz w:val="20"/>
                <w:szCs w:val="20"/>
                <w:lang w:val="en-US" w:eastAsia="zh-CN"/>
              </w:rPr>
              <w:sym w:font="Wingdings 2" w:char="00A3"/>
            </w:r>
            <w:r>
              <w:rPr>
                <w:rFonts w:hint="eastAsia"/>
                <w:sz w:val="20"/>
                <w:szCs w:val="20"/>
                <w:lang w:eastAsia="zh-CN"/>
              </w:rPr>
              <w:t>；c）</w:t>
            </w:r>
            <w:r>
              <w:rPr>
                <w:rFonts w:hint="default"/>
                <w:sz w:val="20"/>
                <w:szCs w:val="20"/>
                <w:lang w:val="en-US" w:eastAsia="zh-CN"/>
              </w:rPr>
              <w:sym w:font="Wingdings 2" w:char="00A3"/>
            </w:r>
          </w:p>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r>
              <w:rPr>
                <w:rFonts w:hint="eastAsia"/>
                <w:sz w:val="20"/>
                <w:szCs w:val="20"/>
                <w:lang w:eastAsia="zh-CN"/>
              </w:rPr>
              <w:t>不达标结论：a）</w:t>
            </w:r>
            <w:r>
              <w:rPr>
                <w:rFonts w:hint="default"/>
                <w:sz w:val="20"/>
                <w:szCs w:val="20"/>
                <w:lang w:val="en-US" w:eastAsia="zh-CN"/>
              </w:rPr>
              <w:sym w:font="Wingdings 2" w:char="00A3"/>
            </w:r>
            <w:r>
              <w:rPr>
                <w:rFonts w:hint="eastAsia"/>
                <w:sz w:val="20"/>
                <w:szCs w:val="20"/>
                <w:lang w:eastAsia="zh-CN"/>
              </w:rPr>
              <w:t>；b）</w:t>
            </w:r>
            <w:r>
              <w:rPr>
                <w:rFonts w:hint="default"/>
                <w:sz w:val="20"/>
                <w:szCs w:val="20"/>
                <w:lang w:val="en-US" w:eastAsia="zh-CN"/>
              </w:rPr>
              <w:sym w:font="Wingdings 2" w:char="00A3"/>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防治措施</w:t>
            </w: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防控措施</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eastAsia="zh-CN"/>
              </w:rPr>
              <w:t>土壤环境质量现状保障</w:t>
            </w:r>
            <w:r>
              <w:rPr>
                <w:rFonts w:hint="default"/>
                <w:sz w:val="20"/>
                <w:szCs w:val="20"/>
                <w:lang w:val="en-US" w:eastAsia="zh-CN"/>
              </w:rPr>
              <w:sym w:font="Wingdings 2" w:char="00A3"/>
            </w:r>
            <w:r>
              <w:rPr>
                <w:rFonts w:hint="eastAsia"/>
                <w:sz w:val="20"/>
                <w:szCs w:val="20"/>
                <w:lang w:eastAsia="zh-CN"/>
              </w:rPr>
              <w:t>；源头控制</w:t>
            </w:r>
            <w:r>
              <w:rPr>
                <w:rFonts w:hint="default"/>
                <w:sz w:val="20"/>
                <w:szCs w:val="20"/>
                <w:lang w:val="en-US" w:eastAsia="zh-CN"/>
              </w:rPr>
              <w:sym w:font="Wingdings 2" w:char="0052"/>
            </w:r>
            <w:r>
              <w:rPr>
                <w:rFonts w:hint="eastAsia"/>
                <w:sz w:val="20"/>
                <w:szCs w:val="20"/>
                <w:lang w:eastAsia="zh-CN"/>
              </w:rPr>
              <w:t>；过程防控</w:t>
            </w:r>
            <w:r>
              <w:rPr>
                <w:rFonts w:hint="default"/>
                <w:sz w:val="20"/>
                <w:szCs w:val="20"/>
                <w:lang w:val="en-US" w:eastAsia="zh-CN"/>
              </w:rPr>
              <w:sym w:font="Wingdings 2" w:char="0052"/>
            </w:r>
            <w:r>
              <w:rPr>
                <w:rFonts w:hint="eastAsia"/>
                <w:sz w:val="20"/>
                <w:szCs w:val="20"/>
                <w:lang w:eastAsia="zh-CN"/>
              </w:rPr>
              <w:t>；其他（</w:t>
            </w:r>
            <w:r>
              <w:rPr>
                <w:rFonts w:hint="eastAsia"/>
                <w:sz w:val="20"/>
                <w:szCs w:val="20"/>
                <w:lang w:val="en-US" w:eastAsia="zh-CN"/>
              </w:rPr>
              <w:t xml:space="preserve">    ）</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跟踪监测</w:t>
            </w:r>
          </w:p>
        </w:tc>
        <w:tc>
          <w:tcPr>
            <w:tcW w:w="752"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监测点数</w:t>
            </w:r>
          </w:p>
        </w:tc>
        <w:tc>
          <w:tcPr>
            <w:tcW w:w="1453"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监测指标</w:t>
            </w:r>
          </w:p>
        </w:tc>
        <w:tc>
          <w:tcPr>
            <w:tcW w:w="935"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监测频次</w:t>
            </w:r>
          </w:p>
        </w:tc>
        <w:tc>
          <w:tcPr>
            <w:tcW w:w="671" w:type="pct"/>
            <w:vMerge w:val="restar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p>
        </w:tc>
        <w:tc>
          <w:tcPr>
            <w:tcW w:w="752"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不设</w:t>
            </w:r>
          </w:p>
        </w:tc>
        <w:tc>
          <w:tcPr>
            <w:tcW w:w="1453"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w:t>
            </w:r>
          </w:p>
        </w:tc>
        <w:tc>
          <w:tcPr>
            <w:tcW w:w="935"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w:t>
            </w:r>
          </w:p>
        </w:tc>
        <w:tc>
          <w:tcPr>
            <w:tcW w:w="671"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92"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rPr>
            </w:pPr>
          </w:p>
        </w:tc>
        <w:tc>
          <w:tcPr>
            <w:tcW w:w="995"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val="en-US" w:eastAsia="zh-CN"/>
              </w:rPr>
            </w:pPr>
            <w:r>
              <w:rPr>
                <w:rFonts w:hint="eastAsia"/>
                <w:sz w:val="20"/>
                <w:szCs w:val="20"/>
                <w:lang w:val="en-US" w:eastAsia="zh-CN"/>
              </w:rPr>
              <w:t>信息公开指标</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w:t>
            </w:r>
          </w:p>
        </w:tc>
        <w:tc>
          <w:tcPr>
            <w:tcW w:w="671" w:type="pct"/>
            <w:vMerge w:val="continue"/>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rPr>
        <w:tc>
          <w:tcPr>
            <w:tcW w:w="1188" w:type="pct"/>
            <w:gridSpan w:val="2"/>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default"/>
                <w:sz w:val="20"/>
                <w:szCs w:val="20"/>
                <w:lang w:val="en-US" w:eastAsia="zh-CN"/>
              </w:rPr>
            </w:pPr>
            <w:r>
              <w:rPr>
                <w:rFonts w:hint="eastAsia"/>
                <w:sz w:val="20"/>
                <w:szCs w:val="20"/>
                <w:lang w:val="en-US" w:eastAsia="zh-CN"/>
              </w:rPr>
              <w:t>评价结论</w:t>
            </w:r>
          </w:p>
        </w:tc>
        <w:tc>
          <w:tcPr>
            <w:tcW w:w="3140" w:type="pct"/>
            <w:gridSpan w:val="6"/>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jc w:val="left"/>
              <w:textAlignment w:val="baseline"/>
              <w:rPr>
                <w:rFonts w:hint="eastAsia"/>
                <w:sz w:val="20"/>
                <w:szCs w:val="20"/>
                <w:lang w:eastAsia="zh-CN"/>
              </w:rPr>
            </w:pPr>
            <w:r>
              <w:rPr>
                <w:rFonts w:hint="eastAsia"/>
                <w:sz w:val="20"/>
                <w:szCs w:val="20"/>
                <w:lang w:eastAsia="zh-CN"/>
              </w:rPr>
              <w:t>本项目在做好大气扬尘污染防控、场地防渗、风险防范和日常环境管理的基础上，本项目的土壤环境影响可以接受。</w:t>
            </w:r>
          </w:p>
        </w:tc>
        <w:tc>
          <w:tcPr>
            <w:tcW w:w="671" w:type="pct"/>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textAlignment w:val="baseline"/>
              <w:rPr>
                <w:rFonts w:hint="eastAsia"/>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5000" w:type="pct"/>
            <w:gridSpan w:val="9"/>
            <w:vAlign w:val="center"/>
          </w:tcPr>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jc w:val="left"/>
              <w:textAlignment w:val="baseline"/>
              <w:rPr>
                <w:rFonts w:hint="eastAsia"/>
                <w:sz w:val="20"/>
                <w:szCs w:val="20"/>
                <w:lang w:val="en-US" w:eastAsia="zh-CN"/>
              </w:rPr>
            </w:pPr>
            <w:r>
              <w:rPr>
                <w:rFonts w:hint="eastAsia"/>
                <w:sz w:val="20"/>
                <w:szCs w:val="20"/>
                <w:lang w:val="en-US" w:eastAsia="zh-CN"/>
              </w:rPr>
              <w:t>注1：“</w:t>
            </w:r>
            <w:r>
              <w:rPr>
                <w:rFonts w:hint="default"/>
                <w:sz w:val="20"/>
                <w:szCs w:val="20"/>
                <w:lang w:val="en-US" w:eastAsia="zh-CN"/>
              </w:rPr>
              <w:sym w:font="Wingdings 2" w:char="00A3"/>
            </w:r>
            <w:r>
              <w:rPr>
                <w:rFonts w:hint="eastAsia"/>
                <w:sz w:val="20"/>
                <w:szCs w:val="20"/>
                <w:lang w:eastAsia="zh-CN"/>
              </w:rPr>
              <w:t>”</w:t>
            </w:r>
            <w:r>
              <w:rPr>
                <w:rFonts w:hint="eastAsia"/>
                <w:sz w:val="20"/>
                <w:szCs w:val="20"/>
                <w:lang w:val="en-US" w:eastAsia="zh-CN"/>
              </w:rPr>
              <w:t>为勾选项，可</w:t>
            </w:r>
            <w:r>
              <w:rPr>
                <w:rFonts w:hint="default"/>
                <w:sz w:val="20"/>
                <w:szCs w:val="20"/>
                <w:lang w:val="en-US" w:eastAsia="zh-CN"/>
              </w:rPr>
              <w:t>√</w:t>
            </w:r>
            <w:r>
              <w:rPr>
                <w:rFonts w:hint="eastAsia"/>
                <w:sz w:val="20"/>
                <w:szCs w:val="20"/>
                <w:lang w:val="en-US" w:eastAsia="zh-CN"/>
              </w:rPr>
              <w:t>；“（   ）”为内容填写项；“备注”为其他补充内容。</w:t>
            </w:r>
          </w:p>
          <w:p>
            <w:pPr>
              <w:pStyle w:val="24"/>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ind w:left="0" w:right="0"/>
              <w:jc w:val="left"/>
              <w:textAlignment w:val="baseline"/>
              <w:rPr>
                <w:rFonts w:hint="default"/>
                <w:sz w:val="20"/>
                <w:szCs w:val="20"/>
                <w:lang w:val="en-US" w:eastAsia="zh-CN"/>
              </w:rPr>
            </w:pPr>
            <w:r>
              <w:rPr>
                <w:rFonts w:hint="eastAsia"/>
                <w:sz w:val="20"/>
                <w:szCs w:val="20"/>
                <w:lang w:val="en-US" w:eastAsia="zh-CN"/>
              </w:rPr>
              <w:t>注2：需要分别开展土壤环境影响评价工作的，分别填写自查表。</w:t>
            </w:r>
          </w:p>
        </w:tc>
      </w:tr>
    </w:tbl>
    <w:p>
      <w:pPr>
        <w:pStyle w:val="6"/>
        <w:bidi w:val="0"/>
        <w:rPr>
          <w:rFonts w:hint="eastAsia"/>
          <w:color w:val="auto"/>
          <w:highlight w:val="none"/>
        </w:rPr>
      </w:pPr>
      <w:r>
        <w:rPr>
          <w:rFonts w:hint="eastAsia"/>
          <w:color w:val="auto"/>
          <w:highlight w:val="none"/>
          <w:lang w:val="en-US" w:eastAsia="zh-CN"/>
        </w:rPr>
        <w:t>环境风险分析与评价</w:t>
      </w:r>
    </w:p>
    <w:p>
      <w:pPr>
        <w:pStyle w:val="7"/>
        <w:bidi w:val="0"/>
        <w:rPr>
          <w:color w:val="auto"/>
          <w:highlight w:val="none"/>
        </w:rPr>
      </w:pPr>
      <w:r>
        <w:rPr>
          <w:rFonts w:hint="eastAsia"/>
          <w:color w:val="auto"/>
          <w:highlight w:val="none"/>
          <w:lang w:val="en-US" w:eastAsia="zh-CN"/>
        </w:rPr>
        <w:t>环境风险调查</w:t>
      </w:r>
    </w:p>
    <w:p>
      <w:pPr>
        <w:pStyle w:val="4"/>
        <w:bidi w:val="0"/>
        <w:rPr>
          <w:rFonts w:hint="eastAsia"/>
          <w:color w:val="auto"/>
          <w:highlight w:val="none"/>
        </w:rPr>
      </w:pPr>
      <w:r>
        <w:rPr>
          <w:rFonts w:hint="eastAsia"/>
          <w:color w:val="auto"/>
          <w:highlight w:val="none"/>
        </w:rPr>
        <w:t>本项目为利用历史遗留的废弃采砂坑</w:t>
      </w:r>
      <w:r>
        <w:rPr>
          <w:rFonts w:hint="eastAsia"/>
          <w:color w:val="auto"/>
          <w:highlight w:val="none"/>
          <w:lang w:val="en-US" w:eastAsia="zh-CN"/>
        </w:rPr>
        <w:t>回填粉煤灰和炉渣</w:t>
      </w:r>
      <w:r>
        <w:rPr>
          <w:rFonts w:hint="eastAsia"/>
          <w:color w:val="auto"/>
          <w:highlight w:val="none"/>
        </w:rPr>
        <w:t>，</w:t>
      </w:r>
      <w:r>
        <w:rPr>
          <w:rFonts w:hint="eastAsia"/>
          <w:color w:val="auto"/>
          <w:highlight w:val="none"/>
          <w:lang w:val="en-US" w:eastAsia="zh-CN"/>
        </w:rPr>
        <w:t>不涉及危险化学品、易燃易爆等环境风险物质</w:t>
      </w:r>
      <w:r>
        <w:rPr>
          <w:rFonts w:hint="eastAsia"/>
          <w:color w:val="auto"/>
          <w:highlight w:val="none"/>
          <w:lang w:eastAsia="zh-CN"/>
        </w:rPr>
        <w:t>，</w:t>
      </w:r>
      <w:r>
        <w:rPr>
          <w:rFonts w:hint="eastAsia"/>
          <w:color w:val="auto"/>
          <w:highlight w:val="none"/>
        </w:rPr>
        <w:t>主要环境风险源项</w:t>
      </w:r>
      <w:r>
        <w:rPr>
          <w:rFonts w:hint="eastAsia"/>
          <w:color w:val="auto"/>
          <w:highlight w:val="none"/>
          <w:lang w:val="en-US" w:eastAsia="zh-CN"/>
        </w:rPr>
        <w:t>为</w:t>
      </w:r>
      <w:r>
        <w:rPr>
          <w:rFonts w:hint="eastAsia"/>
          <w:color w:val="auto"/>
          <w:highlight w:val="none"/>
        </w:rPr>
        <w:t>渗滤液</w:t>
      </w:r>
      <w:r>
        <w:rPr>
          <w:rFonts w:hint="eastAsia"/>
          <w:color w:val="auto"/>
          <w:highlight w:val="none"/>
          <w:lang w:val="en-US" w:eastAsia="zh-CN"/>
        </w:rPr>
        <w:t>渗</w:t>
      </w:r>
      <w:r>
        <w:rPr>
          <w:rFonts w:hint="eastAsia"/>
          <w:color w:val="auto"/>
          <w:highlight w:val="none"/>
        </w:rPr>
        <w:t>漏。</w:t>
      </w:r>
    </w:p>
    <w:p>
      <w:pPr>
        <w:pStyle w:val="7"/>
        <w:bidi w:val="0"/>
        <w:rPr>
          <w:color w:val="auto"/>
          <w:highlight w:val="none"/>
        </w:rPr>
      </w:pPr>
      <w:r>
        <w:rPr>
          <w:rFonts w:hint="eastAsia"/>
          <w:color w:val="auto"/>
          <w:highlight w:val="none"/>
          <w:lang w:val="en-US" w:eastAsia="zh-CN"/>
        </w:rPr>
        <w:t>环境风险潜势判断</w:t>
      </w:r>
    </w:p>
    <w:p>
      <w:pPr>
        <w:pStyle w:val="4"/>
        <w:bidi w:val="0"/>
        <w:rPr>
          <w:rFonts w:hint="eastAsia"/>
          <w:color w:val="auto"/>
          <w:highlight w:val="none"/>
        </w:rPr>
      </w:pPr>
      <w:r>
        <w:rPr>
          <w:rFonts w:hint="eastAsia"/>
          <w:color w:val="auto"/>
          <w:highlight w:val="none"/>
        </w:rPr>
        <w:t>根据《建设项目环境风险评价技术导则》（HJ169-2018），建设项目环境风险潜势划分为I、II、II、IV/IV</w:t>
      </w:r>
      <w:r>
        <w:rPr>
          <w:rFonts w:hint="eastAsia"/>
          <w:color w:val="auto"/>
          <w:highlight w:val="none"/>
          <w:vertAlign w:val="superscript"/>
        </w:rPr>
        <w:t>+</w:t>
      </w:r>
      <w:r>
        <w:rPr>
          <w:rFonts w:hint="eastAsia"/>
          <w:color w:val="auto"/>
          <w:highlight w:val="none"/>
        </w:rPr>
        <w:t>级</w:t>
      </w:r>
      <w:r>
        <w:rPr>
          <w:rFonts w:hint="eastAsia"/>
          <w:color w:val="auto"/>
          <w:highlight w:val="none"/>
          <w:lang w:eastAsia="zh-CN"/>
        </w:rPr>
        <w:t>，</w:t>
      </w:r>
      <w:r>
        <w:rPr>
          <w:rFonts w:hint="eastAsia"/>
          <w:color w:val="auto"/>
          <w:highlight w:val="none"/>
        </w:rPr>
        <w:t>本项目不涉及危险化学品、易燃易爆等危险性物质。根据《建设项目环境风险评价技术导则》（HJ/T169-2018），本项目环境风险潜势为</w:t>
      </w:r>
      <w:r>
        <w:rPr>
          <w:rFonts w:hint="default" w:ascii="Times New Roman" w:hAnsi="Times New Roman" w:cs="Times New Roman"/>
          <w:color w:val="auto"/>
          <w:highlight w:val="none"/>
        </w:rPr>
        <w:t>Ⅰ</w:t>
      </w:r>
      <w:r>
        <w:rPr>
          <w:rFonts w:hint="eastAsia"/>
          <w:color w:val="auto"/>
          <w:highlight w:val="none"/>
        </w:rPr>
        <w:t>。环境风险潜势划分依据见下表：</w:t>
      </w:r>
    </w:p>
    <w:p>
      <w:pPr>
        <w:pStyle w:val="22"/>
        <w:bidi w:val="0"/>
      </w:pPr>
      <w:r>
        <w:rPr>
          <w:rFonts w:hint="eastAsia"/>
        </w:rPr>
        <w:t>表</w:t>
      </w:r>
      <w:r>
        <w:rPr>
          <w:rFonts w:hint="eastAsia"/>
          <w:lang w:val="en-US" w:eastAsia="zh-CN"/>
        </w:rPr>
        <w:t>5.2-13</w:t>
      </w:r>
      <w:r>
        <w:rPr>
          <w:rFonts w:hint="eastAsia"/>
        </w:rPr>
        <w:t xml:space="preserve">   </w:t>
      </w:r>
      <w:r>
        <w:t>建设项目环境风险潜势划分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33"/>
        <w:gridCol w:w="1515"/>
        <w:gridCol w:w="1532"/>
        <w:gridCol w:w="1605"/>
        <w:gridCol w:w="16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311"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环境敏感程度（E）</w:t>
            </w:r>
          </w:p>
        </w:tc>
        <w:tc>
          <w:tcPr>
            <w:tcW w:w="3688" w:type="pct"/>
            <w:gridSpan w:val="4"/>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危险物质及工艺系统危害性（P）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311"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极度危害（P1）</w:t>
            </w:r>
          </w:p>
        </w:tc>
        <w:tc>
          <w:tcPr>
            <w:tcW w:w="8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高度危害（P2）</w:t>
            </w:r>
          </w:p>
        </w:tc>
        <w:tc>
          <w:tcPr>
            <w:tcW w:w="94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中度危害（P3）</w:t>
            </w:r>
          </w:p>
        </w:tc>
        <w:tc>
          <w:tcPr>
            <w:tcW w:w="95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轻度危害（</w:t>
            </w:r>
            <w:r>
              <w:rPr>
                <w:rFonts w:hint="default"/>
              </w:rPr>
              <w:t>P4</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1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环境高度敏感区（E1）</w:t>
            </w: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Ⅳ</w:t>
            </w:r>
            <w:r>
              <w:rPr>
                <w:rFonts w:hint="default"/>
                <w:sz w:val="21"/>
                <w:szCs w:val="21"/>
                <w:vertAlign w:val="superscript"/>
              </w:rPr>
              <w:t>+</w:t>
            </w:r>
          </w:p>
        </w:tc>
        <w:tc>
          <w:tcPr>
            <w:tcW w:w="8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Ⅳ</w:t>
            </w:r>
          </w:p>
        </w:tc>
        <w:tc>
          <w:tcPr>
            <w:tcW w:w="94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Ⅲ</w:t>
            </w:r>
          </w:p>
        </w:tc>
        <w:tc>
          <w:tcPr>
            <w:tcW w:w="95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1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环境中度敏感区（E2）</w:t>
            </w: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Ⅳ</w:t>
            </w:r>
          </w:p>
        </w:tc>
        <w:tc>
          <w:tcPr>
            <w:tcW w:w="8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Ⅲ</w:t>
            </w:r>
          </w:p>
        </w:tc>
        <w:tc>
          <w:tcPr>
            <w:tcW w:w="94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Ⅲ</w:t>
            </w:r>
          </w:p>
        </w:tc>
        <w:tc>
          <w:tcPr>
            <w:tcW w:w="95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default"/>
                <w:lang w:eastAsia="zh-CN"/>
              </w:rPr>
              <w:t>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1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环境低度敏感区（E3）</w:t>
            </w:r>
          </w:p>
        </w:tc>
        <w:tc>
          <w:tcPr>
            <w:tcW w:w="8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Ⅲ</w:t>
            </w:r>
          </w:p>
        </w:tc>
        <w:tc>
          <w:tcPr>
            <w:tcW w:w="89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Ⅲ</w:t>
            </w:r>
          </w:p>
        </w:tc>
        <w:tc>
          <w:tcPr>
            <w:tcW w:w="94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default" w:ascii="Times New Roman" w:hAnsi="Times New Roman" w:cs="Times New Roman"/>
                <w:lang w:eastAsia="zh-CN"/>
              </w:rPr>
              <w:t>Ⅱ</w:t>
            </w:r>
          </w:p>
        </w:tc>
        <w:tc>
          <w:tcPr>
            <w:tcW w:w="95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3" w:hRule="atLeast"/>
          <w:jc w:val="center"/>
        </w:trPr>
        <w:tc>
          <w:tcPr>
            <w:tcW w:w="5000" w:type="pct"/>
            <w:gridSpan w:val="5"/>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注：</w:t>
            </w:r>
            <w:r>
              <w:rPr>
                <w:rFonts w:hint="default"/>
              </w:rPr>
              <w:t>Ⅳ+</w:t>
            </w:r>
            <w:r>
              <w:rPr>
                <w:rFonts w:hint="eastAsia"/>
              </w:rPr>
              <w:t>为极高环境风险。</w:t>
            </w:r>
          </w:p>
        </w:tc>
      </w:tr>
    </w:tbl>
    <w:p>
      <w:pPr>
        <w:pStyle w:val="4"/>
        <w:bidi w:val="0"/>
        <w:rPr>
          <w:rFonts w:hint="eastAsia"/>
          <w:color w:val="auto"/>
          <w:highlight w:val="none"/>
        </w:rPr>
      </w:pPr>
      <w:r>
        <w:rPr>
          <w:rFonts w:hint="eastAsia"/>
          <w:color w:val="auto"/>
          <w:highlight w:val="none"/>
        </w:rPr>
        <w:t>根据《建设项目环境风险评价技术导则》（HJ169-2018）评价工作等级划分要求，确定本项目环境风险评价等级为</w:t>
      </w:r>
      <w:r>
        <w:rPr>
          <w:rFonts w:hint="eastAsia"/>
          <w:color w:val="auto"/>
          <w:highlight w:val="none"/>
          <w:lang w:eastAsia="zh-CN"/>
        </w:rPr>
        <w:t>“</w:t>
      </w:r>
      <w:r>
        <w:rPr>
          <w:rFonts w:hint="eastAsia"/>
          <w:color w:val="auto"/>
          <w:highlight w:val="none"/>
        </w:rPr>
        <w:t>简单分析</w:t>
      </w:r>
      <w:r>
        <w:rPr>
          <w:rFonts w:hint="eastAsia"/>
          <w:color w:val="auto"/>
          <w:highlight w:val="none"/>
          <w:lang w:eastAsia="zh-CN"/>
        </w:rPr>
        <w:t>”</w:t>
      </w:r>
      <w:r>
        <w:rPr>
          <w:rFonts w:hint="eastAsia"/>
          <w:color w:val="auto"/>
          <w:highlight w:val="none"/>
        </w:rPr>
        <w:t>。环境风险等级判定</w:t>
      </w:r>
      <w:r>
        <w:rPr>
          <w:rFonts w:hint="eastAsia"/>
          <w:color w:val="auto"/>
          <w:highlight w:val="none"/>
          <w:lang w:val="en-US" w:eastAsia="zh-CN"/>
        </w:rPr>
        <w:t>依据</w:t>
      </w:r>
      <w:r>
        <w:rPr>
          <w:rFonts w:hint="eastAsia"/>
          <w:color w:val="auto"/>
          <w:highlight w:val="none"/>
        </w:rPr>
        <w:t>见下表：</w:t>
      </w:r>
    </w:p>
    <w:p>
      <w:pPr>
        <w:pStyle w:val="22"/>
        <w:bidi w:val="0"/>
      </w:pPr>
      <w:r>
        <w:rPr>
          <w:rFonts w:hint="eastAsia"/>
        </w:rPr>
        <w:t>表</w:t>
      </w:r>
      <w:r>
        <w:rPr>
          <w:rFonts w:hint="eastAsia"/>
          <w:lang w:val="en-US" w:eastAsia="zh-CN"/>
        </w:rPr>
        <w:t>5.2-14</w:t>
      </w:r>
      <w:r>
        <w:rPr>
          <w:rFonts w:hint="eastAsia"/>
        </w:rPr>
        <w:t xml:space="preserve">    </w:t>
      </w:r>
      <w:r>
        <w:t>环境风险评价工作等级划分表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81"/>
        <w:gridCol w:w="1493"/>
        <w:gridCol w:w="1786"/>
        <w:gridCol w:w="1786"/>
        <w:gridCol w:w="16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环境风险潜势</w:t>
            </w:r>
          </w:p>
        </w:tc>
        <w:tc>
          <w:tcPr>
            <w:tcW w:w="87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IV、IV</w:t>
            </w:r>
            <w:r>
              <w:rPr>
                <w:rFonts w:hint="default"/>
                <w:vertAlign w:val="superscript"/>
              </w:rPr>
              <w:t>+</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III</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eastAsia="zh-CN"/>
              </w:rPr>
            </w:pPr>
            <w:r>
              <w:rPr>
                <w:rFonts w:hint="default" w:ascii="Times New Roman" w:hAnsi="Times New Roman" w:cs="Times New Roman"/>
                <w:lang w:eastAsia="zh-CN"/>
              </w:rPr>
              <w:t>Ⅱ</w:t>
            </w:r>
          </w:p>
        </w:tc>
        <w:tc>
          <w:tcPr>
            <w:tcW w:w="98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I</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评价工作等级</w:t>
            </w:r>
          </w:p>
        </w:tc>
        <w:tc>
          <w:tcPr>
            <w:tcW w:w="87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一</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二</w:t>
            </w:r>
          </w:p>
        </w:tc>
        <w:tc>
          <w:tcPr>
            <w:tcW w:w="10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三</w:t>
            </w:r>
          </w:p>
        </w:tc>
        <w:tc>
          <w:tcPr>
            <w:tcW w:w="98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简单分析a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rPr>
            </w:pPr>
            <w:r>
              <w:rPr>
                <w:rFonts w:hint="default"/>
              </w:rPr>
              <w:t>a是相对于详细评价工作内容而言，在描述危险物质、环境影响途径、环境危险后果、风险防范措施等方面给出定性的说明。</w:t>
            </w:r>
          </w:p>
        </w:tc>
      </w:tr>
    </w:tbl>
    <w:p>
      <w:pPr>
        <w:pStyle w:val="7"/>
        <w:bidi w:val="0"/>
        <w:rPr>
          <w:color w:val="auto"/>
          <w:highlight w:val="none"/>
        </w:rPr>
      </w:pPr>
      <w:r>
        <w:rPr>
          <w:rFonts w:hint="eastAsia"/>
          <w:color w:val="auto"/>
          <w:highlight w:val="none"/>
          <w:lang w:val="en-US" w:eastAsia="zh-CN"/>
        </w:rPr>
        <w:t>环境风险分析</w:t>
      </w:r>
    </w:p>
    <w:p>
      <w:pPr>
        <w:pStyle w:val="4"/>
        <w:bidi w:val="0"/>
        <w:rPr>
          <w:rFonts w:hint="eastAsia"/>
          <w:color w:val="auto"/>
          <w:highlight w:val="none"/>
        </w:rPr>
      </w:pPr>
      <w:r>
        <w:rPr>
          <w:rFonts w:hint="eastAsia"/>
          <w:color w:val="auto"/>
          <w:highlight w:val="none"/>
        </w:rPr>
        <w:t>根据项目的工程特点，并结合项目所处区域环境，确定本项目的环境风险因素为填埋</w:t>
      </w:r>
      <w:r>
        <w:rPr>
          <w:rFonts w:hint="eastAsia"/>
          <w:color w:val="auto"/>
          <w:highlight w:val="none"/>
          <w:lang w:val="en-US" w:eastAsia="zh-CN"/>
        </w:rPr>
        <w:t>区</w:t>
      </w:r>
      <w:r>
        <w:rPr>
          <w:rFonts w:hint="eastAsia"/>
          <w:color w:val="auto"/>
          <w:highlight w:val="none"/>
        </w:rPr>
        <w:t>渗滤液发生</w:t>
      </w:r>
      <w:r>
        <w:rPr>
          <w:rFonts w:hint="eastAsia"/>
          <w:color w:val="auto"/>
          <w:highlight w:val="none"/>
          <w:lang w:val="en-US" w:eastAsia="zh-CN"/>
        </w:rPr>
        <w:t>渗</w:t>
      </w:r>
      <w:r>
        <w:rPr>
          <w:rFonts w:hint="eastAsia"/>
          <w:color w:val="auto"/>
          <w:highlight w:val="none"/>
        </w:rPr>
        <w:t>漏，进而污染</w:t>
      </w:r>
      <w:r>
        <w:rPr>
          <w:rFonts w:hint="eastAsia"/>
          <w:color w:val="auto"/>
          <w:highlight w:val="none"/>
          <w:lang w:val="en-US" w:eastAsia="zh-CN"/>
        </w:rPr>
        <w:t>土壤和</w:t>
      </w:r>
      <w:r>
        <w:rPr>
          <w:rFonts w:hint="eastAsia"/>
          <w:color w:val="auto"/>
          <w:highlight w:val="none"/>
        </w:rPr>
        <w:t>地下水。</w:t>
      </w:r>
    </w:p>
    <w:p>
      <w:pPr>
        <w:pStyle w:val="4"/>
        <w:ind w:firstLine="480"/>
        <w:rPr>
          <w:rFonts w:hint="eastAsia"/>
          <w:color w:val="auto"/>
          <w:highlight w:val="none"/>
          <w:lang w:val="en-US" w:eastAsia="zh-CN"/>
        </w:rPr>
      </w:pPr>
      <w:r>
        <w:rPr>
          <w:rFonts w:hint="eastAsia"/>
          <w:color w:val="auto"/>
          <w:highlight w:val="none"/>
          <w:lang w:val="en-US" w:eastAsia="zh-CN"/>
        </w:rPr>
        <w:t>根据《一般工业固体废物贮存和填埋污染控制标准》（GB18599-2020），本项目属于回填项目，在回填活动进行前，已经进行场地环境调查，委托博奇清新环境检测有限公司对污染场地及周围背景点时行了现场监测，监测结果显示土壤现状可满足《土壤环境质量 建设用地土壤污染风险管控标准（试行）》（GB36600-2018）第二类工业用地筛选值要求。针对填埋区可能发生的渗滤风险，按</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类填埋场防渗要求，对库底和边坡进行防渗，确保环境风险在可控范围内。通过地下水影响分析，</w:t>
      </w:r>
      <w:r>
        <w:rPr>
          <w:color w:val="auto"/>
          <w:highlight w:val="none"/>
        </w:rPr>
        <w:t>在假定</w:t>
      </w:r>
      <w:r>
        <w:rPr>
          <w:rFonts w:hint="eastAsia"/>
          <w:color w:val="auto"/>
          <w:highlight w:val="none"/>
          <w:lang w:val="en-US" w:eastAsia="zh-CN"/>
        </w:rPr>
        <w:t>填埋堆体防渗层老化、破裂导致雨水渗滤液全部进入地下水的情</w:t>
      </w:r>
      <w:r>
        <w:rPr>
          <w:color w:val="auto"/>
          <w:highlight w:val="none"/>
        </w:rPr>
        <w:t>况下，</w:t>
      </w:r>
      <w:r>
        <w:rPr>
          <w:rFonts w:hint="eastAsia"/>
          <w:color w:val="auto"/>
          <w:highlight w:val="none"/>
          <w:lang w:val="en-US" w:eastAsia="zh-CN"/>
        </w:rPr>
        <w:t>在预测期100d、1000d和3650d内，下游区域始终</w:t>
      </w:r>
      <w:r>
        <w:rPr>
          <w:rFonts w:hint="eastAsia"/>
          <w:color w:val="auto"/>
          <w:highlight w:val="none"/>
        </w:rPr>
        <w:t>未出现超标，</w:t>
      </w:r>
      <w:r>
        <w:rPr>
          <w:color w:val="auto"/>
          <w:highlight w:val="none"/>
        </w:rPr>
        <w:t>在预测期</w:t>
      </w:r>
      <w:r>
        <w:rPr>
          <w:rFonts w:hint="eastAsia"/>
          <w:color w:val="auto"/>
          <w:highlight w:val="none"/>
        </w:rPr>
        <w:t>3650d</w:t>
      </w:r>
      <w:r>
        <w:rPr>
          <w:color w:val="auto"/>
          <w:highlight w:val="none"/>
        </w:rPr>
        <w:t>内泄漏废水污染物影响范围主要集中在地下水下游距泄漏点</w:t>
      </w:r>
      <w:r>
        <w:rPr>
          <w:rFonts w:hint="eastAsia"/>
          <w:color w:val="auto"/>
          <w:highlight w:val="none"/>
          <w:lang w:val="en-US" w:eastAsia="zh-CN"/>
        </w:rPr>
        <w:t>2400</w:t>
      </w:r>
      <w:r>
        <w:rPr>
          <w:color w:val="auto"/>
          <w:highlight w:val="none"/>
        </w:rPr>
        <w:t>m范围内，根据现场调查结果</w:t>
      </w:r>
      <w:r>
        <w:rPr>
          <w:rFonts w:hint="eastAsia"/>
          <w:color w:val="auto"/>
          <w:highlight w:val="none"/>
        </w:rPr>
        <w:t>，该</w:t>
      </w:r>
      <w:r>
        <w:rPr>
          <w:color w:val="auto"/>
          <w:highlight w:val="none"/>
        </w:rPr>
        <w:t>范围内无居民饮用水</w:t>
      </w:r>
      <w:r>
        <w:rPr>
          <w:rFonts w:hint="eastAsia"/>
          <w:color w:val="auto"/>
          <w:highlight w:val="none"/>
        </w:rPr>
        <w:t>取水</w:t>
      </w:r>
      <w:r>
        <w:rPr>
          <w:color w:val="auto"/>
          <w:highlight w:val="none"/>
        </w:rPr>
        <w:t>井</w:t>
      </w:r>
      <w:r>
        <w:rPr>
          <w:rFonts w:hint="eastAsia"/>
          <w:color w:val="auto"/>
          <w:highlight w:val="none"/>
          <w:lang w:eastAsia="zh-CN"/>
        </w:rPr>
        <w:t>。</w:t>
      </w:r>
      <w:r>
        <w:rPr>
          <w:rFonts w:hint="eastAsia"/>
          <w:color w:val="auto"/>
          <w:highlight w:val="none"/>
          <w:lang w:val="en-US" w:eastAsia="zh-CN"/>
        </w:rPr>
        <w:t>本项目在地下水评价范围内始终满足《地下水质量标准》（GB/T14848-2017）</w:t>
      </w:r>
      <w:r>
        <w:rPr>
          <w:rFonts w:hint="default" w:ascii="Times New Roman" w:hAnsi="Times New Roman" w:cs="Times New Roman"/>
          <w:color w:val="auto"/>
          <w:highlight w:val="none"/>
          <w:lang w:val="en-US" w:eastAsia="zh-CN"/>
        </w:rPr>
        <w:t>Ⅲ</w:t>
      </w:r>
      <w:r>
        <w:rPr>
          <w:rFonts w:hint="eastAsia"/>
          <w:color w:val="auto"/>
          <w:highlight w:val="none"/>
          <w:lang w:val="en-US" w:eastAsia="zh-CN"/>
        </w:rPr>
        <w:t>类标准要求，对灌溉水井影响较小。</w:t>
      </w:r>
    </w:p>
    <w:p>
      <w:pPr>
        <w:pStyle w:val="7"/>
        <w:bidi w:val="0"/>
        <w:rPr>
          <w:color w:val="auto"/>
          <w:highlight w:val="none"/>
        </w:rPr>
      </w:pPr>
      <w:r>
        <w:rPr>
          <w:color w:val="auto"/>
          <w:highlight w:val="none"/>
        </w:rPr>
        <w:fldChar w:fldCharType="begin"/>
      </w:r>
      <w:r>
        <w:rPr>
          <w:color w:val="auto"/>
          <w:highlight w:val="none"/>
        </w:rPr>
        <w:instrText xml:space="preserve"> HYPERLINK \l "_Toc409" </w:instrText>
      </w:r>
      <w:r>
        <w:rPr>
          <w:color w:val="auto"/>
          <w:highlight w:val="none"/>
        </w:rPr>
        <w:fldChar w:fldCharType="separate"/>
      </w:r>
      <w:r>
        <w:rPr>
          <w:color w:val="auto"/>
          <w:highlight w:val="none"/>
        </w:rPr>
        <w:t>环境风险</w:t>
      </w:r>
      <w:r>
        <w:rPr>
          <w:rFonts w:hint="eastAsia"/>
          <w:color w:val="auto"/>
          <w:highlight w:val="none"/>
          <w:lang w:val="en-US" w:eastAsia="zh-CN"/>
        </w:rPr>
        <w:t>影响评价</w:t>
      </w:r>
      <w:r>
        <w:rPr>
          <w:color w:val="auto"/>
          <w:highlight w:val="none"/>
        </w:rPr>
        <w:t>结论</w:t>
      </w:r>
      <w:r>
        <w:rPr>
          <w:color w:val="auto"/>
          <w:highlight w:val="none"/>
        </w:rPr>
        <w:fldChar w:fldCharType="end"/>
      </w:r>
    </w:p>
    <w:p>
      <w:pPr>
        <w:pStyle w:val="4"/>
        <w:bidi w:val="0"/>
        <w:rPr>
          <w:rFonts w:hint="eastAsia"/>
          <w:color w:val="auto"/>
          <w:highlight w:val="none"/>
        </w:rPr>
      </w:pPr>
      <w:r>
        <w:rPr>
          <w:rFonts w:hint="eastAsia"/>
          <w:color w:val="auto"/>
          <w:highlight w:val="none"/>
          <w:lang w:val="en-US" w:eastAsia="zh-CN"/>
        </w:rPr>
        <w:t>通过定性分析典型事故对环境造成的风险影响程度，</w:t>
      </w:r>
      <w:r>
        <w:rPr>
          <w:rFonts w:hint="eastAsia"/>
          <w:color w:val="auto"/>
          <w:highlight w:val="none"/>
        </w:rPr>
        <w:t>针对本项目</w:t>
      </w:r>
      <w:r>
        <w:rPr>
          <w:rFonts w:hint="eastAsia"/>
          <w:color w:val="auto"/>
          <w:highlight w:val="none"/>
          <w:lang w:val="en-US" w:eastAsia="zh-CN"/>
        </w:rPr>
        <w:t>可能造成</w:t>
      </w:r>
      <w:r>
        <w:rPr>
          <w:rFonts w:hint="eastAsia"/>
          <w:color w:val="auto"/>
          <w:highlight w:val="none"/>
        </w:rPr>
        <w:t>的各类风险</w:t>
      </w:r>
      <w:r>
        <w:rPr>
          <w:rFonts w:hint="eastAsia"/>
          <w:color w:val="auto"/>
          <w:highlight w:val="none"/>
          <w:lang w:val="en-US" w:eastAsia="zh-CN"/>
        </w:rPr>
        <w:t>事故</w:t>
      </w:r>
      <w:r>
        <w:rPr>
          <w:rFonts w:hint="eastAsia"/>
          <w:color w:val="auto"/>
          <w:highlight w:val="none"/>
        </w:rPr>
        <w:t>，提出了相关预防及应急</w:t>
      </w:r>
      <w:r>
        <w:rPr>
          <w:rFonts w:hint="eastAsia"/>
          <w:color w:val="auto"/>
          <w:highlight w:val="none"/>
          <w:lang w:val="en-US" w:eastAsia="zh-CN"/>
        </w:rPr>
        <w:t>管理</w:t>
      </w:r>
      <w:r>
        <w:rPr>
          <w:rFonts w:hint="eastAsia"/>
          <w:color w:val="auto"/>
          <w:highlight w:val="none"/>
        </w:rPr>
        <w:t>措施</w:t>
      </w:r>
      <w:r>
        <w:rPr>
          <w:rFonts w:hint="eastAsia"/>
          <w:color w:val="auto"/>
          <w:highlight w:val="none"/>
          <w:lang w:eastAsia="zh-CN"/>
        </w:rPr>
        <w:t>（</w:t>
      </w:r>
      <w:r>
        <w:rPr>
          <w:rFonts w:hint="eastAsia"/>
          <w:color w:val="auto"/>
          <w:highlight w:val="none"/>
          <w:lang w:val="en-US" w:eastAsia="zh-CN"/>
        </w:rPr>
        <w:t>见第6章，风险管理措施章节）</w:t>
      </w:r>
      <w:r>
        <w:rPr>
          <w:rFonts w:hint="eastAsia"/>
          <w:color w:val="auto"/>
          <w:highlight w:val="none"/>
        </w:rPr>
        <w:t>，</w:t>
      </w:r>
      <w:r>
        <w:rPr>
          <w:rFonts w:hint="eastAsia"/>
          <w:color w:val="auto"/>
          <w:highlight w:val="none"/>
          <w:lang w:val="en-US" w:eastAsia="zh-CN"/>
        </w:rPr>
        <w:t>企业应</w:t>
      </w:r>
      <w:r>
        <w:rPr>
          <w:rFonts w:hint="eastAsia"/>
          <w:color w:val="auto"/>
          <w:highlight w:val="none"/>
        </w:rPr>
        <w:t>在加强生产</w:t>
      </w:r>
      <w:r>
        <w:rPr>
          <w:rFonts w:hint="eastAsia"/>
          <w:color w:val="auto"/>
          <w:highlight w:val="none"/>
          <w:lang w:val="en-US" w:eastAsia="zh-CN"/>
        </w:rPr>
        <w:t>及环境</w:t>
      </w:r>
      <w:r>
        <w:rPr>
          <w:rFonts w:hint="eastAsia"/>
          <w:color w:val="auto"/>
          <w:highlight w:val="none"/>
        </w:rPr>
        <w:t>管理的</w:t>
      </w:r>
      <w:r>
        <w:rPr>
          <w:rFonts w:hint="eastAsia"/>
          <w:color w:val="auto"/>
          <w:highlight w:val="none"/>
          <w:lang w:val="en-US" w:eastAsia="zh-CN"/>
        </w:rPr>
        <w:t>前提</w:t>
      </w:r>
      <w:r>
        <w:rPr>
          <w:rFonts w:hint="eastAsia"/>
          <w:color w:val="auto"/>
          <w:highlight w:val="none"/>
        </w:rPr>
        <w:t>下，严格</w:t>
      </w:r>
      <w:r>
        <w:rPr>
          <w:rFonts w:hint="eastAsia"/>
          <w:color w:val="auto"/>
          <w:highlight w:val="none"/>
          <w:lang w:val="en-US" w:eastAsia="zh-CN"/>
        </w:rPr>
        <w:t>执行风险</w:t>
      </w:r>
      <w:r>
        <w:rPr>
          <w:rFonts w:hint="eastAsia"/>
          <w:color w:val="auto"/>
          <w:highlight w:val="none"/>
        </w:rPr>
        <w:t>防范措施</w:t>
      </w:r>
      <w:r>
        <w:rPr>
          <w:rFonts w:hint="eastAsia"/>
          <w:color w:val="auto"/>
          <w:highlight w:val="none"/>
          <w:lang w:eastAsia="zh-CN"/>
        </w:rPr>
        <w:t>，</w:t>
      </w:r>
      <w:r>
        <w:rPr>
          <w:rFonts w:hint="eastAsia"/>
          <w:color w:val="auto"/>
          <w:highlight w:val="none"/>
          <w:lang w:val="en-US" w:eastAsia="zh-CN"/>
        </w:rPr>
        <w:t>加强事故应急演练</w:t>
      </w:r>
      <w:r>
        <w:rPr>
          <w:rFonts w:hint="eastAsia"/>
          <w:color w:val="auto"/>
          <w:highlight w:val="none"/>
        </w:rPr>
        <w:t>，认真落实相关环保规定。在采取上述措施后，本项目环境风险影响程度可接受。</w:t>
      </w:r>
    </w:p>
    <w:p>
      <w:pPr>
        <w:pStyle w:val="22"/>
        <w:bidi w:val="0"/>
        <w:rPr>
          <w:rFonts w:hint="eastAsia"/>
          <w:lang w:val="en-US" w:eastAsia="zh-CN"/>
        </w:rPr>
      </w:pPr>
      <w:r>
        <w:rPr>
          <w:rFonts w:hint="eastAsia"/>
          <w:lang w:val="en-US" w:eastAsia="zh-CN"/>
        </w:rPr>
        <w:t>表5.2-15     环境风险简单分析表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747"/>
        <w:gridCol w:w="1747"/>
        <w:gridCol w:w="1747"/>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建设项目名称</w:t>
            </w:r>
          </w:p>
        </w:tc>
        <w:tc>
          <w:tcPr>
            <w:tcW w:w="4099" w:type="pct"/>
            <w:gridSpan w:val="4"/>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灰渣倾倒场地治理项目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0"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建设地点</w:t>
            </w:r>
          </w:p>
        </w:tc>
        <w:tc>
          <w:tcPr>
            <w:tcW w:w="4099" w:type="pct"/>
            <w:gridSpan w:val="4"/>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奇台县吉布库镇达坂河村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地理坐标</w:t>
            </w:r>
          </w:p>
        </w:tc>
        <w:tc>
          <w:tcPr>
            <w:tcW w:w="1024" w:type="pct"/>
            <w:vAlign w:val="center"/>
          </w:tcPr>
          <w:p>
            <w:pPr>
              <w:pStyle w:val="24"/>
              <w:keepNext w:val="0"/>
              <w:keepLines w:val="0"/>
              <w:suppressLineNumbers w:val="0"/>
              <w:bidi w:val="0"/>
              <w:spacing w:before="0" w:beforeAutospacing="0" w:after="0" w:afterAutospacing="0"/>
              <w:ind w:left="0" w:right="0"/>
              <w:rPr>
                <w:rFonts w:hint="eastAsia"/>
              </w:rPr>
            </w:pPr>
            <w:r>
              <w:rPr>
                <w:rFonts w:hint="eastAsia"/>
              </w:rPr>
              <w:t>经度</w:t>
            </w:r>
          </w:p>
        </w:tc>
        <w:tc>
          <w:tcPr>
            <w:tcW w:w="1024" w:type="pct"/>
            <w:vAlign w:val="center"/>
          </w:tcPr>
          <w:p>
            <w:pPr>
              <w:pStyle w:val="24"/>
              <w:keepNext w:val="0"/>
              <w:keepLines w:val="0"/>
              <w:suppressLineNumbers w:val="0"/>
              <w:bidi w:val="0"/>
              <w:spacing w:before="0" w:beforeAutospacing="0" w:after="0" w:afterAutospacing="0"/>
              <w:ind w:left="0" w:right="0"/>
              <w:rPr>
                <w:rFonts w:hint="default"/>
              </w:rPr>
            </w:pPr>
            <w:r>
              <w:rPr>
                <w:rFonts w:hint="default"/>
                <w:lang w:val="en-US" w:eastAsia="zh-CN"/>
              </w:rPr>
              <w:t>89°30′</w:t>
            </w:r>
            <w:r>
              <w:rPr>
                <w:rFonts w:hint="eastAsia"/>
                <w:lang w:val="en-US" w:eastAsia="zh-CN"/>
              </w:rPr>
              <w:t>22.725</w:t>
            </w:r>
            <w:r>
              <w:rPr>
                <w:rFonts w:hint="default"/>
                <w:lang w:val="en-US" w:eastAsia="zh-CN"/>
              </w:rPr>
              <w:t>″</w:t>
            </w:r>
          </w:p>
        </w:tc>
        <w:tc>
          <w:tcPr>
            <w:tcW w:w="1024"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纬度</w:t>
            </w:r>
          </w:p>
        </w:tc>
        <w:tc>
          <w:tcPr>
            <w:tcW w:w="1024" w:type="pct"/>
            <w:vAlign w:val="center"/>
          </w:tcPr>
          <w:p>
            <w:pPr>
              <w:pStyle w:val="24"/>
              <w:keepNext w:val="0"/>
              <w:keepLines w:val="0"/>
              <w:suppressLineNumbers w:val="0"/>
              <w:bidi w:val="0"/>
              <w:spacing w:before="0" w:beforeAutospacing="0" w:after="0" w:afterAutospacing="0"/>
              <w:ind w:left="0" w:right="0"/>
              <w:rPr>
                <w:rFonts w:hint="default"/>
              </w:rPr>
            </w:pPr>
            <w:r>
              <w:rPr>
                <w:rFonts w:hint="default" w:ascii="Times New Roman" w:hAnsi="Times New Roman" w:cs="Times New Roman"/>
                <w:lang w:val="en-US" w:eastAsia="zh-CN"/>
              </w:rPr>
              <w:t>43°54′38.409″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rPr>
              <w:t>主要危险物质及分布</w:t>
            </w:r>
          </w:p>
        </w:tc>
        <w:tc>
          <w:tcPr>
            <w:tcW w:w="4099" w:type="pct"/>
            <w:gridSpan w:val="4"/>
            <w:vAlign w:val="center"/>
          </w:tcPr>
          <w:p>
            <w:pPr>
              <w:pStyle w:val="24"/>
              <w:keepNext w:val="0"/>
              <w:keepLines w:val="0"/>
              <w:suppressLineNumbers w:val="0"/>
              <w:bidi w:val="0"/>
              <w:spacing w:before="0" w:beforeAutospacing="0" w:after="0" w:afterAutospacing="0"/>
              <w:ind w:left="0" w:right="0"/>
              <w:jc w:val="left"/>
              <w:rPr>
                <w:rFonts w:hint="eastAsia"/>
                <w:lang w:eastAsia="zh-CN"/>
              </w:rPr>
            </w:pPr>
            <w:r>
              <w:rPr>
                <w:rFonts w:hint="eastAsia"/>
              </w:rPr>
              <w:t>本项目不涉及危险化学品、易燃易爆等危险性物质</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0" w:type="pct"/>
            <w:vAlign w:val="center"/>
          </w:tcPr>
          <w:p>
            <w:pPr>
              <w:pStyle w:val="24"/>
              <w:keepNext w:val="0"/>
              <w:keepLines w:val="0"/>
              <w:suppressLineNumbers w:val="0"/>
              <w:bidi w:val="0"/>
              <w:spacing w:before="0" w:beforeAutospacing="0" w:after="0" w:afterAutospacing="0"/>
              <w:ind w:left="0" w:right="0"/>
              <w:rPr>
                <w:rFonts w:hint="default"/>
              </w:rPr>
            </w:pPr>
            <w:r>
              <w:rPr>
                <w:rFonts w:hint="eastAsia"/>
              </w:rPr>
              <w:t>环境影响途径及危害后果（大气、地表水、地下水等）</w:t>
            </w:r>
          </w:p>
        </w:tc>
        <w:tc>
          <w:tcPr>
            <w:tcW w:w="4099" w:type="pct"/>
            <w:gridSpan w:val="4"/>
            <w:vAlign w:val="center"/>
          </w:tcPr>
          <w:p>
            <w:pPr>
              <w:pStyle w:val="24"/>
              <w:keepNext w:val="0"/>
              <w:keepLines w:val="0"/>
              <w:suppressLineNumbers w:val="0"/>
              <w:bidi w:val="0"/>
              <w:spacing w:before="0" w:beforeAutospacing="0" w:after="0" w:afterAutospacing="0"/>
              <w:ind w:left="0" w:right="0"/>
              <w:jc w:val="left"/>
              <w:rPr>
                <w:rFonts w:hint="default"/>
              </w:rPr>
            </w:pPr>
            <w:r>
              <w:rPr>
                <w:rFonts w:hint="eastAsia"/>
              </w:rPr>
              <w:t>渗滤液发生泄漏，进而污染</w:t>
            </w:r>
            <w:r>
              <w:rPr>
                <w:rFonts w:hint="eastAsia"/>
                <w:lang w:val="en-US" w:eastAsia="zh-CN"/>
              </w:rPr>
              <w:t>土壤和</w:t>
            </w:r>
            <w:r>
              <w:rPr>
                <w:rFonts w:hint="eastAsia"/>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pPr>
              <w:pStyle w:val="24"/>
              <w:keepNext w:val="0"/>
              <w:keepLines w:val="0"/>
              <w:suppressLineNumbers w:val="0"/>
              <w:bidi w:val="0"/>
              <w:spacing w:before="0" w:beforeAutospacing="0" w:after="0" w:afterAutospacing="0"/>
              <w:ind w:left="0" w:right="0"/>
              <w:rPr>
                <w:rFonts w:hint="default"/>
                <w:color w:val="FF0000"/>
              </w:rPr>
            </w:pPr>
            <w:r>
              <w:rPr>
                <w:rFonts w:hint="eastAsia"/>
                <w:color w:val="FF0000"/>
              </w:rPr>
              <w:t>风险防范措施要求</w:t>
            </w:r>
          </w:p>
        </w:tc>
        <w:tc>
          <w:tcPr>
            <w:tcW w:w="4099" w:type="pct"/>
            <w:gridSpan w:val="4"/>
            <w:vAlign w:val="center"/>
          </w:tcPr>
          <w:p>
            <w:pPr>
              <w:pStyle w:val="24"/>
              <w:keepNext w:val="0"/>
              <w:keepLines w:val="0"/>
              <w:suppressLineNumbers w:val="0"/>
              <w:bidi w:val="0"/>
              <w:spacing w:before="0" w:beforeAutospacing="0" w:after="0" w:afterAutospacing="0"/>
              <w:ind w:left="0" w:right="0"/>
              <w:jc w:val="left"/>
              <w:rPr>
                <w:rFonts w:hint="eastAsia"/>
                <w:color w:val="FF0000"/>
                <w:lang w:eastAsia="zh-CN"/>
              </w:rPr>
            </w:pPr>
            <w:r>
              <w:rPr>
                <w:rFonts w:hint="eastAsia"/>
                <w:color w:val="FF0000"/>
              </w:rPr>
              <w:t>①</w:t>
            </w:r>
            <w:r>
              <w:rPr>
                <w:rFonts w:hint="eastAsia"/>
                <w:color w:val="FF0000"/>
                <w:lang w:val="en-US" w:eastAsia="zh-CN"/>
              </w:rPr>
              <w:t>设置</w:t>
            </w:r>
            <w:r>
              <w:rPr>
                <w:rFonts w:hint="eastAsia"/>
                <w:color w:val="FF0000"/>
              </w:rPr>
              <w:t>防渗层渗漏监控系统</w:t>
            </w:r>
            <w:r>
              <w:rPr>
                <w:rFonts w:hint="eastAsia"/>
                <w:color w:val="FF0000"/>
                <w:lang w:eastAsia="zh-CN"/>
              </w:rPr>
              <w:t>，</w:t>
            </w:r>
            <w:r>
              <w:rPr>
                <w:rFonts w:hint="eastAsia"/>
                <w:color w:val="FF0000"/>
                <w:lang w:val="en-US" w:eastAsia="zh-CN"/>
              </w:rPr>
              <w:t>设置地下水污染监测井，按监测计划进行地下水定期监测。</w:t>
            </w:r>
          </w:p>
          <w:p>
            <w:pPr>
              <w:pStyle w:val="24"/>
              <w:keepNext w:val="0"/>
              <w:keepLines w:val="0"/>
              <w:suppressLineNumbers w:val="0"/>
              <w:bidi w:val="0"/>
              <w:spacing w:before="0" w:beforeAutospacing="0" w:after="0" w:afterAutospacing="0"/>
              <w:ind w:left="0" w:right="0"/>
              <w:jc w:val="left"/>
              <w:rPr>
                <w:rFonts w:hint="default"/>
                <w:color w:val="FF0000"/>
                <w:lang w:val="en-US" w:eastAsia="zh-CN"/>
              </w:rPr>
            </w:pPr>
            <w:r>
              <w:rPr>
                <w:rFonts w:hint="eastAsia"/>
                <w:color w:val="FF0000"/>
              </w:rPr>
              <w:t>②</w:t>
            </w:r>
            <w:r>
              <w:rPr>
                <w:rFonts w:hint="eastAsia"/>
                <w:color w:val="FF0000"/>
                <w:lang w:val="en-US" w:eastAsia="zh-CN"/>
              </w:rPr>
              <w:t>施工结束后</w:t>
            </w:r>
            <w:r>
              <w:rPr>
                <w:rFonts w:hint="eastAsia"/>
                <w:color w:val="FF0000"/>
              </w:rPr>
              <w:t>对衬层系统的完整性</w:t>
            </w:r>
            <w:r>
              <w:rPr>
                <w:rFonts w:hint="eastAsia"/>
                <w:color w:val="FF0000"/>
                <w:lang w:eastAsia="zh-CN"/>
              </w:rPr>
              <w:t>、</w:t>
            </w:r>
            <w:r>
              <w:rPr>
                <w:rFonts w:hint="eastAsia"/>
                <w:color w:val="FF0000"/>
              </w:rPr>
              <w:t>有效性进行质量验收</w:t>
            </w:r>
            <w:r>
              <w:rPr>
                <w:rFonts w:hint="eastAsia"/>
                <w:color w:val="FF0000"/>
                <w:lang w:eastAsia="zh-CN"/>
              </w:rPr>
              <w:t>。</w:t>
            </w:r>
          </w:p>
          <w:p>
            <w:pPr>
              <w:pStyle w:val="24"/>
              <w:keepNext w:val="0"/>
              <w:keepLines w:val="0"/>
              <w:suppressLineNumbers w:val="0"/>
              <w:bidi w:val="0"/>
              <w:spacing w:before="0" w:beforeAutospacing="0" w:after="0" w:afterAutospacing="0"/>
              <w:ind w:left="0" w:right="0"/>
              <w:jc w:val="left"/>
              <w:rPr>
                <w:rFonts w:hint="eastAsia"/>
                <w:color w:val="FF0000"/>
              </w:rPr>
            </w:pPr>
            <w:r>
              <w:rPr>
                <w:rFonts w:hint="eastAsia"/>
                <w:color w:val="FF0000"/>
              </w:rPr>
              <w:t>③严格设计并按要求施工，加强施工质量，严防偷工减料，认真把好质量关，并建立施工档案。</w:t>
            </w:r>
          </w:p>
          <w:p>
            <w:pPr>
              <w:pStyle w:val="24"/>
              <w:keepNext w:val="0"/>
              <w:keepLines w:val="0"/>
              <w:suppressLineNumbers w:val="0"/>
              <w:bidi w:val="0"/>
              <w:spacing w:before="0" w:beforeAutospacing="0" w:after="0" w:afterAutospacing="0"/>
              <w:ind w:left="0" w:right="0"/>
              <w:jc w:val="left"/>
              <w:rPr>
                <w:rFonts w:hint="eastAsia"/>
                <w:color w:val="FF0000"/>
              </w:rPr>
            </w:pPr>
            <w:r>
              <w:rPr>
                <w:rFonts w:hint="eastAsia"/>
                <w:color w:val="FF0000"/>
              </w:rPr>
              <w:t>④库区设置警示牌，避免人、牲畜误入库区造成事故。</w:t>
            </w:r>
          </w:p>
          <w:p>
            <w:pPr>
              <w:pStyle w:val="24"/>
              <w:keepNext w:val="0"/>
              <w:keepLines w:val="0"/>
              <w:suppressLineNumbers w:val="0"/>
              <w:bidi w:val="0"/>
              <w:spacing w:before="0" w:beforeAutospacing="0" w:after="0" w:afterAutospacing="0"/>
              <w:ind w:left="0" w:right="0"/>
              <w:jc w:val="left"/>
              <w:rPr>
                <w:rFonts w:hint="eastAsia"/>
                <w:color w:val="FF0000"/>
              </w:rPr>
            </w:pPr>
            <w:r>
              <w:rPr>
                <w:rFonts w:hint="eastAsia"/>
                <w:color w:val="FF0000"/>
              </w:rPr>
              <w:t>⑤</w:t>
            </w:r>
            <w:r>
              <w:rPr>
                <w:rFonts w:hint="eastAsia"/>
                <w:color w:val="FF0000"/>
                <w:lang w:val="en-US" w:eastAsia="zh-CN"/>
              </w:rPr>
              <w:t>制订环境风险应急预案，加强突发风险事故应急演练。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pct"/>
            <w:vAlign w:val="center"/>
          </w:tcPr>
          <w:p>
            <w:pPr>
              <w:pStyle w:val="24"/>
              <w:keepNext w:val="0"/>
              <w:keepLines w:val="0"/>
              <w:suppressLineNumbers w:val="0"/>
              <w:bidi w:val="0"/>
              <w:spacing w:before="0" w:beforeAutospacing="0" w:after="0" w:afterAutospacing="0"/>
              <w:ind w:left="0" w:right="0"/>
              <w:rPr>
                <w:rFonts w:hint="default" w:eastAsia="宋体"/>
                <w:color w:val="FF0000"/>
                <w:lang w:val="en-US" w:eastAsia="zh-CN"/>
              </w:rPr>
            </w:pPr>
            <w:r>
              <w:rPr>
                <w:rFonts w:hint="eastAsia"/>
                <w:color w:val="FF0000"/>
                <w:lang w:val="en-US" w:eastAsia="zh-CN"/>
              </w:rPr>
              <w:t>填表说明（列出项目相关信息及评价说明）</w:t>
            </w:r>
          </w:p>
        </w:tc>
        <w:tc>
          <w:tcPr>
            <w:tcW w:w="4099" w:type="pct"/>
            <w:gridSpan w:val="4"/>
            <w:vAlign w:val="center"/>
          </w:tcPr>
          <w:p>
            <w:pPr>
              <w:pStyle w:val="24"/>
              <w:keepNext w:val="0"/>
              <w:keepLines w:val="0"/>
              <w:suppressLineNumbers w:val="0"/>
              <w:bidi w:val="0"/>
              <w:spacing w:before="0" w:beforeAutospacing="0" w:after="0" w:afterAutospacing="0"/>
              <w:ind w:left="0" w:right="0"/>
              <w:jc w:val="left"/>
              <w:rPr>
                <w:rFonts w:hint="eastAsia"/>
                <w:color w:val="FF0000"/>
              </w:rPr>
            </w:pPr>
            <w:r>
              <w:rPr>
                <w:rFonts w:hint="eastAsia"/>
                <w:color w:val="FF0000"/>
                <w:lang w:val="en-US" w:eastAsia="zh-CN"/>
              </w:rPr>
              <w:t>根据本项目特点</w:t>
            </w:r>
            <w:r>
              <w:rPr>
                <w:rFonts w:hint="eastAsia"/>
                <w:color w:val="FF0000"/>
              </w:rPr>
              <w:t>，不涉及危险化学品、易燃易爆等危险性物质</w:t>
            </w:r>
            <w:r>
              <w:rPr>
                <w:rFonts w:hint="eastAsia"/>
                <w:color w:val="FF0000"/>
                <w:lang w:eastAsia="zh-CN"/>
              </w:rPr>
              <w:t>。</w:t>
            </w:r>
            <w:r>
              <w:rPr>
                <w:rFonts w:hint="eastAsia"/>
                <w:color w:val="FF0000"/>
              </w:rPr>
              <w:t>针对本项目可能造成的各类风险事故，提出了相关预防及应急管理措施（见第6章，风险管理措施章节），企业应在加强生产及环境管理的前提下，严格执行风险防范措施，加强事故应急演练，认真落实相关环保规定。在采取上述措施后，本项目环境风险影响程度可接受。</w:t>
            </w:r>
          </w:p>
        </w:tc>
      </w:tr>
    </w:tbl>
    <w:p>
      <w:pPr>
        <w:pStyle w:val="22"/>
        <w:bidi w:val="0"/>
        <w:rPr>
          <w:rFonts w:hint="eastAsia"/>
        </w:rPr>
      </w:pPr>
      <w:r>
        <w:rPr>
          <w:rFonts w:hint="eastAsia"/>
        </w:rPr>
        <w:t>表</w:t>
      </w:r>
      <w:r>
        <w:rPr>
          <w:rFonts w:hint="eastAsia"/>
          <w:lang w:val="en-US" w:eastAsia="zh-CN"/>
        </w:rPr>
        <w:t>5.2-16</w:t>
      </w:r>
      <w:r>
        <w:rPr>
          <w:rFonts w:hint="eastAsia"/>
        </w:rPr>
        <w:t xml:space="preserve">   环境风险评价自查表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305"/>
        <w:gridCol w:w="1340"/>
        <w:gridCol w:w="1254"/>
        <w:gridCol w:w="189"/>
        <w:gridCol w:w="1582"/>
        <w:gridCol w:w="56"/>
        <w:gridCol w:w="131"/>
        <w:gridCol w:w="783"/>
        <w:gridCol w:w="234"/>
        <w:gridCol w:w="675"/>
        <w:gridCol w:w="72"/>
        <w:gridCol w:w="507"/>
        <w:gridCol w:w="12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工作内容</w:t>
            </w:r>
          </w:p>
        </w:tc>
        <w:tc>
          <w:tcPr>
            <w:tcW w:w="4022" w:type="pct"/>
            <w:gridSpan w:val="11"/>
            <w:tcBorders>
              <w:tl2br w:val="nil"/>
              <w:tr2bl w:val="nil"/>
            </w:tcBorders>
            <w:vAlign w:val="center"/>
          </w:tcPr>
          <w:p>
            <w:pPr>
              <w:pStyle w:val="27"/>
              <w:keepNext w:val="0"/>
              <w:keepLines w:val="0"/>
              <w:suppressLineNumbers w:val="0"/>
              <w:bidi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完成情况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风险调查</w:t>
            </w:r>
          </w:p>
        </w:tc>
        <w:tc>
          <w:tcPr>
            <w:tcW w:w="796"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危险物质</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名称</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eastAsia="宋体"/>
                <w:color w:val="auto"/>
                <w:sz w:val="18"/>
                <w:szCs w:val="18"/>
                <w:highlight w:val="none"/>
                <w:lang w:val="en-US" w:eastAsia="zh-CN"/>
              </w:rPr>
            </w:pP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lang w:val="en-US" w:eastAsia="zh-CN"/>
              </w:rPr>
            </w:pP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eastAsia="宋体"/>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存在总量/t</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eastAsia="宋体"/>
                <w:color w:val="auto"/>
                <w:sz w:val="18"/>
                <w:szCs w:val="18"/>
                <w:highlight w:val="none"/>
                <w:lang w:val="en-US" w:eastAsia="zh-CN"/>
              </w:rPr>
            </w:pP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eastAsia="宋体"/>
                <w:color w:val="auto"/>
                <w:sz w:val="18"/>
                <w:szCs w:val="18"/>
                <w:highlight w:val="none"/>
                <w:lang w:val="en-US" w:eastAsia="zh-CN"/>
              </w:rPr>
            </w:pP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eastAsia="宋体"/>
                <w:color w:val="auto"/>
                <w:sz w:val="18"/>
                <w:szCs w:val="18"/>
                <w:highlight w:val="none"/>
                <w:lang w:val="en-US" w:eastAsia="zh-CN"/>
              </w:rPr>
            </w:pP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eastAsia="宋体"/>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环境敏感性</w:t>
            </w:r>
          </w:p>
        </w:tc>
        <w:tc>
          <w:tcPr>
            <w:tcW w:w="745"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大气</w:t>
            </w:r>
          </w:p>
        </w:tc>
        <w:tc>
          <w:tcPr>
            <w:tcW w:w="1767" w:type="pct"/>
            <w:gridSpan w:val="6"/>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500m范围内人口数 </w:t>
            </w:r>
            <w:r>
              <w:rPr>
                <w:rFonts w:hint="eastAsia"/>
                <w:color w:val="auto"/>
                <w:sz w:val="18"/>
                <w:szCs w:val="18"/>
                <w:highlight w:val="none"/>
                <w:lang w:val="en-US" w:eastAsia="zh-CN"/>
              </w:rPr>
              <w:t>0</w:t>
            </w:r>
            <w:r>
              <w:rPr>
                <w:rFonts w:hint="default"/>
                <w:color w:val="auto"/>
                <w:sz w:val="18"/>
                <w:szCs w:val="18"/>
                <w:highlight w:val="none"/>
              </w:rPr>
              <w:t xml:space="preserve"> 人</w:t>
            </w:r>
          </w:p>
        </w:tc>
        <w:tc>
          <w:tcPr>
            <w:tcW w:w="1509"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5km范围内人口数 </w:t>
            </w:r>
            <w:r>
              <w:rPr>
                <w:rFonts w:hint="eastAsia"/>
                <w:color w:val="auto"/>
                <w:sz w:val="18"/>
                <w:szCs w:val="18"/>
                <w:highlight w:val="none"/>
                <w:lang w:val="en-US" w:eastAsia="zh-CN"/>
              </w:rPr>
              <w:t>4155</w:t>
            </w:r>
            <w:r>
              <w:rPr>
                <w:rFonts w:hint="default"/>
                <w:color w:val="auto"/>
                <w:sz w:val="18"/>
                <w:szCs w:val="18"/>
                <w:highlight w:val="none"/>
              </w:rPr>
              <w:t xml:space="preserve"> 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2512" w:type="pct"/>
            <w:gridSpan w:val="9"/>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每公里管段周边200m范围内人口数（最大）</w:t>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  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地表水</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地表水功能敏感性</w:t>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F1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F2 </w:t>
            </w:r>
            <w:r>
              <w:rPr>
                <w:rFonts w:hint="default"/>
                <w:color w:val="auto"/>
                <w:sz w:val="18"/>
                <w:szCs w:val="18"/>
                <w:highlight w:val="none"/>
              </w:rPr>
              <w:sym w:font="Wingdings" w:char="00A8"/>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F3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环境敏感目标分级</w:t>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S1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S2 </w:t>
            </w:r>
            <w:r>
              <w:rPr>
                <w:rFonts w:hint="default"/>
                <w:color w:val="auto"/>
                <w:sz w:val="18"/>
                <w:szCs w:val="18"/>
                <w:highlight w:val="none"/>
              </w:rPr>
              <w:sym w:font="Wingdings" w:char="00A8"/>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S3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地下水</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地下水功能敏感性</w:t>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G1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G2 </w:t>
            </w:r>
            <w:r>
              <w:rPr>
                <w:rFonts w:hint="default"/>
                <w:color w:val="auto"/>
                <w:sz w:val="18"/>
                <w:szCs w:val="18"/>
                <w:highlight w:val="none"/>
              </w:rPr>
              <w:sym w:font="Wingdings" w:char="00A8"/>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G3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包气带防污性能</w:t>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D1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D2 </w:t>
            </w:r>
            <w:r>
              <w:rPr>
                <w:rFonts w:hint="default"/>
                <w:color w:val="auto"/>
                <w:sz w:val="18"/>
                <w:szCs w:val="18"/>
                <w:highlight w:val="none"/>
              </w:rPr>
              <w:sym w:font="Wingdings" w:char="00FE"/>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D3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63" w:hRule="atLeast"/>
        </w:trPr>
        <w:tc>
          <w:tcPr>
            <w:tcW w:w="977" w:type="pct"/>
            <w:gridSpan w:val="2"/>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物质及工艺系统危险性</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Q值</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Q&lt;1 </w:t>
            </w:r>
            <w:r>
              <w:rPr>
                <w:rFonts w:hint="default"/>
                <w:color w:val="auto"/>
                <w:sz w:val="18"/>
                <w:szCs w:val="18"/>
                <w:highlight w:val="none"/>
              </w:rPr>
              <w:sym w:font="Wingdings" w:char="00A8"/>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1≤Q&lt;10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10≤Q&lt;100 </w:t>
            </w:r>
            <w:r>
              <w:rPr>
                <w:rFonts w:hint="default"/>
                <w:color w:val="auto"/>
                <w:sz w:val="18"/>
                <w:szCs w:val="18"/>
                <w:highlight w:val="none"/>
              </w:rPr>
              <w:sym w:font="Wingdings" w:char="00A8"/>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Q≥100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M值</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M1 </w:t>
            </w:r>
            <w:r>
              <w:rPr>
                <w:rFonts w:hint="default"/>
                <w:color w:val="auto"/>
                <w:sz w:val="18"/>
                <w:szCs w:val="18"/>
                <w:highlight w:val="none"/>
              </w:rPr>
              <w:sym w:font="Wingdings" w:char="00A8"/>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M2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M3 </w:t>
            </w:r>
            <w:r>
              <w:rPr>
                <w:rFonts w:hint="default"/>
                <w:color w:val="auto"/>
                <w:sz w:val="18"/>
                <w:szCs w:val="18"/>
                <w:highlight w:val="none"/>
              </w:rPr>
              <w:sym w:font="Wingdings" w:char="00A8"/>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M4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P值</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P1 </w:t>
            </w:r>
            <w:r>
              <w:rPr>
                <w:rFonts w:hint="default"/>
                <w:color w:val="auto"/>
                <w:sz w:val="18"/>
                <w:szCs w:val="18"/>
                <w:highlight w:val="none"/>
              </w:rPr>
              <w:sym w:font="Wingdings" w:char="00A8"/>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P2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P3 </w:t>
            </w:r>
            <w:r>
              <w:rPr>
                <w:rFonts w:hint="default"/>
                <w:color w:val="auto"/>
                <w:sz w:val="18"/>
                <w:szCs w:val="18"/>
                <w:highlight w:val="none"/>
              </w:rPr>
              <w:sym w:font="Wingdings" w:char="00A8"/>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P4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环境敏感程度</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大气 </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E1 </w:t>
            </w:r>
            <w:r>
              <w:rPr>
                <w:rFonts w:hint="default"/>
                <w:color w:val="auto"/>
                <w:sz w:val="18"/>
                <w:szCs w:val="18"/>
                <w:highlight w:val="none"/>
              </w:rPr>
              <w:sym w:font="Wingdings" w:char="00A8"/>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E2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E3 </w:t>
            </w:r>
            <w:r>
              <w:rPr>
                <w:rFonts w:hint="default"/>
                <w:color w:val="auto"/>
                <w:sz w:val="18"/>
                <w:szCs w:val="18"/>
                <w:highlight w:val="none"/>
              </w:rPr>
              <w:sym w:font="Wingdings" w:char="00FE"/>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E4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地表水</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E1 </w:t>
            </w:r>
            <w:r>
              <w:rPr>
                <w:rFonts w:hint="default"/>
                <w:color w:val="auto"/>
                <w:sz w:val="18"/>
                <w:szCs w:val="18"/>
                <w:highlight w:val="none"/>
              </w:rPr>
              <w:sym w:font="Wingdings" w:char="00A8"/>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E2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E3 </w:t>
            </w:r>
            <w:r>
              <w:rPr>
                <w:rFonts w:hint="default"/>
                <w:color w:val="auto"/>
                <w:sz w:val="18"/>
                <w:szCs w:val="18"/>
                <w:highlight w:val="none"/>
              </w:rPr>
              <w:sym w:font="Wingdings" w:char="00A8"/>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E4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地下水</w:t>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E1 </w:t>
            </w:r>
            <w:r>
              <w:rPr>
                <w:rFonts w:hint="default"/>
                <w:color w:val="auto"/>
                <w:sz w:val="18"/>
                <w:szCs w:val="18"/>
                <w:highlight w:val="none"/>
              </w:rPr>
              <w:sym w:font="Wingdings" w:char="00A8"/>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E2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E3 </w:t>
            </w:r>
            <w:r>
              <w:rPr>
                <w:rFonts w:hint="default"/>
                <w:color w:val="auto"/>
                <w:sz w:val="18"/>
                <w:szCs w:val="18"/>
                <w:highlight w:val="none"/>
              </w:rPr>
              <w:sym w:font="Wingdings" w:char="00FE"/>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E4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环境风险潜势</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Ⅳ+ </w:t>
            </w:r>
            <w:r>
              <w:rPr>
                <w:rFonts w:hint="default"/>
                <w:color w:val="auto"/>
                <w:sz w:val="18"/>
                <w:szCs w:val="18"/>
                <w:highlight w:val="none"/>
              </w:rPr>
              <w:sym w:font="Wingdings" w:char="00A8"/>
            </w:r>
          </w:p>
        </w:tc>
        <w:tc>
          <w:tcPr>
            <w:tcW w:w="1052"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Ⅳ </w:t>
            </w:r>
            <w:r>
              <w:rPr>
                <w:rFonts w:hint="default"/>
                <w:color w:val="auto"/>
                <w:sz w:val="18"/>
                <w:szCs w:val="18"/>
                <w:highlight w:val="none"/>
              </w:rPr>
              <w:sym w:font="Wingdings" w:char="00A8"/>
            </w:r>
          </w:p>
        </w:tc>
        <w:tc>
          <w:tcPr>
            <w:tcW w:w="715"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Ⅲ </w:t>
            </w:r>
            <w:r>
              <w:rPr>
                <w:rFonts w:hint="default"/>
                <w:color w:val="auto"/>
                <w:sz w:val="18"/>
                <w:szCs w:val="18"/>
                <w:highlight w:val="none"/>
              </w:rPr>
              <w:sym w:font="Wingdings" w:char="00A8"/>
            </w:r>
          </w:p>
        </w:tc>
        <w:tc>
          <w:tcPr>
            <w:tcW w:w="744"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ascii="Times New Roman" w:hAnsi="Times New Roman" w:cs="Times New Roman"/>
                <w:color w:val="auto"/>
                <w:sz w:val="18"/>
                <w:szCs w:val="18"/>
                <w:highlight w:val="none"/>
                <w:lang w:eastAsia="zh-CN"/>
              </w:rPr>
              <w:t>Ⅱ</w:t>
            </w:r>
            <w:r>
              <w:rPr>
                <w:rFonts w:hint="default"/>
                <w:color w:val="auto"/>
                <w:sz w:val="18"/>
                <w:szCs w:val="18"/>
                <w:highlight w:val="none"/>
              </w:rPr>
              <w:t xml:space="preserve"> </w:t>
            </w:r>
            <w:r>
              <w:rPr>
                <w:rFonts w:hint="default"/>
                <w:color w:val="auto"/>
                <w:sz w:val="18"/>
                <w:szCs w:val="18"/>
                <w:highlight w:val="none"/>
              </w:rPr>
              <w:sym w:font="Wingdings" w:char="00A8"/>
            </w:r>
          </w:p>
        </w:tc>
        <w:tc>
          <w:tcPr>
            <w:tcW w:w="764"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Ⅰ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评价等级</w:t>
            </w:r>
          </w:p>
        </w:tc>
        <w:tc>
          <w:tcPr>
            <w:tcW w:w="857"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一级 </w:t>
            </w:r>
            <w:r>
              <w:rPr>
                <w:rFonts w:hint="default"/>
                <w:color w:val="auto"/>
                <w:sz w:val="18"/>
                <w:szCs w:val="18"/>
                <w:highlight w:val="none"/>
              </w:rPr>
              <w:sym w:font="Wingdings" w:char="00A8"/>
            </w:r>
          </w:p>
        </w:tc>
        <w:tc>
          <w:tcPr>
            <w:tcW w:w="1050"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二级 </w:t>
            </w:r>
            <w:r>
              <w:rPr>
                <w:rFonts w:hint="default"/>
                <w:color w:val="auto"/>
                <w:sz w:val="18"/>
                <w:szCs w:val="18"/>
                <w:highlight w:val="none"/>
              </w:rPr>
              <w:sym w:font="Wingdings" w:char="00A8"/>
            </w:r>
          </w:p>
        </w:tc>
        <w:tc>
          <w:tcPr>
            <w:tcW w:w="1048"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三级 </w:t>
            </w:r>
            <w:r>
              <w:rPr>
                <w:rFonts w:hint="default"/>
                <w:color w:val="auto"/>
                <w:sz w:val="18"/>
                <w:szCs w:val="18"/>
                <w:highlight w:val="none"/>
              </w:rPr>
              <w:sym w:font="Wingdings" w:char="00A8"/>
            </w:r>
          </w:p>
        </w:tc>
        <w:tc>
          <w:tcPr>
            <w:tcW w:w="1065"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四级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风险识别</w:t>
            </w:r>
          </w:p>
        </w:tc>
        <w:tc>
          <w:tcPr>
            <w:tcW w:w="796"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物质危险性</w:t>
            </w:r>
          </w:p>
        </w:tc>
        <w:tc>
          <w:tcPr>
            <w:tcW w:w="1908" w:type="pct"/>
            <w:gridSpan w:val="5"/>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有毒有害 </w:t>
            </w:r>
            <w:r>
              <w:rPr>
                <w:rFonts w:hint="default"/>
                <w:color w:val="auto"/>
                <w:sz w:val="18"/>
                <w:szCs w:val="18"/>
                <w:highlight w:val="none"/>
              </w:rPr>
              <w:sym w:font="Wingdings" w:char="00A8"/>
            </w:r>
          </w:p>
        </w:tc>
        <w:tc>
          <w:tcPr>
            <w:tcW w:w="2114" w:type="pct"/>
            <w:gridSpan w:val="6"/>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易燃易爆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环境风险类型</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泄漏 </w:t>
            </w:r>
            <w:r>
              <w:rPr>
                <w:rFonts w:hint="default"/>
                <w:color w:val="auto"/>
                <w:sz w:val="18"/>
                <w:szCs w:val="18"/>
                <w:highlight w:val="none"/>
              </w:rPr>
              <w:sym w:font="Wingdings" w:char="00FE"/>
            </w:r>
          </w:p>
        </w:tc>
        <w:tc>
          <w:tcPr>
            <w:tcW w:w="3277" w:type="pct"/>
            <w:gridSpan w:val="10"/>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火灾、爆炸引发伴生/次生污染物排放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影响途径</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大气 </w:t>
            </w:r>
            <w:r>
              <w:rPr>
                <w:rFonts w:hint="default"/>
                <w:color w:val="auto"/>
                <w:sz w:val="18"/>
                <w:szCs w:val="18"/>
                <w:highlight w:val="none"/>
              </w:rPr>
              <w:sym w:font="Wingdings" w:char="00A8"/>
            </w:r>
          </w:p>
        </w:tc>
        <w:tc>
          <w:tcPr>
            <w:tcW w:w="1628" w:type="pct"/>
            <w:gridSpan w:val="5"/>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地表水 </w:t>
            </w:r>
            <w:r>
              <w:rPr>
                <w:rFonts w:hint="default"/>
                <w:color w:val="auto"/>
                <w:sz w:val="18"/>
                <w:szCs w:val="18"/>
                <w:highlight w:val="none"/>
              </w:rPr>
              <w:sym w:font="Wingdings" w:char="00A8"/>
            </w:r>
          </w:p>
        </w:tc>
        <w:tc>
          <w:tcPr>
            <w:tcW w:w="1648" w:type="pct"/>
            <w:gridSpan w:val="5"/>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地下水 </w:t>
            </w:r>
            <w:r>
              <w:rPr>
                <w:rFonts w:hint="default"/>
                <w:color w:val="auto"/>
                <w:sz w:val="18"/>
                <w:szCs w:val="18"/>
                <w:highlight w:val="none"/>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事故情形分析</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源强设定方法</w:t>
            </w:r>
          </w:p>
        </w:tc>
        <w:tc>
          <w:tcPr>
            <w:tcW w:w="1085"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计算法 </w:t>
            </w:r>
            <w:r>
              <w:rPr>
                <w:rFonts w:hint="default"/>
                <w:color w:val="auto"/>
                <w:sz w:val="18"/>
                <w:szCs w:val="18"/>
                <w:highlight w:val="none"/>
              </w:rPr>
              <w:sym w:font="Wingdings" w:char="00A8"/>
            </w:r>
          </w:p>
        </w:tc>
        <w:tc>
          <w:tcPr>
            <w:tcW w:w="1083"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经验估算法 </w:t>
            </w:r>
            <w:r>
              <w:rPr>
                <w:rFonts w:hint="default"/>
                <w:color w:val="auto"/>
                <w:sz w:val="18"/>
                <w:szCs w:val="18"/>
                <w:highlight w:val="none"/>
              </w:rPr>
              <w:sym w:font="Wingdings" w:char="00A8"/>
            </w:r>
          </w:p>
        </w:tc>
        <w:tc>
          <w:tcPr>
            <w:tcW w:w="1108"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其他估算法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风险预测与评价</w:t>
            </w:r>
          </w:p>
        </w:tc>
        <w:tc>
          <w:tcPr>
            <w:tcW w:w="796"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大气</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预测模型</w:t>
            </w:r>
          </w:p>
        </w:tc>
        <w:tc>
          <w:tcPr>
            <w:tcW w:w="1085"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SLAB </w:t>
            </w:r>
            <w:r>
              <w:rPr>
                <w:rFonts w:hint="default"/>
                <w:color w:val="auto"/>
                <w:sz w:val="18"/>
                <w:szCs w:val="18"/>
                <w:highlight w:val="none"/>
              </w:rPr>
              <w:sym w:font="Wingdings" w:char="00A8"/>
            </w:r>
          </w:p>
        </w:tc>
        <w:tc>
          <w:tcPr>
            <w:tcW w:w="1083" w:type="pct"/>
            <w:gridSpan w:val="4"/>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AFTOX </w:t>
            </w:r>
            <w:r>
              <w:rPr>
                <w:rFonts w:hint="default"/>
                <w:color w:val="auto"/>
                <w:sz w:val="18"/>
                <w:szCs w:val="18"/>
                <w:highlight w:val="none"/>
              </w:rPr>
              <w:sym w:font="Wingdings" w:char="00A8"/>
            </w:r>
          </w:p>
        </w:tc>
        <w:tc>
          <w:tcPr>
            <w:tcW w:w="1108" w:type="pct"/>
            <w:gridSpan w:val="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其他 </w:t>
            </w:r>
            <w:r>
              <w:rPr>
                <w:rFonts w:hint="default"/>
                <w:color w:val="auto"/>
                <w:sz w:val="18"/>
                <w:szCs w:val="18"/>
                <w:highlight w:val="none"/>
              </w:rPr>
              <w:sym w:font="Wingdings" w:char="00A8"/>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预测结果</w:t>
            </w:r>
          </w:p>
        </w:tc>
        <w:tc>
          <w:tcPr>
            <w:tcW w:w="3277" w:type="pct"/>
            <w:gridSpan w:val="10"/>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大气毒性终点浓度-1  最大影响范围  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45"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3277" w:type="pct"/>
            <w:gridSpan w:val="10"/>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 xml:space="preserve">大气毒性终点浓度-2  最大影响范围 </w:t>
            </w:r>
            <w:r>
              <w:rPr>
                <w:rFonts w:hint="eastAsia"/>
                <w:color w:val="auto"/>
                <w:sz w:val="18"/>
                <w:szCs w:val="18"/>
                <w:highlight w:val="none"/>
                <w:lang w:val="en-US" w:eastAsia="zh-CN"/>
              </w:rPr>
              <w:t xml:space="preserve"> </w:t>
            </w:r>
            <w:r>
              <w:rPr>
                <w:rFonts w:hint="default"/>
                <w:color w:val="auto"/>
                <w:sz w:val="18"/>
                <w:szCs w:val="18"/>
                <w:highlight w:val="none"/>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地表水</w:t>
            </w:r>
          </w:p>
        </w:tc>
        <w:tc>
          <w:tcPr>
            <w:tcW w:w="4022" w:type="pct"/>
            <w:gridSpan w:val="11"/>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最近环境敏感目标  ，到达时间  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restart"/>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地下水</w:t>
            </w:r>
          </w:p>
        </w:tc>
        <w:tc>
          <w:tcPr>
            <w:tcW w:w="4022" w:type="pct"/>
            <w:gridSpan w:val="11"/>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下游厂区边界到达时间  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181"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796" w:type="pct"/>
            <w:vMerge w:val="continue"/>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p>
        </w:tc>
        <w:tc>
          <w:tcPr>
            <w:tcW w:w="4022" w:type="pct"/>
            <w:gridSpan w:val="11"/>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最近环境敏感目标  ，到达时间  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重点风险防范措施</w:t>
            </w:r>
          </w:p>
        </w:tc>
        <w:tc>
          <w:tcPr>
            <w:tcW w:w="4022" w:type="pct"/>
            <w:gridSpan w:val="11"/>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eastAsia"/>
                <w:color w:val="auto"/>
                <w:sz w:val="18"/>
                <w:szCs w:val="18"/>
                <w:highlight w:val="none"/>
              </w:rPr>
            </w:pPr>
            <w:r>
              <w:rPr>
                <w:rFonts w:hint="eastAsia"/>
                <w:color w:val="auto"/>
                <w:sz w:val="18"/>
                <w:szCs w:val="18"/>
                <w:highlight w:val="none"/>
              </w:rPr>
              <w:t>①设置防渗层渗漏监控系统，设置地下水污染监测井，按监测计划进行地下水定期监测。</w:t>
            </w:r>
          </w:p>
          <w:p>
            <w:pPr>
              <w:pStyle w:val="27"/>
              <w:keepNext w:val="0"/>
              <w:keepLines w:val="0"/>
              <w:suppressLineNumbers w:val="0"/>
              <w:bidi w:val="0"/>
              <w:spacing w:before="0" w:beforeAutospacing="0" w:after="0" w:afterAutospacing="0"/>
              <w:ind w:left="0" w:right="0"/>
              <w:jc w:val="left"/>
              <w:rPr>
                <w:rFonts w:hint="eastAsia"/>
                <w:color w:val="auto"/>
                <w:sz w:val="18"/>
                <w:szCs w:val="18"/>
                <w:highlight w:val="none"/>
              </w:rPr>
            </w:pPr>
            <w:r>
              <w:rPr>
                <w:rFonts w:hint="eastAsia"/>
                <w:color w:val="auto"/>
                <w:sz w:val="18"/>
                <w:szCs w:val="18"/>
                <w:highlight w:val="none"/>
              </w:rPr>
              <w:t>②施工结束后对衬层系统的完整性、有效性进行质量验收。</w:t>
            </w:r>
          </w:p>
          <w:p>
            <w:pPr>
              <w:pStyle w:val="27"/>
              <w:keepNext w:val="0"/>
              <w:keepLines w:val="0"/>
              <w:suppressLineNumbers w:val="0"/>
              <w:bidi w:val="0"/>
              <w:spacing w:before="0" w:beforeAutospacing="0" w:after="0" w:afterAutospacing="0"/>
              <w:ind w:left="0" w:right="0"/>
              <w:jc w:val="left"/>
              <w:rPr>
                <w:rFonts w:hint="eastAsia"/>
                <w:color w:val="auto"/>
                <w:sz w:val="18"/>
                <w:szCs w:val="18"/>
                <w:highlight w:val="none"/>
              </w:rPr>
            </w:pPr>
            <w:r>
              <w:rPr>
                <w:rFonts w:hint="eastAsia"/>
                <w:color w:val="auto"/>
                <w:sz w:val="18"/>
                <w:szCs w:val="18"/>
                <w:highlight w:val="none"/>
              </w:rPr>
              <w:t>③严格设计并按要求施工，加强施工质量，严防偷工减料，认真把好质量关，并建立施工档案。</w:t>
            </w:r>
          </w:p>
          <w:p>
            <w:pPr>
              <w:pStyle w:val="27"/>
              <w:keepNext w:val="0"/>
              <w:keepLines w:val="0"/>
              <w:suppressLineNumbers w:val="0"/>
              <w:bidi w:val="0"/>
              <w:spacing w:before="0" w:beforeAutospacing="0" w:after="0" w:afterAutospacing="0"/>
              <w:ind w:left="0" w:right="0"/>
              <w:jc w:val="left"/>
              <w:rPr>
                <w:rFonts w:hint="eastAsia"/>
                <w:color w:val="auto"/>
                <w:sz w:val="18"/>
                <w:szCs w:val="18"/>
                <w:highlight w:val="none"/>
              </w:rPr>
            </w:pPr>
            <w:r>
              <w:rPr>
                <w:rFonts w:hint="eastAsia"/>
                <w:color w:val="auto"/>
                <w:sz w:val="18"/>
                <w:szCs w:val="18"/>
                <w:highlight w:val="none"/>
              </w:rPr>
              <w:t>④库区设置警示牌，避免人、牲畜误入库区造成事故。</w:t>
            </w:r>
          </w:p>
          <w:p>
            <w:pPr>
              <w:pStyle w:val="27"/>
              <w:keepNext w:val="0"/>
              <w:keepLines w:val="0"/>
              <w:suppressLineNumbers w:val="0"/>
              <w:bidi w:val="0"/>
              <w:spacing w:before="0" w:beforeAutospacing="0" w:after="0" w:afterAutospacing="0"/>
              <w:ind w:left="0" w:right="0"/>
              <w:jc w:val="left"/>
              <w:rPr>
                <w:rFonts w:hint="default" w:eastAsia="宋体"/>
                <w:color w:val="auto"/>
                <w:sz w:val="18"/>
                <w:szCs w:val="18"/>
                <w:highlight w:val="none"/>
                <w:lang w:val="en-US" w:eastAsia="zh-CN"/>
              </w:rPr>
            </w:pPr>
            <w:r>
              <w:rPr>
                <w:rFonts w:hint="eastAsia"/>
                <w:color w:val="auto"/>
                <w:sz w:val="18"/>
                <w:szCs w:val="18"/>
                <w:highlight w:val="none"/>
              </w:rPr>
              <w:t>⑤制订环境风险应急预案，加强突发风险事故应急演练。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977" w:type="pct"/>
            <w:gridSpan w:val="2"/>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评价结论与建议</w:t>
            </w:r>
          </w:p>
        </w:tc>
        <w:tc>
          <w:tcPr>
            <w:tcW w:w="4022" w:type="pct"/>
            <w:gridSpan w:val="11"/>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eastAsia"/>
                <w:color w:val="auto"/>
                <w:sz w:val="18"/>
                <w:szCs w:val="18"/>
                <w:highlight w:val="none"/>
              </w:rPr>
              <w:t>通过定性分析典型事故对环境造成的风险影响程度，针对本项目可能造成的各类风险事故，提出了相关预防及应急管理措施，企业应在加强生产及环境管理的前提下，严格执行风险防范措施，加强事故应急演练，认真落实相关环保规定。在采取上述措施后，本项目环境风险影响程度可接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3" w:hRule="atLeast"/>
        </w:trPr>
        <w:tc>
          <w:tcPr>
            <w:tcW w:w="5000" w:type="pct"/>
            <w:gridSpan w:val="13"/>
            <w:tcBorders>
              <w:tl2br w:val="nil"/>
              <w:tr2bl w:val="nil"/>
            </w:tcBorders>
            <w:vAlign w:val="center"/>
          </w:tcPr>
          <w:p>
            <w:pPr>
              <w:pStyle w:val="27"/>
              <w:keepNext w:val="0"/>
              <w:keepLines w:val="0"/>
              <w:suppressLineNumbers w:val="0"/>
              <w:bidi w:val="0"/>
              <w:spacing w:before="0" w:beforeAutospacing="0" w:after="0" w:afterAutospacing="0"/>
              <w:ind w:left="0" w:right="0"/>
              <w:jc w:val="left"/>
              <w:rPr>
                <w:rFonts w:hint="default"/>
                <w:color w:val="auto"/>
                <w:sz w:val="18"/>
                <w:szCs w:val="18"/>
                <w:highlight w:val="none"/>
              </w:rPr>
            </w:pPr>
            <w:r>
              <w:rPr>
                <w:rFonts w:hint="default"/>
                <w:color w:val="auto"/>
                <w:sz w:val="18"/>
                <w:szCs w:val="18"/>
                <w:highlight w:val="none"/>
              </w:rPr>
              <w:t>注：</w:t>
            </w:r>
            <w:r>
              <w:rPr>
                <w:rFonts w:hint="eastAsia"/>
                <w:color w:val="auto"/>
                <w:sz w:val="18"/>
                <w:szCs w:val="18"/>
                <w:highlight w:val="none"/>
              </w:rPr>
              <w:t>“</w:t>
            </w:r>
            <w:r>
              <w:rPr>
                <w:rFonts w:hint="default"/>
                <w:color w:val="auto"/>
                <w:sz w:val="18"/>
                <w:szCs w:val="18"/>
                <w:highlight w:val="none"/>
              </w:rPr>
              <w:sym w:font="Wingdings" w:char="00A8"/>
            </w:r>
            <w:r>
              <w:rPr>
                <w:rFonts w:hint="eastAsia"/>
                <w:color w:val="auto"/>
                <w:sz w:val="18"/>
                <w:szCs w:val="18"/>
                <w:highlight w:val="none"/>
              </w:rPr>
              <w:t>”</w:t>
            </w:r>
            <w:r>
              <w:rPr>
                <w:rFonts w:hint="default"/>
                <w:color w:val="auto"/>
                <w:sz w:val="18"/>
                <w:szCs w:val="18"/>
                <w:highlight w:val="none"/>
              </w:rPr>
              <w:t>为勾选项，“   ”为填写项。</w:t>
            </w:r>
          </w:p>
        </w:tc>
      </w:tr>
    </w:tbl>
    <w:p>
      <w:pPr>
        <w:pStyle w:val="6"/>
        <w:bidi w:val="0"/>
        <w:rPr>
          <w:rFonts w:hint="default"/>
          <w:color w:val="auto"/>
          <w:highlight w:val="none"/>
          <w:lang w:val="en-US"/>
        </w:rPr>
      </w:pPr>
      <w:r>
        <w:rPr>
          <w:rFonts w:hint="eastAsia"/>
          <w:color w:val="auto"/>
          <w:highlight w:val="none"/>
          <w:lang w:val="en-US" w:eastAsia="zh-CN"/>
        </w:rPr>
        <w:t>地下水环境影响预测与评价</w:t>
      </w:r>
    </w:p>
    <w:p>
      <w:pPr>
        <w:pStyle w:val="7"/>
        <w:rPr>
          <w:color w:val="auto"/>
          <w:highlight w:val="none"/>
        </w:rPr>
      </w:pPr>
      <w:r>
        <w:rPr>
          <w:rFonts w:hint="eastAsia"/>
          <w:color w:val="auto"/>
          <w:highlight w:val="none"/>
          <w:lang w:val="en-US" w:eastAsia="zh-CN"/>
        </w:rPr>
        <w:t>区域</w:t>
      </w:r>
      <w:r>
        <w:rPr>
          <w:rFonts w:hint="eastAsia"/>
          <w:color w:val="auto"/>
          <w:highlight w:val="none"/>
        </w:rPr>
        <w:t>水文地质</w:t>
      </w:r>
      <w:r>
        <w:rPr>
          <w:rFonts w:hint="eastAsia"/>
          <w:color w:val="auto"/>
          <w:highlight w:val="none"/>
          <w:lang w:val="en-US" w:eastAsia="zh-CN"/>
        </w:rPr>
        <w:t>条件</w:t>
      </w:r>
    </w:p>
    <w:p>
      <w:pPr>
        <w:pStyle w:val="4"/>
        <w:bidi w:val="0"/>
        <w:rPr>
          <w:rFonts w:hint="eastAsia"/>
          <w:color w:val="auto"/>
          <w:highlight w:val="none"/>
        </w:rPr>
      </w:pPr>
      <w:r>
        <w:rPr>
          <w:rFonts w:hint="eastAsia"/>
          <w:color w:val="auto"/>
          <w:highlight w:val="none"/>
        </w:rPr>
        <w:t>奇台县地下水资源分布较广，在南部天山洪积扇平原区和北部沙漠地区都有地下水分布，地下水补给来源主要有降水补给、山前倾向补给、地下水体入渗补给。博格达山区是奇台县地下水主要补给区，高山带有充沛的降水量和冰雪融水对地下水进行补给。中低山带是地下水补给区同时也是地下水的径流区，其地下水主要来源是大气降水及高山带地下水侧向径流补给。山前平原是地下水主要的径流区和</w:t>
      </w:r>
      <w:r>
        <w:rPr>
          <w:rFonts w:hint="eastAsia"/>
          <w:color w:val="auto"/>
          <w:highlight w:val="none"/>
          <w:lang w:val="en-US" w:eastAsia="zh-CN"/>
        </w:rPr>
        <w:t>排</w:t>
      </w:r>
      <w:r>
        <w:rPr>
          <w:rFonts w:hint="eastAsia"/>
          <w:color w:val="auto"/>
          <w:highlight w:val="none"/>
        </w:rPr>
        <w:t>泄区，由于戈壁平原为单一大厚度卵砾石构成的潜水层，地下水坡降4~5</w:t>
      </w:r>
      <w:r>
        <w:rPr>
          <w:rFonts w:hint="default" w:ascii="Times New Roman" w:hAnsi="Times New Roman" w:cs="Times New Roman"/>
          <w:color w:val="auto"/>
          <w:highlight w:val="none"/>
        </w:rPr>
        <w:t>‰</w:t>
      </w:r>
      <w:r>
        <w:rPr>
          <w:rFonts w:hint="eastAsia"/>
          <w:color w:val="auto"/>
          <w:highlight w:val="none"/>
        </w:rPr>
        <w:t>，透水性强，径流条件好。此外，还有山区河水4</w:t>
      </w:r>
      <w:r>
        <w:rPr>
          <w:rFonts w:hint="eastAsia"/>
          <w:color w:val="auto"/>
          <w:highlight w:val="none"/>
          <w:lang w:val="en-US" w:eastAsia="zh-CN"/>
        </w:rPr>
        <w:t>.</w:t>
      </w:r>
      <w:r>
        <w:rPr>
          <w:rFonts w:hint="eastAsia"/>
          <w:color w:val="auto"/>
          <w:highlight w:val="none"/>
        </w:rPr>
        <w:t>5</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左右的径流量流到平原区，最终绝大部分渗入补给地下水，所以戈壁平原有极丰富的地下潜水，大量地下径流潜流到细土平原带部分地下水以泉水的形式溢出，另一部分地下水通过潜水蒸发排泄出去。</w:t>
      </w:r>
    </w:p>
    <w:p>
      <w:pPr>
        <w:pStyle w:val="4"/>
        <w:ind w:firstLine="480"/>
        <w:rPr>
          <w:rFonts w:hint="eastAsia"/>
          <w:color w:val="auto"/>
          <w:highlight w:val="none"/>
        </w:rPr>
      </w:pPr>
      <w:r>
        <w:rPr>
          <w:rFonts w:hint="eastAsia"/>
          <w:color w:val="auto"/>
          <w:highlight w:val="none"/>
        </w:rPr>
        <w:t>奇台县城位于山前冲洪积细土平原，富含第四系松散岩类孔隙水，地下含水层为潜水</w:t>
      </w:r>
      <w:r>
        <w:rPr>
          <w:rFonts w:hint="eastAsia"/>
          <w:color w:val="auto"/>
          <w:highlight w:val="none"/>
          <w:lang w:eastAsia="zh-CN"/>
        </w:rPr>
        <w:t>——</w:t>
      </w:r>
      <w:r>
        <w:rPr>
          <w:rFonts w:hint="eastAsia"/>
          <w:color w:val="auto"/>
          <w:highlight w:val="none"/>
        </w:rPr>
        <w:t>承压水多层结构，岩性为沙砾石、砂。潜水水量丰富，单井水量1000-5000m</w:t>
      </w:r>
      <w:r>
        <w:rPr>
          <w:rFonts w:hint="eastAsia"/>
          <w:color w:val="auto"/>
          <w:highlight w:val="none"/>
          <w:vertAlign w:val="superscript"/>
        </w:rPr>
        <w:t>3</w:t>
      </w:r>
      <w:r>
        <w:rPr>
          <w:rFonts w:hint="eastAsia"/>
          <w:color w:val="auto"/>
          <w:highlight w:val="none"/>
        </w:rPr>
        <w:t>/d，渗透系数为50m/d。承压水分为两层，埋深分别在100-200m</w:t>
      </w:r>
      <w:r>
        <w:rPr>
          <w:rFonts w:hint="eastAsia"/>
          <w:color w:val="auto"/>
          <w:highlight w:val="none"/>
          <w:lang w:eastAsia="zh-CN"/>
        </w:rPr>
        <w:t>、</w:t>
      </w:r>
      <w:r>
        <w:rPr>
          <w:rFonts w:hint="eastAsia"/>
          <w:color w:val="auto"/>
          <w:highlight w:val="none"/>
        </w:rPr>
        <w:t>200-300m，水量中等</w:t>
      </w:r>
      <w:r>
        <w:rPr>
          <w:rFonts w:hint="eastAsia"/>
          <w:color w:val="auto"/>
          <w:highlight w:val="none"/>
          <w:lang w:eastAsia="zh-CN"/>
        </w:rPr>
        <w:t>——</w:t>
      </w:r>
      <w:r>
        <w:rPr>
          <w:rFonts w:hint="eastAsia"/>
          <w:color w:val="auto"/>
          <w:highlight w:val="none"/>
        </w:rPr>
        <w:t>丰富。在降深许可的情况下，潜水、承压水混合开采，单井出水量可达3500m</w:t>
      </w:r>
      <w:r>
        <w:rPr>
          <w:rFonts w:hint="eastAsia"/>
          <w:color w:val="auto"/>
          <w:highlight w:val="none"/>
          <w:vertAlign w:val="superscript"/>
        </w:rPr>
        <w:t>3</w:t>
      </w:r>
      <w:r>
        <w:rPr>
          <w:rFonts w:hint="eastAsia"/>
          <w:color w:val="auto"/>
          <w:highlight w:val="none"/>
        </w:rPr>
        <w:t>/d。潜水水质良好，水化学类型为HCO</w:t>
      </w:r>
      <w:r>
        <w:rPr>
          <w:rFonts w:hint="eastAsia"/>
          <w:color w:val="auto"/>
          <w:highlight w:val="none"/>
          <w:vertAlign w:val="subscript"/>
        </w:rPr>
        <w:t>3</w:t>
      </w:r>
      <w:r>
        <w:rPr>
          <w:rFonts w:hint="default" w:ascii="Times New Roman" w:hAnsi="Times New Roman" w:cs="Times New Roman"/>
          <w:color w:val="auto"/>
          <w:highlight w:val="none"/>
          <w:lang w:val="en-US" w:eastAsia="zh-CN"/>
        </w:rPr>
        <w:t>·</w:t>
      </w:r>
      <w:r>
        <w:rPr>
          <w:rFonts w:hint="eastAsia"/>
          <w:color w:val="auto"/>
          <w:highlight w:val="none"/>
        </w:rPr>
        <w:t>SO</w:t>
      </w:r>
      <w:r>
        <w:rPr>
          <w:rFonts w:hint="eastAsia"/>
          <w:color w:val="auto"/>
          <w:highlight w:val="none"/>
          <w:vertAlign w:val="subscript"/>
        </w:rPr>
        <w:t>4</w:t>
      </w:r>
      <w:r>
        <w:rPr>
          <w:rFonts w:hint="eastAsia"/>
          <w:color w:val="auto"/>
          <w:highlight w:val="none"/>
          <w:vertAlign w:val="baseline"/>
          <w:lang w:eastAsia="zh-CN"/>
        </w:rPr>
        <w:t>—</w:t>
      </w:r>
      <w:r>
        <w:rPr>
          <w:rFonts w:hint="eastAsia"/>
          <w:color w:val="auto"/>
          <w:highlight w:val="none"/>
        </w:rPr>
        <w:t>Ca</w:t>
      </w:r>
      <w:r>
        <w:rPr>
          <w:rFonts w:hint="eastAsia"/>
          <w:color w:val="auto"/>
          <w:highlight w:val="none"/>
          <w:lang w:eastAsia="zh-CN"/>
        </w:rPr>
        <w:t>—</w:t>
      </w:r>
      <w:r>
        <w:rPr>
          <w:rFonts w:hint="eastAsia"/>
          <w:color w:val="auto"/>
          <w:highlight w:val="none"/>
        </w:rPr>
        <w:t>Mg型水，矿化度&lt;0.5g</w:t>
      </w:r>
      <w:r>
        <w:rPr>
          <w:rFonts w:hint="eastAsia"/>
          <w:color w:val="auto"/>
          <w:highlight w:val="none"/>
          <w:lang w:val="en-US" w:eastAsia="zh-CN"/>
        </w:rPr>
        <w:t>/</w:t>
      </w:r>
      <w:r>
        <w:rPr>
          <w:rFonts w:hint="eastAsia"/>
          <w:color w:val="auto"/>
          <w:highlight w:val="none"/>
        </w:rPr>
        <w:t>L，全县地下水年补给量3</w:t>
      </w:r>
      <w:r>
        <w:rPr>
          <w:rFonts w:hint="eastAsia"/>
          <w:color w:val="auto"/>
          <w:highlight w:val="none"/>
          <w:lang w:val="en-US" w:eastAsia="zh-CN"/>
        </w:rPr>
        <w:t>.</w:t>
      </w:r>
      <w:r>
        <w:rPr>
          <w:rFonts w:hint="eastAsia"/>
          <w:color w:val="auto"/>
          <w:highlight w:val="none"/>
        </w:rPr>
        <w:t>593</w:t>
      </w:r>
      <w:r>
        <w:rPr>
          <w:rFonts w:hint="default" w:ascii="Times New Roman" w:hAnsi="Times New Roman" w:cs="Times New Roman"/>
          <w:color w:val="auto"/>
          <w:highlight w:val="none"/>
        </w:rPr>
        <w:t>×</w:t>
      </w:r>
      <w:r>
        <w:rPr>
          <w:rFonts w:hint="eastAsia"/>
          <w:color w:val="auto"/>
          <w:highlight w:val="none"/>
        </w:rPr>
        <w:t>10</w:t>
      </w:r>
      <w:r>
        <w:rPr>
          <w:rFonts w:hint="eastAsia"/>
          <w:color w:val="auto"/>
          <w:highlight w:val="none"/>
          <w:vertAlign w:val="superscript"/>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w:t>
      </w:r>
    </w:p>
    <w:p>
      <w:pPr>
        <w:pStyle w:val="4"/>
        <w:ind w:firstLine="480"/>
        <w:rPr>
          <w:rFonts w:hint="default" w:eastAsia="宋体"/>
          <w:color w:val="auto"/>
          <w:highlight w:val="none"/>
          <w:lang w:val="en-US" w:eastAsia="zh-CN"/>
        </w:rPr>
      </w:pPr>
      <w:r>
        <w:rPr>
          <w:rFonts w:hint="eastAsia"/>
          <w:color w:val="auto"/>
          <w:highlight w:val="none"/>
          <w:lang w:val="en-US" w:eastAsia="zh-CN"/>
        </w:rPr>
        <w:t>环评阶段尚未进行地质勘查工作，未进行项目区详细水文地质剖面调查，现状地下水监测取水井为项目区周边上下游的灌溉取水井，现附项目区域水文地质图如下：</w:t>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eastAsia="zh-CN"/>
        </w:rPr>
      </w:pPr>
      <w:r>
        <w:rPr>
          <w:rFonts w:hint="eastAsia"/>
          <w:color w:val="auto"/>
          <w:highlight w:val="none"/>
          <w:lang w:eastAsia="zh-CN"/>
        </w:rPr>
        <w:drawing>
          <wp:inline distT="0" distB="0" distL="114300" distR="114300">
            <wp:extent cx="5316855" cy="3909060"/>
            <wp:effectExtent l="0" t="0" r="1905" b="7620"/>
            <wp:docPr id="43" name="图片 43" descr="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水文地质图"/>
                    <pic:cNvPicPr>
                      <a:picLocks noChangeAspect="1"/>
                    </pic:cNvPicPr>
                  </pic:nvPicPr>
                  <pic:blipFill>
                    <a:blip r:embed="rId37"/>
                    <a:stretch>
                      <a:fillRect/>
                    </a:stretch>
                  </pic:blipFill>
                  <pic:spPr>
                    <a:xfrm>
                      <a:off x="0" y="0"/>
                      <a:ext cx="5316855" cy="3909060"/>
                    </a:xfrm>
                    <a:prstGeom prst="rect">
                      <a:avLst/>
                    </a:prstGeom>
                  </pic:spPr>
                </pic:pic>
              </a:graphicData>
            </a:graphic>
          </wp:inline>
        </w:drawing>
      </w:r>
    </w:p>
    <w:p>
      <w:pPr>
        <w:pStyle w:val="22"/>
        <w:bidi w:val="0"/>
        <w:rPr>
          <w:rFonts w:hint="default"/>
          <w:lang w:val="en-US" w:eastAsia="zh-CN"/>
        </w:rPr>
      </w:pPr>
      <w:r>
        <w:rPr>
          <w:rFonts w:hint="eastAsia"/>
          <w:lang w:val="en-US" w:eastAsia="zh-CN"/>
        </w:rPr>
        <w:t>图5.2-1</w:t>
      </w:r>
      <w:r>
        <w:rPr>
          <w:rFonts w:hint="eastAsia"/>
        </w:rPr>
        <w:t xml:space="preserve">    </w:t>
      </w:r>
      <w:r>
        <w:rPr>
          <w:rFonts w:hint="eastAsia"/>
          <w:lang w:val="en-US" w:eastAsia="zh-CN"/>
        </w:rPr>
        <w:t>项目区域水文地质图</w:t>
      </w:r>
    </w:p>
    <w:p>
      <w:pPr>
        <w:pStyle w:val="7"/>
        <w:rPr>
          <w:color w:val="auto"/>
          <w:highlight w:val="none"/>
        </w:rPr>
      </w:pPr>
      <w:r>
        <w:rPr>
          <w:rFonts w:hint="eastAsia"/>
          <w:color w:val="auto"/>
          <w:highlight w:val="none"/>
          <w:lang w:val="en-US" w:eastAsia="zh-CN"/>
        </w:rPr>
        <w:t>区域地下水补、径、排条件</w:t>
      </w:r>
    </w:p>
    <w:p>
      <w:pPr>
        <w:pStyle w:val="4"/>
        <w:ind w:firstLine="480"/>
        <w:rPr>
          <w:rFonts w:hint="eastAsia"/>
          <w:color w:val="auto"/>
          <w:highlight w:val="none"/>
          <w:lang w:eastAsia="zh-CN"/>
        </w:rPr>
      </w:pPr>
      <w:r>
        <w:rPr>
          <w:rFonts w:hint="eastAsia"/>
          <w:color w:val="auto"/>
          <w:highlight w:val="none"/>
          <w:lang w:eastAsia="zh-CN"/>
        </w:rPr>
        <w:t>奇台县跨越山区、平原、沙漠三个不同的大地构造单元，奇台县自南部山区分水岭至沙漠，形成由补给、径流、排泄组成近乎完整的水文地质单元。地下水也是按照补给区、径流区、排泄区顺序构成了一个完整的水文地质系统。</w:t>
      </w:r>
    </w:p>
    <w:p>
      <w:pPr>
        <w:pStyle w:val="4"/>
        <w:ind w:firstLine="48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1）补给区</w:t>
      </w:r>
    </w:p>
    <w:p>
      <w:pPr>
        <w:pStyle w:val="4"/>
        <w:ind w:firstLine="480"/>
        <w:rPr>
          <w:rFonts w:hint="default"/>
          <w:color w:val="auto"/>
          <w:highlight w:val="none"/>
          <w:lang w:val="en-US" w:eastAsia="zh-CN"/>
        </w:rPr>
      </w:pPr>
      <w:r>
        <w:rPr>
          <w:rFonts w:hint="default"/>
          <w:color w:val="auto"/>
          <w:highlight w:val="none"/>
          <w:lang w:val="en-US" w:eastAsia="zh-CN"/>
        </w:rPr>
        <w:t>奇台县境内3600米以上常年积雪，分水岭分布有现代冰川。天山山脉在奇台县境内折成弧形，有利于水汽的集聚。中高山区主要是石灰系火山碎屑岩，经多次构造运动，断层几乎横穿全山区。岩石破碎使得裂隙发育较为完整，这造成潜水运转通畅。中低山区断裂也较多，但不及中高山区，对地下水有一定的控制能力。</w:t>
      </w:r>
    </w:p>
    <w:p>
      <w:pPr>
        <w:pStyle w:val="4"/>
        <w:ind w:firstLine="480"/>
        <w:rPr>
          <w:rFonts w:hint="default"/>
          <w:color w:val="auto"/>
          <w:highlight w:val="none"/>
          <w:lang w:val="en-US" w:eastAsia="zh-CN"/>
        </w:rPr>
      </w:pPr>
      <w:r>
        <w:rPr>
          <w:rFonts w:hint="default"/>
          <w:color w:val="auto"/>
          <w:highlight w:val="none"/>
          <w:lang w:val="en-US" w:eastAsia="zh-CN"/>
        </w:rPr>
        <w:t>该县山区山体较高，降水较平原地区丰富。降水和冰川融水一方面补给河流，另一方面又渗漏补给了</w:t>
      </w:r>
      <w:r>
        <w:rPr>
          <w:rFonts w:hint="eastAsia"/>
          <w:color w:val="auto"/>
          <w:highlight w:val="none"/>
          <w:lang w:val="en-US" w:eastAsia="zh-CN"/>
        </w:rPr>
        <w:t>潜水和</w:t>
      </w:r>
      <w:r>
        <w:rPr>
          <w:rFonts w:hint="default"/>
          <w:color w:val="auto"/>
          <w:highlight w:val="none"/>
          <w:lang w:val="en-US" w:eastAsia="zh-CN"/>
        </w:rPr>
        <w:t>基岩裂隙水。在深切的河谷两侧又以下降泉的形式溢出，注入河谷。河流流出山口后，或经引水渠，或经田间，或经天然河床渗失于山前戈壁砾石带补给潜水及深部承压水。</w:t>
      </w:r>
    </w:p>
    <w:p>
      <w:pPr>
        <w:pStyle w:val="4"/>
        <w:ind w:firstLine="48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2）径流区</w:t>
      </w:r>
    </w:p>
    <w:p>
      <w:pPr>
        <w:pStyle w:val="4"/>
        <w:ind w:firstLine="480"/>
        <w:rPr>
          <w:rFonts w:hint="eastAsia"/>
          <w:color w:val="auto"/>
          <w:highlight w:val="none"/>
          <w:lang w:eastAsia="zh-CN"/>
        </w:rPr>
      </w:pPr>
      <w:r>
        <w:rPr>
          <w:rFonts w:hint="eastAsia"/>
          <w:color w:val="auto"/>
          <w:highlight w:val="none"/>
          <w:lang w:eastAsia="zh-CN"/>
        </w:rPr>
        <w:t>靠山区凹陷部分至山前倾斜平原，第四系松散堆积物厚度大，粒径粗，地表坡度大透水性强，渗流条件好，地下水量大，水质好。直接承受山区大量的地表径流和河谷潜流的补给，沿地形坡向向西北方向流动，补给细土平原的潜水层、承压水层及沙漠潜水含水层。其中部分径流量在戈壁带和细土平原的接触部位通过断裂带以泉水的形式溢出地表。含水层厚度随地形向北渐薄，潜水水位埋深渐浅。</w:t>
      </w:r>
    </w:p>
    <w:p>
      <w:pPr>
        <w:pStyle w:val="4"/>
        <w:ind w:firstLine="48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3）排泄区</w:t>
      </w:r>
    </w:p>
    <w:p>
      <w:pPr>
        <w:pStyle w:val="4"/>
        <w:ind w:firstLine="480"/>
        <w:rPr>
          <w:rFonts w:hint="default"/>
          <w:color w:val="auto"/>
          <w:highlight w:val="none"/>
          <w:lang w:val="en-US" w:eastAsia="zh-CN"/>
        </w:rPr>
      </w:pPr>
      <w:r>
        <w:rPr>
          <w:rFonts w:hint="default"/>
          <w:color w:val="auto"/>
          <w:highlight w:val="none"/>
          <w:lang w:val="en-US" w:eastAsia="zh-CN"/>
        </w:rPr>
        <w:t>戈壁平原上部为大厚度的卵砾石层结构，向北逐渐变为沙砾石、亚砂土、亚粘土互层及砂与粘性土互层，其岩性结构渐趋复杂，逐渐形成了水力性质互不相同的含水层组</w:t>
      </w:r>
      <w:r>
        <w:rPr>
          <w:rFonts w:hint="eastAsia"/>
          <w:color w:val="auto"/>
          <w:highlight w:val="none"/>
          <w:lang w:val="en-US" w:eastAsia="zh-CN"/>
        </w:rPr>
        <w:t>——</w:t>
      </w:r>
      <w:r>
        <w:rPr>
          <w:rFonts w:hint="default"/>
          <w:color w:val="auto"/>
          <w:highlight w:val="none"/>
          <w:lang w:val="en-US" w:eastAsia="zh-CN"/>
        </w:rPr>
        <w:t>潜水与承压水。径流方式、运转方式、运转方式、排泄途径比戈壁平原上部复杂</w:t>
      </w:r>
      <w:r>
        <w:rPr>
          <w:rFonts w:hint="eastAsia"/>
          <w:color w:val="auto"/>
          <w:highlight w:val="none"/>
          <w:lang w:val="en-US" w:eastAsia="zh-CN"/>
        </w:rPr>
        <w:t>。</w:t>
      </w:r>
      <w:r>
        <w:rPr>
          <w:rFonts w:hint="default"/>
          <w:color w:val="auto"/>
          <w:highlight w:val="none"/>
          <w:lang w:val="en-US" w:eastAsia="zh-CN"/>
        </w:rPr>
        <w:t>潜水通过溢出带泉群水平排泄一部分，在细土平原地下水浅埋区，通过蒸发垂直排泄一部分，通过打井提取地下水，人工垂直排泄一部分，其余部分继续向下</w:t>
      </w:r>
      <w:r>
        <w:rPr>
          <w:rFonts w:hint="eastAsia"/>
          <w:color w:val="auto"/>
          <w:highlight w:val="none"/>
          <w:lang w:val="en-US" w:eastAsia="zh-CN"/>
        </w:rPr>
        <w:t>排</w:t>
      </w:r>
      <w:r>
        <w:rPr>
          <w:rFonts w:hint="default"/>
          <w:color w:val="auto"/>
          <w:highlight w:val="none"/>
          <w:lang w:val="en-US" w:eastAsia="zh-CN"/>
        </w:rPr>
        <w:t>泄。</w:t>
      </w:r>
    </w:p>
    <w:p>
      <w:pPr>
        <w:pStyle w:val="4"/>
        <w:ind w:firstLine="480"/>
        <w:rPr>
          <w:rFonts w:hint="default"/>
          <w:color w:val="auto"/>
          <w:highlight w:val="none"/>
          <w:lang w:val="en-US" w:eastAsia="zh-CN"/>
        </w:rPr>
      </w:pPr>
      <w:r>
        <w:rPr>
          <w:rFonts w:hint="default"/>
          <w:color w:val="auto"/>
          <w:highlight w:val="none"/>
          <w:lang w:val="en-US" w:eastAsia="zh-CN"/>
        </w:rPr>
        <w:t>溢出带泉水，部分引入田间灌溉，部分再转化为地下径流，大部分通过蒸发及植物蒸腾参与大气循环。</w:t>
      </w:r>
    </w:p>
    <w:p>
      <w:pPr>
        <w:pStyle w:val="4"/>
        <w:ind w:firstLine="480"/>
        <w:rPr>
          <w:rFonts w:hint="default"/>
          <w:color w:val="auto"/>
          <w:highlight w:val="none"/>
          <w:lang w:val="en-US" w:eastAsia="zh-CN"/>
        </w:rPr>
      </w:pPr>
      <w:r>
        <w:rPr>
          <w:rFonts w:hint="default"/>
          <w:color w:val="auto"/>
          <w:highlight w:val="none"/>
          <w:lang w:val="en-US" w:eastAsia="zh-CN"/>
        </w:rPr>
        <w:t>承压水在自然状态下，部分沿径流方向运动，垂直方向通过弱隔水顶板补给潜水含水层，部分地段甚至通过隔水顶板间断裂开口处以泉水的形式排泄。农田灌溉大量开采自流水，为承压水提供了另一种排泄途径。</w:t>
      </w:r>
    </w:p>
    <w:p>
      <w:pPr>
        <w:pStyle w:val="4"/>
        <w:ind w:firstLine="480"/>
        <w:rPr>
          <w:rFonts w:hint="eastAsia"/>
          <w:color w:val="auto"/>
          <w:highlight w:val="none"/>
          <w:lang w:eastAsia="zh-CN"/>
        </w:rPr>
      </w:pPr>
      <w:r>
        <w:rPr>
          <w:rFonts w:hint="eastAsia"/>
          <w:color w:val="auto"/>
          <w:highlight w:val="none"/>
          <w:lang w:val="en-US" w:eastAsia="zh-CN"/>
        </w:rPr>
        <w:t>本</w:t>
      </w:r>
      <w:r>
        <w:rPr>
          <w:rFonts w:hint="default"/>
          <w:color w:val="auto"/>
          <w:highlight w:val="none"/>
          <w:lang w:val="en-US" w:eastAsia="zh-CN"/>
        </w:rPr>
        <w:t>项目所在区域地貌单元属山前倾斜平原地貌单元，地层主要由第四系晚更新统冲洪积圆砾（Q3al</w:t>
      </w:r>
      <w:r>
        <w:rPr>
          <w:rFonts w:hint="eastAsia"/>
          <w:color w:val="auto"/>
          <w:highlight w:val="none"/>
          <w:lang w:val="en-US" w:eastAsia="zh-CN"/>
        </w:rPr>
        <w:t>+</w:t>
      </w:r>
      <w:r>
        <w:rPr>
          <w:rFonts w:hint="default"/>
          <w:color w:val="auto"/>
          <w:highlight w:val="none"/>
          <w:lang w:val="en-US" w:eastAsia="zh-CN"/>
        </w:rPr>
        <w:t>p1）及下卧层基岩组成，</w:t>
      </w:r>
      <w:r>
        <w:rPr>
          <w:rFonts w:hint="eastAsia"/>
          <w:color w:val="auto"/>
          <w:highlight w:val="none"/>
          <w:lang w:eastAsia="zh-CN"/>
        </w:rPr>
        <w:t>地下水流向为东南至西北，</w:t>
      </w:r>
      <w:r>
        <w:rPr>
          <w:rFonts w:hint="eastAsia"/>
          <w:color w:val="auto"/>
          <w:highlight w:val="none"/>
          <w:lang w:val="en-US" w:eastAsia="zh-CN"/>
        </w:rPr>
        <w:t>根据现场地下水监测及调查，项目区东南侧及北侧灌溉取取用地下水类型为</w:t>
      </w:r>
      <w:r>
        <w:rPr>
          <w:rFonts w:hint="eastAsia"/>
          <w:color w:val="auto"/>
          <w:highlight w:val="none"/>
          <w:lang w:eastAsia="zh-CN"/>
        </w:rPr>
        <w:t>潜水，水位埋深</w:t>
      </w:r>
      <w:r>
        <w:rPr>
          <w:rFonts w:hint="eastAsia"/>
          <w:color w:val="auto"/>
          <w:highlight w:val="none"/>
          <w:lang w:val="en-US" w:eastAsia="zh-CN"/>
        </w:rPr>
        <w:t>约</w:t>
      </w:r>
      <w:r>
        <w:rPr>
          <w:rFonts w:hint="eastAsia"/>
          <w:color w:val="auto"/>
          <w:highlight w:val="none"/>
          <w:lang w:eastAsia="zh-CN"/>
        </w:rPr>
        <w:t>为</w:t>
      </w:r>
      <w:r>
        <w:rPr>
          <w:rFonts w:hint="eastAsia"/>
          <w:color w:val="auto"/>
          <w:highlight w:val="none"/>
          <w:lang w:val="en-US" w:eastAsia="zh-CN"/>
        </w:rPr>
        <w:t>95</w:t>
      </w:r>
      <w:r>
        <w:rPr>
          <w:rFonts w:hint="eastAsia"/>
          <w:color w:val="auto"/>
          <w:highlight w:val="none"/>
          <w:lang w:eastAsia="zh-CN"/>
        </w:rPr>
        <w:t>m。</w:t>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highlight w:val="none"/>
          <w:lang w:eastAsia="zh-CN"/>
        </w:rPr>
      </w:pPr>
      <w:r>
        <w:rPr>
          <w:rFonts w:hint="eastAsia"/>
          <w:color w:val="auto"/>
          <w:highlight w:val="none"/>
          <w:lang w:eastAsia="zh-CN"/>
        </w:rPr>
        <w:drawing>
          <wp:inline distT="0" distB="0" distL="114300" distR="114300">
            <wp:extent cx="5167630" cy="3239135"/>
            <wp:effectExtent l="0" t="0" r="13970" b="6985"/>
            <wp:docPr id="40" name="图片 40" descr="地下水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地下水流场"/>
                    <pic:cNvPicPr>
                      <a:picLocks noChangeAspect="1"/>
                    </pic:cNvPicPr>
                  </pic:nvPicPr>
                  <pic:blipFill>
                    <a:blip r:embed="rId38"/>
                    <a:srcRect t="2560" r="2011"/>
                    <a:stretch>
                      <a:fillRect/>
                    </a:stretch>
                  </pic:blipFill>
                  <pic:spPr>
                    <a:xfrm>
                      <a:off x="0" y="0"/>
                      <a:ext cx="5167630" cy="3239135"/>
                    </a:xfrm>
                    <a:prstGeom prst="rect">
                      <a:avLst/>
                    </a:prstGeom>
                  </pic:spPr>
                </pic:pic>
              </a:graphicData>
            </a:graphic>
          </wp:inline>
        </w:drawing>
      </w:r>
    </w:p>
    <w:p>
      <w:pPr>
        <w:pStyle w:val="22"/>
        <w:bidi w:val="0"/>
        <w:rPr>
          <w:rFonts w:hint="default"/>
          <w:lang w:val="en-US" w:eastAsia="zh-CN"/>
        </w:rPr>
      </w:pPr>
      <w:r>
        <w:rPr>
          <w:rFonts w:hint="eastAsia"/>
          <w:lang w:val="en-US" w:eastAsia="zh-CN"/>
        </w:rPr>
        <w:t>图5.2-2</w:t>
      </w:r>
      <w:r>
        <w:rPr>
          <w:rFonts w:hint="eastAsia"/>
        </w:rPr>
        <w:t xml:space="preserve">    </w:t>
      </w:r>
      <w:r>
        <w:rPr>
          <w:rFonts w:hint="eastAsia"/>
          <w:lang w:val="en-US" w:eastAsia="zh-CN"/>
        </w:rPr>
        <w:t>地下水流场</w:t>
      </w:r>
    </w:p>
    <w:p>
      <w:pPr>
        <w:pStyle w:val="7"/>
        <w:rPr>
          <w:color w:val="auto"/>
          <w:highlight w:val="none"/>
        </w:rPr>
      </w:pPr>
      <w:r>
        <w:rPr>
          <w:rFonts w:hint="eastAsia"/>
          <w:color w:val="auto"/>
          <w:highlight w:val="none"/>
          <w:lang w:val="en-US" w:eastAsia="zh-CN"/>
        </w:rPr>
        <w:t>预测情景</w:t>
      </w:r>
    </w:p>
    <w:p>
      <w:pPr>
        <w:pStyle w:val="4"/>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正常工况</w:t>
      </w:r>
    </w:p>
    <w:p>
      <w:pPr>
        <w:pStyle w:val="4"/>
        <w:bidi w:val="0"/>
        <w:rPr>
          <w:color w:val="auto"/>
          <w:highlight w:val="none"/>
        </w:rPr>
      </w:pPr>
      <w:r>
        <w:rPr>
          <w:rFonts w:hint="eastAsia"/>
          <w:color w:val="auto"/>
          <w:sz w:val="24"/>
          <w:highlight w:val="none"/>
          <w:lang w:val="en-US" w:eastAsia="zh-CN"/>
        </w:rPr>
        <w:t>项目填埋区依据</w:t>
      </w:r>
      <w:r>
        <w:rPr>
          <w:rFonts w:hint="eastAsia"/>
          <w:color w:val="auto"/>
          <w:sz w:val="24"/>
          <w:highlight w:val="none"/>
          <w:lang w:eastAsia="zh-CN"/>
        </w:rPr>
        <w:t>《一般工业固体废物贮存和填埋污染控制标准》（GB18599-2020）</w:t>
      </w:r>
      <w:r>
        <w:rPr>
          <w:rFonts w:hint="eastAsia"/>
          <w:color w:val="auto"/>
          <w:sz w:val="24"/>
          <w:highlight w:val="none"/>
          <w:lang w:val="en-US" w:eastAsia="zh-CN"/>
        </w:rPr>
        <w:t>按</w:t>
      </w:r>
      <w:r>
        <w:rPr>
          <w:rFonts w:hint="default" w:ascii="Times New Roman" w:hAnsi="Times New Roman" w:cs="Times New Roman"/>
          <w:color w:val="auto"/>
          <w:kern w:val="0"/>
          <w:sz w:val="24"/>
          <w:highlight w:val="none"/>
          <w:lang w:eastAsia="zh-CN"/>
        </w:rPr>
        <w:t>Ⅱ</w:t>
      </w:r>
      <w:r>
        <w:rPr>
          <w:rFonts w:hint="eastAsia"/>
          <w:color w:val="auto"/>
          <w:kern w:val="0"/>
          <w:sz w:val="24"/>
          <w:highlight w:val="none"/>
        </w:rPr>
        <w:t>类</w:t>
      </w:r>
      <w:r>
        <w:rPr>
          <w:color w:val="auto"/>
          <w:kern w:val="0"/>
          <w:sz w:val="24"/>
          <w:highlight w:val="none"/>
        </w:rPr>
        <w:t>场</w:t>
      </w:r>
      <w:r>
        <w:rPr>
          <w:rFonts w:hint="eastAsia"/>
          <w:color w:val="auto"/>
          <w:kern w:val="0"/>
          <w:sz w:val="24"/>
          <w:highlight w:val="none"/>
          <w:lang w:val="en-US" w:eastAsia="zh-CN"/>
        </w:rPr>
        <w:t>要求进行了</w:t>
      </w:r>
      <w:r>
        <w:rPr>
          <w:rFonts w:hint="eastAsia"/>
          <w:color w:val="auto"/>
          <w:kern w:val="0"/>
          <w:sz w:val="24"/>
          <w:highlight w:val="none"/>
        </w:rPr>
        <w:t>防渗</w:t>
      </w:r>
      <w:r>
        <w:rPr>
          <w:rFonts w:hint="eastAsia"/>
          <w:color w:val="auto"/>
          <w:kern w:val="0"/>
          <w:sz w:val="24"/>
          <w:highlight w:val="none"/>
          <w:lang w:eastAsia="zh-CN"/>
        </w:rPr>
        <w:t>，</w:t>
      </w:r>
      <w:r>
        <w:rPr>
          <w:rFonts w:hint="eastAsia"/>
          <w:color w:val="auto"/>
          <w:sz w:val="24"/>
          <w:highlight w:val="none"/>
          <w:lang w:val="en-US" w:eastAsia="zh-CN"/>
        </w:rPr>
        <w:t>库区防渗层采用人工复合防渗衬层，</w:t>
      </w:r>
      <w:r>
        <w:rPr>
          <w:color w:val="auto"/>
          <w:highlight w:val="none"/>
        </w:rPr>
        <w:t>正常</w:t>
      </w:r>
      <w:r>
        <w:rPr>
          <w:rFonts w:hint="eastAsia"/>
          <w:color w:val="auto"/>
          <w:highlight w:val="none"/>
        </w:rPr>
        <w:t>工</w:t>
      </w:r>
      <w:r>
        <w:rPr>
          <w:color w:val="auto"/>
          <w:highlight w:val="none"/>
        </w:rPr>
        <w:t>况下</w:t>
      </w:r>
      <w:r>
        <w:rPr>
          <w:rFonts w:hint="eastAsia"/>
          <w:color w:val="auto"/>
          <w:highlight w:val="none"/>
          <w:lang w:eastAsia="zh-CN"/>
        </w:rPr>
        <w:t>，</w:t>
      </w:r>
      <w:r>
        <w:rPr>
          <w:color w:val="auto"/>
          <w:highlight w:val="none"/>
        </w:rPr>
        <w:t>污染源从源头上可以得到控制，本</w:t>
      </w:r>
      <w:r>
        <w:rPr>
          <w:rFonts w:hint="eastAsia"/>
          <w:color w:val="auto"/>
          <w:highlight w:val="none"/>
          <w:lang w:val="en-US" w:eastAsia="zh-CN"/>
        </w:rPr>
        <w:t>次</w:t>
      </w:r>
      <w:r>
        <w:rPr>
          <w:color w:val="auto"/>
          <w:highlight w:val="none"/>
        </w:rPr>
        <w:t>不再对正常</w:t>
      </w:r>
      <w:r>
        <w:rPr>
          <w:rFonts w:hint="eastAsia"/>
          <w:color w:val="auto"/>
          <w:highlight w:val="none"/>
          <w:lang w:val="en-US" w:eastAsia="zh-CN"/>
        </w:rPr>
        <w:t>工况</w:t>
      </w:r>
      <w:r>
        <w:rPr>
          <w:color w:val="auto"/>
          <w:highlight w:val="none"/>
        </w:rPr>
        <w:t>进行预测评价。</w:t>
      </w:r>
    </w:p>
    <w:p>
      <w:pPr>
        <w:pStyle w:val="4"/>
        <w:ind w:firstLine="48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rPr>
        <w:t>非正常工况</w:t>
      </w:r>
    </w:p>
    <w:p>
      <w:pPr>
        <w:pStyle w:val="4"/>
        <w:ind w:firstLine="480"/>
        <w:rPr>
          <w:color w:val="auto"/>
          <w:highlight w:val="none"/>
        </w:rPr>
      </w:pPr>
      <w:r>
        <w:rPr>
          <w:rFonts w:hint="eastAsia"/>
          <w:color w:val="auto"/>
          <w:highlight w:val="none"/>
          <w:lang w:val="en-US" w:eastAsia="zh-CN"/>
        </w:rPr>
        <w:t>考虑渗滤液产生的最不利情况，</w:t>
      </w:r>
      <w:r>
        <w:rPr>
          <w:color w:val="auto"/>
          <w:highlight w:val="none"/>
        </w:rPr>
        <w:t>当本工程</w:t>
      </w:r>
      <w:r>
        <w:rPr>
          <w:rFonts w:hint="eastAsia"/>
          <w:color w:val="auto"/>
          <w:highlight w:val="none"/>
          <w:lang w:val="en-US" w:eastAsia="zh-CN"/>
        </w:rPr>
        <w:t>填埋区防渗层</w:t>
      </w:r>
      <w:r>
        <w:rPr>
          <w:color w:val="auto"/>
          <w:highlight w:val="none"/>
        </w:rPr>
        <w:t>因老化、腐蚀等原因不能正常运行或</w:t>
      </w:r>
      <w:r>
        <w:rPr>
          <w:rFonts w:hint="eastAsia"/>
          <w:color w:val="auto"/>
          <w:highlight w:val="none"/>
          <w:lang w:val="en-US" w:eastAsia="zh-CN"/>
        </w:rPr>
        <w:t>防渗</w:t>
      </w:r>
      <w:r>
        <w:rPr>
          <w:color w:val="auto"/>
          <w:highlight w:val="none"/>
        </w:rPr>
        <w:t>效果达不到设计要求时，</w:t>
      </w:r>
      <w:r>
        <w:rPr>
          <w:rFonts w:hint="eastAsia"/>
          <w:color w:val="auto"/>
          <w:highlight w:val="none"/>
          <w:lang w:val="en-US" w:eastAsia="zh-CN"/>
        </w:rPr>
        <w:t>发生渗滤液</w:t>
      </w:r>
      <w:r>
        <w:rPr>
          <w:color w:val="auto"/>
          <w:highlight w:val="none"/>
        </w:rPr>
        <w:t>泄漏，透过包气带渗入地下水，</w:t>
      </w:r>
      <w:r>
        <w:rPr>
          <w:rFonts w:hint="eastAsia"/>
          <w:color w:val="auto"/>
          <w:highlight w:val="none"/>
          <w:lang w:val="en-US" w:eastAsia="zh-CN"/>
        </w:rPr>
        <w:t>将</w:t>
      </w:r>
      <w:r>
        <w:rPr>
          <w:color w:val="auto"/>
          <w:highlight w:val="none"/>
        </w:rPr>
        <w:t>对地下水环境造成污染。</w:t>
      </w:r>
    </w:p>
    <w:p>
      <w:pPr>
        <w:pStyle w:val="7"/>
        <w:rPr>
          <w:color w:val="auto"/>
          <w:highlight w:val="none"/>
        </w:rPr>
      </w:pPr>
      <w:r>
        <w:rPr>
          <w:rFonts w:hint="eastAsia"/>
          <w:color w:val="auto"/>
          <w:highlight w:val="none"/>
        </w:rPr>
        <w:t>污染源分析与概化</w:t>
      </w:r>
    </w:p>
    <w:p>
      <w:pPr>
        <w:pStyle w:val="4"/>
        <w:ind w:firstLine="480"/>
        <w:rPr>
          <w:rFonts w:hint="default"/>
          <w:color w:val="auto"/>
          <w:highlight w:val="none"/>
          <w:lang w:val="en-US" w:eastAsia="zh-CN"/>
        </w:rPr>
      </w:pPr>
      <w:r>
        <w:rPr>
          <w:rFonts w:hint="eastAsia"/>
          <w:color w:val="auto"/>
          <w:highlight w:val="none"/>
          <w:lang w:val="en-US" w:eastAsia="zh-CN"/>
        </w:rPr>
        <w:t>（1）污染因子选取</w:t>
      </w:r>
    </w:p>
    <w:p>
      <w:pPr>
        <w:pStyle w:val="4"/>
        <w:ind w:firstLine="480"/>
        <w:rPr>
          <w:rFonts w:hint="default"/>
          <w:color w:val="auto"/>
          <w:highlight w:val="none"/>
          <w:lang w:val="en-US" w:eastAsia="zh-CN"/>
        </w:rPr>
      </w:pPr>
      <w:r>
        <w:rPr>
          <w:rFonts w:hint="eastAsia"/>
          <w:color w:val="auto"/>
          <w:highlight w:val="none"/>
          <w:lang w:val="en-US" w:eastAsia="zh-CN"/>
        </w:rPr>
        <w:t>本项目处置及拟接收的一般工业固体废物为</w:t>
      </w:r>
      <w:r>
        <w:rPr>
          <w:rFonts w:hint="eastAsia"/>
          <w:color w:val="auto"/>
          <w:highlight w:val="none"/>
        </w:rPr>
        <w:t>粉煤灰</w:t>
      </w:r>
      <w:r>
        <w:rPr>
          <w:rFonts w:hint="eastAsia"/>
          <w:color w:val="auto"/>
          <w:highlight w:val="none"/>
          <w:lang w:val="en-US" w:eastAsia="zh-CN"/>
        </w:rPr>
        <w:t>和</w:t>
      </w:r>
      <w:r>
        <w:rPr>
          <w:rFonts w:hint="eastAsia"/>
          <w:color w:val="auto"/>
          <w:highlight w:val="none"/>
        </w:rPr>
        <w:t>炉渣</w:t>
      </w:r>
      <w:r>
        <w:rPr>
          <w:rFonts w:hint="eastAsia"/>
          <w:color w:val="auto"/>
          <w:highlight w:val="none"/>
          <w:lang w:eastAsia="zh-CN"/>
        </w:rPr>
        <w:t>，</w:t>
      </w:r>
      <w:r>
        <w:rPr>
          <w:rFonts w:hint="eastAsia"/>
          <w:color w:val="auto"/>
          <w:highlight w:val="none"/>
          <w:lang w:val="en-US" w:eastAsia="zh-CN"/>
        </w:rPr>
        <w:t>根据《粉煤灰的理化特性与浸出特性实验》（电力与环境保护，第10卷，第4期），电厂粉煤灰浸出液主要有毒有害污染因子为As</w:t>
      </w:r>
      <w:r>
        <w:rPr>
          <w:rFonts w:hint="eastAsia"/>
          <w:color w:val="auto"/>
          <w:highlight w:val="none"/>
          <w:vertAlign w:val="superscript"/>
          <w:lang w:val="en-US" w:eastAsia="zh-CN"/>
        </w:rPr>
        <w:t>3+</w:t>
      </w:r>
      <w:r>
        <w:rPr>
          <w:rFonts w:hint="eastAsia"/>
          <w:color w:val="auto"/>
          <w:highlight w:val="none"/>
          <w:lang w:val="en-US" w:eastAsia="zh-CN"/>
        </w:rPr>
        <w:t>、Cr</w:t>
      </w:r>
      <w:r>
        <w:rPr>
          <w:rFonts w:hint="eastAsia"/>
          <w:color w:val="auto"/>
          <w:highlight w:val="none"/>
          <w:vertAlign w:val="superscript"/>
          <w:lang w:val="en-US" w:eastAsia="zh-CN"/>
        </w:rPr>
        <w:t>6+</w:t>
      </w:r>
      <w:r>
        <w:rPr>
          <w:rFonts w:hint="eastAsia"/>
          <w:color w:val="auto"/>
          <w:highlight w:val="none"/>
          <w:lang w:val="en-US" w:eastAsia="zh-CN"/>
        </w:rPr>
        <w:t>、F</w:t>
      </w:r>
      <w:r>
        <w:rPr>
          <w:rFonts w:hint="eastAsia"/>
          <w:color w:val="auto"/>
          <w:highlight w:val="none"/>
          <w:vertAlign w:val="superscript"/>
          <w:lang w:val="en-US" w:eastAsia="zh-CN"/>
        </w:rPr>
        <w:t>-</w:t>
      </w:r>
      <w:r>
        <w:rPr>
          <w:rFonts w:hint="eastAsia"/>
          <w:color w:val="auto"/>
          <w:highlight w:val="none"/>
          <w:lang w:val="en-US" w:eastAsia="zh-CN"/>
        </w:rPr>
        <w:t>，各污染物浓度及占标率如下表：</w:t>
      </w:r>
    </w:p>
    <w:p>
      <w:pPr>
        <w:pStyle w:val="22"/>
        <w:bidi w:val="0"/>
        <w:rPr>
          <w:rFonts w:hint="default"/>
          <w:lang w:val="en-US" w:eastAsia="zh-CN"/>
        </w:rPr>
      </w:pPr>
      <w:r>
        <w:rPr>
          <w:rFonts w:hint="eastAsia"/>
        </w:rPr>
        <w:t>表</w:t>
      </w:r>
      <w:r>
        <w:rPr>
          <w:rFonts w:hint="eastAsia"/>
          <w:lang w:val="en-US" w:eastAsia="zh-CN"/>
        </w:rPr>
        <w:t>5.2-7</w:t>
      </w:r>
      <w:r>
        <w:rPr>
          <w:rFonts w:hint="eastAsia"/>
        </w:rPr>
        <w:t xml:space="preserve">   </w:t>
      </w:r>
      <w:r>
        <w:rPr>
          <w:rFonts w:hint="eastAsia"/>
          <w:lang w:val="en-US" w:eastAsia="zh-CN"/>
        </w:rPr>
        <w:t>浸出液各污染因子浓度及占标率统计表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362"/>
        <w:gridCol w:w="1015"/>
        <w:gridCol w:w="1187"/>
        <w:gridCol w:w="1187"/>
        <w:gridCol w:w="1199"/>
        <w:gridCol w:w="1199"/>
        <w:gridCol w:w="12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tblHeader/>
        </w:trPr>
        <w:tc>
          <w:tcPr>
            <w:tcW w:w="815"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w:t>
            </w:r>
          </w:p>
        </w:tc>
        <w:tc>
          <w:tcPr>
            <w:tcW w:w="607"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单位</w:t>
            </w:r>
          </w:p>
        </w:tc>
        <w:tc>
          <w:tcPr>
            <w:tcW w:w="710"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试验浓度</w:t>
            </w:r>
          </w:p>
        </w:tc>
        <w:tc>
          <w:tcPr>
            <w:tcW w:w="1427"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标准值（mg/L）</w:t>
            </w:r>
          </w:p>
        </w:tc>
        <w:tc>
          <w:tcPr>
            <w:tcW w:w="1439"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tblHeader/>
        </w:trPr>
        <w:tc>
          <w:tcPr>
            <w:tcW w:w="815"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607"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0"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X</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Y</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X</w:t>
            </w:r>
          </w:p>
        </w:tc>
        <w:tc>
          <w:tcPr>
            <w:tcW w:w="72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Y</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tblHeader/>
        </w:trPr>
        <w:tc>
          <w:tcPr>
            <w:tcW w:w="81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pH</w:t>
            </w:r>
          </w:p>
        </w:tc>
        <w:tc>
          <w:tcPr>
            <w:tcW w:w="60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11.46</w:t>
            </w: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6-9</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72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tblHeader/>
        </w:trPr>
        <w:tc>
          <w:tcPr>
            <w:tcW w:w="81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As</w:t>
            </w:r>
            <w:r>
              <w:rPr>
                <w:rFonts w:hint="eastAsia"/>
                <w:vertAlign w:val="superscript"/>
                <w:lang w:val="en-US" w:eastAsia="zh-CN"/>
              </w:rPr>
              <w:t>3+</w:t>
            </w:r>
          </w:p>
        </w:tc>
        <w:tc>
          <w:tcPr>
            <w:tcW w:w="60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mg/L</w:t>
            </w: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0.044</w:t>
            </w: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0.5</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0.88</w:t>
            </w:r>
          </w:p>
        </w:tc>
        <w:tc>
          <w:tcPr>
            <w:tcW w:w="72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tblHeader/>
        </w:trPr>
        <w:tc>
          <w:tcPr>
            <w:tcW w:w="81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Cr</w:t>
            </w:r>
            <w:r>
              <w:rPr>
                <w:rFonts w:hint="eastAsia"/>
                <w:vertAlign w:val="superscript"/>
                <w:lang w:val="en-US" w:eastAsia="zh-CN"/>
              </w:rPr>
              <w:t>6+</w:t>
            </w:r>
          </w:p>
        </w:tc>
        <w:tc>
          <w:tcPr>
            <w:tcW w:w="60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mg/L</w:t>
            </w: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0.021</w:t>
            </w: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0.5</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0.42</w:t>
            </w:r>
          </w:p>
        </w:tc>
        <w:tc>
          <w:tcPr>
            <w:tcW w:w="72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0" w:hRule="atLeast"/>
          <w:tblHeader/>
        </w:trPr>
        <w:tc>
          <w:tcPr>
            <w:tcW w:w="81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F</w:t>
            </w:r>
            <w:r>
              <w:rPr>
                <w:rFonts w:hint="eastAsia"/>
                <w:vertAlign w:val="superscript"/>
                <w:lang w:val="en-US" w:eastAsia="zh-CN"/>
              </w:rPr>
              <w:t>-</w:t>
            </w:r>
          </w:p>
        </w:tc>
        <w:tc>
          <w:tcPr>
            <w:tcW w:w="60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mg/L</w:t>
            </w: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0.99</w:t>
            </w:r>
          </w:p>
        </w:tc>
        <w:tc>
          <w:tcPr>
            <w:tcW w:w="710"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100</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20</w:t>
            </w:r>
          </w:p>
        </w:tc>
        <w:tc>
          <w:tcPr>
            <w:tcW w:w="71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0.99</w:t>
            </w:r>
          </w:p>
        </w:tc>
        <w:tc>
          <w:tcPr>
            <w:tcW w:w="72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2" w:hRule="atLeast"/>
          <w:tblHeader/>
        </w:trPr>
        <w:tc>
          <w:tcPr>
            <w:tcW w:w="5000" w:type="pct"/>
            <w:gridSpan w:val="7"/>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eastAsia"/>
                <w:lang w:val="en-US" w:eastAsia="zh-CN"/>
              </w:rPr>
            </w:pPr>
            <w:r>
              <w:rPr>
                <w:rFonts w:hint="eastAsia"/>
                <w:lang w:val="en-US" w:eastAsia="zh-CN"/>
              </w:rPr>
              <w:t>注：X表示《危险废物鉴别标准-浸出毒性鉴别》（GB5085.3-2007）；Y表示《污水综合排放标准》（GB8978-1996）中的最高允许排放浓度限值。</w:t>
            </w:r>
          </w:p>
        </w:tc>
      </w:tr>
    </w:tbl>
    <w:p>
      <w:pPr>
        <w:pStyle w:val="4"/>
        <w:ind w:firstLine="480"/>
        <w:rPr>
          <w:rFonts w:hint="eastAsia"/>
          <w:color w:val="auto"/>
          <w:highlight w:val="none"/>
          <w:lang w:val="en-US" w:eastAsia="zh-CN"/>
        </w:rPr>
      </w:pPr>
      <w:r>
        <w:rPr>
          <w:rFonts w:hint="eastAsia"/>
          <w:color w:val="auto"/>
          <w:highlight w:val="none"/>
          <w:lang w:val="en-US" w:eastAsia="zh-CN"/>
        </w:rPr>
        <w:t>从上表可知，浸出液中各种重金属的浓度不仅远低于《危险废物鉴别标准浸出毒性鉴别》（GB50853-2007）中的浸出毒性鉴别标准值，而且pH值符合《危险废物鉴别标准-腐蚀性鉴别》（GB5085.1-2007）中的规定，即：pH值&gt;2.0且&lt;12.5，不具腐蚀性，且电厂灰炉渣不在《国家危险废物名录》（2021版）中，因此不属危险废物。</w:t>
      </w:r>
    </w:p>
    <w:p>
      <w:pPr>
        <w:pStyle w:val="4"/>
        <w:ind w:firstLine="480"/>
        <w:rPr>
          <w:rFonts w:hint="eastAsia"/>
          <w:color w:val="auto"/>
          <w:highlight w:val="none"/>
          <w:lang w:val="en-US" w:eastAsia="zh-CN"/>
        </w:rPr>
      </w:pPr>
      <w:r>
        <w:rPr>
          <w:rFonts w:hint="eastAsia"/>
          <w:color w:val="auto"/>
          <w:highlight w:val="none"/>
          <w:lang w:val="en-US" w:eastAsia="zh-CN"/>
        </w:rPr>
        <w:t>根据《一般工业固体废物贮存和填埋污染控制标准》（GB18599-2020）中的规定，按照GB5086.1~2-1997规定方法进行浸出试验而获得的浸出液中任何一种污染物的浓度均未超过《污水综合排放标准》GB8978-1996）最高允许排放浓度（三级标准），pH值为11.46，在6~9范围之外，属第</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类一般工业固体废物。通过本项目浸出液结果分析，根据占标率选取污染因子氟化物（F</w:t>
      </w:r>
      <w:r>
        <w:rPr>
          <w:rFonts w:hint="eastAsia"/>
          <w:color w:val="auto"/>
          <w:highlight w:val="none"/>
          <w:vertAlign w:val="superscript"/>
          <w:lang w:val="en-US" w:eastAsia="zh-CN"/>
        </w:rPr>
        <w:t>-</w:t>
      </w:r>
      <w:r>
        <w:rPr>
          <w:rFonts w:hint="eastAsia"/>
          <w:color w:val="auto"/>
          <w:highlight w:val="none"/>
          <w:vertAlign w:val="baseline"/>
          <w:lang w:val="en-US" w:eastAsia="zh-CN"/>
        </w:rPr>
        <w:t>）</w:t>
      </w:r>
      <w:r>
        <w:rPr>
          <w:rFonts w:hint="eastAsia"/>
          <w:color w:val="auto"/>
          <w:highlight w:val="none"/>
          <w:lang w:val="en-US" w:eastAsia="zh-CN"/>
        </w:rPr>
        <w:t>作为污染源强的计算污染因子。</w:t>
      </w:r>
    </w:p>
    <w:p>
      <w:pPr>
        <w:pStyle w:val="4"/>
        <w:ind w:firstLine="480"/>
        <w:rPr>
          <w:rFonts w:hint="default"/>
          <w:color w:val="auto"/>
          <w:highlight w:val="none"/>
          <w:lang w:val="en-US" w:eastAsia="zh-CN"/>
        </w:rPr>
      </w:pPr>
      <w:r>
        <w:rPr>
          <w:rFonts w:hint="eastAsia"/>
          <w:color w:val="auto"/>
          <w:highlight w:val="none"/>
          <w:lang w:val="en-US" w:eastAsia="zh-CN"/>
        </w:rPr>
        <w:t>（2）污染源及排放概化</w:t>
      </w:r>
    </w:p>
    <w:p>
      <w:pPr>
        <w:pStyle w:val="4"/>
        <w:ind w:firstLine="480"/>
        <w:rPr>
          <w:color w:val="auto"/>
          <w:highlight w:val="none"/>
        </w:rPr>
      </w:pPr>
      <w:r>
        <w:rPr>
          <w:color w:val="auto"/>
          <w:highlight w:val="none"/>
        </w:rPr>
        <w:t>根据排放形式</w:t>
      </w:r>
      <w:r>
        <w:rPr>
          <w:rFonts w:hint="eastAsia"/>
          <w:color w:val="auto"/>
          <w:highlight w:val="none"/>
        </w:rPr>
        <w:t>，</w:t>
      </w:r>
      <w:r>
        <w:rPr>
          <w:color w:val="auto"/>
          <w:highlight w:val="none"/>
        </w:rPr>
        <w:t>污染源可概化为</w:t>
      </w:r>
      <w:r>
        <w:rPr>
          <w:rFonts w:hint="eastAsia"/>
          <w:color w:val="auto"/>
          <w:highlight w:val="none"/>
          <w:lang w:val="en-US" w:eastAsia="zh-CN"/>
        </w:rPr>
        <w:t>面源</w:t>
      </w:r>
      <w:r>
        <w:rPr>
          <w:rFonts w:hint="eastAsia"/>
          <w:color w:val="auto"/>
          <w:highlight w:val="none"/>
          <w:lang w:eastAsia="zh-CN"/>
        </w:rPr>
        <w:t>，</w:t>
      </w:r>
      <w:r>
        <w:rPr>
          <w:rFonts w:hint="eastAsia"/>
          <w:color w:val="auto"/>
          <w:highlight w:val="none"/>
          <w:lang w:val="en-US" w:eastAsia="zh-CN"/>
        </w:rPr>
        <w:t>按区域最大暴雨量计算其污染物一次瞬时注入量</w:t>
      </w:r>
      <w:r>
        <w:rPr>
          <w:rFonts w:hint="eastAsia"/>
          <w:color w:val="auto"/>
          <w:highlight w:val="none"/>
        </w:rPr>
        <w:t>。</w:t>
      </w:r>
    </w:p>
    <w:p>
      <w:pPr>
        <w:pStyle w:val="7"/>
        <w:rPr>
          <w:color w:val="auto"/>
          <w:highlight w:val="none"/>
        </w:rPr>
      </w:pPr>
      <w:r>
        <w:rPr>
          <w:rFonts w:hint="eastAsia"/>
          <w:color w:val="auto"/>
          <w:highlight w:val="none"/>
        </w:rPr>
        <w:t>地下水环境影响预测</w:t>
      </w:r>
      <w:r>
        <w:rPr>
          <w:rFonts w:hint="eastAsia"/>
          <w:color w:val="auto"/>
          <w:highlight w:val="none"/>
          <w:lang w:val="en-US" w:eastAsia="zh-CN"/>
        </w:rPr>
        <w:t>与评价</w:t>
      </w:r>
    </w:p>
    <w:p>
      <w:pPr>
        <w:pStyle w:val="4"/>
        <w:ind w:firstLine="480"/>
        <w:rPr>
          <w:color w:val="auto"/>
          <w:highlight w:val="none"/>
        </w:rPr>
      </w:pPr>
      <w:r>
        <w:rPr>
          <w:rFonts w:hint="eastAsia"/>
          <w:color w:val="auto"/>
          <w:highlight w:val="none"/>
        </w:rPr>
        <w:t>（</w:t>
      </w:r>
      <w:r>
        <w:rPr>
          <w:rFonts w:hint="eastAsia"/>
          <w:color w:val="auto"/>
          <w:highlight w:val="none"/>
          <w:lang w:val="en-US" w:eastAsia="zh-CN"/>
        </w:rPr>
        <w:t>1</w:t>
      </w:r>
      <w:r>
        <w:rPr>
          <w:rFonts w:hint="eastAsia"/>
          <w:color w:val="auto"/>
          <w:highlight w:val="none"/>
        </w:rPr>
        <w:t>）预测模型</w:t>
      </w:r>
    </w:p>
    <w:p>
      <w:pPr>
        <w:pStyle w:val="4"/>
        <w:ind w:firstLine="480"/>
        <w:rPr>
          <w:color w:val="auto"/>
          <w:highlight w:val="none"/>
        </w:rPr>
      </w:pPr>
      <w:r>
        <w:rPr>
          <w:color w:val="auto"/>
          <w:highlight w:val="none"/>
        </w:rPr>
        <w:t>本项目采用地下水溶质运移解析法中的一维稳定流动</w:t>
      </w:r>
      <w:r>
        <w:rPr>
          <w:rFonts w:hint="eastAsia"/>
          <w:color w:val="auto"/>
          <w:highlight w:val="none"/>
          <w:lang w:val="en-US" w:eastAsia="zh-CN"/>
        </w:rPr>
        <w:t>一</w:t>
      </w:r>
      <w:r>
        <w:rPr>
          <w:color w:val="auto"/>
          <w:highlight w:val="none"/>
        </w:rPr>
        <w:t>维水动力弥散模式进行预测及评价，预测模型如下：</w:t>
      </w:r>
    </w:p>
    <w:p>
      <w:pPr>
        <w:jc w:val="center"/>
        <w:rPr>
          <w:color w:val="auto"/>
          <w:highlight w:val="none"/>
        </w:rPr>
      </w:pPr>
      <w:r>
        <w:rPr>
          <w:color w:val="auto"/>
          <w:position w:val="-34"/>
          <w:highlight w:val="none"/>
        </w:rPr>
        <w:object>
          <v:shape id="_x0000_i1036" o:spt="75" type="#_x0000_t75" style="height:42pt;width:134.25pt;" o:ole="t" filled="f" o:preferrelative="t" stroked="f" coordsize="21600,21600">
            <v:path/>
            <v:fill on="f" focussize="0,0"/>
            <v:stroke on="f" joinstyle="miter"/>
            <v:imagedata r:id="rId40" o:title=""/>
            <o:lock v:ext="edit" aspectratio="t"/>
            <w10:wrap type="none"/>
            <w10:anchorlock/>
          </v:shape>
          <o:OLEObject Type="Embed" ProgID="Equation.KSEE3" ShapeID="_x0000_i1036" DrawAspect="Content" ObjectID="_1468075733" r:id="rId39">
            <o:LockedField>false</o:LockedField>
          </o:OLEObject>
        </w:object>
      </w:r>
    </w:p>
    <w:p>
      <w:pPr>
        <w:pStyle w:val="4"/>
        <w:ind w:firstLine="480"/>
        <w:rPr>
          <w:color w:val="auto"/>
          <w:highlight w:val="none"/>
        </w:rPr>
      </w:pPr>
      <w:r>
        <w:rPr>
          <w:color w:val="auto"/>
          <w:highlight w:val="none"/>
        </w:rPr>
        <w:t>式中：</w:t>
      </w:r>
    </w:p>
    <w:p>
      <w:pPr>
        <w:pStyle w:val="4"/>
        <w:ind w:firstLine="480"/>
        <w:rPr>
          <w:color w:val="auto"/>
          <w:highlight w:val="none"/>
        </w:rPr>
      </w:pPr>
      <w:r>
        <w:rPr>
          <w:color w:val="auto"/>
          <w:highlight w:val="none"/>
        </w:rPr>
        <w:t>x——距注入点的距离，m；</w:t>
      </w:r>
    </w:p>
    <w:p>
      <w:pPr>
        <w:pStyle w:val="4"/>
        <w:ind w:firstLine="480"/>
        <w:rPr>
          <w:color w:val="auto"/>
          <w:highlight w:val="none"/>
        </w:rPr>
      </w:pPr>
      <w:r>
        <w:rPr>
          <w:color w:val="auto"/>
          <w:highlight w:val="none"/>
        </w:rPr>
        <w:t>t——时间，d；</w:t>
      </w:r>
    </w:p>
    <w:p>
      <w:pPr>
        <w:pStyle w:val="4"/>
        <w:ind w:firstLine="480"/>
        <w:rPr>
          <w:color w:val="auto"/>
          <w:highlight w:val="none"/>
        </w:rPr>
      </w:pPr>
      <w:r>
        <w:rPr>
          <w:color w:val="auto"/>
          <w:highlight w:val="none"/>
        </w:rPr>
        <w:t>C(x,t)——t时刻x处的示踪剂浓度，g/L；</w:t>
      </w:r>
    </w:p>
    <w:p>
      <w:pPr>
        <w:pStyle w:val="4"/>
        <w:ind w:firstLine="480"/>
        <w:rPr>
          <w:color w:val="auto"/>
          <w:highlight w:val="none"/>
        </w:rPr>
      </w:pPr>
      <w:r>
        <w:rPr>
          <w:color w:val="auto"/>
          <w:highlight w:val="none"/>
        </w:rPr>
        <w:t>m——注入的示踪剂质量，kg；</w:t>
      </w:r>
    </w:p>
    <w:p>
      <w:pPr>
        <w:pStyle w:val="4"/>
        <w:ind w:firstLine="480"/>
        <w:rPr>
          <w:color w:val="auto"/>
          <w:highlight w:val="none"/>
        </w:rPr>
      </w:pPr>
      <w:r>
        <w:rPr>
          <w:color w:val="auto"/>
          <w:highlight w:val="none"/>
        </w:rPr>
        <w:t>w——横截面面积，m</w:t>
      </w:r>
      <w:r>
        <w:rPr>
          <w:color w:val="auto"/>
          <w:highlight w:val="none"/>
          <w:vertAlign w:val="superscript"/>
        </w:rPr>
        <w:t>2</w:t>
      </w:r>
      <w:r>
        <w:rPr>
          <w:color w:val="auto"/>
          <w:highlight w:val="none"/>
        </w:rPr>
        <w:t>；</w:t>
      </w:r>
    </w:p>
    <w:p>
      <w:pPr>
        <w:pStyle w:val="4"/>
        <w:ind w:firstLine="480"/>
        <w:rPr>
          <w:color w:val="auto"/>
          <w:highlight w:val="none"/>
        </w:rPr>
      </w:pPr>
      <w:r>
        <w:rPr>
          <w:color w:val="auto"/>
          <w:highlight w:val="none"/>
        </w:rPr>
        <w:t>u——水流速度，m/d；</w:t>
      </w:r>
    </w:p>
    <w:p>
      <w:pPr>
        <w:pStyle w:val="4"/>
        <w:ind w:firstLine="480"/>
        <w:rPr>
          <w:color w:val="auto"/>
          <w:highlight w:val="none"/>
        </w:rPr>
      </w:pPr>
      <w:r>
        <w:rPr>
          <w:color w:val="auto"/>
          <w:highlight w:val="none"/>
        </w:rPr>
        <w:t>n</w:t>
      </w:r>
      <w:r>
        <w:rPr>
          <w:color w:val="auto"/>
          <w:highlight w:val="none"/>
          <w:vertAlign w:val="subscript"/>
        </w:rPr>
        <w:t>e</w:t>
      </w:r>
      <w:r>
        <w:rPr>
          <w:color w:val="auto"/>
          <w:highlight w:val="none"/>
        </w:rPr>
        <w:t>——有效孔隙度，无量纲；</w:t>
      </w:r>
    </w:p>
    <w:p>
      <w:pPr>
        <w:pStyle w:val="4"/>
        <w:ind w:firstLine="480"/>
        <w:rPr>
          <w:color w:val="auto"/>
          <w:highlight w:val="none"/>
        </w:rPr>
      </w:pPr>
      <w:r>
        <w:rPr>
          <w:color w:val="auto"/>
          <w:highlight w:val="none"/>
        </w:rPr>
        <w:t>D</w:t>
      </w:r>
      <w:r>
        <w:rPr>
          <w:color w:val="auto"/>
          <w:highlight w:val="none"/>
          <w:vertAlign w:val="subscript"/>
        </w:rPr>
        <w:t>L</w:t>
      </w:r>
      <w:r>
        <w:rPr>
          <w:color w:val="auto"/>
          <w:highlight w:val="none"/>
        </w:rPr>
        <w:t>——纵向弥散系数，m</w:t>
      </w:r>
      <w:r>
        <w:rPr>
          <w:color w:val="auto"/>
          <w:highlight w:val="none"/>
          <w:vertAlign w:val="superscript"/>
        </w:rPr>
        <w:t>2</w:t>
      </w:r>
      <w:r>
        <w:rPr>
          <w:color w:val="auto"/>
          <w:highlight w:val="none"/>
        </w:rPr>
        <w:t>/d</w:t>
      </w:r>
    </w:p>
    <w:p>
      <w:pPr>
        <w:pStyle w:val="4"/>
        <w:ind w:firstLine="480"/>
        <w:rPr>
          <w:color w:val="auto"/>
          <w:highlight w:val="none"/>
        </w:rPr>
      </w:pPr>
      <w:r>
        <w:rPr>
          <w:color w:val="auto"/>
          <w:highlight w:val="none"/>
        </w:rPr>
        <w:t>π——圆周率。</w:t>
      </w:r>
    </w:p>
    <w:p>
      <w:pPr>
        <w:pStyle w:val="4"/>
        <w:ind w:firstLine="480"/>
        <w:rPr>
          <w:color w:val="auto"/>
          <w:highlight w:val="none"/>
        </w:rPr>
      </w:pPr>
      <w:r>
        <w:rPr>
          <w:rFonts w:hint="eastAsia"/>
          <w:color w:val="auto"/>
          <w:highlight w:val="none"/>
        </w:rPr>
        <w:t>（3）参数确定</w:t>
      </w:r>
    </w:p>
    <w:p>
      <w:pPr>
        <w:pStyle w:val="4"/>
        <w:ind w:firstLine="480"/>
        <w:rPr>
          <w:rFonts w:hint="eastAsia"/>
          <w:color w:val="auto"/>
          <w:highlight w:val="none"/>
          <w:lang w:val="en-US" w:eastAsia="zh-CN"/>
        </w:rPr>
      </w:pPr>
      <w:r>
        <w:rPr>
          <w:rFonts w:hint="eastAsia"/>
          <w:color w:val="auto"/>
          <w:highlight w:val="none"/>
          <w:lang w:val="en-US" w:eastAsia="zh-CN"/>
        </w:rPr>
        <w:t>时间t：取100d，1000d和3650d。</w:t>
      </w:r>
    </w:p>
    <w:p>
      <w:pPr>
        <w:pStyle w:val="4"/>
        <w:ind w:firstLine="480"/>
        <w:rPr>
          <w:color w:val="auto"/>
          <w:highlight w:val="none"/>
        </w:rPr>
      </w:pPr>
      <w:r>
        <w:rPr>
          <w:rFonts w:hint="eastAsia"/>
          <w:color w:val="auto"/>
          <w:highlight w:val="none"/>
        </w:rPr>
        <w:t>污染物质量</w:t>
      </w:r>
      <w:r>
        <w:rPr>
          <w:rFonts w:hint="default" w:ascii="Times New Roman" w:hAnsi="Times New Roman" w:cs="Times New Roman"/>
          <w:color w:val="auto"/>
          <w:highlight w:val="none"/>
        </w:rPr>
        <w:t>m</w:t>
      </w:r>
      <w:r>
        <w:rPr>
          <w:rFonts w:hint="eastAsia"/>
          <w:color w:val="auto"/>
          <w:highlight w:val="none"/>
        </w:rPr>
        <w:t>：</w:t>
      </w:r>
      <w:r>
        <w:rPr>
          <w:rFonts w:hint="eastAsia"/>
          <w:color w:val="auto"/>
          <w:highlight w:val="none"/>
          <w:lang w:val="en-US" w:eastAsia="zh-CN"/>
        </w:rPr>
        <w:t>奇台县一次最大暴雨量取150mm，采砂坑回填面积取26183m</w:t>
      </w:r>
      <w:r>
        <w:rPr>
          <w:rFonts w:hint="eastAsia"/>
          <w:color w:val="auto"/>
          <w:highlight w:val="none"/>
          <w:vertAlign w:val="superscript"/>
          <w:lang w:val="en-US" w:eastAsia="zh-CN"/>
        </w:rPr>
        <w:t>2</w:t>
      </w:r>
      <w:r>
        <w:rPr>
          <w:rFonts w:hint="eastAsia"/>
          <w:color w:val="auto"/>
          <w:highlight w:val="none"/>
          <w:lang w:val="en-US" w:eastAsia="zh-CN"/>
        </w:rPr>
        <w:t>，氟化物浸出浓度为0.99mg/L，则氟化物瞬时注入量为3.89</w:t>
      </w:r>
      <w:r>
        <w:rPr>
          <w:rFonts w:hint="eastAsia"/>
          <w:color w:val="auto"/>
          <w:highlight w:val="none"/>
        </w:rPr>
        <w:t>kg。</w:t>
      </w:r>
    </w:p>
    <w:p>
      <w:pPr>
        <w:pStyle w:val="4"/>
        <w:ind w:firstLine="480"/>
        <w:rPr>
          <w:rFonts w:hint="default"/>
          <w:color w:val="auto"/>
          <w:highlight w:val="none"/>
          <w:lang w:val="en-US" w:eastAsia="zh-CN"/>
        </w:rPr>
      </w:pPr>
      <w:r>
        <w:rPr>
          <w:rFonts w:hint="eastAsia"/>
          <w:color w:val="auto"/>
          <w:highlight w:val="none"/>
          <w:lang w:val="en-US" w:eastAsia="zh-CN"/>
        </w:rPr>
        <w:t>橫截面面积w：根据水文地质条件分析，奇台县</w:t>
      </w:r>
      <w:r>
        <w:rPr>
          <w:rFonts w:hint="eastAsia"/>
          <w:color w:val="auto"/>
          <w:highlight w:val="none"/>
          <w:lang w:eastAsia="zh-CN"/>
        </w:rPr>
        <w:t>在平原区中，以砾石、砂、亚砂及亚粘土，含水层厚度50~10m，</w:t>
      </w:r>
      <w:r>
        <w:rPr>
          <w:rFonts w:hint="eastAsia"/>
          <w:color w:val="auto"/>
          <w:highlight w:val="none"/>
          <w:lang w:val="en-US" w:eastAsia="zh-CN"/>
        </w:rPr>
        <w:t>取30m，填埋场宽度220m，则橫截面积为220</w:t>
      </w:r>
      <w:r>
        <w:rPr>
          <w:rFonts w:hint="default" w:ascii="Times New Roman" w:hAnsi="Times New Roman" w:cs="Times New Roman"/>
          <w:color w:val="auto"/>
          <w:highlight w:val="none"/>
          <w:lang w:val="en-US" w:eastAsia="zh-CN"/>
        </w:rPr>
        <w:t>×</w:t>
      </w:r>
      <w:r>
        <w:rPr>
          <w:rFonts w:hint="eastAsia"/>
          <w:color w:val="auto"/>
          <w:highlight w:val="none"/>
          <w:lang w:val="en-US" w:eastAsia="zh-CN"/>
        </w:rPr>
        <w:t>30=6600m</w:t>
      </w:r>
      <w:r>
        <w:rPr>
          <w:rFonts w:hint="eastAsia"/>
          <w:color w:val="auto"/>
          <w:highlight w:val="none"/>
          <w:vertAlign w:val="superscript"/>
          <w:lang w:val="en-US" w:eastAsia="zh-CN"/>
        </w:rPr>
        <w:t>2</w:t>
      </w:r>
      <w:r>
        <w:rPr>
          <w:rFonts w:hint="eastAsia"/>
          <w:color w:val="auto"/>
          <w:highlight w:val="none"/>
          <w:lang w:eastAsia="zh-CN"/>
        </w:rPr>
        <w:t>。</w:t>
      </w:r>
    </w:p>
    <w:p>
      <w:pPr>
        <w:pStyle w:val="4"/>
        <w:ind w:firstLine="480"/>
        <w:rPr>
          <w:color w:val="auto"/>
          <w:highlight w:val="none"/>
        </w:rPr>
      </w:pPr>
      <w:r>
        <w:rPr>
          <w:rFonts w:hint="eastAsia"/>
          <w:color w:val="auto"/>
          <w:highlight w:val="none"/>
        </w:rPr>
        <w:t>水流速度u：</w:t>
      </w:r>
      <w:r>
        <w:rPr>
          <w:rFonts w:hint="eastAsia"/>
          <w:color w:val="auto"/>
          <w:highlight w:val="none"/>
          <w:lang w:val="en-US" w:eastAsia="zh-CN"/>
        </w:rPr>
        <w:t>本项目所在区域地下含水层岩性为砂砾石，最大</w:t>
      </w:r>
      <w:r>
        <w:rPr>
          <w:rFonts w:hint="eastAsia"/>
          <w:color w:val="auto"/>
          <w:highlight w:val="none"/>
        </w:rPr>
        <w:t>渗透系数</w:t>
      </w:r>
      <w:r>
        <w:rPr>
          <w:rFonts w:hint="eastAsia"/>
          <w:color w:val="auto"/>
          <w:highlight w:val="none"/>
          <w:lang w:val="en-US" w:eastAsia="zh-CN"/>
        </w:rPr>
        <w:t>5.54</w:t>
      </w:r>
      <w:r>
        <w:rPr>
          <w:rFonts w:hint="eastAsia"/>
          <w:color w:val="auto"/>
          <w:highlight w:val="none"/>
        </w:rPr>
        <w:t>m/d</w:t>
      </w:r>
      <w:r>
        <w:rPr>
          <w:rFonts w:hint="eastAsia" w:ascii="Times New Roman" w:hAnsi="Times New Roman" w:cs="Times New Roman"/>
          <w:color w:val="auto"/>
          <w:highlight w:val="none"/>
          <w:lang w:eastAsia="zh-CN"/>
        </w:rPr>
        <w:t>&lt;</w:t>
      </w:r>
      <w:r>
        <w:rPr>
          <w:rFonts w:hint="eastAsia"/>
          <w:color w:val="auto"/>
          <w:highlight w:val="none"/>
          <w:lang w:val="en-US" w:eastAsia="zh-CN"/>
        </w:rPr>
        <w:t>K&lt;78.27</w:t>
      </w:r>
      <w:r>
        <w:rPr>
          <w:rFonts w:hint="eastAsia"/>
          <w:color w:val="auto"/>
          <w:highlight w:val="none"/>
        </w:rPr>
        <w:t>m/d，</w:t>
      </w:r>
      <w:r>
        <w:rPr>
          <w:rFonts w:hint="eastAsia"/>
          <w:color w:val="auto"/>
          <w:highlight w:val="none"/>
          <w:lang w:val="en-US" w:eastAsia="zh-CN"/>
        </w:rPr>
        <w:t>取中间值42m/d；</w:t>
      </w:r>
      <w:r>
        <w:rPr>
          <w:rFonts w:hint="eastAsia"/>
          <w:color w:val="auto"/>
          <w:highlight w:val="none"/>
        </w:rPr>
        <w:t>水力坡度</w:t>
      </w:r>
      <w:r>
        <w:rPr>
          <w:rFonts w:hint="eastAsia"/>
          <w:color w:val="auto"/>
          <w:highlight w:val="none"/>
          <w:lang w:val="en-US" w:eastAsia="zh-CN"/>
        </w:rPr>
        <w:t>3</w:t>
      </w:r>
      <w:r>
        <w:rPr>
          <w:color w:val="auto"/>
          <w:highlight w:val="none"/>
        </w:rPr>
        <w:t>‰</w:t>
      </w:r>
      <w:r>
        <w:rPr>
          <w:rFonts w:hint="eastAsia"/>
          <w:color w:val="auto"/>
          <w:highlight w:val="none"/>
          <w:lang w:eastAsia="zh-CN"/>
        </w:rPr>
        <w:t>&lt;</w:t>
      </w:r>
      <w:r>
        <w:rPr>
          <w:rFonts w:hint="eastAsia"/>
          <w:color w:val="auto"/>
          <w:highlight w:val="none"/>
        </w:rPr>
        <w:t>I</w:t>
      </w:r>
      <w:r>
        <w:rPr>
          <w:rFonts w:hint="eastAsia"/>
          <w:color w:val="auto"/>
          <w:highlight w:val="none"/>
          <w:lang w:eastAsia="zh-CN"/>
        </w:rPr>
        <w:t>&lt;</w:t>
      </w:r>
      <w:r>
        <w:rPr>
          <w:rFonts w:hint="eastAsia"/>
          <w:color w:val="auto"/>
          <w:highlight w:val="none"/>
          <w:lang w:val="en-US" w:eastAsia="zh-CN"/>
        </w:rPr>
        <w:t>6</w:t>
      </w:r>
      <w:r>
        <w:rPr>
          <w:color w:val="auto"/>
          <w:highlight w:val="none"/>
        </w:rPr>
        <w:t>‰</w:t>
      </w:r>
      <w:r>
        <w:rPr>
          <w:rFonts w:hint="eastAsia"/>
          <w:color w:val="auto"/>
          <w:highlight w:val="none"/>
        </w:rPr>
        <w:t>，</w:t>
      </w:r>
      <w:r>
        <w:rPr>
          <w:rFonts w:hint="eastAsia"/>
          <w:color w:val="auto"/>
          <w:highlight w:val="none"/>
          <w:lang w:val="en-US" w:eastAsia="zh-CN"/>
        </w:rPr>
        <w:t>取中间值5</w:t>
      </w:r>
      <w:r>
        <w:rPr>
          <w:color w:val="auto"/>
          <w:highlight w:val="none"/>
        </w:rPr>
        <w:t>‰</w:t>
      </w:r>
      <w:r>
        <w:rPr>
          <w:rFonts w:hint="eastAsia"/>
          <w:color w:val="auto"/>
          <w:highlight w:val="none"/>
          <w:lang w:val="en-US" w:eastAsia="zh-CN"/>
        </w:rPr>
        <w:t>。</w:t>
      </w:r>
      <w:r>
        <w:rPr>
          <w:rFonts w:hint="eastAsia"/>
          <w:color w:val="auto"/>
          <w:highlight w:val="none"/>
        </w:rPr>
        <w:t>因此地下水的渗透流速：</w:t>
      </w:r>
      <w:r>
        <w:rPr>
          <w:rFonts w:hint="eastAsia"/>
          <w:color w:val="auto"/>
          <w:highlight w:val="none"/>
          <w:lang w:val="en-US" w:eastAsia="zh-CN"/>
        </w:rPr>
        <w:t>v</w:t>
      </w:r>
      <w:r>
        <w:rPr>
          <w:rFonts w:hint="eastAsia"/>
          <w:color w:val="auto"/>
          <w:highlight w:val="none"/>
        </w:rPr>
        <w:t>=KI=</w:t>
      </w:r>
      <w:r>
        <w:rPr>
          <w:rFonts w:hint="eastAsia"/>
          <w:color w:val="auto"/>
          <w:highlight w:val="none"/>
          <w:lang w:val="en-US" w:eastAsia="zh-CN"/>
        </w:rPr>
        <w:t>42</w:t>
      </w:r>
      <w:r>
        <w:rPr>
          <w:rFonts w:hint="eastAsia"/>
          <w:color w:val="auto"/>
          <w:highlight w:val="none"/>
        </w:rPr>
        <w:t>m/d</w:t>
      </w:r>
      <w:r>
        <w:rPr>
          <w:color w:val="auto"/>
          <w:highlight w:val="none"/>
        </w:rPr>
        <w:t>×</w:t>
      </w:r>
      <w:r>
        <w:rPr>
          <w:rFonts w:hint="eastAsia"/>
          <w:color w:val="auto"/>
          <w:highlight w:val="none"/>
        </w:rPr>
        <w:t>0.00</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0.21</w:t>
      </w:r>
      <w:r>
        <w:rPr>
          <w:rFonts w:hint="eastAsia"/>
          <w:color w:val="auto"/>
          <w:highlight w:val="none"/>
        </w:rPr>
        <w:t>m/d，实际流速u=</w:t>
      </w:r>
      <w:r>
        <w:rPr>
          <w:rFonts w:hint="eastAsia"/>
          <w:color w:val="auto"/>
          <w:highlight w:val="none"/>
          <w:lang w:val="en-US" w:eastAsia="zh-CN"/>
        </w:rPr>
        <w:t>v</w:t>
      </w:r>
      <w:r>
        <w:rPr>
          <w:rFonts w:hint="eastAsia"/>
          <w:color w:val="auto"/>
          <w:highlight w:val="none"/>
        </w:rPr>
        <w:t>/n</w:t>
      </w:r>
      <w:r>
        <w:rPr>
          <w:rFonts w:hint="eastAsia"/>
          <w:color w:val="auto"/>
          <w:highlight w:val="none"/>
          <w:vertAlign w:val="subscript"/>
          <w:lang w:val="en-US" w:eastAsia="zh-CN"/>
        </w:rPr>
        <w:t>e</w:t>
      </w:r>
      <w:r>
        <w:rPr>
          <w:rFonts w:hint="eastAsia"/>
          <w:color w:val="auto"/>
          <w:highlight w:val="none"/>
        </w:rPr>
        <w:t>=0.</w:t>
      </w:r>
      <w:r>
        <w:rPr>
          <w:rFonts w:hint="eastAsia"/>
          <w:color w:val="auto"/>
          <w:highlight w:val="none"/>
          <w:lang w:val="en-US" w:eastAsia="zh-CN"/>
        </w:rPr>
        <w:t>656</w:t>
      </w:r>
      <w:r>
        <w:rPr>
          <w:rFonts w:hint="eastAsia"/>
          <w:color w:val="auto"/>
          <w:highlight w:val="none"/>
        </w:rPr>
        <w:t>m/d。</w:t>
      </w:r>
    </w:p>
    <w:p>
      <w:pPr>
        <w:pStyle w:val="4"/>
        <w:ind w:firstLine="480"/>
        <w:rPr>
          <w:color w:val="auto"/>
          <w:highlight w:val="none"/>
        </w:rPr>
      </w:pPr>
      <w:r>
        <w:rPr>
          <w:rFonts w:hint="eastAsia"/>
          <w:color w:val="auto"/>
          <w:highlight w:val="none"/>
        </w:rPr>
        <w:t>有效孔隙度ne：根据《</w:t>
      </w:r>
      <w:r>
        <w:rPr>
          <w:rFonts w:hint="eastAsia"/>
          <w:color w:val="auto"/>
          <w:highlight w:val="none"/>
          <w:lang w:val="en-US" w:eastAsia="zh-CN"/>
        </w:rPr>
        <w:t>水文地质手册</w:t>
      </w:r>
      <w:r>
        <w:rPr>
          <w:rFonts w:hint="eastAsia"/>
          <w:color w:val="auto"/>
          <w:highlight w:val="none"/>
        </w:rPr>
        <w:t>》，</w:t>
      </w:r>
      <w:r>
        <w:rPr>
          <w:rFonts w:hint="eastAsia"/>
          <w:color w:val="auto"/>
          <w:highlight w:val="none"/>
          <w:lang w:val="en-US" w:eastAsia="zh-CN"/>
        </w:rPr>
        <w:t>含水层密实程度为中密，可取孔隙度为0.4，结合经验有效孔隙度一般比孔隙度小10%~20%，因此综合</w:t>
      </w:r>
      <w:r>
        <w:rPr>
          <w:rFonts w:hint="eastAsia"/>
          <w:color w:val="auto"/>
          <w:highlight w:val="none"/>
        </w:rPr>
        <w:t>确定</w:t>
      </w:r>
      <w:r>
        <w:rPr>
          <w:rFonts w:hint="eastAsia"/>
          <w:color w:val="auto"/>
          <w:highlight w:val="none"/>
          <w:lang w:val="en-US" w:eastAsia="zh-CN"/>
        </w:rPr>
        <w:t>本次</w:t>
      </w:r>
      <w:r>
        <w:rPr>
          <w:rFonts w:hint="eastAsia"/>
          <w:color w:val="auto"/>
          <w:highlight w:val="none"/>
        </w:rPr>
        <w:t>孔隙度的取值为0.32。</w:t>
      </w:r>
    </w:p>
    <w:p>
      <w:pPr>
        <w:pStyle w:val="4"/>
        <w:pageBreakBefore w:val="0"/>
        <w:kinsoku/>
        <w:wordWrap/>
        <w:overflowPunct/>
        <w:topLinePunct w:val="0"/>
        <w:bidi w:val="0"/>
        <w:ind w:firstLine="480"/>
        <w:rPr>
          <w:rFonts w:hint="eastAsia"/>
          <w:color w:val="auto"/>
          <w:highlight w:val="none"/>
        </w:rPr>
      </w:pPr>
      <w:r>
        <w:rPr>
          <w:rFonts w:hint="eastAsia"/>
          <w:color w:val="auto"/>
          <w:highlight w:val="none"/>
        </w:rPr>
        <w:t>纵向x方向的弥散系数D</w:t>
      </w:r>
      <w:r>
        <w:rPr>
          <w:rFonts w:hint="eastAsia"/>
          <w:color w:val="auto"/>
          <w:highlight w:val="none"/>
          <w:vertAlign w:val="subscript"/>
        </w:rPr>
        <w:t>L</w:t>
      </w:r>
      <w:r>
        <w:rPr>
          <w:rFonts w:hint="eastAsia"/>
          <w:color w:val="auto"/>
          <w:highlight w:val="none"/>
        </w:rP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rFonts w:cs="Times New Roman"/>
          <w:color w:val="auto"/>
          <w:highlight w:val="none"/>
        </w:rPr>
        <w:t>α</w:t>
      </w:r>
      <w:r>
        <w:rPr>
          <w:rFonts w:hint="eastAsia"/>
          <w:color w:val="auto"/>
          <w:highlight w:val="none"/>
          <w:vertAlign w:val="subscript"/>
        </w:rPr>
        <w:t>L</w:t>
      </w:r>
      <w:r>
        <w:rPr>
          <w:rFonts w:hint="eastAsia"/>
          <w:color w:val="auto"/>
          <w:highlight w:val="none"/>
        </w:rPr>
        <w:t>绘在双对数坐标纸上，从图上可以看出纵向弥散度</w:t>
      </w:r>
      <w:r>
        <w:rPr>
          <w:rFonts w:cs="Times New Roman"/>
          <w:color w:val="auto"/>
          <w:highlight w:val="none"/>
        </w:rPr>
        <w:t>α</w:t>
      </w:r>
      <w:r>
        <w:rPr>
          <w:rFonts w:hint="eastAsia"/>
          <w:color w:val="auto"/>
          <w:highlight w:val="none"/>
          <w:vertAlign w:val="subscript"/>
        </w:rPr>
        <w:t>L</w:t>
      </w:r>
      <w:r>
        <w:rPr>
          <w:rFonts w:hint="eastAsia"/>
          <w:color w:val="auto"/>
          <w:highlight w:val="none"/>
        </w:rPr>
        <w:t>从整体上随着尺度的增加而增大</w:t>
      </w:r>
      <w:r>
        <w:rPr>
          <w:rFonts w:hint="eastAsia"/>
          <w:color w:val="auto"/>
          <w:highlight w:val="none"/>
          <w:lang w:eastAsia="zh-CN"/>
        </w:rPr>
        <w:t>（</w:t>
      </w:r>
      <w:r>
        <w:rPr>
          <w:rFonts w:hint="eastAsia"/>
          <w:color w:val="auto"/>
          <w:highlight w:val="none"/>
          <w:lang w:val="en-US" w:eastAsia="zh-CN"/>
        </w:rPr>
        <w:t>如下图）</w:t>
      </w:r>
      <w:r>
        <w:rPr>
          <w:rFonts w:hint="eastAsia"/>
          <w:color w:val="auto"/>
          <w:highlight w:val="none"/>
        </w:rPr>
        <w:t>。</w:t>
      </w:r>
    </w:p>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r>
        <w:rPr>
          <w:color w:val="auto"/>
          <w:highlight w:val="none"/>
        </w:rPr>
        <w:drawing>
          <wp:inline distT="0" distB="0" distL="114300" distR="114300">
            <wp:extent cx="3512185" cy="2567305"/>
            <wp:effectExtent l="0" t="0" r="8255" b="8255"/>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41"/>
                    <a:stretch>
                      <a:fillRect/>
                    </a:stretch>
                  </pic:blipFill>
                  <pic:spPr>
                    <a:xfrm>
                      <a:off x="0" y="0"/>
                      <a:ext cx="3512185" cy="2567305"/>
                    </a:xfrm>
                    <a:prstGeom prst="rect">
                      <a:avLst/>
                    </a:prstGeom>
                    <a:noFill/>
                    <a:ln>
                      <a:noFill/>
                    </a:ln>
                  </pic:spPr>
                </pic:pic>
              </a:graphicData>
            </a:graphic>
          </wp:inline>
        </w:drawing>
      </w:r>
    </w:p>
    <w:p>
      <w:pPr>
        <w:pStyle w:val="22"/>
        <w:bidi w:val="0"/>
        <w:rPr>
          <w:rFonts w:hint="eastAsia"/>
          <w:color w:val="auto"/>
          <w:highlight w:val="none"/>
        </w:rPr>
      </w:pPr>
      <w:r>
        <w:rPr>
          <w:rFonts w:hint="eastAsia"/>
          <w:color w:val="auto"/>
          <w:highlight w:val="none"/>
          <w:lang w:val="en-US" w:eastAsia="zh-CN"/>
        </w:rPr>
        <w:t>图5.2-3    lg</w:t>
      </w:r>
      <w:r>
        <w:rPr>
          <w:rFonts w:hint="default" w:ascii="Times New Roman" w:hAnsi="Times New Roman" w:cs="Times New Roman"/>
          <w:color w:val="auto"/>
          <w:highlight w:val="none"/>
          <w:lang w:val="en-US" w:eastAsia="zh-CN"/>
        </w:rPr>
        <w:t>α</w:t>
      </w:r>
      <w:r>
        <w:rPr>
          <w:rFonts w:hint="eastAsia" w:ascii="Times New Roman" w:hAnsi="Times New Roman" w:cs="Times New Roman"/>
          <w:color w:val="auto"/>
          <w:highlight w:val="none"/>
          <w:vertAlign w:val="subscript"/>
          <w:lang w:val="en-US" w:eastAsia="zh-CN"/>
        </w:rPr>
        <w:t>L</w:t>
      </w:r>
      <w:r>
        <w:rPr>
          <w:rFonts w:hint="eastAsia" w:ascii="Times New Roman" w:hAnsi="Times New Roman" w:cs="Times New Roman"/>
          <w:color w:val="auto"/>
          <w:highlight w:val="none"/>
          <w:lang w:val="en-US" w:eastAsia="zh-CN"/>
        </w:rPr>
        <w:t>——lgL</w:t>
      </w:r>
      <w:r>
        <w:rPr>
          <w:rFonts w:hint="eastAsia" w:ascii="Times New Roman" w:hAnsi="Times New Roman" w:cs="Times New Roman"/>
          <w:color w:val="auto"/>
          <w:highlight w:val="none"/>
          <w:vertAlign w:val="subscript"/>
          <w:lang w:val="en-US" w:eastAsia="zh-CN"/>
        </w:rPr>
        <w:t>s</w:t>
      </w:r>
      <w:r>
        <w:rPr>
          <w:rFonts w:hint="eastAsia" w:ascii="Times New Roman" w:hAnsi="Times New Roman" w:cs="Times New Roman"/>
          <w:color w:val="auto"/>
          <w:highlight w:val="none"/>
          <w:lang w:val="en-US" w:eastAsia="zh-CN"/>
        </w:rPr>
        <w:t>关系图</w:t>
      </w:r>
    </w:p>
    <w:p>
      <w:pPr>
        <w:pStyle w:val="4"/>
        <w:pageBreakBefore w:val="0"/>
        <w:kinsoku/>
        <w:wordWrap/>
        <w:overflowPunct/>
        <w:topLinePunct w:val="0"/>
        <w:bidi w:val="0"/>
        <w:ind w:firstLine="480"/>
        <w:rPr>
          <w:color w:val="auto"/>
          <w:highlight w:val="none"/>
        </w:rPr>
      </w:pPr>
      <w:r>
        <w:rPr>
          <w:rFonts w:hint="eastAsia"/>
          <w:color w:val="auto"/>
          <w:highlight w:val="none"/>
        </w:rPr>
        <w:t>基准尺度Ls是指研究区大小的度量，一般用溶质运移到观测孔的最大距离表示，或用计算区的近似最大内径长度代替。</w:t>
      </w:r>
    </w:p>
    <w:p>
      <w:pPr>
        <w:pStyle w:val="4"/>
        <w:pageBreakBefore w:val="0"/>
        <w:kinsoku/>
        <w:wordWrap/>
        <w:overflowPunct/>
        <w:topLinePunct w:val="0"/>
        <w:bidi w:val="0"/>
        <w:ind w:firstLine="480"/>
        <w:rPr>
          <w:rFonts w:hint="eastAsia" w:cs="Times New Roman"/>
          <w:color w:val="auto"/>
          <w:highlight w:val="none"/>
        </w:rPr>
      </w:pPr>
      <w:r>
        <w:rPr>
          <w:rFonts w:hint="eastAsia"/>
          <w:color w:val="auto"/>
          <w:highlight w:val="none"/>
        </w:rPr>
        <w:t>故本次参考以往研究成果，考虑距污染源下游厂界约500m的研究区范围，因此，本次模拟弥散度参数值取5m。由此计算项目区含水层中的</w:t>
      </w:r>
      <w:r>
        <w:rPr>
          <w:rFonts w:hint="eastAsia"/>
          <w:color w:val="auto"/>
          <w:highlight w:val="none"/>
          <w:lang w:val="en-US" w:eastAsia="zh-CN"/>
        </w:rPr>
        <w:t>纵</w:t>
      </w:r>
      <w:r>
        <w:rPr>
          <w:rFonts w:hint="eastAsia"/>
          <w:color w:val="auto"/>
          <w:highlight w:val="none"/>
        </w:rPr>
        <w:t>向弥散系数：D</w:t>
      </w:r>
      <w:r>
        <w:rPr>
          <w:rFonts w:hint="eastAsia"/>
          <w:color w:val="auto"/>
          <w:highlight w:val="none"/>
          <w:vertAlign w:val="subscript"/>
        </w:rPr>
        <w:t>L</w:t>
      </w:r>
      <w:r>
        <w:rPr>
          <w:rFonts w:hint="eastAsia"/>
          <w:color w:val="auto"/>
          <w:highlight w:val="none"/>
        </w:rPr>
        <w:t>=</w:t>
      </w:r>
      <w:r>
        <w:rPr>
          <w:color w:val="auto"/>
          <w:highlight w:val="none"/>
        </w:rPr>
        <w:t>α</w:t>
      </w:r>
      <w:r>
        <w:rPr>
          <w:rFonts w:hint="eastAsia"/>
          <w:color w:val="auto"/>
          <w:highlight w:val="none"/>
          <w:vertAlign w:val="subscript"/>
        </w:rPr>
        <w:t>L</w:t>
      </w:r>
      <w:r>
        <w:rPr>
          <w:color w:val="auto"/>
          <w:highlight w:val="none"/>
        </w:rPr>
        <w:t>×</w:t>
      </w:r>
      <w:r>
        <w:rPr>
          <w:rFonts w:hint="eastAsia"/>
          <w:color w:val="auto"/>
          <w:highlight w:val="none"/>
        </w:rPr>
        <w:t>u=5</w:t>
      </w:r>
      <w:r>
        <w:rPr>
          <w:color w:val="auto"/>
          <w:highlight w:val="none"/>
        </w:rPr>
        <w:t>×</w:t>
      </w:r>
      <w:r>
        <w:rPr>
          <w:rFonts w:hint="eastAsia"/>
          <w:color w:val="auto"/>
          <w:highlight w:val="none"/>
        </w:rPr>
        <w:t>0.</w:t>
      </w:r>
      <w:r>
        <w:rPr>
          <w:rFonts w:hint="eastAsia"/>
          <w:color w:val="auto"/>
          <w:highlight w:val="none"/>
          <w:lang w:val="en-US" w:eastAsia="zh-CN"/>
        </w:rPr>
        <w:t>656</w:t>
      </w:r>
      <w:r>
        <w:rPr>
          <w:rFonts w:hint="eastAsia"/>
          <w:color w:val="auto"/>
          <w:highlight w:val="none"/>
        </w:rPr>
        <w:t>m/d=</w:t>
      </w:r>
      <w:r>
        <w:rPr>
          <w:rFonts w:hint="eastAsia"/>
          <w:color w:val="auto"/>
          <w:highlight w:val="none"/>
          <w:lang w:val="en-US" w:eastAsia="zh-CN"/>
        </w:rPr>
        <w:t>3.28</w:t>
      </w:r>
      <w:r>
        <w:rPr>
          <w:rFonts w:hint="eastAsia"/>
          <w:color w:val="auto"/>
          <w:highlight w:val="none"/>
        </w:rPr>
        <w:t>(m</w:t>
      </w:r>
      <w:r>
        <w:rPr>
          <w:rFonts w:hint="eastAsia"/>
          <w:color w:val="auto"/>
          <w:highlight w:val="none"/>
          <w:vertAlign w:val="superscript"/>
        </w:rPr>
        <w:t>2</w:t>
      </w:r>
      <w:r>
        <w:rPr>
          <w:rFonts w:hint="eastAsia"/>
          <w:color w:val="auto"/>
          <w:highlight w:val="none"/>
        </w:rPr>
        <w:t>/d)</w:t>
      </w:r>
      <w:r>
        <w:rPr>
          <w:rFonts w:hint="eastAsia" w:cs="Times New Roman"/>
          <w:color w:val="auto"/>
          <w:highlight w:val="none"/>
        </w:rPr>
        <w:t>。</w:t>
      </w:r>
    </w:p>
    <w:p>
      <w:pPr>
        <w:pStyle w:val="22"/>
        <w:bidi w:val="0"/>
      </w:pPr>
      <w:r>
        <w:rPr>
          <w:rFonts w:hint="eastAsia"/>
          <w:lang w:val="en-US" w:eastAsia="zh-CN"/>
        </w:rPr>
        <w:t>表5.2-8   预测模型参数清单</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428"/>
        <w:gridCol w:w="1182"/>
        <w:gridCol w:w="1155"/>
        <w:gridCol w:w="1410"/>
        <w:gridCol w:w="1740"/>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tcBorders>
              <w:top w:val="single" w:color="auto" w:sz="12" w:space="0"/>
              <w:left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rPr>
            </w:pPr>
          </w:p>
        </w:tc>
        <w:tc>
          <w:tcPr>
            <w:tcW w:w="848" w:type="pct"/>
            <w:tcBorders>
              <w:top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橫截面面积w</w:t>
            </w:r>
          </w:p>
        </w:tc>
        <w:tc>
          <w:tcPr>
            <w:tcW w:w="702" w:type="pct"/>
            <w:tcBorders>
              <w:top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注入质量</w:t>
            </w:r>
            <w:r>
              <w:rPr>
                <w:rFonts w:hint="default"/>
              </w:rPr>
              <w:t>m</w:t>
            </w:r>
          </w:p>
        </w:tc>
        <w:tc>
          <w:tcPr>
            <w:tcW w:w="686" w:type="pct"/>
            <w:tcBorders>
              <w:top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水流速度u</w:t>
            </w:r>
          </w:p>
        </w:tc>
        <w:tc>
          <w:tcPr>
            <w:tcW w:w="837" w:type="pct"/>
            <w:tcBorders>
              <w:top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有效孔隙度n</w:t>
            </w:r>
            <w:r>
              <w:rPr>
                <w:rFonts w:hint="eastAsia"/>
                <w:vertAlign w:val="subscript"/>
                <w:lang w:val="en-US" w:eastAsia="zh-CN"/>
              </w:rPr>
              <w:t>e</w:t>
            </w:r>
          </w:p>
        </w:tc>
        <w:tc>
          <w:tcPr>
            <w:tcW w:w="1033" w:type="pct"/>
            <w:tcBorders>
              <w:top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纵向弥散系数D</w:t>
            </w:r>
            <w:r>
              <w:rPr>
                <w:rFonts w:hint="eastAsia"/>
                <w:vertAlign w:val="subscript"/>
                <w:lang w:val="en-US" w:eastAsia="zh-CN"/>
              </w:rPr>
              <w:t>L</w:t>
            </w:r>
          </w:p>
        </w:tc>
        <w:tc>
          <w:tcPr>
            <w:tcW w:w="526" w:type="pct"/>
            <w:tcBorders>
              <w:top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圆周率</w:t>
            </w:r>
            <w:r>
              <w:rPr>
                <w:rFonts w:hint="default"/>
                <w:color w:val="auto"/>
                <w:highlight w:val="none"/>
              </w:rPr>
              <w:t>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tcBorders>
              <w:left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单位</w:t>
            </w:r>
          </w:p>
        </w:tc>
        <w:tc>
          <w:tcPr>
            <w:tcW w:w="848"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m</w:t>
            </w:r>
          </w:p>
        </w:tc>
        <w:tc>
          <w:tcPr>
            <w:tcW w:w="702"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kg</w:t>
            </w:r>
          </w:p>
        </w:tc>
        <w:tc>
          <w:tcPr>
            <w:tcW w:w="686"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m/d</w:t>
            </w:r>
          </w:p>
        </w:tc>
        <w:tc>
          <w:tcPr>
            <w:tcW w:w="837"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无量纲</w:t>
            </w:r>
          </w:p>
        </w:tc>
        <w:tc>
          <w:tcPr>
            <w:tcW w:w="1033"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m</w:t>
            </w:r>
            <w:r>
              <w:rPr>
                <w:rFonts w:hint="eastAsia"/>
                <w:vertAlign w:val="superscript"/>
                <w:lang w:val="en-US" w:eastAsia="zh-CN"/>
              </w:rPr>
              <w:t>2</w:t>
            </w:r>
            <w:r>
              <w:rPr>
                <w:rFonts w:hint="eastAsia"/>
                <w:lang w:val="en-US" w:eastAsia="zh-CN"/>
              </w:rPr>
              <w:t>/d</w:t>
            </w:r>
          </w:p>
        </w:tc>
        <w:tc>
          <w:tcPr>
            <w:tcW w:w="526" w:type="pct"/>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4" w:type="pct"/>
            <w:tcBorders>
              <w:left w:val="nil"/>
              <w:bottom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数值</w:t>
            </w:r>
          </w:p>
        </w:tc>
        <w:tc>
          <w:tcPr>
            <w:tcW w:w="848" w:type="pct"/>
            <w:tcBorders>
              <w:bottom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6600</w:t>
            </w:r>
          </w:p>
        </w:tc>
        <w:tc>
          <w:tcPr>
            <w:tcW w:w="702" w:type="pct"/>
            <w:tcBorders>
              <w:bottom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3.89</w:t>
            </w:r>
          </w:p>
        </w:tc>
        <w:tc>
          <w:tcPr>
            <w:tcW w:w="686" w:type="pct"/>
            <w:tcBorders>
              <w:bottom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0.656</w:t>
            </w:r>
          </w:p>
        </w:tc>
        <w:tc>
          <w:tcPr>
            <w:tcW w:w="837" w:type="pct"/>
            <w:tcBorders>
              <w:bottom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0.32</w:t>
            </w:r>
          </w:p>
        </w:tc>
        <w:tc>
          <w:tcPr>
            <w:tcW w:w="1033" w:type="pct"/>
            <w:tcBorders>
              <w:bottom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3.28</w:t>
            </w:r>
          </w:p>
        </w:tc>
        <w:tc>
          <w:tcPr>
            <w:tcW w:w="526" w:type="pct"/>
            <w:tcBorders>
              <w:bottom w:val="single" w:color="auto" w:sz="12" w:space="0"/>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3.14</w:t>
            </w:r>
          </w:p>
        </w:tc>
      </w:tr>
    </w:tbl>
    <w:p>
      <w:pPr>
        <w:pStyle w:val="4"/>
        <w:ind w:firstLine="480"/>
        <w:rPr>
          <w:rFonts w:hint="eastAsia" w:eastAsia="宋体"/>
          <w:color w:val="auto"/>
          <w:highlight w:val="none"/>
          <w:lang w:val="en-US" w:eastAsia="zh-CN"/>
        </w:rPr>
      </w:pPr>
      <w:r>
        <w:rPr>
          <w:rFonts w:hint="eastAsia"/>
          <w:color w:val="auto"/>
          <w:highlight w:val="none"/>
        </w:rPr>
        <w:t>（4）预测结果与</w:t>
      </w:r>
      <w:r>
        <w:rPr>
          <w:rFonts w:hint="eastAsia"/>
          <w:color w:val="auto"/>
          <w:highlight w:val="none"/>
          <w:lang w:val="en-US" w:eastAsia="zh-CN"/>
        </w:rPr>
        <w:t>评价</w:t>
      </w:r>
    </w:p>
    <w:p>
      <w:pPr>
        <w:pStyle w:val="4"/>
        <w:ind w:firstLine="480"/>
        <w:rPr>
          <w:rFonts w:hint="eastAsia"/>
          <w:color w:val="auto"/>
          <w:highlight w:val="none"/>
        </w:rPr>
      </w:pPr>
      <w:r>
        <w:rPr>
          <w:rFonts w:hint="eastAsia"/>
          <w:color w:val="auto"/>
          <w:highlight w:val="none"/>
        </w:rPr>
        <w:t>根据选用的预测模型代入参数，得出污染因子随时间和位置浓度变化预测结果见下表：</w:t>
      </w:r>
    </w:p>
    <w:p>
      <w:pPr>
        <w:pStyle w:val="22"/>
        <w:bidi w:val="0"/>
        <w:rPr>
          <w:rFonts w:hint="eastAsia"/>
          <w:lang w:val="en-US" w:eastAsia="zh-CN"/>
        </w:rPr>
      </w:pPr>
      <w:r>
        <w:rPr>
          <w:rFonts w:hint="eastAsia"/>
        </w:rPr>
        <w:t>表</w:t>
      </w:r>
      <w:r>
        <w:rPr>
          <w:rFonts w:hint="eastAsia"/>
          <w:lang w:val="en-US" w:eastAsia="zh-CN"/>
        </w:rPr>
        <w:t>5.2-9</w:t>
      </w:r>
      <w:r>
        <w:rPr>
          <w:rFonts w:hint="eastAsia"/>
        </w:rPr>
        <w:t xml:space="preserve">   </w:t>
      </w:r>
      <w:r>
        <w:t>地下水</w:t>
      </w:r>
      <w:r>
        <w:rPr>
          <w:rFonts w:hint="eastAsia"/>
        </w:rPr>
        <w:t>污染因子</w:t>
      </w:r>
      <w:r>
        <w:rPr>
          <w:rFonts w:hint="eastAsia"/>
          <w:lang w:val="en-US" w:eastAsia="zh-CN"/>
        </w:rPr>
        <w:t>氟化物</w:t>
      </w:r>
      <w:r>
        <w:t>下游浓度预测结果</w:t>
      </w:r>
      <w:r>
        <w:rPr>
          <w:rFonts w:hint="eastAsia"/>
          <w:lang w:val="en-US" w:eastAsia="zh-CN"/>
        </w:rPr>
        <w:t xml:space="preserve">   单位：mg/L</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12"/>
        <w:gridCol w:w="1975"/>
        <w:gridCol w:w="2351"/>
        <w:gridCol w:w="22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1" w:hRule="atLeast"/>
          <w:tblHeader/>
        </w:trPr>
        <w:tc>
          <w:tcPr>
            <w:tcW w:w="11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预测时段</w:t>
            </w:r>
          </w:p>
        </w:tc>
        <w:tc>
          <w:tcPr>
            <w:tcW w:w="115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最大浓度（mg/L）</w:t>
            </w:r>
          </w:p>
        </w:tc>
        <w:tc>
          <w:tcPr>
            <w:tcW w:w="137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最大浓度处距离（m）</w:t>
            </w:r>
          </w:p>
        </w:tc>
        <w:tc>
          <w:tcPr>
            <w:tcW w:w="133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标准值（mg/L）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100</w:t>
            </w:r>
            <w:r>
              <w:rPr>
                <w:rFonts w:hint="eastAsia"/>
              </w:rPr>
              <w:t>d</w:t>
            </w:r>
          </w:p>
        </w:tc>
        <w:tc>
          <w:tcPr>
            <w:tcW w:w="115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0.02869</w:t>
            </w:r>
          </w:p>
        </w:tc>
        <w:tc>
          <w:tcPr>
            <w:tcW w:w="137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66</w:t>
            </w:r>
          </w:p>
        </w:tc>
        <w:tc>
          <w:tcPr>
            <w:tcW w:w="133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1000</w:t>
            </w:r>
            <w:r>
              <w:rPr>
                <w:rFonts w:hint="eastAsia"/>
              </w:rPr>
              <w:t>d</w:t>
            </w:r>
          </w:p>
        </w:tc>
        <w:tc>
          <w:tcPr>
            <w:tcW w:w="115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0.00907</w:t>
            </w:r>
          </w:p>
        </w:tc>
        <w:tc>
          <w:tcPr>
            <w:tcW w:w="137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656</w:t>
            </w:r>
          </w:p>
        </w:tc>
        <w:tc>
          <w:tcPr>
            <w:tcW w:w="133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2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3650d</w:t>
            </w:r>
          </w:p>
        </w:tc>
        <w:tc>
          <w:tcPr>
            <w:tcW w:w="115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0.00475</w:t>
            </w:r>
          </w:p>
        </w:tc>
        <w:tc>
          <w:tcPr>
            <w:tcW w:w="137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2400</w:t>
            </w:r>
          </w:p>
        </w:tc>
        <w:tc>
          <w:tcPr>
            <w:tcW w:w="133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r>
    </w:tbl>
    <w:p>
      <w:pPr>
        <w:pStyle w:val="4"/>
        <w:ind w:firstLine="480"/>
        <w:rPr>
          <w:rFonts w:hint="eastAsia"/>
          <w:color w:val="auto"/>
          <w:highlight w:val="none"/>
          <w:lang w:eastAsia="zh-CN"/>
        </w:rPr>
      </w:pPr>
      <w:r>
        <w:rPr>
          <w:color w:val="auto"/>
          <w:highlight w:val="none"/>
        </w:rPr>
        <w:t>由</w:t>
      </w:r>
      <w:r>
        <w:rPr>
          <w:rFonts w:hint="eastAsia"/>
          <w:color w:val="auto"/>
          <w:highlight w:val="none"/>
        </w:rPr>
        <w:t>上表</w:t>
      </w:r>
      <w:r>
        <w:rPr>
          <w:color w:val="auto"/>
          <w:highlight w:val="none"/>
        </w:rPr>
        <w:t>分析可知，在假定</w:t>
      </w:r>
      <w:r>
        <w:rPr>
          <w:rFonts w:hint="eastAsia"/>
          <w:color w:val="auto"/>
          <w:highlight w:val="none"/>
          <w:lang w:val="en-US" w:eastAsia="zh-CN"/>
        </w:rPr>
        <w:t>填埋区防渗层老化、破裂导致雨水渗滤液全部进入地下水的情</w:t>
      </w:r>
      <w:r>
        <w:rPr>
          <w:color w:val="auto"/>
          <w:highlight w:val="none"/>
        </w:rPr>
        <w:t>况下，</w:t>
      </w:r>
      <w:r>
        <w:rPr>
          <w:rFonts w:hint="eastAsia"/>
          <w:color w:val="auto"/>
          <w:highlight w:val="none"/>
          <w:lang w:val="en-US" w:eastAsia="zh-CN"/>
        </w:rPr>
        <w:t>在预测期100d、1000d和3650d内，下游区域始终</w:t>
      </w:r>
      <w:r>
        <w:rPr>
          <w:rFonts w:hint="eastAsia"/>
          <w:color w:val="auto"/>
          <w:highlight w:val="none"/>
        </w:rPr>
        <w:t>未出现超标，</w:t>
      </w:r>
      <w:r>
        <w:rPr>
          <w:color w:val="auto"/>
          <w:highlight w:val="none"/>
        </w:rPr>
        <w:t>在预测期</w:t>
      </w:r>
      <w:r>
        <w:rPr>
          <w:rFonts w:hint="eastAsia"/>
          <w:color w:val="auto"/>
          <w:highlight w:val="none"/>
        </w:rPr>
        <w:t>3650d</w:t>
      </w:r>
      <w:r>
        <w:rPr>
          <w:color w:val="auto"/>
          <w:highlight w:val="none"/>
        </w:rPr>
        <w:t>内泄漏废水污染物影响范围主要集中在地下水下游距泄漏点</w:t>
      </w:r>
      <w:r>
        <w:rPr>
          <w:rFonts w:hint="eastAsia"/>
          <w:color w:val="auto"/>
          <w:highlight w:val="none"/>
          <w:lang w:val="en-US" w:eastAsia="zh-CN"/>
        </w:rPr>
        <w:t>2400</w:t>
      </w:r>
      <w:r>
        <w:rPr>
          <w:color w:val="auto"/>
          <w:highlight w:val="none"/>
        </w:rPr>
        <w:t>m范围内，根据现场调查结果</w:t>
      </w:r>
      <w:r>
        <w:rPr>
          <w:rFonts w:hint="eastAsia"/>
          <w:color w:val="auto"/>
          <w:highlight w:val="none"/>
        </w:rPr>
        <w:t>，该</w:t>
      </w:r>
      <w:r>
        <w:rPr>
          <w:color w:val="auto"/>
          <w:highlight w:val="none"/>
        </w:rPr>
        <w:t>范围内无居民饮用水</w:t>
      </w:r>
      <w:r>
        <w:rPr>
          <w:rFonts w:hint="eastAsia"/>
          <w:color w:val="auto"/>
          <w:highlight w:val="none"/>
        </w:rPr>
        <w:t>取水</w:t>
      </w:r>
      <w:r>
        <w:rPr>
          <w:color w:val="auto"/>
          <w:highlight w:val="none"/>
        </w:rPr>
        <w:t>井</w:t>
      </w:r>
      <w:r>
        <w:rPr>
          <w:rFonts w:hint="eastAsia"/>
          <w:color w:val="auto"/>
          <w:highlight w:val="none"/>
          <w:lang w:eastAsia="zh-CN"/>
        </w:rPr>
        <w:t>。</w:t>
      </w:r>
    </w:p>
    <w:p>
      <w:pPr>
        <w:pStyle w:val="4"/>
        <w:ind w:firstLine="480"/>
        <w:rPr>
          <w:rFonts w:hint="eastAsia"/>
          <w:color w:val="FF0000"/>
          <w:highlight w:val="none"/>
          <w:lang w:val="en-US" w:eastAsia="zh-CN"/>
        </w:rPr>
      </w:pPr>
      <w:r>
        <w:rPr>
          <w:rFonts w:hint="eastAsia"/>
          <w:color w:val="FF0000"/>
          <w:highlight w:val="none"/>
          <w:lang w:val="en-US" w:eastAsia="zh-CN"/>
        </w:rPr>
        <w:t>项目区评价范围内零星分布有灌溉水井，根据《环境影响评价技术导则 地下水环境》（HJ610-2016），灌溉水井不属于地下水敏感目标。根据地下水预测结果，本项目在地下水评价范围内始终满足《地下水质量标准》（GB/T14848-2017）</w:t>
      </w:r>
      <w:r>
        <w:rPr>
          <w:rFonts w:hint="default" w:ascii="Times New Roman" w:hAnsi="Times New Roman" w:cs="Times New Roman"/>
          <w:color w:val="FF0000"/>
          <w:highlight w:val="none"/>
          <w:lang w:val="en-US" w:eastAsia="zh-CN"/>
        </w:rPr>
        <w:t>Ⅲ</w:t>
      </w:r>
      <w:r>
        <w:rPr>
          <w:rFonts w:hint="eastAsia"/>
          <w:color w:val="FF0000"/>
          <w:highlight w:val="none"/>
          <w:lang w:val="en-US" w:eastAsia="zh-CN"/>
        </w:rPr>
        <w:t>类标准要求，对灌溉水井影响较小。</w:t>
      </w:r>
    </w:p>
    <w:p>
      <w:pPr>
        <w:pStyle w:val="4"/>
        <w:bidi w:val="0"/>
      </w:pPr>
      <w:r>
        <w:rPr>
          <w:rFonts w:hint="eastAsia"/>
          <w:color w:val="auto"/>
          <w:highlight w:val="none"/>
          <w:lang w:val="en-US" w:eastAsia="zh-CN"/>
        </w:rPr>
        <w:t>综上</w:t>
      </w:r>
      <w:r>
        <w:rPr>
          <w:rFonts w:hint="eastAsia"/>
          <w:color w:val="auto"/>
          <w:highlight w:val="none"/>
        </w:rPr>
        <w:t>，项目正常和非正常工况下对地下水环境的影响较小，在采取相应的应急措施后，地下水污染在可控范围内</w:t>
      </w:r>
      <w:r>
        <w:rPr>
          <w:rFonts w:hint="eastAsia"/>
          <w:color w:val="auto"/>
          <w:highlight w:val="none"/>
          <w:lang w:eastAsia="zh-CN"/>
        </w:rPr>
        <w:t>，</w:t>
      </w:r>
      <w:r>
        <w:rPr>
          <w:rFonts w:hint="eastAsia"/>
          <w:color w:val="auto"/>
          <w:highlight w:val="none"/>
          <w:lang w:val="en-US" w:eastAsia="zh-CN"/>
        </w:rPr>
        <w:t>对地下水环境影响可接受</w:t>
      </w:r>
      <w:r>
        <w:rPr>
          <w:rFonts w:hint="eastAsia"/>
          <w:color w:val="auto"/>
          <w:highlight w:val="none"/>
        </w:rPr>
        <w:t>。</w:t>
      </w:r>
    </w:p>
    <w:p>
      <w:pPr>
        <w:pStyle w:val="3"/>
        <w:bidi w:val="0"/>
        <w:rPr>
          <w:rFonts w:hint="eastAsia"/>
          <w:color w:val="auto"/>
          <w:highlight w:val="none"/>
        </w:rPr>
      </w:pPr>
      <w:bookmarkStart w:id="55" w:name="_Toc492"/>
      <w:bookmarkStart w:id="56" w:name="_Toc344"/>
      <w:r>
        <w:rPr>
          <w:rFonts w:hint="eastAsia"/>
          <w:color w:val="auto"/>
          <w:highlight w:val="none"/>
          <w:lang w:val="en-US" w:eastAsia="zh-CN"/>
        </w:rPr>
        <w:t>环境保护措施及其可行性论证</w:t>
      </w:r>
      <w:bookmarkEnd w:id="55"/>
      <w:bookmarkEnd w:id="56"/>
    </w:p>
    <w:p>
      <w:pPr>
        <w:pStyle w:val="5"/>
        <w:bidi w:val="0"/>
        <w:rPr>
          <w:rFonts w:hint="default"/>
          <w:color w:val="auto"/>
          <w:highlight w:val="none"/>
          <w:lang w:val="en-US" w:eastAsia="zh-CN"/>
        </w:rPr>
      </w:pPr>
      <w:bookmarkStart w:id="57" w:name="_Toc23255"/>
      <w:r>
        <w:rPr>
          <w:rFonts w:hint="default"/>
          <w:color w:val="auto"/>
          <w:highlight w:val="none"/>
          <w:lang w:val="en-US" w:eastAsia="zh-CN"/>
        </w:rPr>
        <w:t>环境保护措施及</w:t>
      </w:r>
      <w:r>
        <w:rPr>
          <w:rFonts w:hint="eastAsia"/>
          <w:color w:val="auto"/>
          <w:highlight w:val="none"/>
          <w:lang w:val="en-US" w:eastAsia="zh-CN"/>
        </w:rPr>
        <w:t>可行性论证</w:t>
      </w:r>
      <w:bookmarkEnd w:id="57"/>
    </w:p>
    <w:p>
      <w:pPr>
        <w:pStyle w:val="4"/>
        <w:ind w:firstLine="480"/>
        <w:rPr>
          <w:rFonts w:hint="eastAsia"/>
          <w:color w:val="auto"/>
          <w:highlight w:val="none"/>
        </w:rPr>
      </w:pPr>
      <w:r>
        <w:rPr>
          <w:rFonts w:hint="eastAsia"/>
          <w:color w:val="auto"/>
          <w:highlight w:val="none"/>
        </w:rPr>
        <w:t>加强施工期的环境管理工作，加强施工人员的环保教育。在施工点设置临时警示牌，并与施工单位签订环保协议，制订相关保护条例，并严格执行。施工单位设置专人负责落实各项环保措施，并积极配合环保部门检</w:t>
      </w:r>
      <w:r>
        <w:rPr>
          <w:rFonts w:hint="eastAsia"/>
          <w:color w:val="auto"/>
          <w:highlight w:val="none"/>
          <w:lang w:eastAsia="zh-CN"/>
        </w:rPr>
        <w:t>查</w:t>
      </w:r>
      <w:r>
        <w:rPr>
          <w:rFonts w:hint="eastAsia"/>
          <w:color w:val="auto"/>
          <w:highlight w:val="none"/>
        </w:rPr>
        <w:t>工作。</w:t>
      </w:r>
    </w:p>
    <w:p>
      <w:pPr>
        <w:pStyle w:val="4"/>
        <w:ind w:firstLine="480"/>
        <w:rPr>
          <w:rFonts w:hint="default" w:eastAsia="宋体"/>
          <w:color w:val="auto"/>
          <w:highlight w:val="none"/>
          <w:lang w:val="en-US" w:eastAsia="zh-CN"/>
        </w:rPr>
      </w:pPr>
      <w:r>
        <w:rPr>
          <w:rFonts w:hint="eastAsia"/>
          <w:color w:val="auto"/>
          <w:highlight w:val="none"/>
          <w:lang w:val="en-US" w:eastAsia="zh-CN"/>
        </w:rPr>
        <w:t>加强防渗设施维护与管理，时行地下水跟踪监测，防止渗漏事故对土壤和地下水造成污染。</w:t>
      </w:r>
    </w:p>
    <w:p>
      <w:pPr>
        <w:pStyle w:val="6"/>
        <w:bidi w:val="0"/>
        <w:rPr>
          <w:color w:val="auto"/>
          <w:highlight w:val="none"/>
        </w:rPr>
      </w:pPr>
      <w:r>
        <w:rPr>
          <w:rFonts w:hint="eastAsia"/>
          <w:color w:val="auto"/>
          <w:highlight w:val="none"/>
        </w:rPr>
        <w:t>施工扬尘控制要求</w:t>
      </w:r>
    </w:p>
    <w:p>
      <w:pPr>
        <w:pStyle w:val="4"/>
        <w:ind w:firstLine="480"/>
        <w:rPr>
          <w:color w:val="auto"/>
          <w:highlight w:val="none"/>
        </w:rPr>
      </w:pPr>
      <w:r>
        <w:rPr>
          <w:rFonts w:hint="eastAsia"/>
          <w:color w:val="auto"/>
          <w:highlight w:val="none"/>
        </w:rPr>
        <w:t>（1）严格按照当地政府有关控制扬尘污染等规定，强化施工期环境管理，提高全员环保意识</w:t>
      </w:r>
      <w:r>
        <w:rPr>
          <w:rFonts w:hint="eastAsia"/>
          <w:color w:val="auto"/>
          <w:highlight w:val="none"/>
          <w:lang w:eastAsia="zh-CN"/>
        </w:rPr>
        <w:t>，</w:t>
      </w:r>
      <w:r>
        <w:rPr>
          <w:rFonts w:hint="eastAsia"/>
          <w:color w:val="auto"/>
          <w:highlight w:val="none"/>
          <w:lang w:val="en-US" w:eastAsia="zh-CN"/>
        </w:rPr>
        <w:t>加强环保</w:t>
      </w:r>
      <w:r>
        <w:rPr>
          <w:rFonts w:hint="eastAsia"/>
          <w:color w:val="auto"/>
          <w:highlight w:val="none"/>
        </w:rPr>
        <w:t>宣传和教育，制定合理施工计划，实行清洁生产、文明施工，坚决杜绝粗放式施工现象发生。</w:t>
      </w:r>
    </w:p>
    <w:p>
      <w:pPr>
        <w:pStyle w:val="4"/>
        <w:ind w:firstLine="480"/>
        <w:rPr>
          <w:rFonts w:hint="eastAsia"/>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建设单位应指定专人负责实施施工现场扬尘污染措施；工地出入口必须设立环保监督牌，注明项目名称、建设与施工单位、防治扬尘污染现场监督员姓名和联系电话、项目工期、环保措施、辖区环保部门举报电话等内容。</w:t>
      </w:r>
    </w:p>
    <w:p>
      <w:pPr>
        <w:pStyle w:val="4"/>
        <w:ind w:firstLine="480"/>
        <w:rPr>
          <w:rFonts w:hint="eastAsia"/>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）加强施工车辆、机械保养，确保施工车辆尾气达到《非道路移动机械用柴油机排气污染物排放限值及测量方法》（</w:t>
      </w:r>
      <w:r>
        <w:rPr>
          <w:rFonts w:hint="eastAsia"/>
          <w:color w:val="auto"/>
          <w:highlight w:val="none"/>
          <w:lang w:eastAsia="zh-CN"/>
        </w:rPr>
        <w:t>GB</w:t>
      </w:r>
      <w:r>
        <w:rPr>
          <w:rFonts w:hint="eastAsia"/>
          <w:color w:val="auto"/>
          <w:highlight w:val="none"/>
        </w:rPr>
        <w:t>20891-2007）中第</w:t>
      </w:r>
      <w:r>
        <w:rPr>
          <w:rFonts w:hint="default" w:ascii="Times New Roman" w:hAnsi="Times New Roman" w:cs="Times New Roman"/>
          <w:color w:val="auto"/>
          <w:highlight w:val="none"/>
          <w:lang w:eastAsia="zh-CN"/>
        </w:rPr>
        <w:t>Ⅱ</w:t>
      </w:r>
      <w:r>
        <w:rPr>
          <w:rFonts w:hint="eastAsia"/>
          <w:color w:val="auto"/>
          <w:highlight w:val="none"/>
        </w:rPr>
        <w:t>阶段标准限值。</w:t>
      </w:r>
    </w:p>
    <w:p>
      <w:pPr>
        <w:pStyle w:val="4"/>
        <w:rPr>
          <w:rFonts w:hint="eastAsia"/>
          <w:color w:val="auto"/>
          <w:highlight w:val="none"/>
          <w:lang w:val="en-US" w:eastAsia="zh-CN"/>
        </w:rPr>
      </w:pPr>
      <w:r>
        <w:rPr>
          <w:rFonts w:hint="eastAsia"/>
          <w:color w:val="auto"/>
          <w:highlight w:val="none"/>
          <w:lang w:val="en-US" w:eastAsia="zh-CN"/>
        </w:rPr>
        <w:t>（4）控制卸车速度和卸车物料落差，配备洒水车，对卸车作业进行洒水抑尘，减少卸车扬尘产生强度。</w:t>
      </w:r>
    </w:p>
    <w:p>
      <w:pPr>
        <w:pStyle w:val="4"/>
        <w:rPr>
          <w:rFonts w:hint="eastAsia"/>
          <w:color w:val="auto"/>
          <w:highlight w:val="none"/>
          <w:lang w:val="en-US" w:eastAsia="zh-CN"/>
        </w:rPr>
      </w:pPr>
      <w:r>
        <w:rPr>
          <w:rFonts w:hint="eastAsia"/>
          <w:color w:val="auto"/>
          <w:highlight w:val="none"/>
          <w:lang w:val="en-US" w:eastAsia="zh-CN"/>
        </w:rPr>
        <w:t>（5）</w:t>
      </w:r>
      <w:r>
        <w:rPr>
          <w:rFonts w:hint="eastAsia"/>
          <w:color w:val="FF0000"/>
          <w:highlight w:val="none"/>
          <w:lang w:val="en-US" w:eastAsia="zh-CN"/>
        </w:rPr>
        <w:t>卸车结束后即时按填埋方案进行表面平整和压实，做到平整压实不隔夜，减少堆体风力扬尘产生量。</w:t>
      </w:r>
    </w:p>
    <w:p>
      <w:pPr>
        <w:pStyle w:val="4"/>
        <w:rPr>
          <w:rFonts w:hint="default"/>
          <w:color w:val="auto"/>
          <w:highlight w:val="none"/>
          <w:lang w:val="en-US" w:eastAsia="zh-CN"/>
        </w:rPr>
      </w:pPr>
      <w:r>
        <w:rPr>
          <w:rFonts w:hint="eastAsia"/>
          <w:color w:val="auto"/>
          <w:highlight w:val="none"/>
          <w:lang w:val="en-US" w:eastAsia="zh-CN"/>
        </w:rPr>
        <w:t>（6）控制转运车辆行驶速度，对运输道路洒水抑尘，降低车辆运输作业扬尘。</w:t>
      </w:r>
    </w:p>
    <w:p>
      <w:pPr>
        <w:pStyle w:val="4"/>
        <w:rPr>
          <w:rFonts w:hint="eastAsia"/>
          <w:color w:val="auto"/>
          <w:highlight w:val="none"/>
          <w:lang w:val="en-US" w:eastAsia="zh-CN"/>
        </w:rPr>
      </w:pPr>
      <w:r>
        <w:rPr>
          <w:rFonts w:hint="eastAsia"/>
          <w:color w:val="auto"/>
          <w:highlight w:val="none"/>
          <w:lang w:val="en-US" w:eastAsia="zh-CN"/>
        </w:rPr>
        <w:t>（7）在回填作业结束后及时覆盖砂砾石层，防止填埋堆体起尘。</w:t>
      </w:r>
    </w:p>
    <w:p>
      <w:pPr>
        <w:pStyle w:val="4"/>
        <w:rPr>
          <w:rFonts w:hint="eastAsia"/>
          <w:color w:val="auto"/>
          <w:highlight w:val="none"/>
          <w:lang w:val="en-US" w:eastAsia="zh-CN"/>
        </w:rPr>
      </w:pPr>
      <w:r>
        <w:rPr>
          <w:rFonts w:hint="eastAsia"/>
          <w:color w:val="auto"/>
          <w:highlight w:val="none"/>
          <w:lang w:val="en-US" w:eastAsia="zh-CN"/>
        </w:rPr>
        <w:t>（8）卸车、填埋、覆土等易产尘作业应避开大风天气。</w:t>
      </w:r>
      <w:r>
        <w:rPr>
          <w:rFonts w:hint="eastAsia"/>
          <w:color w:val="FF0000"/>
          <w:highlight w:val="none"/>
          <w:lang w:val="en-US" w:eastAsia="zh-CN"/>
        </w:rPr>
        <w:t>对产尘作业面、堆放区、场区道路定期洒水。</w:t>
      </w:r>
    </w:p>
    <w:p>
      <w:pPr>
        <w:pStyle w:val="4"/>
        <w:rPr>
          <w:rFonts w:hint="eastAsia"/>
          <w:color w:val="auto"/>
          <w:highlight w:val="none"/>
          <w:lang w:val="en-US" w:eastAsia="zh-CN"/>
        </w:rPr>
      </w:pPr>
      <w:r>
        <w:rPr>
          <w:rFonts w:hint="eastAsia"/>
          <w:color w:val="auto"/>
          <w:highlight w:val="none"/>
          <w:lang w:val="en-US" w:eastAsia="zh-CN"/>
        </w:rPr>
        <w:t>（9）在对采坑靠近边界区域进行填埋作业时，应在外边界设置围挡或水雾喷淋等防尘设施，保证不因本项目的车辆运输、卸车、平整等作业环节产生的大量扬尘对外环境造成不良影响，尤其应关注对北侧G7京新高速和周边农田的粉尘影响。</w:t>
      </w:r>
    </w:p>
    <w:p>
      <w:pPr>
        <w:pStyle w:val="4"/>
        <w:rPr>
          <w:rFonts w:hint="eastAsia"/>
          <w:color w:val="auto"/>
          <w:highlight w:val="none"/>
          <w:lang w:val="en-US" w:eastAsia="zh-CN"/>
        </w:rPr>
      </w:pPr>
      <w:r>
        <w:rPr>
          <w:rFonts w:hint="eastAsia"/>
          <w:color w:val="auto"/>
          <w:highlight w:val="none"/>
          <w:lang w:val="en-US" w:eastAsia="zh-CN"/>
        </w:rPr>
        <w:t>根据《排污许可证申请与核发技术规范 工业固体废物和危险废物治理》（HJ1033-2019）附录C，一般工业固体废物贮存、处置排污单位废气治理可行技术参考下表：</w:t>
      </w:r>
    </w:p>
    <w:p>
      <w:pPr>
        <w:pStyle w:val="22"/>
        <w:bidi w:val="0"/>
        <w:rPr>
          <w:rFonts w:hint="eastAsia"/>
          <w:lang w:val="en-US" w:eastAsia="zh-CN"/>
        </w:rPr>
      </w:pPr>
      <w:r>
        <w:rPr>
          <w:rFonts w:hint="eastAsia"/>
          <w:lang w:val="en-US" w:eastAsia="zh-CN"/>
        </w:rPr>
        <w:t>表6.2-1  一般工业固体废物贮存、处置排污单位废气治理可行技术参考表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74"/>
        <w:gridCol w:w="1716"/>
        <w:gridCol w:w="1435"/>
        <w:gridCol w:w="4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生产单元</w:t>
            </w:r>
          </w:p>
        </w:tc>
        <w:tc>
          <w:tcPr>
            <w:tcW w:w="100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废气产排污环节</w:t>
            </w:r>
          </w:p>
        </w:tc>
        <w:tc>
          <w:tcPr>
            <w:tcW w:w="84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污染物种类</w:t>
            </w:r>
          </w:p>
        </w:tc>
        <w:tc>
          <w:tcPr>
            <w:tcW w:w="24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可行技术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9"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贮存、处置单元</w:t>
            </w:r>
          </w:p>
        </w:tc>
        <w:tc>
          <w:tcPr>
            <w:tcW w:w="100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贮存、处置</w:t>
            </w:r>
          </w:p>
        </w:tc>
        <w:tc>
          <w:tcPr>
            <w:tcW w:w="842"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颗粒物</w:t>
            </w:r>
          </w:p>
        </w:tc>
        <w:tc>
          <w:tcPr>
            <w:tcW w:w="246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逐层填埋、覆土压实、及时覆盖、洒水抑尘、设置防风抑尘网、服务期满后及时封场</w:t>
            </w:r>
          </w:p>
        </w:tc>
      </w:tr>
    </w:tbl>
    <w:p>
      <w:pPr>
        <w:pStyle w:val="4"/>
        <w:ind w:firstLine="480"/>
        <w:rPr>
          <w:rFonts w:hint="default" w:eastAsia="宋体"/>
          <w:color w:val="auto"/>
          <w:highlight w:val="none"/>
          <w:lang w:val="en-US" w:eastAsia="zh-CN"/>
        </w:rPr>
      </w:pPr>
      <w:r>
        <w:rPr>
          <w:rFonts w:hint="eastAsia"/>
          <w:color w:val="auto"/>
          <w:highlight w:val="none"/>
          <w:lang w:val="en-US" w:eastAsia="zh-CN"/>
        </w:rPr>
        <w:t>本项目拟采取的抑尘措施符合《排污许可证申请与核发技术规范工业固体废物和危险废物治理》（HJ1033-2019）推荐的废气治理可行技术，运营期大气污染防治措施可行。施工期扬尘随着施工作业结束而消失，在严格落实以上措施后对环境影响有限。</w:t>
      </w:r>
    </w:p>
    <w:p>
      <w:pPr>
        <w:pStyle w:val="6"/>
        <w:bidi w:val="0"/>
        <w:rPr>
          <w:color w:val="auto"/>
          <w:highlight w:val="none"/>
        </w:rPr>
      </w:pPr>
      <w:r>
        <w:rPr>
          <w:rFonts w:hint="eastAsia"/>
          <w:color w:val="auto"/>
          <w:highlight w:val="none"/>
        </w:rPr>
        <w:t>施工噪声控制措施</w:t>
      </w:r>
    </w:p>
    <w:p>
      <w:pPr>
        <w:pStyle w:val="4"/>
        <w:ind w:firstLine="480"/>
        <w:rPr>
          <w:color w:val="auto"/>
          <w:highlight w:val="none"/>
        </w:rPr>
      </w:pPr>
      <w:r>
        <w:rPr>
          <w:rFonts w:hint="eastAsia"/>
          <w:color w:val="auto"/>
          <w:highlight w:val="none"/>
        </w:rPr>
        <w:t>为最大限度地减少噪声对环境的影响，建议施工期采用以下噪声防治措施：</w:t>
      </w:r>
    </w:p>
    <w:p>
      <w:pPr>
        <w:pStyle w:val="4"/>
        <w:ind w:firstLine="480"/>
        <w:rPr>
          <w:rFonts w:hint="eastAsia" w:eastAsia="宋体"/>
          <w:color w:val="auto"/>
          <w:highlight w:val="none"/>
          <w:lang w:eastAsia="zh-CN"/>
        </w:rPr>
      </w:pPr>
      <w:r>
        <w:rPr>
          <w:rFonts w:hint="eastAsia"/>
          <w:color w:val="auto"/>
          <w:highlight w:val="none"/>
        </w:rPr>
        <w:t>（1）合理安排施工作业时间，尽量避免高噪声设备同时施工，严禁夜间24:00</w:t>
      </w:r>
      <w:r>
        <w:rPr>
          <w:rFonts w:hint="eastAsia"/>
          <w:color w:val="auto"/>
          <w:highlight w:val="none"/>
          <w:lang w:eastAsia="zh-CN"/>
        </w:rPr>
        <w:t>~</w:t>
      </w:r>
      <w:r>
        <w:rPr>
          <w:rFonts w:hint="eastAsia"/>
          <w:color w:val="auto"/>
          <w:highlight w:val="none"/>
        </w:rPr>
        <w:t>08:00进行高噪声施工作业，避免扰民</w:t>
      </w:r>
      <w:r>
        <w:rPr>
          <w:rFonts w:hint="eastAsia"/>
          <w:color w:val="auto"/>
          <w:highlight w:val="none"/>
          <w:lang w:eastAsia="zh-CN"/>
        </w:rPr>
        <w:t>。</w:t>
      </w:r>
    </w:p>
    <w:p>
      <w:pPr>
        <w:pStyle w:val="4"/>
        <w:ind w:firstLine="480"/>
        <w:rPr>
          <w:rFonts w:hint="eastAsia" w:eastAsia="宋体"/>
          <w:color w:val="auto"/>
          <w:highlight w:val="none"/>
          <w:lang w:eastAsia="zh-CN"/>
        </w:rPr>
      </w:pPr>
      <w:r>
        <w:rPr>
          <w:rFonts w:hint="eastAsia"/>
          <w:color w:val="auto"/>
          <w:highlight w:val="none"/>
        </w:rPr>
        <w:t>（2）</w:t>
      </w:r>
      <w:r>
        <w:rPr>
          <w:rFonts w:hint="eastAsia"/>
          <w:color w:val="auto"/>
          <w:highlight w:val="none"/>
          <w:lang w:val="en-US" w:eastAsia="zh-CN"/>
        </w:rPr>
        <w:t>选购低噪声设备，填埋作业所需的各种工程设备及运输车辆要定期维护保养，从源头上控制噪声产生强度。</w:t>
      </w:r>
    </w:p>
    <w:p>
      <w:pPr>
        <w:pStyle w:val="4"/>
        <w:ind w:firstLine="480"/>
        <w:rPr>
          <w:rFonts w:hint="eastAsia" w:eastAsia="宋体"/>
          <w:color w:val="auto"/>
          <w:highlight w:val="none"/>
          <w:lang w:eastAsia="zh-CN"/>
        </w:rPr>
      </w:pPr>
      <w:r>
        <w:rPr>
          <w:rFonts w:hint="eastAsia"/>
          <w:color w:val="auto"/>
          <w:highlight w:val="none"/>
        </w:rPr>
        <w:t>（3）</w:t>
      </w:r>
      <w:r>
        <w:rPr>
          <w:rFonts w:hint="eastAsia"/>
          <w:color w:val="auto"/>
          <w:highlight w:val="none"/>
          <w:lang w:val="en-US" w:eastAsia="zh-CN"/>
        </w:rPr>
        <w:t>加强车辆运输过程管理，提出减速禁鸣等要求。</w:t>
      </w:r>
    </w:p>
    <w:p>
      <w:pPr>
        <w:pStyle w:val="4"/>
        <w:ind w:firstLine="480"/>
        <w:rPr>
          <w:rFonts w:hint="eastAsia" w:eastAsia="宋体"/>
          <w:color w:val="auto"/>
          <w:highlight w:val="none"/>
          <w:lang w:eastAsia="zh-CN"/>
        </w:rPr>
      </w:pPr>
      <w:r>
        <w:rPr>
          <w:rFonts w:hint="eastAsia"/>
          <w:color w:val="auto"/>
          <w:highlight w:val="none"/>
        </w:rPr>
        <w:t>（4）严格操作规程，加强施工机械管理，合理控制高噪声机械运行时段，尽量避免夜间施工，文明施工，降低人为噪声</w:t>
      </w:r>
      <w:r>
        <w:rPr>
          <w:rFonts w:hint="eastAsia"/>
          <w:color w:val="auto"/>
          <w:highlight w:val="none"/>
          <w:lang w:eastAsia="zh-CN"/>
        </w:rPr>
        <w:t>。</w:t>
      </w:r>
    </w:p>
    <w:p>
      <w:pPr>
        <w:pStyle w:val="4"/>
        <w:rPr>
          <w:rFonts w:hint="eastAsia"/>
          <w:color w:val="auto"/>
          <w:sz w:val="24"/>
          <w:highlight w:val="none"/>
          <w:lang w:val="en-US" w:eastAsia="zh-CN"/>
        </w:rPr>
      </w:pPr>
      <w:r>
        <w:rPr>
          <w:rFonts w:hint="eastAsia"/>
          <w:color w:val="auto"/>
          <w:highlight w:val="none"/>
          <w:lang w:val="en-US" w:eastAsia="zh-CN"/>
        </w:rPr>
        <w:t>根据预测结果</w:t>
      </w:r>
      <w:r>
        <w:rPr>
          <w:rFonts w:hint="eastAsia"/>
          <w:color w:val="auto"/>
          <w:highlight w:val="none"/>
        </w:rPr>
        <w:t>，本</w:t>
      </w:r>
      <w:r>
        <w:rPr>
          <w:rFonts w:hint="eastAsia"/>
          <w:color w:val="auto"/>
          <w:highlight w:val="none"/>
          <w:lang w:val="en-US" w:eastAsia="zh-CN"/>
        </w:rPr>
        <w:t>项目施工场</w:t>
      </w:r>
      <w:r>
        <w:rPr>
          <w:rFonts w:hint="eastAsia"/>
          <w:color w:val="auto"/>
          <w:highlight w:val="none"/>
        </w:rPr>
        <w:t>界噪声</w:t>
      </w:r>
      <w:r>
        <w:rPr>
          <w:rFonts w:hint="eastAsia"/>
          <w:color w:val="auto"/>
          <w:highlight w:val="none"/>
          <w:lang w:val="en-US" w:eastAsia="zh-CN"/>
        </w:rPr>
        <w:t>排放满足</w:t>
      </w:r>
      <w:r>
        <w:rPr>
          <w:rFonts w:hint="eastAsia"/>
          <w:color w:val="auto"/>
          <w:highlight w:val="none"/>
        </w:rPr>
        <w:t>《建筑施工场界环境噪声排放标准》（</w:t>
      </w:r>
      <w:r>
        <w:rPr>
          <w:rFonts w:hint="eastAsia"/>
          <w:color w:val="auto"/>
          <w:highlight w:val="none"/>
          <w:lang w:eastAsia="zh-CN"/>
        </w:rPr>
        <w:t>GB</w:t>
      </w:r>
      <w:r>
        <w:rPr>
          <w:rFonts w:hint="eastAsia"/>
          <w:color w:val="auto"/>
          <w:highlight w:val="none"/>
        </w:rPr>
        <w:t>12523-2011）</w:t>
      </w:r>
      <w:r>
        <w:rPr>
          <w:rFonts w:hint="eastAsia"/>
          <w:color w:val="auto"/>
          <w:highlight w:val="none"/>
          <w:lang w:val="en-US" w:eastAsia="zh-CN"/>
        </w:rPr>
        <w:t>标准</w:t>
      </w:r>
      <w:r>
        <w:rPr>
          <w:rFonts w:hint="eastAsia"/>
          <w:color w:val="auto"/>
          <w:highlight w:val="none"/>
        </w:rPr>
        <w:t>限值：昼间</w:t>
      </w:r>
      <w:r>
        <w:rPr>
          <w:rFonts w:hint="default" w:ascii="Times New Roman" w:hAnsi="Times New Roman" w:cs="Times New Roman"/>
          <w:color w:val="auto"/>
          <w:highlight w:val="none"/>
        </w:rPr>
        <w:t>≤</w:t>
      </w:r>
      <w:r>
        <w:rPr>
          <w:rFonts w:hint="eastAsia"/>
          <w:color w:val="auto"/>
          <w:highlight w:val="none"/>
          <w:lang w:val="en-US" w:eastAsia="zh-CN"/>
        </w:rPr>
        <w:t>70</w:t>
      </w:r>
      <w:r>
        <w:rPr>
          <w:rFonts w:hint="eastAsia"/>
          <w:color w:val="auto"/>
          <w:highlight w:val="none"/>
        </w:rPr>
        <w:t>dB（A）要求，夜间不生产</w:t>
      </w:r>
      <w:r>
        <w:rPr>
          <w:rFonts w:hint="eastAsia"/>
          <w:color w:val="auto"/>
          <w:highlight w:val="none"/>
          <w:lang w:eastAsia="zh-CN"/>
        </w:rPr>
        <w:t>，</w:t>
      </w:r>
      <w:r>
        <w:rPr>
          <w:rFonts w:hint="eastAsia"/>
          <w:color w:val="auto"/>
          <w:highlight w:val="none"/>
          <w:lang w:val="en-US" w:eastAsia="zh-CN"/>
        </w:rPr>
        <w:t>以上措施可有较降低噪声对外环境影响，措施可行</w:t>
      </w:r>
      <w:r>
        <w:rPr>
          <w:rFonts w:hint="eastAsia"/>
          <w:color w:val="auto"/>
          <w:highlight w:val="none"/>
        </w:rPr>
        <w:t>。</w:t>
      </w:r>
    </w:p>
    <w:p>
      <w:pPr>
        <w:pStyle w:val="6"/>
        <w:bidi w:val="0"/>
        <w:rPr>
          <w:color w:val="auto"/>
          <w:highlight w:val="none"/>
        </w:rPr>
      </w:pPr>
      <w:r>
        <w:rPr>
          <w:rFonts w:hint="eastAsia"/>
          <w:color w:val="auto"/>
          <w:highlight w:val="none"/>
        </w:rPr>
        <w:t>施工固体废物处置要求</w:t>
      </w:r>
    </w:p>
    <w:p>
      <w:pPr>
        <w:pStyle w:val="4"/>
        <w:ind w:firstLine="480"/>
        <w:rPr>
          <w:rFonts w:hint="default" w:eastAsia="宋体"/>
          <w:color w:val="auto"/>
          <w:highlight w:val="none"/>
          <w:lang w:val="en-US" w:eastAsia="zh-CN"/>
        </w:rPr>
      </w:pPr>
      <w:r>
        <w:rPr>
          <w:rFonts w:hint="eastAsia"/>
          <w:color w:val="auto"/>
          <w:highlight w:val="none"/>
        </w:rPr>
        <w:t>厂区设置临时堆场，并进行围挡防流失以及遮盖防尘，定点堆放，定期清运</w:t>
      </w:r>
      <w:r>
        <w:rPr>
          <w:rFonts w:hint="eastAsia"/>
          <w:color w:val="auto"/>
          <w:highlight w:val="none"/>
          <w:lang w:eastAsia="zh-CN"/>
        </w:rPr>
        <w:t>。</w:t>
      </w:r>
      <w:r>
        <w:rPr>
          <w:rFonts w:hint="eastAsia"/>
          <w:color w:val="auto"/>
          <w:highlight w:val="none"/>
        </w:rPr>
        <w:t>临时堆场应按照环卫部门要求及时清运，严禁长期占地。</w:t>
      </w:r>
      <w:r>
        <w:rPr>
          <w:rFonts w:hint="eastAsia"/>
          <w:color w:val="auto"/>
          <w:highlight w:val="none"/>
          <w:lang w:val="en-US" w:eastAsia="zh-CN"/>
        </w:rPr>
        <w:t>针对施工期固体废物污染制定措施如下：</w:t>
      </w:r>
    </w:p>
    <w:p>
      <w:pPr>
        <w:pStyle w:val="4"/>
        <w:ind w:firstLine="480"/>
        <w:rPr>
          <w:color w:val="auto"/>
          <w:highlight w:val="none"/>
        </w:rPr>
      </w:pPr>
      <w:r>
        <w:rPr>
          <w:rFonts w:hint="eastAsia"/>
          <w:color w:val="auto"/>
          <w:highlight w:val="none"/>
        </w:rPr>
        <w:t>（1）施工期产生的建筑垃圾收集后及时清运至</w:t>
      </w:r>
      <w:r>
        <w:rPr>
          <w:rFonts w:hint="eastAsia"/>
          <w:color w:val="auto"/>
          <w:highlight w:val="none"/>
          <w:lang w:val="en-US" w:eastAsia="zh-CN"/>
        </w:rPr>
        <w:t>市政部门指定</w:t>
      </w:r>
      <w:r>
        <w:rPr>
          <w:rFonts w:hint="eastAsia"/>
          <w:color w:val="auto"/>
          <w:highlight w:val="none"/>
        </w:rPr>
        <w:t>垃圾填埋场</w:t>
      </w:r>
      <w:r>
        <w:rPr>
          <w:rFonts w:hint="eastAsia"/>
          <w:color w:val="auto"/>
          <w:highlight w:val="none"/>
          <w:lang w:val="en-US" w:eastAsia="zh-CN"/>
        </w:rPr>
        <w:t>填埋</w:t>
      </w:r>
      <w:r>
        <w:rPr>
          <w:rFonts w:hint="eastAsia"/>
          <w:color w:val="auto"/>
          <w:highlight w:val="none"/>
        </w:rPr>
        <w:t>。</w:t>
      </w:r>
    </w:p>
    <w:p>
      <w:pPr>
        <w:pStyle w:val="4"/>
        <w:ind w:firstLine="48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）施工营地设置垃圾桶，生活垃圾经集中收集后</w:t>
      </w:r>
      <w:r>
        <w:rPr>
          <w:rFonts w:hint="eastAsia"/>
          <w:color w:val="auto"/>
          <w:highlight w:val="none"/>
          <w:lang w:val="en-US" w:eastAsia="zh-CN"/>
        </w:rPr>
        <w:t>由</w:t>
      </w:r>
      <w:r>
        <w:rPr>
          <w:rFonts w:hint="eastAsia"/>
          <w:color w:val="auto"/>
          <w:highlight w:val="none"/>
        </w:rPr>
        <w:t>当地环卫部门统一清运。</w:t>
      </w:r>
    </w:p>
    <w:p>
      <w:pPr>
        <w:pStyle w:val="4"/>
        <w:ind w:firstLine="480"/>
        <w:rPr>
          <w:rFonts w:hint="eastAsia"/>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）土方进行回填，不能回填的就近用于周边场地平整。</w:t>
      </w:r>
    </w:p>
    <w:p>
      <w:pPr>
        <w:pStyle w:val="6"/>
        <w:bidi w:val="0"/>
        <w:rPr>
          <w:color w:val="auto"/>
          <w:highlight w:val="none"/>
        </w:rPr>
      </w:pPr>
      <w:r>
        <w:rPr>
          <w:rFonts w:hint="eastAsia"/>
          <w:color w:val="auto"/>
          <w:highlight w:val="none"/>
          <w:lang w:val="en-US" w:eastAsia="zh-CN"/>
        </w:rPr>
        <w:t>施工期</w:t>
      </w:r>
      <w:r>
        <w:rPr>
          <w:rFonts w:hint="eastAsia"/>
          <w:color w:val="auto"/>
          <w:highlight w:val="none"/>
        </w:rPr>
        <w:t>生态保护要求</w:t>
      </w:r>
    </w:p>
    <w:p>
      <w:pPr>
        <w:pStyle w:val="4"/>
        <w:ind w:firstLine="480"/>
        <w:rPr>
          <w:rFonts w:hint="eastAsia" w:eastAsia="宋体"/>
          <w:color w:val="auto"/>
          <w:highlight w:val="none"/>
          <w:lang w:eastAsia="zh-CN"/>
        </w:rPr>
      </w:pPr>
      <w:r>
        <w:rPr>
          <w:rFonts w:hint="eastAsia"/>
          <w:color w:val="auto"/>
          <w:highlight w:val="none"/>
        </w:rPr>
        <w:t>（1）强化生态环境保护意识，对施工人员进行环境保护知识教育</w:t>
      </w:r>
      <w:r>
        <w:rPr>
          <w:rFonts w:hint="eastAsia"/>
          <w:color w:val="auto"/>
          <w:highlight w:val="none"/>
          <w:lang w:eastAsia="zh-CN"/>
        </w:rPr>
        <w:t>。</w:t>
      </w:r>
    </w:p>
    <w:p>
      <w:pPr>
        <w:pStyle w:val="4"/>
        <w:ind w:firstLine="480"/>
        <w:rPr>
          <w:rFonts w:hint="eastAsia" w:eastAsia="宋体"/>
          <w:color w:val="auto"/>
          <w:highlight w:val="none"/>
          <w:lang w:eastAsia="zh-CN"/>
        </w:rPr>
      </w:pPr>
      <w:r>
        <w:rPr>
          <w:rFonts w:hint="eastAsia"/>
          <w:color w:val="auto"/>
          <w:highlight w:val="none"/>
        </w:rPr>
        <w:t>（2）严格控制施工作业区</w:t>
      </w:r>
      <w:r>
        <w:rPr>
          <w:rFonts w:hint="eastAsia"/>
          <w:color w:val="auto"/>
          <w:highlight w:val="none"/>
          <w:lang w:val="en-US" w:eastAsia="zh-CN"/>
        </w:rPr>
        <w:t>面积</w:t>
      </w:r>
      <w:r>
        <w:rPr>
          <w:rFonts w:hint="eastAsia"/>
          <w:color w:val="auto"/>
          <w:highlight w:val="none"/>
        </w:rPr>
        <w:t>，在满足施工要求前提下必须减少对施工场地周围土壤、植被和道路影响，不得随意扩大占地范围</w:t>
      </w:r>
      <w:r>
        <w:rPr>
          <w:rFonts w:hint="eastAsia"/>
          <w:color w:val="auto"/>
          <w:highlight w:val="none"/>
          <w:lang w:eastAsia="zh-CN"/>
        </w:rPr>
        <w:t>。</w:t>
      </w:r>
    </w:p>
    <w:p>
      <w:pPr>
        <w:pStyle w:val="4"/>
        <w:ind w:firstLine="480"/>
        <w:rPr>
          <w:rFonts w:hint="eastAsia" w:eastAsia="宋体"/>
          <w:color w:val="auto"/>
          <w:highlight w:val="none"/>
          <w:lang w:eastAsia="zh-CN"/>
        </w:rPr>
      </w:pPr>
      <w:r>
        <w:rPr>
          <w:rFonts w:hint="eastAsia"/>
          <w:color w:val="auto"/>
          <w:highlight w:val="none"/>
        </w:rPr>
        <w:t>（3）弃土渣</w:t>
      </w:r>
      <w:r>
        <w:rPr>
          <w:rFonts w:hint="eastAsia"/>
          <w:color w:val="auto"/>
          <w:highlight w:val="none"/>
          <w:lang w:val="en-US" w:eastAsia="zh-CN"/>
        </w:rPr>
        <w:t>临时堆放</w:t>
      </w:r>
      <w:r>
        <w:rPr>
          <w:rFonts w:hint="eastAsia"/>
          <w:color w:val="auto"/>
          <w:highlight w:val="none"/>
        </w:rPr>
        <w:t>应就近选择低洼、平坦地段，设置土工布覆盖、截排水沟等措施，减少水土流失</w:t>
      </w:r>
      <w:r>
        <w:rPr>
          <w:rFonts w:hint="eastAsia"/>
          <w:color w:val="auto"/>
          <w:highlight w:val="none"/>
          <w:lang w:eastAsia="zh-CN"/>
        </w:rPr>
        <w:t>。</w:t>
      </w:r>
    </w:p>
    <w:p>
      <w:pPr>
        <w:pStyle w:val="4"/>
        <w:ind w:firstLine="480"/>
        <w:rPr>
          <w:rFonts w:hint="eastAsia"/>
          <w:color w:val="auto"/>
          <w:highlight w:val="none"/>
          <w:lang w:val="en-US" w:eastAsia="zh-CN"/>
        </w:rPr>
      </w:pPr>
      <w:r>
        <w:rPr>
          <w:color w:val="auto"/>
          <w:highlight w:val="none"/>
        </w:rPr>
        <w:t>（4）对完工的裸露地面要尽早平整，及时绿化</w:t>
      </w:r>
      <w:r>
        <w:rPr>
          <w:rFonts w:hint="eastAsia"/>
          <w:color w:val="auto"/>
          <w:highlight w:val="none"/>
          <w:lang w:val="en-US" w:eastAsia="zh-CN"/>
        </w:rPr>
        <w:t>。</w:t>
      </w:r>
    </w:p>
    <w:p>
      <w:pPr>
        <w:pStyle w:val="6"/>
        <w:bidi w:val="0"/>
        <w:rPr>
          <w:rFonts w:hint="eastAsia"/>
          <w:color w:val="auto"/>
          <w:highlight w:val="none"/>
        </w:rPr>
      </w:pPr>
      <w:r>
        <w:rPr>
          <w:rFonts w:hint="eastAsia"/>
          <w:color w:val="auto"/>
          <w:highlight w:val="none"/>
          <w:lang w:val="en-US" w:eastAsia="zh-CN"/>
        </w:rPr>
        <w:t>土壤污染防治措施及可行性分析</w:t>
      </w:r>
    </w:p>
    <w:p>
      <w:pPr>
        <w:pStyle w:val="4"/>
        <w:rPr>
          <w:rFonts w:hint="default"/>
          <w:color w:val="auto"/>
          <w:sz w:val="24"/>
          <w:highlight w:val="none"/>
          <w:lang w:val="en-US" w:eastAsia="zh-CN"/>
        </w:rPr>
      </w:pPr>
      <w:r>
        <w:rPr>
          <w:rFonts w:hint="eastAsia"/>
          <w:color w:val="auto"/>
          <w:sz w:val="24"/>
          <w:highlight w:val="none"/>
          <w:lang w:val="en-US" w:eastAsia="zh-CN"/>
        </w:rPr>
        <w:t>按照“源头控制、过程防控、跟踪监测”的理念对土壤污染防治提出以下措施：</w:t>
      </w:r>
    </w:p>
    <w:p>
      <w:pPr>
        <w:pStyle w:val="4"/>
        <w:rPr>
          <w:rFonts w:hint="eastAsia"/>
          <w:color w:val="auto"/>
          <w:sz w:val="24"/>
          <w:highlight w:val="none"/>
          <w:lang w:val="en-US" w:eastAsia="zh-CN"/>
        </w:rPr>
      </w:pPr>
      <w:r>
        <w:rPr>
          <w:rFonts w:hint="eastAsia"/>
          <w:color w:val="auto"/>
          <w:sz w:val="24"/>
          <w:highlight w:val="none"/>
          <w:lang w:val="en-US" w:eastAsia="zh-CN"/>
        </w:rPr>
        <w:t>（1）严格控制填埋废物种类，除填埋本次处理的灰渣外，不得接收其他固体废物。</w:t>
      </w:r>
    </w:p>
    <w:p>
      <w:pPr>
        <w:pStyle w:val="4"/>
        <w:rPr>
          <w:rFonts w:hint="eastAsia"/>
          <w:color w:val="auto"/>
          <w:sz w:val="24"/>
          <w:highlight w:val="none"/>
          <w:lang w:val="en-US" w:eastAsia="zh-CN"/>
        </w:rPr>
      </w:pPr>
      <w:r>
        <w:rPr>
          <w:rFonts w:hint="eastAsia"/>
          <w:color w:val="auto"/>
          <w:sz w:val="24"/>
          <w:highlight w:val="none"/>
          <w:lang w:val="en-US" w:eastAsia="zh-CN"/>
        </w:rPr>
        <w:t>（2）场区作业进行洒水抑尘，减轻扬尘对周边农作物及土壤的影响。</w:t>
      </w:r>
    </w:p>
    <w:p>
      <w:pPr>
        <w:pStyle w:val="4"/>
        <w:rPr>
          <w:rFonts w:hint="eastAsia"/>
          <w:color w:val="auto"/>
          <w:sz w:val="24"/>
          <w:highlight w:val="none"/>
          <w:lang w:val="en-US" w:eastAsia="zh-CN"/>
        </w:rPr>
      </w:pPr>
      <w:r>
        <w:rPr>
          <w:rFonts w:hint="eastAsia"/>
          <w:color w:val="auto"/>
          <w:sz w:val="24"/>
          <w:highlight w:val="none"/>
          <w:lang w:val="en-US" w:eastAsia="zh-CN"/>
        </w:rPr>
        <w:t>（3）</w:t>
      </w:r>
      <w:r>
        <w:rPr>
          <w:rFonts w:hint="eastAsia"/>
          <w:color w:val="auto"/>
          <w:highlight w:val="none"/>
          <w:lang w:val="en-US" w:eastAsia="zh-CN"/>
        </w:rPr>
        <w:t>填埋区设置防渗层和防渗层渗漏监控系统，预防在极端天气情况下渗滤液对土壤造成污染，并及时监测预警防渗层破裂情况，及时采取防渗补救措施。</w:t>
      </w:r>
    </w:p>
    <w:p>
      <w:pPr>
        <w:pStyle w:val="4"/>
        <w:ind w:firstLine="480"/>
        <w:rPr>
          <w:rFonts w:hint="eastAsia"/>
          <w:color w:val="auto"/>
          <w:highlight w:val="none"/>
          <w:lang w:val="en-US" w:eastAsia="zh-CN"/>
        </w:rPr>
      </w:pPr>
      <w:r>
        <w:rPr>
          <w:rFonts w:hint="eastAsia"/>
          <w:color w:val="auto"/>
          <w:highlight w:val="none"/>
          <w:lang w:val="en-US" w:eastAsia="zh-CN"/>
        </w:rPr>
        <w:t>以上措施可满足《环境影响评价技术导则 土壤环境（试行）》（HJ964-2018）、</w:t>
      </w:r>
      <w:r>
        <w:rPr>
          <w:rFonts w:hint="eastAsia"/>
          <w:color w:val="auto"/>
          <w:sz w:val="24"/>
          <w:highlight w:val="none"/>
          <w:lang w:eastAsia="zh-CN"/>
        </w:rPr>
        <w:t>《一般工业固体废物贮存和填埋污染控制标准》（GB18599-2020）</w:t>
      </w:r>
      <w:r>
        <w:rPr>
          <w:rFonts w:hint="eastAsia"/>
          <w:color w:val="auto"/>
          <w:sz w:val="24"/>
          <w:highlight w:val="none"/>
          <w:lang w:val="en-US" w:eastAsia="zh-CN"/>
        </w:rPr>
        <w:t>以及《排污许可证申请与核发技术规范工业固体废物和危险废物治理》（HJ1033-2019）中有关土壤污染防治的有关要求，措施可行。</w:t>
      </w:r>
    </w:p>
    <w:p>
      <w:pPr>
        <w:pStyle w:val="6"/>
        <w:bidi w:val="0"/>
        <w:rPr>
          <w:rFonts w:hint="eastAsia"/>
          <w:color w:val="auto"/>
          <w:highlight w:val="none"/>
        </w:rPr>
      </w:pPr>
      <w:r>
        <w:rPr>
          <w:rFonts w:hint="eastAsia"/>
          <w:color w:val="auto"/>
          <w:highlight w:val="none"/>
          <w:lang w:val="en-US" w:eastAsia="zh-CN"/>
        </w:rPr>
        <w:t>地下水污染防治措施及可行性分析</w:t>
      </w:r>
    </w:p>
    <w:p>
      <w:pPr>
        <w:pStyle w:val="4"/>
        <w:ind w:firstLine="480"/>
        <w:rPr>
          <w:rFonts w:hint="eastAsia" w:eastAsia="宋体"/>
          <w:color w:val="auto"/>
          <w:highlight w:val="none"/>
          <w:lang w:eastAsia="zh-CN"/>
        </w:rPr>
      </w:pPr>
      <w:r>
        <w:rPr>
          <w:color w:val="auto"/>
          <w:highlight w:val="none"/>
        </w:rPr>
        <w:t>地下水环境保护措施与对策应符合《中华人民共和国水污染防治法》和《中华人民共和国环境影响评价法》的相关规定，按照</w:t>
      </w:r>
      <w:r>
        <w:rPr>
          <w:rFonts w:hint="eastAsia" w:ascii="宋体" w:hAnsi="宋体" w:cs="宋体"/>
          <w:color w:val="auto"/>
          <w:highlight w:val="none"/>
        </w:rPr>
        <w:t>“</w:t>
      </w:r>
      <w:r>
        <w:rPr>
          <w:color w:val="auto"/>
          <w:highlight w:val="none"/>
        </w:rPr>
        <w:t>源头控制、分区防控、污染监控、应急响应</w:t>
      </w:r>
      <w:r>
        <w:rPr>
          <w:rFonts w:hint="eastAsia" w:ascii="宋体" w:hAnsi="宋体" w:cs="宋体"/>
          <w:color w:val="auto"/>
          <w:highlight w:val="none"/>
        </w:rPr>
        <w:t>”</w:t>
      </w:r>
      <w:r>
        <w:rPr>
          <w:rFonts w:hint="eastAsia"/>
          <w:color w:val="auto"/>
          <w:highlight w:val="none"/>
          <w:lang w:eastAsia="zh-CN"/>
        </w:rPr>
        <w:t>、</w:t>
      </w:r>
      <w:r>
        <w:rPr>
          <w:color w:val="auto"/>
          <w:highlight w:val="none"/>
        </w:rPr>
        <w:t>重点突出饮用水水质安全的原则确定</w:t>
      </w:r>
      <w:r>
        <w:rPr>
          <w:rFonts w:hint="eastAsia"/>
          <w:color w:val="auto"/>
          <w:highlight w:val="none"/>
          <w:lang w:eastAsia="zh-CN"/>
        </w:rPr>
        <w:t>。</w:t>
      </w:r>
    </w:p>
    <w:p>
      <w:pPr>
        <w:pStyle w:val="4"/>
        <w:ind w:firstLine="480"/>
        <w:rPr>
          <w:color w:val="auto"/>
          <w:highlight w:val="none"/>
        </w:rPr>
      </w:pPr>
      <w:r>
        <w:rPr>
          <w:color w:val="auto"/>
          <w:highlight w:val="none"/>
        </w:rPr>
        <w:t>（</w:t>
      </w:r>
      <w:r>
        <w:rPr>
          <w:rFonts w:hint="eastAsia"/>
          <w:color w:val="auto"/>
          <w:highlight w:val="none"/>
          <w:lang w:val="en-US" w:eastAsia="zh-CN"/>
        </w:rPr>
        <w:t>1</w:t>
      </w:r>
      <w:r>
        <w:rPr>
          <w:color w:val="auto"/>
          <w:highlight w:val="none"/>
        </w:rPr>
        <w:t>）源头控制</w:t>
      </w:r>
    </w:p>
    <w:p>
      <w:pPr>
        <w:pStyle w:val="4"/>
        <w:bidi w:val="0"/>
        <w:rPr>
          <w:rFonts w:hint="eastAsia"/>
          <w:color w:val="auto"/>
          <w:sz w:val="24"/>
          <w:highlight w:val="none"/>
          <w:lang w:val="en-US" w:eastAsia="zh-CN"/>
        </w:rPr>
      </w:pPr>
      <w:r>
        <w:rPr>
          <w:rFonts w:hint="eastAsia"/>
          <w:color w:val="auto"/>
          <w:sz w:val="24"/>
          <w:highlight w:val="none"/>
          <w:lang w:val="en-US" w:eastAsia="zh-CN"/>
        </w:rPr>
        <w:t>严格按照</w:t>
      </w:r>
      <w:r>
        <w:rPr>
          <w:rFonts w:hint="eastAsia"/>
          <w:color w:val="auto"/>
          <w:sz w:val="24"/>
          <w:highlight w:val="none"/>
          <w:lang w:eastAsia="zh-CN"/>
        </w:rPr>
        <w:t>《一般工业固体废物贮存和填埋污染控制标准》（GB18599-2020）</w:t>
      </w:r>
      <w:r>
        <w:rPr>
          <w:rFonts w:hint="eastAsia"/>
          <w:color w:val="auto"/>
          <w:sz w:val="24"/>
          <w:highlight w:val="none"/>
          <w:lang w:val="en-US" w:eastAsia="zh-CN"/>
        </w:rPr>
        <w:t>对填埋区进行防渗处理</w:t>
      </w:r>
      <w:r>
        <w:rPr>
          <w:color w:val="auto"/>
          <w:highlight w:val="none"/>
        </w:rPr>
        <w:t>。</w:t>
      </w:r>
      <w:r>
        <w:rPr>
          <w:rFonts w:hint="eastAsia"/>
          <w:color w:val="auto"/>
          <w:sz w:val="24"/>
          <w:highlight w:val="none"/>
          <w:lang w:val="en-US" w:eastAsia="zh-CN"/>
        </w:rPr>
        <w:t>采购优质防渗层建筑材料，</w:t>
      </w:r>
      <w:r>
        <w:rPr>
          <w:color w:val="auto"/>
          <w:sz w:val="24"/>
          <w:highlight w:val="none"/>
        </w:rPr>
        <w:t>加强填埋场施工期环境监理，</w:t>
      </w:r>
      <w:r>
        <w:rPr>
          <w:rFonts w:hint="eastAsia"/>
          <w:color w:val="auto"/>
          <w:sz w:val="24"/>
          <w:highlight w:val="none"/>
          <w:lang w:val="en-US" w:eastAsia="zh-CN"/>
        </w:rPr>
        <w:t>保证施工和工程质量。</w:t>
      </w:r>
    </w:p>
    <w:p>
      <w:pPr>
        <w:pStyle w:val="4"/>
        <w:ind w:firstLine="480"/>
        <w:rPr>
          <w:color w:val="auto"/>
          <w:highlight w:val="none"/>
        </w:rPr>
      </w:pPr>
      <w:r>
        <w:rPr>
          <w:rFonts w:hint="eastAsia"/>
          <w:color w:val="auto"/>
          <w:highlight w:val="none"/>
          <w:lang w:eastAsia="zh-CN"/>
        </w:rPr>
        <w:t>（</w:t>
      </w:r>
      <w:r>
        <w:rPr>
          <w:rFonts w:hint="eastAsia"/>
          <w:color w:val="auto"/>
          <w:highlight w:val="none"/>
          <w:lang w:val="en-US" w:eastAsia="zh-CN"/>
        </w:rPr>
        <w:t>2）</w:t>
      </w:r>
      <w:r>
        <w:rPr>
          <w:color w:val="auto"/>
          <w:highlight w:val="none"/>
        </w:rPr>
        <w:t>分区防控</w:t>
      </w:r>
    </w:p>
    <w:p>
      <w:pPr>
        <w:pStyle w:val="4"/>
        <w:ind w:firstLine="480"/>
        <w:rPr>
          <w:rFonts w:hint="eastAsia"/>
          <w:color w:val="auto"/>
          <w:sz w:val="24"/>
          <w:highlight w:val="none"/>
          <w:lang w:val="en-US" w:eastAsia="zh-CN"/>
        </w:rPr>
      </w:pPr>
      <w:r>
        <w:rPr>
          <w:rFonts w:hint="eastAsia"/>
          <w:color w:val="auto"/>
          <w:highlight w:val="none"/>
          <w:lang w:val="en-US" w:eastAsia="zh-CN"/>
        </w:rPr>
        <w:t>根据《环境影响评价技术导则 地下水环境》（HJ610-2016）11.2.2，本项目属于已颁布污染控制国家标准或防渗技术规范的行业，即</w:t>
      </w:r>
      <w:r>
        <w:rPr>
          <w:rFonts w:hint="eastAsia"/>
          <w:color w:val="auto"/>
          <w:sz w:val="24"/>
          <w:highlight w:val="none"/>
          <w:lang w:eastAsia="zh-CN"/>
        </w:rPr>
        <w:t>《一般工业固体废物贮存和填埋污染控制标准》（GB18599-2020），</w:t>
      </w:r>
      <w:r>
        <w:rPr>
          <w:rFonts w:hint="eastAsia"/>
          <w:color w:val="auto"/>
          <w:sz w:val="24"/>
          <w:highlight w:val="none"/>
          <w:lang w:val="en-US" w:eastAsia="zh-CN"/>
        </w:rPr>
        <w:t>按其要求对项目区进行防渗处理，为免冲突，不再结合包气带防污性能、污染控制难易程度和污染物特性单独提出防渗技术要求。</w:t>
      </w:r>
    </w:p>
    <w:p>
      <w:pPr>
        <w:pStyle w:val="4"/>
        <w:ind w:firstLine="480"/>
        <w:rPr>
          <w:rFonts w:hint="eastAsia"/>
          <w:color w:val="auto"/>
          <w:sz w:val="24"/>
          <w:highlight w:val="none"/>
          <w:lang w:val="en-US" w:eastAsia="zh-CN"/>
        </w:rPr>
      </w:pPr>
      <w:r>
        <w:rPr>
          <w:rFonts w:hint="eastAsia"/>
          <w:color w:val="auto"/>
          <w:sz w:val="24"/>
          <w:highlight w:val="none"/>
          <w:lang w:val="en-US" w:eastAsia="zh-CN"/>
        </w:rPr>
        <w:t>本项目分区防渗要求如下表：</w:t>
      </w:r>
    </w:p>
    <w:p>
      <w:pPr>
        <w:pStyle w:val="22"/>
        <w:bidi w:val="0"/>
        <w:rPr>
          <w:rFonts w:hint="default"/>
          <w:lang w:val="en-US" w:eastAsia="zh-CN"/>
        </w:rPr>
      </w:pPr>
      <w:r>
        <w:rPr>
          <w:rFonts w:hint="eastAsia"/>
          <w:lang w:val="en-US" w:eastAsia="zh-CN"/>
        </w:rPr>
        <w:t>表6.2-2  分区防渗要求</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45"/>
        <w:gridCol w:w="67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防渗区域</w:t>
            </w:r>
          </w:p>
        </w:tc>
        <w:tc>
          <w:tcPr>
            <w:tcW w:w="397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防渗要求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填埋库区</w:t>
            </w:r>
          </w:p>
        </w:tc>
        <w:tc>
          <w:tcPr>
            <w:tcW w:w="3975" w:type="pct"/>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根据GB18599-2020，</w:t>
            </w:r>
            <w:r>
              <w:rPr>
                <w:rFonts w:hint="default"/>
                <w:lang w:val="en-US" w:eastAsia="zh-CN"/>
              </w:rPr>
              <w:t>应采用单人工复合衬层作为防渗衬层，并符合以下技术要求：</w:t>
            </w:r>
          </w:p>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default"/>
                <w:lang w:val="en-US" w:eastAsia="zh-CN"/>
              </w:rPr>
              <w:t>a）人工合成材料应采用高密度聚乙烯膜，厚度不小于1.5mm，并满足GB/T17643规定的技术指标要求。采用其他人工合成材料的，其防渗性能至少相当于1.5mm高密度聚乙烯膜的防渗性能。</w:t>
            </w:r>
          </w:p>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default"/>
                <w:lang w:val="en-US" w:eastAsia="zh-CN"/>
              </w:rPr>
              <w:t>b）粘土衬层厚度应不小于0.75m，且经压实、人工改性等措施处理后的饱和渗透系数不应大于1.0×10</w:t>
            </w:r>
            <w:r>
              <w:rPr>
                <w:rFonts w:hint="default"/>
                <w:vertAlign w:val="superscript"/>
                <w:lang w:val="en-US" w:eastAsia="zh-CN"/>
              </w:rPr>
              <w:t>-7</w:t>
            </w:r>
            <w:r>
              <w:rPr>
                <w:rFonts w:hint="default"/>
                <w:lang w:val="en-US" w:eastAsia="zh-CN"/>
              </w:rPr>
              <w:t>cm/s。使用其他粘土类防渗衬层材料时，应具有同等以上隔水效力。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2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管理区</w:t>
            </w:r>
          </w:p>
        </w:tc>
        <w:tc>
          <w:tcPr>
            <w:tcW w:w="3975" w:type="pct"/>
            <w:tcBorders>
              <w:tl2br w:val="nil"/>
              <w:tr2bl w:val="nil"/>
            </w:tcBorders>
            <w:vAlign w:val="center"/>
          </w:tcPr>
          <w:p>
            <w:pPr>
              <w:pStyle w:val="24"/>
              <w:keepNext w:val="0"/>
              <w:keepLines w:val="0"/>
              <w:suppressLineNumbers w:val="0"/>
              <w:bidi w:val="0"/>
              <w:spacing w:before="0" w:beforeAutospacing="0" w:after="0" w:afterAutospacing="0"/>
              <w:ind w:left="0" w:right="0"/>
              <w:jc w:val="left"/>
              <w:rPr>
                <w:rFonts w:hint="default"/>
                <w:lang w:val="en-US" w:eastAsia="zh-CN"/>
              </w:rPr>
            </w:pPr>
            <w:r>
              <w:rPr>
                <w:rFonts w:hint="eastAsia"/>
                <w:lang w:val="en-US" w:eastAsia="zh-CN"/>
              </w:rPr>
              <w:t>按简单防渗区进行一般地面硬化</w:t>
            </w:r>
          </w:p>
        </w:tc>
      </w:tr>
    </w:tbl>
    <w:p>
      <w:pPr>
        <w:pStyle w:val="4"/>
        <w:ind w:firstLine="480"/>
        <w:rPr>
          <w:rFonts w:hint="default" w:eastAsia="宋体"/>
          <w:color w:val="auto"/>
          <w:highlight w:val="none"/>
          <w:lang w:val="en-US" w:eastAsia="zh-CN"/>
        </w:rPr>
      </w:pP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污染监控</w:t>
      </w:r>
    </w:p>
    <w:p>
      <w:pPr>
        <w:pStyle w:val="4"/>
        <w:ind w:firstLine="480"/>
        <w:rPr>
          <w:color w:val="auto"/>
          <w:highlight w:val="none"/>
        </w:rPr>
      </w:pPr>
      <w:r>
        <w:rPr>
          <w:rFonts w:hint="eastAsia"/>
          <w:color w:val="auto"/>
          <w:highlight w:val="none"/>
          <w:lang w:val="en-US" w:eastAsia="zh-CN"/>
        </w:rPr>
        <w:t>针对渗滤液可能对地下水造成污染情况，</w:t>
      </w:r>
      <w:r>
        <w:rPr>
          <w:color w:val="auto"/>
          <w:highlight w:val="none"/>
        </w:rPr>
        <w:t>建</w:t>
      </w:r>
      <w:r>
        <w:rPr>
          <w:rFonts w:hint="eastAsia"/>
          <w:color w:val="auto"/>
          <w:highlight w:val="none"/>
          <w:lang w:val="en-US" w:eastAsia="zh-CN"/>
        </w:rPr>
        <w:t>设填埋区防渗层监控系统和地下水监测井，</w:t>
      </w:r>
      <w:r>
        <w:rPr>
          <w:color w:val="auto"/>
          <w:highlight w:val="none"/>
        </w:rPr>
        <w:t>制定监测计划</w:t>
      </w:r>
      <w:r>
        <w:rPr>
          <w:rFonts w:hint="eastAsia"/>
          <w:color w:val="auto"/>
          <w:highlight w:val="none"/>
          <w:lang w:eastAsia="zh-CN"/>
        </w:rPr>
        <w:t>（</w:t>
      </w:r>
      <w:r>
        <w:rPr>
          <w:rFonts w:hint="eastAsia"/>
          <w:color w:val="auto"/>
          <w:highlight w:val="none"/>
          <w:lang w:val="en-US" w:eastAsia="zh-CN"/>
        </w:rPr>
        <w:t>见第八章监测计划）</w:t>
      </w:r>
      <w:r>
        <w:rPr>
          <w:color w:val="auto"/>
          <w:highlight w:val="none"/>
        </w:rPr>
        <w:t>。</w:t>
      </w:r>
    </w:p>
    <w:p>
      <w:pPr>
        <w:pStyle w:val="4"/>
        <w:ind w:firstLine="480"/>
        <w:rPr>
          <w:rFonts w:hint="default" w:eastAsia="宋体"/>
          <w:color w:val="auto"/>
          <w:highlight w:val="none"/>
          <w:lang w:val="en-US" w:eastAsia="zh-CN"/>
        </w:rPr>
      </w:pPr>
      <w:r>
        <w:rPr>
          <w:rFonts w:hint="eastAsia"/>
          <w:color w:val="auto"/>
          <w:highlight w:val="none"/>
          <w:lang w:val="en-US" w:eastAsia="zh-CN"/>
        </w:rPr>
        <w:t>本项目地下水为三级评价，根据《环境影响评价技术导则 地下水环境》（HJ610-2016），应至少在项目场地下游布置1个地下水监测井；根据</w:t>
      </w:r>
      <w:r>
        <w:rPr>
          <w:rFonts w:hint="eastAsia"/>
          <w:color w:val="auto"/>
          <w:sz w:val="24"/>
          <w:highlight w:val="none"/>
          <w:lang w:eastAsia="zh-CN"/>
        </w:rPr>
        <w:t>《一般工业固体废物贮存和填埋污染控制标准》（GB18599-2020）</w:t>
      </w:r>
      <w:r>
        <w:rPr>
          <w:rFonts w:hint="eastAsia"/>
          <w:color w:val="auto"/>
          <w:sz w:val="24"/>
          <w:highlight w:val="none"/>
          <w:lang w:val="en-US" w:eastAsia="zh-CN"/>
        </w:rPr>
        <w:t>污染监测要求</w:t>
      </w:r>
      <w:r>
        <w:rPr>
          <w:rFonts w:hint="eastAsia"/>
          <w:color w:val="auto"/>
          <w:sz w:val="24"/>
          <w:highlight w:val="none"/>
          <w:lang w:eastAsia="zh-CN"/>
        </w:rPr>
        <w:t>，</w:t>
      </w:r>
      <w:r>
        <w:rPr>
          <w:rFonts w:hint="eastAsia"/>
          <w:color w:val="auto"/>
          <w:sz w:val="24"/>
          <w:highlight w:val="none"/>
          <w:lang w:val="en-US" w:eastAsia="zh-CN"/>
        </w:rPr>
        <w:t>本项目应至少设置3个地下水监测井，本次评价地下水监测井布置要求从严，即按</w:t>
      </w:r>
      <w:r>
        <w:rPr>
          <w:rFonts w:hint="eastAsia"/>
          <w:color w:val="auto"/>
          <w:sz w:val="24"/>
          <w:highlight w:val="none"/>
          <w:lang w:eastAsia="zh-CN"/>
        </w:rPr>
        <w:t>GB18599-2020</w:t>
      </w:r>
      <w:r>
        <w:rPr>
          <w:rFonts w:hint="eastAsia"/>
          <w:color w:val="auto"/>
          <w:sz w:val="24"/>
          <w:highlight w:val="none"/>
          <w:lang w:val="en-US" w:eastAsia="zh-CN"/>
        </w:rPr>
        <w:t>要求布置。</w:t>
      </w:r>
    </w:p>
    <w:p>
      <w:pPr>
        <w:pStyle w:val="4"/>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4</w:t>
      </w:r>
      <w:r>
        <w:rPr>
          <w:rFonts w:hint="eastAsia"/>
          <w:color w:val="auto"/>
          <w:highlight w:val="none"/>
        </w:rPr>
        <w:t>）在风险应急预案中包含地下水污染应急响应部分，明确污染状况下应采取的控制污染源、切断污染途径等措施。</w:t>
      </w:r>
    </w:p>
    <w:p>
      <w:pPr>
        <w:pStyle w:val="4"/>
        <w:rPr>
          <w:rFonts w:hint="eastAsia"/>
          <w:color w:val="auto"/>
          <w:sz w:val="24"/>
          <w:highlight w:val="none"/>
          <w:lang w:val="en-US" w:eastAsia="zh-CN"/>
        </w:rPr>
      </w:pPr>
      <w:r>
        <w:rPr>
          <w:rFonts w:hint="eastAsia"/>
          <w:color w:val="auto"/>
          <w:highlight w:val="none"/>
          <w:lang w:val="en-US" w:eastAsia="zh-CN"/>
        </w:rPr>
        <w:t>项目拟采取地下水污染防治措施满足《环境影响评价技术导则 地下水环境》（HJ610-2016）以及</w:t>
      </w:r>
      <w:r>
        <w:rPr>
          <w:rFonts w:hint="eastAsia"/>
          <w:color w:val="auto"/>
          <w:sz w:val="24"/>
          <w:highlight w:val="none"/>
          <w:lang w:eastAsia="zh-CN"/>
        </w:rPr>
        <w:t>《一般工业固体废物贮存和填埋污染控制标准》（GB18599-2020）</w:t>
      </w:r>
      <w:r>
        <w:rPr>
          <w:rFonts w:hint="eastAsia"/>
          <w:color w:val="auto"/>
          <w:sz w:val="24"/>
          <w:highlight w:val="none"/>
          <w:lang w:val="en-US" w:eastAsia="zh-CN"/>
        </w:rPr>
        <w:t>相关要求，措施可行。</w:t>
      </w:r>
    </w:p>
    <w:p>
      <w:pPr>
        <w:pStyle w:val="6"/>
        <w:bidi w:val="0"/>
        <w:rPr>
          <w:rFonts w:hint="eastAsia"/>
          <w:color w:val="auto"/>
          <w:highlight w:val="none"/>
          <w:lang w:val="en-US" w:eastAsia="zh-CN"/>
        </w:rPr>
      </w:pPr>
      <w:r>
        <w:rPr>
          <w:rFonts w:hint="eastAsia"/>
          <w:color w:val="auto"/>
          <w:highlight w:val="none"/>
          <w:lang w:val="en-US" w:eastAsia="zh-CN"/>
        </w:rPr>
        <w:t>风险防范措施及其可行性论证</w:t>
      </w:r>
    </w:p>
    <w:p>
      <w:pPr>
        <w:pStyle w:val="4"/>
        <w:ind w:firstLine="480"/>
        <w:rPr>
          <w:rFonts w:hint="default"/>
          <w:color w:val="auto"/>
          <w:highlight w:val="none"/>
          <w:lang w:val="en-US" w:eastAsia="zh-CN"/>
        </w:rPr>
      </w:pPr>
      <w:r>
        <w:rPr>
          <w:rFonts w:hint="eastAsia"/>
          <w:color w:val="auto"/>
          <w:highlight w:val="none"/>
          <w:lang w:val="en-US" w:eastAsia="zh-CN"/>
        </w:rPr>
        <w:t>根据</w:t>
      </w:r>
      <w:r>
        <w:rPr>
          <w:rFonts w:hint="eastAsia"/>
          <w:color w:val="auto"/>
          <w:sz w:val="24"/>
          <w:highlight w:val="none"/>
          <w:lang w:eastAsia="zh-CN"/>
        </w:rPr>
        <w:t>《一般工业固体废物贮存和填埋污染控制标准》（GB18599-2020）</w:t>
      </w:r>
      <w:r>
        <w:rPr>
          <w:rFonts w:hint="eastAsia"/>
          <w:color w:val="auto"/>
          <w:sz w:val="24"/>
          <w:highlight w:val="none"/>
          <w:lang w:val="en-US" w:eastAsia="zh-CN"/>
        </w:rPr>
        <w:t>以及</w:t>
      </w:r>
      <w:r>
        <w:rPr>
          <w:rFonts w:hint="eastAsia"/>
          <w:color w:val="auto"/>
          <w:highlight w:val="none"/>
          <w:lang w:val="en-US" w:eastAsia="zh-CN"/>
        </w:rPr>
        <w:t>本项目可能产生的环境风险，制定风险防范及应急措施如下：</w:t>
      </w:r>
    </w:p>
    <w:p>
      <w:pPr>
        <w:pStyle w:val="4"/>
        <w:ind w:firstLine="480"/>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设置防渗层渗漏监控系统，设置地下水污染监测井，按监测计划进行地下水定期监测。</w:t>
      </w:r>
    </w:p>
    <w:p>
      <w:pPr>
        <w:pStyle w:val="4"/>
        <w:ind w:firstLine="480"/>
        <w:rPr>
          <w:rFonts w:hint="eastAsia"/>
          <w:color w:val="auto"/>
          <w:highlight w:val="none"/>
          <w:lang w:eastAsia="zh-CN"/>
        </w:rPr>
      </w:pPr>
      <w:r>
        <w:rPr>
          <w:rFonts w:hint="eastAsia"/>
          <w:color w:val="auto"/>
          <w:highlight w:val="none"/>
          <w:lang w:val="en-US" w:eastAsia="zh-CN"/>
        </w:rPr>
        <w:t>2）</w:t>
      </w:r>
      <w:r>
        <w:rPr>
          <w:rFonts w:hint="eastAsia"/>
          <w:color w:val="auto"/>
          <w:highlight w:val="none"/>
          <w:lang w:eastAsia="zh-CN"/>
        </w:rPr>
        <w:t>在</w:t>
      </w:r>
      <w:r>
        <w:rPr>
          <w:rFonts w:hint="eastAsia"/>
          <w:color w:val="auto"/>
          <w:highlight w:val="none"/>
          <w:lang w:val="en-US" w:eastAsia="zh-CN"/>
        </w:rPr>
        <w:t>治理工作结束后</w:t>
      </w:r>
      <w:r>
        <w:rPr>
          <w:rFonts w:hint="eastAsia"/>
          <w:color w:val="auto"/>
          <w:highlight w:val="none"/>
          <w:lang w:eastAsia="zh-CN"/>
        </w:rPr>
        <w:t>应对衬层系统的完整性、有效性进行质量验收。</w:t>
      </w:r>
    </w:p>
    <w:p>
      <w:pPr>
        <w:pStyle w:val="4"/>
        <w:ind w:firstLine="480"/>
        <w:rPr>
          <w:rFonts w:hint="eastAsia"/>
          <w:color w:val="auto"/>
          <w:highlight w:val="none"/>
          <w:lang w:eastAsia="zh-CN"/>
        </w:rPr>
      </w:pPr>
      <w:r>
        <w:rPr>
          <w:rFonts w:hint="eastAsia"/>
          <w:color w:val="auto"/>
          <w:highlight w:val="none"/>
          <w:lang w:val="en-US" w:eastAsia="zh-CN"/>
        </w:rPr>
        <w:t>3）</w:t>
      </w:r>
      <w:r>
        <w:rPr>
          <w:rFonts w:hint="eastAsia"/>
          <w:color w:val="auto"/>
          <w:highlight w:val="none"/>
          <w:lang w:eastAsia="zh-CN"/>
        </w:rPr>
        <w:t>严格设计并按要求施工，加强施工质量，严防偷工减料，认真把好质量关，并建立施工档案。</w:t>
      </w:r>
    </w:p>
    <w:p>
      <w:pPr>
        <w:pStyle w:val="4"/>
        <w:ind w:firstLine="480"/>
        <w:rPr>
          <w:rFonts w:hint="eastAsia"/>
          <w:color w:val="auto"/>
          <w:highlight w:val="none"/>
          <w:lang w:eastAsia="zh-CN"/>
        </w:rPr>
      </w:pPr>
      <w:r>
        <w:rPr>
          <w:rFonts w:hint="eastAsia"/>
          <w:color w:val="auto"/>
          <w:highlight w:val="none"/>
          <w:lang w:val="en-US" w:eastAsia="zh-CN"/>
        </w:rPr>
        <w:t>4）</w:t>
      </w:r>
      <w:r>
        <w:rPr>
          <w:rFonts w:hint="eastAsia"/>
          <w:color w:val="auto"/>
          <w:highlight w:val="none"/>
          <w:lang w:eastAsia="zh-CN"/>
        </w:rPr>
        <w:t>库区周围设置设置警示牌，避免人、牲畜误入库区造成事故。</w:t>
      </w:r>
    </w:p>
    <w:p>
      <w:pPr>
        <w:pStyle w:val="4"/>
        <w:ind w:firstLine="480"/>
        <w:rPr>
          <w:rFonts w:hint="eastAsia"/>
          <w:color w:val="auto"/>
          <w:highlight w:val="none"/>
          <w:lang w:val="en-US" w:eastAsia="zh-CN"/>
        </w:rPr>
      </w:pPr>
      <w:r>
        <w:rPr>
          <w:rFonts w:hint="eastAsia"/>
          <w:color w:val="auto"/>
          <w:highlight w:val="none"/>
          <w:lang w:val="en-US" w:eastAsia="zh-CN"/>
        </w:rPr>
        <w:t>5）</w:t>
      </w:r>
      <w:r>
        <w:rPr>
          <w:rFonts w:hint="eastAsia"/>
          <w:color w:val="auto"/>
          <w:highlight w:val="none"/>
          <w:lang w:eastAsia="zh-CN"/>
        </w:rPr>
        <w:t>制订环境风险应急预案，加强突发风险事故应急演练。</w:t>
      </w:r>
    </w:p>
    <w:p>
      <w:pPr>
        <w:pStyle w:val="4"/>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6）</w:t>
      </w:r>
      <w:r>
        <w:rPr>
          <w:rFonts w:hint="eastAsia" w:ascii="Times New Roman" w:hAnsi="Times New Roman" w:cs="Times New Roman"/>
          <w:color w:val="auto"/>
          <w:highlight w:val="none"/>
          <w:lang w:val="en-US" w:eastAsia="zh-CN"/>
        </w:rPr>
        <w:t>环境风险应急预案</w:t>
      </w:r>
    </w:p>
    <w:p>
      <w:pPr>
        <w:pStyle w:val="4"/>
        <w:ind w:firstLine="480"/>
        <w:rPr>
          <w:rFonts w:hint="eastAsia"/>
          <w:color w:val="auto"/>
          <w:highlight w:val="none"/>
          <w:lang w:val="en-US" w:eastAsia="zh-CN"/>
        </w:rPr>
      </w:pPr>
      <w:r>
        <w:rPr>
          <w:rFonts w:hint="eastAsia"/>
          <w:color w:val="auto"/>
          <w:highlight w:val="none"/>
          <w:lang w:val="en-US" w:eastAsia="zh-CN"/>
        </w:rPr>
        <w:t>从风险的理论出发，降低和控制风险的策略之一是降低事件发生的可能性，这就需要采取预测、监测、预警、控制等预防性措施；之二就是为了在发生风险事故时，能以最快的速度发挥最大的能效，有序的实施救援，尽快控制事态的发展，降低事故造成的危害，减少事故造成的损失，这就需要启动风险应急预案采取应急救援措施。</w:t>
      </w:r>
      <w:r>
        <w:rPr>
          <w:rFonts w:hint="eastAsia"/>
          <w:color w:val="auto"/>
          <w:lang w:val="en-US" w:eastAsia="zh-CN"/>
        </w:rPr>
        <w:t>企业应制定突发环境事件应急预案或在突发事件应急预案中制定环境应急预案专章，说明各种可能发生的突发环境事件情景及应急处置措施。</w:t>
      </w:r>
    </w:p>
    <w:p>
      <w:pPr>
        <w:pStyle w:val="22"/>
        <w:bidi w:val="0"/>
      </w:pPr>
      <w:r>
        <w:rPr>
          <w:rFonts w:hint="eastAsia"/>
          <w:lang w:val="en-US" w:eastAsia="zh-CN"/>
        </w:rPr>
        <w:t xml:space="preserve">表6.2-3  </w:t>
      </w:r>
      <w:r>
        <w:rPr>
          <w:rFonts w:hint="eastAsia"/>
        </w:rPr>
        <w:t xml:space="preserve"> 应急预案纲要</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3"/>
        <w:gridCol w:w="2127"/>
        <w:gridCol w:w="57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序号</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项目</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内容及要求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应急计划区</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default"/>
              </w:rPr>
              <w:t>整个</w:t>
            </w:r>
            <w:r>
              <w:rPr>
                <w:rFonts w:hint="eastAsia"/>
                <w:lang w:val="en-US" w:eastAsia="zh-CN"/>
              </w:rPr>
              <w:t>项目区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2</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应急组织机构、人员</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明确应急组织机构的构成。主要负责人为应急计划、协调第一人，应急人员必须为培训上岗熟练工；区域应急组织结构由当地政府、相关行业专家、卫生安全相关单位组成，并由当地政府进行统一调度</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3</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预案分级响应条件</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根据事故的严重程度制定相应级别的应急预案，以及适合相应情况的处理措施</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4</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应急救援保障</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应急设施，设备与器材等</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5</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报警、通讯联络方式</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逐一细化应急状态下各主要负责单位的报警通讯方式、地点、电话号码以及相关配套的交通保障、管制、消防联络方法，涉及跨区域的还应与相关区域环境保护部门和上级环保部门保持联系，及时通报事故处理情况，以获得区域性支援</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6</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应急环境监测、抢险、救援及控制措施</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由专业队伍负责对事故现场进行侦查监测，对事故性质、参数与后果进行评估，为指挥部门提供决策依据</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7</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应急检测、防护措施、清除泄漏措施和器材</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事故现场、邻近区域、控制防火区域，控制和清除污染措施及相应设备的数量、使用方法、使用人员</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8</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人员紧急撤离、疏散，应急剂量控制、撤离组织计划</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事故现场、受事故影响的区域人员及公众对毒物应急剂量控制规定，撤离组织计划及救护，医疗救护与公众健康</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9</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事故应急救援关闭程序与恢复措施</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规定应急状态终止程序，事故现场善后处理，恢复措施，邻近区域解除事故警戒及善后恢复措施，制定有关的环境恢复措施，组织专业人员对事故后的环境变化进行监测，对事故应急措施的环境可行性进行后影响评价</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10</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应急培训计划</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应急计划制定后，平时安排人员培训与演练</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11</w:t>
            </w:r>
          </w:p>
        </w:tc>
        <w:tc>
          <w:tcPr>
            <w:tcW w:w="124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公众教育和信息</w:t>
            </w:r>
          </w:p>
        </w:tc>
        <w:tc>
          <w:tcPr>
            <w:tcW w:w="3367"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default"/>
              </w:rPr>
              <w:t>对邻近区域开展公众教育、培训和发布有关信息</w:t>
            </w:r>
            <w:r>
              <w:rPr>
                <w:rFonts w:hint="eastAsia"/>
              </w:rPr>
              <w:t>。</w:t>
            </w:r>
          </w:p>
        </w:tc>
      </w:tr>
    </w:tbl>
    <w:p>
      <w:pPr>
        <w:pStyle w:val="4"/>
        <w:ind w:firstLine="480"/>
        <w:rPr>
          <w:rFonts w:hint="eastAsia"/>
          <w:color w:val="auto"/>
          <w:highlight w:val="none"/>
          <w:lang w:val="en-US" w:eastAsia="zh-CN"/>
        </w:rPr>
      </w:pPr>
      <w:r>
        <w:rPr>
          <w:rFonts w:hint="eastAsia"/>
          <w:color w:val="auto"/>
          <w:highlight w:val="none"/>
          <w:lang w:val="en-US" w:eastAsia="zh-CN"/>
        </w:rPr>
        <w:t>以上环境风险防范措施满足</w:t>
      </w:r>
      <w:r>
        <w:rPr>
          <w:rFonts w:hint="eastAsia"/>
          <w:color w:val="auto"/>
          <w:highlight w:val="none"/>
        </w:rPr>
        <w:t>《一般工业固体废物贮存和填埋污染控制标准》（GB18599-2020）</w:t>
      </w:r>
      <w:r>
        <w:rPr>
          <w:rFonts w:hint="eastAsia"/>
          <w:color w:val="auto"/>
          <w:highlight w:val="none"/>
          <w:lang w:val="en-US" w:eastAsia="zh-CN"/>
        </w:rPr>
        <w:t>中对环境风险防范的要求，在制定环境风险应急预案，严格按照环境风险应急预案执行相关风险防范措施并加强演练的情况下，环境风险可控，以上风险措施可行。</w:t>
      </w:r>
    </w:p>
    <w:p>
      <w:pPr>
        <w:pStyle w:val="5"/>
        <w:bidi w:val="0"/>
        <w:rPr>
          <w:rFonts w:hint="eastAsia"/>
          <w:color w:val="auto"/>
          <w:highlight w:val="none"/>
        </w:rPr>
      </w:pPr>
      <w:bookmarkStart w:id="58" w:name="_Toc21696"/>
      <w:bookmarkStart w:id="59" w:name="_Toc8980"/>
      <w:r>
        <w:rPr>
          <w:rFonts w:hint="eastAsia"/>
          <w:color w:val="auto"/>
          <w:highlight w:val="none"/>
          <w:lang w:val="en-US" w:eastAsia="zh-CN"/>
        </w:rPr>
        <w:t>环境保护投入</w:t>
      </w:r>
      <w:bookmarkEnd w:id="58"/>
      <w:bookmarkEnd w:id="59"/>
    </w:p>
    <w:p>
      <w:pPr>
        <w:pStyle w:val="4"/>
        <w:rPr>
          <w:color w:val="auto"/>
          <w:highlight w:val="none"/>
        </w:rPr>
      </w:pPr>
      <w:r>
        <w:rPr>
          <w:rFonts w:hint="eastAsia"/>
          <w:color w:val="auto"/>
          <w:highlight w:val="none"/>
          <w:lang w:val="en-US" w:eastAsia="zh-CN"/>
        </w:rPr>
        <w:t>本项目总投资86万元，其中环保投资38.5万元，占项目总投资44.8%。</w:t>
      </w:r>
      <w:r>
        <w:rPr>
          <w:rFonts w:hint="eastAsia"/>
          <w:color w:val="auto"/>
          <w:highlight w:val="none"/>
        </w:rPr>
        <w:t>环保投资情况详见下表：</w:t>
      </w:r>
    </w:p>
    <w:p>
      <w:pPr>
        <w:pStyle w:val="22"/>
        <w:bidi w:val="0"/>
        <w:rPr>
          <w:highlight w:val="none"/>
        </w:rPr>
      </w:pPr>
      <w:r>
        <w:rPr>
          <w:rFonts w:hint="eastAsia"/>
          <w:highlight w:val="none"/>
        </w:rPr>
        <w:t>表</w:t>
      </w:r>
      <w:r>
        <w:rPr>
          <w:rFonts w:hint="eastAsia"/>
          <w:highlight w:val="none"/>
          <w:lang w:val="en-US" w:eastAsia="zh-CN"/>
        </w:rPr>
        <w:t>6.4-1</w:t>
      </w:r>
      <w:r>
        <w:rPr>
          <w:rFonts w:hint="eastAsia"/>
          <w:highlight w:val="none"/>
        </w:rPr>
        <w:t xml:space="preserve">    环保投资估算一览表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68"/>
        <w:gridCol w:w="1740"/>
        <w:gridCol w:w="4335"/>
        <w:gridCol w:w="14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589"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rPr>
            </w:pPr>
            <w:r>
              <w:rPr>
                <w:rFonts w:hint="eastAsia"/>
                <w:highlight w:val="none"/>
                <w:lang w:val="en-US" w:eastAsia="zh-CN"/>
              </w:rPr>
              <w:t>项目建设内容</w:t>
            </w:r>
          </w:p>
        </w:tc>
        <w:tc>
          <w:tcPr>
            <w:tcW w:w="25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rPr>
            </w:pPr>
            <w:r>
              <w:rPr>
                <w:rFonts w:hint="eastAsia"/>
                <w:highlight w:val="none"/>
              </w:rPr>
              <w:t>治理措施内容</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rPr>
            </w:pPr>
            <w:r>
              <w:rPr>
                <w:rFonts w:hint="eastAsia"/>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废气</w:t>
            </w:r>
          </w:p>
        </w:tc>
        <w:tc>
          <w:tcPr>
            <w:tcW w:w="102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卸车、填埋扬尘</w:t>
            </w:r>
          </w:p>
        </w:tc>
        <w:tc>
          <w:tcPr>
            <w:tcW w:w="25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洒水车定期洒水、及时碾压覆土</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8"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废水</w:t>
            </w:r>
          </w:p>
        </w:tc>
        <w:tc>
          <w:tcPr>
            <w:tcW w:w="1021" w:type="pct"/>
            <w:vMerge w:val="restar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渗滤液</w:t>
            </w:r>
          </w:p>
        </w:tc>
        <w:tc>
          <w:tcPr>
            <w:tcW w:w="25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渗漏监控系统、防渗层</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8"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1021" w:type="pct"/>
            <w:vMerge w:val="continue"/>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highlight w:val="none"/>
                <w:lang w:val="en-US" w:eastAsia="zh-CN"/>
              </w:rPr>
            </w:pPr>
          </w:p>
        </w:tc>
        <w:tc>
          <w:tcPr>
            <w:tcW w:w="25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地下水监测井3口（利用灌溉井）</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8"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固废</w:t>
            </w:r>
          </w:p>
        </w:tc>
        <w:tc>
          <w:tcPr>
            <w:tcW w:w="102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生活垃圾</w:t>
            </w:r>
          </w:p>
        </w:tc>
        <w:tc>
          <w:tcPr>
            <w:tcW w:w="25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垃圾箱</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589"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噪声</w:t>
            </w:r>
          </w:p>
        </w:tc>
        <w:tc>
          <w:tcPr>
            <w:tcW w:w="254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采购低噪声设备、定期维护保养、限速禁鸣</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33"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环保投资合计：</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38.5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33"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项目总投资：</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33"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环保投资占项目总投资比例：</w:t>
            </w:r>
          </w:p>
        </w:tc>
        <w:tc>
          <w:tcPr>
            <w:tcW w:w="86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val="en-US" w:eastAsia="zh-CN"/>
              </w:rPr>
              <w:t>44.8%</w:t>
            </w:r>
          </w:p>
        </w:tc>
      </w:tr>
    </w:tbl>
    <w:p>
      <w:pPr>
        <w:pStyle w:val="3"/>
        <w:bidi w:val="0"/>
        <w:rPr>
          <w:rFonts w:hint="eastAsia"/>
          <w:color w:val="auto"/>
          <w:highlight w:val="none"/>
        </w:rPr>
      </w:pPr>
      <w:bookmarkStart w:id="60" w:name="_Toc1542"/>
      <w:bookmarkStart w:id="61" w:name="_Toc12702"/>
      <w:r>
        <w:rPr>
          <w:rFonts w:hint="eastAsia"/>
          <w:color w:val="auto"/>
          <w:highlight w:val="none"/>
          <w:lang w:val="en-US" w:eastAsia="zh-CN"/>
        </w:rPr>
        <w:t>环境影响经济损益分析</w:t>
      </w:r>
      <w:bookmarkEnd w:id="60"/>
      <w:bookmarkEnd w:id="61"/>
    </w:p>
    <w:p>
      <w:pPr>
        <w:pStyle w:val="5"/>
        <w:bidi w:val="0"/>
        <w:rPr>
          <w:rFonts w:hint="eastAsia"/>
          <w:color w:val="auto"/>
          <w:highlight w:val="none"/>
        </w:rPr>
      </w:pPr>
      <w:bookmarkStart w:id="62" w:name="_Toc10772"/>
      <w:bookmarkStart w:id="63" w:name="_Toc24559"/>
      <w:r>
        <w:rPr>
          <w:rFonts w:hint="eastAsia"/>
          <w:color w:val="auto"/>
          <w:highlight w:val="none"/>
          <w:lang w:val="en-US" w:eastAsia="zh-CN"/>
        </w:rPr>
        <w:t>社会、经济效益分析</w:t>
      </w:r>
      <w:bookmarkEnd w:id="62"/>
      <w:bookmarkEnd w:id="63"/>
    </w:p>
    <w:p>
      <w:pPr>
        <w:pStyle w:val="4"/>
        <w:rPr>
          <w:rFonts w:hint="eastAsia"/>
          <w:color w:val="auto"/>
          <w:highlight w:val="none"/>
        </w:rPr>
      </w:pPr>
      <w:r>
        <w:rPr>
          <w:rFonts w:hint="eastAsia"/>
          <w:color w:val="auto"/>
          <w:highlight w:val="none"/>
        </w:rPr>
        <w:t>该项目</w:t>
      </w:r>
      <w:r>
        <w:rPr>
          <w:rFonts w:hint="eastAsia"/>
          <w:color w:val="auto"/>
          <w:highlight w:val="none"/>
          <w:lang w:val="en-US" w:eastAsia="zh-CN"/>
        </w:rPr>
        <w:t>通过</w:t>
      </w:r>
      <w:r>
        <w:rPr>
          <w:rFonts w:hint="eastAsia"/>
          <w:color w:val="auto"/>
          <w:highlight w:val="none"/>
        </w:rPr>
        <w:t>建设</w:t>
      </w:r>
      <w:r>
        <w:rPr>
          <w:rFonts w:hint="eastAsia"/>
          <w:color w:val="auto"/>
          <w:highlight w:val="none"/>
          <w:lang w:val="en-US" w:eastAsia="zh-CN"/>
        </w:rPr>
        <w:t>防渗层，</w:t>
      </w:r>
      <w:r>
        <w:rPr>
          <w:rFonts w:hint="eastAsia"/>
          <w:color w:val="000000"/>
          <w:sz w:val="24"/>
          <w:lang w:val="en-US" w:eastAsia="zh-CN"/>
        </w:rPr>
        <w:t>将本次非法倾倒的灰渣就是回填采砂坑，满足了</w:t>
      </w:r>
      <w:r>
        <w:rPr>
          <w:rFonts w:hint="eastAsia"/>
          <w:sz w:val="24"/>
          <w:szCs w:val="24"/>
          <w:lang w:val="en-US" w:eastAsia="zh-CN"/>
        </w:rPr>
        <w:t>倾倒灰渣的治理</w:t>
      </w:r>
      <w:r>
        <w:rPr>
          <w:rFonts w:hint="eastAsia"/>
          <w:color w:val="auto"/>
          <w:highlight w:val="none"/>
        </w:rPr>
        <w:t>。随着该项工程的展开，将为当地的劳务市场提供一定的就业机会。首先，在填埋场基础的施工期间，将提供一些短暂的、零散的就业机会。其次，当项目进入运营期，将提供一定量的长期稳定的就业机会，其中包括直接参与固废处理的工作人员，提供车辆维修、保养等辅助员工，填埋场的管理人员等。</w:t>
      </w:r>
    </w:p>
    <w:p>
      <w:pPr>
        <w:pStyle w:val="5"/>
        <w:bidi w:val="0"/>
        <w:rPr>
          <w:rFonts w:hint="eastAsia"/>
          <w:color w:val="auto"/>
          <w:highlight w:val="none"/>
        </w:rPr>
      </w:pPr>
      <w:bookmarkStart w:id="64" w:name="_Toc22559"/>
      <w:bookmarkStart w:id="65" w:name="_Toc29928"/>
      <w:r>
        <w:rPr>
          <w:rFonts w:hint="eastAsia"/>
          <w:color w:val="auto"/>
          <w:highlight w:val="none"/>
          <w:lang w:val="en-US" w:eastAsia="zh-CN"/>
        </w:rPr>
        <w:t>环境损益分析</w:t>
      </w:r>
      <w:bookmarkEnd w:id="64"/>
      <w:bookmarkEnd w:id="65"/>
    </w:p>
    <w:p>
      <w:pPr>
        <w:pStyle w:val="4"/>
        <w:rPr>
          <w:rFonts w:hint="eastAsia"/>
          <w:color w:val="auto"/>
          <w:highlight w:val="none"/>
          <w:lang w:val="en-US" w:eastAsia="zh-CN"/>
        </w:rPr>
      </w:pPr>
      <w:r>
        <w:rPr>
          <w:rFonts w:hint="eastAsia"/>
          <w:color w:val="auto"/>
          <w:highlight w:val="none"/>
          <w:lang w:val="en-US" w:eastAsia="zh-CN"/>
        </w:rPr>
        <w:t>环境经济损益分析的目的，就是要通过经济分析的方法来评价该工程的实施可能使周围环境受到污染所引起的经济损失，以及环境工程投资情况和采取相应的污染防治对策后，使被污染的环境得到改善所带来的经济效益等综合评估。</w:t>
      </w:r>
    </w:p>
    <w:p>
      <w:pPr>
        <w:pStyle w:val="4"/>
        <w:rPr>
          <w:rFonts w:hint="eastAsia"/>
          <w:color w:val="auto"/>
          <w:highlight w:val="none"/>
          <w:lang w:val="en-US" w:eastAsia="zh-CN"/>
        </w:rPr>
      </w:pPr>
      <w:r>
        <w:rPr>
          <w:rFonts w:hint="eastAsia"/>
          <w:color w:val="auto"/>
          <w:highlight w:val="none"/>
          <w:lang w:val="en-US" w:eastAsia="zh-CN"/>
        </w:rPr>
        <w:t>本项目为利用灰渣回填采砂坑项目，产生的主要污染是扬尘和渗滤液对周围环境的影响，环保投资额比较大的是防止污染地下水的填埋区防渗层建设、渗漏监控系统等工程。这些设施投入运行后将会大大降低工程本身对环境的污染程度，使各项环境因素达到相应的环保标准的要求。</w:t>
      </w:r>
    </w:p>
    <w:p>
      <w:pPr>
        <w:pStyle w:val="4"/>
        <w:rPr>
          <w:rFonts w:hint="eastAsia"/>
          <w:color w:val="auto"/>
          <w:highlight w:val="none"/>
        </w:rPr>
      </w:pPr>
      <w:r>
        <w:rPr>
          <w:rFonts w:hint="eastAsia"/>
          <w:color w:val="auto"/>
          <w:highlight w:val="none"/>
          <w:lang w:val="en-US" w:eastAsia="zh-CN"/>
        </w:rPr>
        <w:t>本项目建设既减少固体废物堆放对环境的污染程度，又保护了环境和周围的人群健康，实现了环境效益与社会效益的最佳结合。</w:t>
      </w:r>
    </w:p>
    <w:p>
      <w:pPr>
        <w:pStyle w:val="3"/>
        <w:bidi w:val="0"/>
        <w:rPr>
          <w:rFonts w:hint="eastAsia"/>
          <w:color w:val="auto"/>
          <w:highlight w:val="none"/>
        </w:rPr>
      </w:pPr>
      <w:bookmarkStart w:id="66" w:name="_Toc2294"/>
      <w:bookmarkStart w:id="67" w:name="_Toc29529"/>
      <w:r>
        <w:rPr>
          <w:rFonts w:hint="eastAsia"/>
          <w:color w:val="auto"/>
          <w:highlight w:val="none"/>
          <w:lang w:val="en-US" w:eastAsia="zh-CN"/>
        </w:rPr>
        <w:t>环境管理与环境监测计划</w:t>
      </w:r>
      <w:bookmarkEnd w:id="66"/>
      <w:bookmarkEnd w:id="67"/>
    </w:p>
    <w:p>
      <w:pPr>
        <w:pStyle w:val="5"/>
        <w:bidi w:val="0"/>
        <w:rPr>
          <w:rFonts w:hint="eastAsia"/>
          <w:color w:val="auto"/>
          <w:highlight w:val="none"/>
        </w:rPr>
      </w:pPr>
      <w:bookmarkStart w:id="68" w:name="_Toc4418"/>
      <w:bookmarkStart w:id="69" w:name="_Toc11961"/>
      <w:r>
        <w:rPr>
          <w:rFonts w:hint="eastAsia"/>
          <w:color w:val="auto"/>
          <w:highlight w:val="none"/>
          <w:lang w:val="en-US" w:eastAsia="zh-CN"/>
        </w:rPr>
        <w:t>环境管理</w:t>
      </w:r>
      <w:bookmarkEnd w:id="68"/>
      <w:r>
        <w:rPr>
          <w:rFonts w:hint="eastAsia"/>
          <w:color w:val="auto"/>
          <w:highlight w:val="none"/>
          <w:lang w:val="en-US" w:eastAsia="zh-CN"/>
        </w:rPr>
        <w:t>要求</w:t>
      </w:r>
      <w:bookmarkEnd w:id="69"/>
    </w:p>
    <w:p>
      <w:pPr>
        <w:pStyle w:val="4"/>
        <w:rPr>
          <w:rFonts w:hint="eastAsia"/>
          <w:color w:val="auto"/>
          <w:highlight w:val="none"/>
          <w:lang w:eastAsia="zh-CN"/>
        </w:rPr>
      </w:pPr>
      <w:r>
        <w:rPr>
          <w:rFonts w:hint="eastAsia"/>
          <w:color w:val="auto"/>
          <w:highlight w:val="none"/>
          <w:lang w:eastAsia="zh-CN"/>
        </w:rPr>
        <w:t>环境管理是按照国家、省和市有关环境保护法规、法律政策与标准，进行环境管理，接受地方环境主管部门的监督，制定环保</w:t>
      </w:r>
      <w:r>
        <w:rPr>
          <w:rFonts w:hint="eastAsia"/>
          <w:color w:val="auto"/>
          <w:highlight w:val="none"/>
          <w:lang w:val="en-US" w:eastAsia="zh-CN"/>
        </w:rPr>
        <w:t>计</w:t>
      </w:r>
      <w:r>
        <w:rPr>
          <w:rFonts w:hint="eastAsia"/>
          <w:color w:val="auto"/>
          <w:highlight w:val="none"/>
          <w:lang w:eastAsia="zh-CN"/>
        </w:rPr>
        <w:t>划和目标。</w:t>
      </w:r>
      <w:r>
        <w:rPr>
          <w:rFonts w:hint="eastAsia"/>
          <w:color w:val="auto"/>
          <w:highlight w:val="none"/>
          <w:lang w:val="en-US" w:eastAsia="zh-CN"/>
        </w:rPr>
        <w:t>对</w:t>
      </w:r>
      <w:r>
        <w:rPr>
          <w:rFonts w:hint="eastAsia"/>
          <w:color w:val="auto"/>
          <w:highlight w:val="none"/>
          <w:lang w:eastAsia="zh-CN"/>
        </w:rPr>
        <w:t>本项目</w:t>
      </w:r>
      <w:r>
        <w:rPr>
          <w:rFonts w:hint="eastAsia"/>
          <w:color w:val="auto"/>
          <w:highlight w:val="none"/>
          <w:lang w:val="en-US" w:eastAsia="zh-CN"/>
        </w:rPr>
        <w:t>灰渣治理工作及</w:t>
      </w:r>
      <w:r>
        <w:rPr>
          <w:rFonts w:hint="eastAsia"/>
          <w:color w:val="auto"/>
          <w:highlight w:val="none"/>
          <w:lang w:eastAsia="zh-CN"/>
        </w:rPr>
        <w:t>封场</w:t>
      </w:r>
      <w:r>
        <w:rPr>
          <w:rFonts w:hint="eastAsia"/>
          <w:color w:val="auto"/>
          <w:highlight w:val="none"/>
          <w:lang w:val="en-US" w:eastAsia="zh-CN"/>
        </w:rPr>
        <w:t>的</w:t>
      </w:r>
      <w:r>
        <w:rPr>
          <w:rFonts w:hint="eastAsia"/>
          <w:color w:val="auto"/>
          <w:highlight w:val="none"/>
          <w:lang w:eastAsia="zh-CN"/>
        </w:rPr>
        <w:t>环境管理，参照《排污许可证申请与核发技术规范 工业固体废物和危险废物治理》（HJ1033-2019）、</w:t>
      </w:r>
      <w:r>
        <w:rPr>
          <w:rFonts w:hint="eastAsia"/>
          <w:color w:val="auto"/>
          <w:sz w:val="24"/>
          <w:highlight w:val="none"/>
          <w:lang w:eastAsia="zh-CN"/>
        </w:rPr>
        <w:t>《一般工业固体废物贮存和填埋污染控制标准》（GB18599-2020）</w:t>
      </w:r>
      <w:r>
        <w:rPr>
          <w:rFonts w:hint="eastAsia"/>
          <w:color w:val="auto"/>
          <w:highlight w:val="none"/>
          <w:lang w:eastAsia="zh-CN"/>
        </w:rPr>
        <w:t>提出以下环境管理</w:t>
      </w:r>
      <w:r>
        <w:rPr>
          <w:rFonts w:hint="eastAsia"/>
          <w:color w:val="auto"/>
          <w:highlight w:val="none"/>
          <w:lang w:val="en-US" w:eastAsia="zh-CN"/>
        </w:rPr>
        <w:t>制度</w:t>
      </w:r>
      <w:r>
        <w:rPr>
          <w:rFonts w:hint="eastAsia"/>
          <w:color w:val="auto"/>
          <w:highlight w:val="none"/>
          <w:lang w:eastAsia="zh-CN"/>
        </w:rPr>
        <w:t>。</w:t>
      </w:r>
    </w:p>
    <w:p>
      <w:pPr>
        <w:pStyle w:val="6"/>
        <w:bidi w:val="0"/>
        <w:rPr>
          <w:rFonts w:hint="eastAsia"/>
          <w:color w:val="auto"/>
          <w:highlight w:val="none"/>
          <w:lang w:eastAsia="zh-CN"/>
        </w:rPr>
      </w:pPr>
      <w:r>
        <w:rPr>
          <w:rFonts w:hint="eastAsia"/>
          <w:color w:val="auto"/>
          <w:highlight w:val="none"/>
          <w:lang w:val="en-US" w:eastAsia="zh-CN"/>
        </w:rPr>
        <w:t>灰渣治理工作</w:t>
      </w:r>
      <w:r>
        <w:rPr>
          <w:rFonts w:hint="eastAsia"/>
          <w:color w:val="auto"/>
          <w:highlight w:val="none"/>
          <w:lang w:eastAsia="zh-CN"/>
        </w:rPr>
        <w:t>环境管理</w:t>
      </w:r>
      <w:r>
        <w:rPr>
          <w:rFonts w:hint="eastAsia"/>
          <w:color w:val="auto"/>
          <w:highlight w:val="none"/>
          <w:lang w:val="en-US" w:eastAsia="zh-CN"/>
        </w:rPr>
        <w:t>制度</w:t>
      </w:r>
    </w:p>
    <w:p>
      <w:pPr>
        <w:pStyle w:val="4"/>
        <w:rPr>
          <w:rFonts w:hint="eastAsia"/>
          <w:color w:val="auto"/>
          <w:highlight w:val="none"/>
          <w:lang w:eastAsia="zh-CN"/>
        </w:rPr>
      </w:pPr>
      <w:r>
        <w:rPr>
          <w:rFonts w:hint="eastAsia"/>
          <w:color w:val="auto"/>
          <w:highlight w:val="none"/>
          <w:lang w:eastAsia="zh-CN"/>
        </w:rPr>
        <w:t>（1）建设单位施工期环境管理主要职责</w:t>
      </w:r>
    </w:p>
    <w:p>
      <w:pPr>
        <w:pStyle w:val="4"/>
        <w:rPr>
          <w:rFonts w:hint="eastAsia"/>
          <w:color w:val="auto"/>
          <w:highlight w:val="none"/>
          <w:lang w:eastAsia="zh-CN"/>
        </w:rPr>
      </w:pPr>
      <w:r>
        <w:rPr>
          <w:rFonts w:hint="eastAsia"/>
          <w:color w:val="auto"/>
          <w:highlight w:val="none"/>
          <w:lang w:eastAsia="zh-CN"/>
        </w:rPr>
        <w:t>首先，在与施工单位签订施工合同时，将环境保护要求纳入正式合同条款中，明确施工单位环境保护职责，为文明施工和环保工程能够高质量“同时施工”奠定基础。</w:t>
      </w:r>
    </w:p>
    <w:p>
      <w:pPr>
        <w:pStyle w:val="4"/>
        <w:rPr>
          <w:rFonts w:hint="eastAsia"/>
          <w:color w:val="auto"/>
          <w:highlight w:val="none"/>
          <w:lang w:eastAsia="zh-CN"/>
        </w:rPr>
      </w:pPr>
      <w:r>
        <w:rPr>
          <w:rFonts w:hint="eastAsia"/>
          <w:color w:val="auto"/>
          <w:highlight w:val="none"/>
          <w:lang w:eastAsia="zh-CN"/>
        </w:rPr>
        <w:t>其次，根据环境影响报告书及其批复意见，聘请有关专家组织开展工程环境保护培训工作，培训对象为建设单位工程指挥部主要领导、环境监理单位的总监、施工单位的项目经理或环保主管，根据项目所处环境特征和工程特点，依据环境影响报告书及其批复意见，编写施工期环保宣传材料并在施工管理人员中展开有关法律、法规及环保知识的宣传教育。</w:t>
      </w:r>
    </w:p>
    <w:p>
      <w:pPr>
        <w:pStyle w:val="4"/>
        <w:rPr>
          <w:rFonts w:hint="eastAsia"/>
          <w:color w:val="auto"/>
          <w:highlight w:val="none"/>
          <w:lang w:eastAsia="zh-CN"/>
        </w:rPr>
      </w:pPr>
      <w:r>
        <w:rPr>
          <w:rFonts w:hint="eastAsia"/>
          <w:color w:val="auto"/>
          <w:highlight w:val="none"/>
          <w:lang w:eastAsia="zh-CN"/>
        </w:rPr>
        <w:t>第三，把握全局，审查施工单位施工组织设计中关于减缓环境影响的施工工艺、施工方法、管理措施及恢复时限等；及时掌握工程施工环保动态，定期检查和总结工程环保措施实施情况，资金使用情况，确保环保工程质量和进度要求。</w:t>
      </w:r>
    </w:p>
    <w:p>
      <w:pPr>
        <w:pStyle w:val="4"/>
        <w:rPr>
          <w:rFonts w:hint="eastAsia"/>
          <w:color w:val="auto"/>
          <w:highlight w:val="none"/>
          <w:lang w:eastAsia="zh-CN"/>
        </w:rPr>
      </w:pPr>
      <w:r>
        <w:rPr>
          <w:rFonts w:hint="eastAsia"/>
          <w:color w:val="auto"/>
          <w:highlight w:val="none"/>
          <w:lang w:eastAsia="zh-CN"/>
        </w:rPr>
        <w:t>第四，协调各施工单位关系，消除可能存在的环保项目遗漏和缺口，积极配合并主动接受环保主管部门的监督检查，出现重大环保问题或环境纠纷时，积极组织力量解决，并协调施工单位处理好环保部门、公众及利益相关各方的关系。</w:t>
      </w:r>
    </w:p>
    <w:p>
      <w:pPr>
        <w:pStyle w:val="4"/>
        <w:rPr>
          <w:rFonts w:hint="eastAsia"/>
          <w:color w:val="auto"/>
          <w:highlight w:val="none"/>
          <w:lang w:eastAsia="zh-CN"/>
        </w:rPr>
      </w:pPr>
      <w:r>
        <w:rPr>
          <w:rFonts w:hint="eastAsia"/>
          <w:color w:val="auto"/>
          <w:highlight w:val="none"/>
          <w:lang w:eastAsia="zh-CN"/>
        </w:rPr>
        <w:t>第五，工程竣工后，根据国务院第682号令《建设项目环境保护管理条例》，建设单位应当按照国务院环境保护行政主管部门规定的标准和程序，对配套建设的环境保护设施进行验收，编制验收报告。</w:t>
      </w:r>
    </w:p>
    <w:p>
      <w:pPr>
        <w:pStyle w:val="4"/>
        <w:rPr>
          <w:rFonts w:hint="eastAsia"/>
          <w:color w:val="auto"/>
          <w:highlight w:val="none"/>
          <w:lang w:eastAsia="zh-CN"/>
        </w:rPr>
      </w:pPr>
      <w:r>
        <w:rPr>
          <w:rFonts w:hint="eastAsia"/>
          <w:color w:val="auto"/>
          <w:highlight w:val="none"/>
          <w:lang w:eastAsia="zh-CN"/>
        </w:rPr>
        <w:t>（2）施工单位应加强自身的环境管理，各施工单位主要领导（项目经理或总工程师）全面负责环保工作，配备必要的专、兼职环保管理人员；制定完善的环境保护计划和管理办法等规章制度，明确施工工艺、施工方法、环境管理措施、防治责任范围等；环保专（兼）职人员需经过培训，具备一定的能力和资质，同时赋予其相关的职责和权力，使其充分发挥施工现场环保监督、管理职能，确保工程施工按照国家有关环保法规及工程设计的措施要求进行；积极配合和接受上级主管环保部门和施工监理单位的监督检查。</w:t>
      </w:r>
    </w:p>
    <w:p>
      <w:pPr>
        <w:pStyle w:val="4"/>
        <w:rPr>
          <w:rFonts w:hint="eastAsia"/>
          <w:color w:val="auto"/>
          <w:highlight w:val="none"/>
          <w:lang w:eastAsia="zh-CN"/>
        </w:rPr>
      </w:pPr>
      <w:r>
        <w:rPr>
          <w:rFonts w:hint="eastAsia"/>
          <w:color w:val="auto"/>
          <w:highlight w:val="none"/>
          <w:lang w:eastAsia="zh-CN"/>
        </w:rPr>
        <w:t>（3）加强对施工期的环境监理工作，按照</w:t>
      </w:r>
      <w:r>
        <w:rPr>
          <w:rFonts w:hint="eastAsia"/>
          <w:color w:val="auto"/>
          <w:sz w:val="24"/>
          <w:highlight w:val="none"/>
          <w:lang w:eastAsia="zh-CN"/>
        </w:rPr>
        <w:t>《一般工业固体废物贮存和填埋污染控制标准》（GB18599-2020）</w:t>
      </w:r>
      <w:r>
        <w:rPr>
          <w:rFonts w:hint="eastAsia"/>
          <w:color w:val="auto"/>
          <w:highlight w:val="none"/>
          <w:lang w:eastAsia="zh-CN"/>
        </w:rPr>
        <w:t>中规定，对施工期开展环境监理工作。</w:t>
      </w:r>
    </w:p>
    <w:p>
      <w:pPr>
        <w:pStyle w:val="4"/>
        <w:rPr>
          <w:rFonts w:hint="eastAsia"/>
          <w:color w:val="auto"/>
          <w:highlight w:val="none"/>
          <w:lang w:eastAsia="zh-CN"/>
        </w:rPr>
      </w:pPr>
      <w:r>
        <w:rPr>
          <w:rFonts w:hint="eastAsia"/>
          <w:color w:val="auto"/>
          <w:highlight w:val="none"/>
          <w:lang w:eastAsia="zh-CN"/>
        </w:rPr>
        <w:t>环境监理单位应将环保工程及施工合同中规定执行的各项环保措施作为监理工作重要内容，督促施工单位制定健全的环境保护管理组织体系和相应的规章制度，并要求工程施工严格按照国家、地方有关环保法规、标准进行，对建设项目的各项环保工程建设质量把关，监督施工单位落实施工中应采取的各项环保措施。同时，建立严格的工作制度，包括记录制度、报告制度、例会制度等，对每日发生的问题和处理结果记录在案，并应将有关情况通报承包商和业主。</w:t>
      </w:r>
    </w:p>
    <w:p>
      <w:pPr>
        <w:pStyle w:val="6"/>
        <w:bidi w:val="0"/>
        <w:rPr>
          <w:rFonts w:hint="eastAsia"/>
          <w:color w:val="auto"/>
          <w:highlight w:val="none"/>
          <w:lang w:eastAsia="zh-CN"/>
        </w:rPr>
      </w:pPr>
      <w:r>
        <w:rPr>
          <w:rFonts w:hint="eastAsia"/>
          <w:color w:val="auto"/>
          <w:highlight w:val="none"/>
          <w:lang w:eastAsia="zh-CN"/>
        </w:rPr>
        <w:t>封场期环境管理</w:t>
      </w:r>
      <w:r>
        <w:rPr>
          <w:rFonts w:hint="eastAsia"/>
          <w:color w:val="auto"/>
          <w:highlight w:val="none"/>
          <w:lang w:val="en-US" w:eastAsia="zh-CN"/>
        </w:rPr>
        <w:t>制度</w:t>
      </w:r>
    </w:p>
    <w:p>
      <w:pPr>
        <w:pStyle w:val="4"/>
        <w:rPr>
          <w:rFonts w:hint="eastAsia"/>
          <w:color w:val="auto"/>
          <w:highlight w:val="none"/>
          <w:lang w:eastAsia="zh-CN"/>
        </w:rPr>
      </w:pPr>
      <w:r>
        <w:rPr>
          <w:rFonts w:hint="eastAsia"/>
          <w:color w:val="auto"/>
          <w:highlight w:val="none"/>
          <w:lang w:eastAsia="zh-CN"/>
        </w:rPr>
        <w:t>维护和检测</w:t>
      </w:r>
      <w:r>
        <w:rPr>
          <w:rFonts w:hint="eastAsia"/>
          <w:color w:val="auto"/>
          <w:highlight w:val="none"/>
          <w:lang w:val="en-US" w:eastAsia="zh-CN"/>
        </w:rPr>
        <w:t>防渗层渗漏检测系统、</w:t>
      </w:r>
      <w:r>
        <w:rPr>
          <w:rFonts w:hint="eastAsia"/>
          <w:color w:val="auto"/>
          <w:highlight w:val="none"/>
          <w:lang w:eastAsia="zh-CN"/>
        </w:rPr>
        <w:t>地下水监测系统，</w:t>
      </w:r>
      <w:r>
        <w:rPr>
          <w:rFonts w:hint="eastAsia"/>
          <w:color w:val="auto"/>
          <w:highlight w:val="none"/>
          <w:lang w:val="en-US" w:eastAsia="zh-CN"/>
        </w:rPr>
        <w:t>治理工作结束</w:t>
      </w:r>
      <w:r>
        <w:rPr>
          <w:rFonts w:hint="eastAsia"/>
          <w:color w:val="auto"/>
          <w:highlight w:val="none"/>
          <w:lang w:eastAsia="zh-CN"/>
        </w:rPr>
        <w:t>后继续开展的地下水环境质量监测，直至水质稳定为止。</w:t>
      </w:r>
    </w:p>
    <w:p>
      <w:pPr>
        <w:pStyle w:val="6"/>
        <w:bidi w:val="0"/>
        <w:rPr>
          <w:rFonts w:hint="eastAsia"/>
          <w:color w:val="FF0000"/>
          <w:highlight w:val="none"/>
          <w:lang w:eastAsia="zh-CN"/>
        </w:rPr>
      </w:pPr>
      <w:r>
        <w:rPr>
          <w:rFonts w:hint="eastAsia"/>
          <w:color w:val="FF0000"/>
          <w:highlight w:val="none"/>
          <w:lang w:val="en-US" w:eastAsia="zh-CN"/>
        </w:rPr>
        <w:t>其他环境管理要求</w:t>
      </w:r>
    </w:p>
    <w:p>
      <w:pPr>
        <w:pStyle w:val="4"/>
        <w:rPr>
          <w:rFonts w:hint="eastAsia"/>
          <w:color w:val="FF0000"/>
          <w:highlight w:val="none"/>
          <w:lang w:val="en-US" w:eastAsia="zh-CN"/>
        </w:rPr>
      </w:pPr>
      <w:r>
        <w:rPr>
          <w:rFonts w:hint="eastAsia"/>
          <w:color w:val="FF0000"/>
          <w:highlight w:val="none"/>
          <w:lang w:val="en-US" w:eastAsia="zh-CN"/>
        </w:rPr>
        <w:t>根据《排污许可证申请与核发技术规范 工业固体废物和危险废物治理》（HJ1033-2019），提出其他环境管理要求如下：</w:t>
      </w:r>
    </w:p>
    <w:p>
      <w:pPr>
        <w:pStyle w:val="4"/>
        <w:rPr>
          <w:rFonts w:hint="eastAsia"/>
          <w:color w:val="FF0000"/>
          <w:highlight w:val="none"/>
          <w:lang w:eastAsia="zh-CN"/>
        </w:rPr>
      </w:pPr>
      <w:r>
        <w:rPr>
          <w:rFonts w:hint="eastAsia"/>
          <w:color w:val="FF0000"/>
          <w:highlight w:val="none"/>
          <w:lang w:eastAsia="zh-CN"/>
        </w:rPr>
        <w:t>工业固体废物和危险废物治理排污单位应当按照相关法律法规、标准和技术规范等要求运行大气污染防治设施并进行维护和管理，保证设施运行正常，处理、排放大气污染物符合国家或地方污染物排放标准的规定。</w:t>
      </w:r>
    </w:p>
    <w:p>
      <w:pPr>
        <w:pStyle w:val="4"/>
        <w:rPr>
          <w:rFonts w:hint="eastAsia"/>
          <w:color w:val="FF0000"/>
          <w:highlight w:val="none"/>
          <w:lang w:eastAsia="zh-CN"/>
        </w:rPr>
      </w:pPr>
      <w:r>
        <w:rPr>
          <w:rFonts w:hint="eastAsia"/>
          <w:color w:val="FF0000"/>
          <w:highlight w:val="none"/>
          <w:lang w:eastAsia="zh-CN"/>
        </w:rPr>
        <w:t>环保设施应与其对应的生产工艺设备同步运转，并保证在生产工艺设备运行波动情况下仍能正常运转，实现达标排放。由于事故或设备维修等原因造成污染防治设施停止运行时应立即报告当地生态环境主管部门新、改、扩建项目的环境影响评价文件或地方相关文件中有规定污染防治强制要求的还应根据规定，明确需要落实的污染防治措施。</w:t>
      </w:r>
    </w:p>
    <w:p>
      <w:pPr>
        <w:pStyle w:val="5"/>
        <w:bidi w:val="0"/>
        <w:rPr>
          <w:color w:val="auto"/>
          <w:highlight w:val="none"/>
        </w:rPr>
      </w:pPr>
      <w:bookmarkStart w:id="70" w:name="_Toc19489"/>
      <w:bookmarkStart w:id="71" w:name="_Toc24572"/>
      <w:r>
        <w:rPr>
          <w:rFonts w:hint="eastAsia"/>
          <w:color w:val="auto"/>
          <w:highlight w:val="none"/>
          <w:lang w:val="en-US" w:eastAsia="zh-CN"/>
        </w:rPr>
        <w:t>排污口规范管理</w:t>
      </w:r>
      <w:bookmarkEnd w:id="70"/>
    </w:p>
    <w:p>
      <w:pPr>
        <w:pStyle w:val="4"/>
        <w:rPr>
          <w:rFonts w:hint="default"/>
          <w:color w:val="auto"/>
          <w:highlight w:val="none"/>
          <w:lang w:val="en-US" w:eastAsia="zh-CN"/>
        </w:rPr>
      </w:pPr>
      <w:r>
        <w:rPr>
          <w:rFonts w:hint="eastAsia"/>
          <w:color w:val="auto"/>
          <w:highlight w:val="none"/>
          <w:lang w:val="en-US" w:eastAsia="zh-CN"/>
        </w:rPr>
        <w:t>本项目通过建设防渗层，回填本次非法倾倒灰渣，回填结束后即覆盖砂砾层。本项目以治理本次灰渣为目的，建设周期短，不继续接收一般工业固体废物，主要为施工期场区的无组织扬尘，无典型废气、废水和固废排污口，不设置排污口标志标牌。</w:t>
      </w:r>
    </w:p>
    <w:p>
      <w:pPr>
        <w:pStyle w:val="5"/>
        <w:bidi w:val="0"/>
        <w:rPr>
          <w:rFonts w:hint="eastAsia"/>
          <w:color w:val="auto"/>
          <w:highlight w:val="none"/>
        </w:rPr>
      </w:pPr>
      <w:bookmarkStart w:id="72" w:name="_Toc24901"/>
      <w:bookmarkStart w:id="73" w:name="_环境监测计划"/>
      <w:r>
        <w:rPr>
          <w:rFonts w:hint="eastAsia"/>
          <w:color w:val="auto"/>
          <w:highlight w:val="none"/>
          <w:lang w:val="en-US" w:eastAsia="zh-CN"/>
        </w:rPr>
        <w:t>环境监测计划</w:t>
      </w:r>
      <w:bookmarkEnd w:id="71"/>
      <w:bookmarkEnd w:id="72"/>
    </w:p>
    <w:bookmarkEnd w:id="73"/>
    <w:p>
      <w:pPr>
        <w:pStyle w:val="4"/>
        <w:rPr>
          <w:rFonts w:hint="default"/>
          <w:color w:val="auto"/>
          <w:highlight w:val="none"/>
          <w:lang w:val="en-US" w:eastAsia="zh-CN"/>
        </w:rPr>
      </w:pPr>
      <w:r>
        <w:rPr>
          <w:rFonts w:hint="eastAsia"/>
          <w:color w:val="auto"/>
          <w:highlight w:val="none"/>
          <w:lang w:val="en-US" w:eastAsia="zh-CN"/>
        </w:rPr>
        <w:t>企业应按照有关法律和《环境监测管理办法》《企业事业单位环境信息公开办法》等规定建立企业监测制度，制定监测方案，对污染物排放状况及对周边环境质量的影响开展自行监测，并公开监测结果。</w:t>
      </w:r>
    </w:p>
    <w:p>
      <w:pPr>
        <w:pStyle w:val="4"/>
        <w:rPr>
          <w:rFonts w:hint="eastAsia"/>
          <w:color w:val="auto"/>
          <w:highlight w:val="none"/>
          <w:lang w:val="en-US" w:eastAsia="zh-CN"/>
        </w:rPr>
      </w:pPr>
      <w:r>
        <w:rPr>
          <w:rFonts w:hint="eastAsia"/>
          <w:color w:val="auto"/>
          <w:highlight w:val="none"/>
          <w:lang w:val="en-US" w:eastAsia="zh-CN"/>
        </w:rPr>
        <w:t>根据《一般工业固体废物贮存和填埋污染控制标准》（GB18599-2020）、</w:t>
      </w:r>
      <w:r>
        <w:rPr>
          <w:rFonts w:hint="eastAsia"/>
          <w:color w:val="auto"/>
          <w:highlight w:val="none"/>
        </w:rPr>
        <w:t>《排污许可证申请与核发技术规范</w:t>
      </w:r>
      <w:r>
        <w:rPr>
          <w:rFonts w:hint="eastAsia"/>
          <w:color w:val="auto"/>
          <w:highlight w:val="none"/>
          <w:lang w:val="en-US" w:eastAsia="zh-CN"/>
        </w:rPr>
        <w:t xml:space="preserve"> </w:t>
      </w:r>
      <w:r>
        <w:rPr>
          <w:rFonts w:hint="eastAsia"/>
          <w:color w:val="auto"/>
          <w:highlight w:val="none"/>
        </w:rPr>
        <w:t>工业固体废物和危险废物治理》（HJ1033-2019）</w:t>
      </w:r>
      <w:r>
        <w:rPr>
          <w:rFonts w:hint="eastAsia"/>
          <w:color w:val="auto"/>
          <w:highlight w:val="none"/>
          <w:lang w:val="en-US" w:eastAsia="zh-CN"/>
        </w:rPr>
        <w:t>及</w:t>
      </w:r>
      <w:r>
        <w:rPr>
          <w:rFonts w:hint="eastAsia"/>
          <w:color w:val="auto"/>
          <w:highlight w:val="none"/>
          <w:lang w:eastAsia="zh-CN"/>
        </w:rPr>
        <w:t>《</w:t>
      </w:r>
      <w:r>
        <w:rPr>
          <w:rFonts w:hint="eastAsia"/>
          <w:color w:val="auto"/>
          <w:highlight w:val="none"/>
          <w:lang w:val="en-US" w:eastAsia="zh-CN"/>
        </w:rPr>
        <w:t>排污单位自行监测技术指南 总则》（HJ819-2017），对本项目提出环境监测计划如下：</w:t>
      </w:r>
    </w:p>
    <w:p>
      <w:pPr>
        <w:pStyle w:val="4"/>
        <w:rPr>
          <w:rFonts w:hint="eastAsia"/>
          <w:color w:val="auto"/>
          <w:highlight w:val="none"/>
          <w:lang w:val="en-US" w:eastAsia="zh-CN"/>
        </w:rPr>
      </w:pPr>
      <w:r>
        <w:rPr>
          <w:rFonts w:hint="eastAsia"/>
          <w:color w:val="auto"/>
          <w:highlight w:val="none"/>
          <w:lang w:val="en-US" w:eastAsia="zh-CN"/>
        </w:rPr>
        <w:t>（1）污染源监测计划</w:t>
      </w:r>
    </w:p>
    <w:p>
      <w:pPr>
        <w:pStyle w:val="4"/>
        <w:rPr>
          <w:rFonts w:hint="default"/>
          <w:color w:val="auto"/>
          <w:highlight w:val="none"/>
          <w:lang w:val="en-US" w:eastAsia="zh-CN"/>
        </w:rPr>
      </w:pPr>
      <w:r>
        <w:rPr>
          <w:rFonts w:hint="eastAsia"/>
          <w:color w:val="auto"/>
          <w:highlight w:val="none"/>
          <w:lang w:val="en-US" w:eastAsia="zh-CN"/>
        </w:rPr>
        <w:t>项目场地平整、防渗层建设以及回填作业工期短暂（2个月），无典型“三废”排放污染排口，不设置污染源监测计划。</w:t>
      </w:r>
    </w:p>
    <w:p>
      <w:pPr>
        <w:pStyle w:val="4"/>
        <w:rPr>
          <w:rFonts w:hint="eastAsia" w:eastAsia="宋体"/>
          <w:color w:val="auto"/>
          <w:highlight w:val="none"/>
          <w:lang w:val="en-US" w:eastAsia="zh-CN"/>
        </w:rPr>
      </w:pPr>
      <w:r>
        <w:rPr>
          <w:rFonts w:hint="eastAsia" w:eastAsia="宋体"/>
          <w:color w:val="auto"/>
          <w:highlight w:val="none"/>
          <w:lang w:val="en-US" w:eastAsia="zh-CN"/>
        </w:rPr>
        <w:t>（2）环境质量监测计划</w:t>
      </w:r>
    </w:p>
    <w:p>
      <w:pPr>
        <w:pStyle w:val="4"/>
        <w:rPr>
          <w:rFonts w:hint="default"/>
          <w:color w:val="auto"/>
          <w:highlight w:val="none"/>
          <w:lang w:val="en-US"/>
        </w:rPr>
      </w:pPr>
      <w:r>
        <w:rPr>
          <w:rFonts w:hint="eastAsia"/>
          <w:color w:val="auto"/>
          <w:highlight w:val="none"/>
          <w:lang w:val="en-US" w:eastAsia="zh-CN"/>
        </w:rPr>
        <w:t>本项目结束后在防渗层破损的情况下，可以产生渗漏污染事故，因此应持续对地下水进行跟踪监测，设置环境质量监测计划如下表：</w:t>
      </w:r>
    </w:p>
    <w:p>
      <w:pPr>
        <w:pStyle w:val="22"/>
        <w:bidi w:val="0"/>
        <w:rPr>
          <w:rFonts w:hint="default"/>
          <w:lang w:val="en-US" w:eastAsia="zh-CN"/>
        </w:rPr>
      </w:pPr>
      <w:r>
        <w:rPr>
          <w:rFonts w:hint="eastAsia"/>
        </w:rPr>
        <w:t>表</w:t>
      </w:r>
      <w:r>
        <w:rPr>
          <w:rFonts w:hint="eastAsia"/>
          <w:lang w:val="en-US" w:eastAsia="zh-CN"/>
        </w:rPr>
        <w:t>8.3-1</w:t>
      </w:r>
      <w:r>
        <w:rPr>
          <w:rFonts w:hint="eastAsia"/>
        </w:rPr>
        <w:t xml:space="preserve">    </w:t>
      </w:r>
      <w:r>
        <w:rPr>
          <w:rFonts w:hint="eastAsia"/>
          <w:lang w:val="en-US" w:eastAsia="zh-CN"/>
        </w:rPr>
        <w:t>环境质量监测计划</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07"/>
        <w:gridCol w:w="2332"/>
        <w:gridCol w:w="1684"/>
        <w:gridCol w:w="1583"/>
        <w:gridCol w:w="18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trPr>
        <w:tc>
          <w:tcPr>
            <w:tcW w:w="59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环境要素</w:t>
            </w:r>
          </w:p>
        </w:tc>
        <w:tc>
          <w:tcPr>
            <w:tcW w:w="1385"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监测点位</w:t>
            </w:r>
          </w:p>
        </w:tc>
        <w:tc>
          <w:tcPr>
            <w:tcW w:w="100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监测因子</w:t>
            </w:r>
          </w:p>
        </w:tc>
        <w:tc>
          <w:tcPr>
            <w:tcW w:w="94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监测频次</w:t>
            </w:r>
          </w:p>
        </w:tc>
        <w:tc>
          <w:tcPr>
            <w:tcW w:w="1075"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trPr>
        <w:tc>
          <w:tcPr>
            <w:tcW w:w="598"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地下水（潜水）</w:t>
            </w:r>
          </w:p>
        </w:tc>
        <w:tc>
          <w:tcPr>
            <w:tcW w:w="1385"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rPr>
              <w:t>在</w:t>
            </w:r>
            <w:r>
              <w:rPr>
                <w:rFonts w:hint="default"/>
              </w:rPr>
              <w:t>填埋区上、下游共布置</w:t>
            </w:r>
            <w:r>
              <w:rPr>
                <w:rFonts w:hint="eastAsia"/>
              </w:rPr>
              <w:t>3口</w:t>
            </w:r>
            <w:r>
              <w:rPr>
                <w:rFonts w:hint="default"/>
              </w:rPr>
              <w:t>监测井，上游</w:t>
            </w:r>
            <w:r>
              <w:rPr>
                <w:rFonts w:hint="eastAsia"/>
              </w:rPr>
              <w:t>设置1口对照井</w:t>
            </w:r>
            <w:r>
              <w:rPr>
                <w:rFonts w:hint="default"/>
              </w:rPr>
              <w:t>，下游</w:t>
            </w:r>
            <w:r>
              <w:rPr>
                <w:rFonts w:hint="eastAsia"/>
              </w:rPr>
              <w:t>分别</w:t>
            </w:r>
            <w:r>
              <w:rPr>
                <w:rFonts w:hint="default"/>
              </w:rPr>
              <w:t>设置</w:t>
            </w:r>
            <w:r>
              <w:rPr>
                <w:rFonts w:hint="eastAsia"/>
              </w:rPr>
              <w:t>1口污染</w:t>
            </w:r>
            <w:r>
              <w:rPr>
                <w:rFonts w:hint="default"/>
              </w:rPr>
              <w:t>监视监测井和</w:t>
            </w:r>
            <w:r>
              <w:rPr>
                <w:rFonts w:hint="eastAsia"/>
              </w:rPr>
              <w:t>1口</w:t>
            </w:r>
            <w:r>
              <w:rPr>
                <w:rFonts w:hint="default"/>
              </w:rPr>
              <w:t>污染扩散监测井</w:t>
            </w:r>
            <w:r>
              <w:rPr>
                <w:rFonts w:hint="eastAsia"/>
                <w:lang w:eastAsia="zh-CN"/>
              </w:rPr>
              <w:t>。</w:t>
            </w:r>
          </w:p>
        </w:tc>
        <w:tc>
          <w:tcPr>
            <w:tcW w:w="100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浑浊度、pH、氟化物</w:t>
            </w:r>
            <w:r>
              <w:rPr>
                <w:rFonts w:hint="eastAsia"/>
                <w:color w:val="FF0000"/>
                <w:lang w:val="en-US" w:eastAsia="zh-CN"/>
              </w:rPr>
              <w:t>、砷、六价铬、汞、镉、铅、铬、镍、</w:t>
            </w:r>
            <w:r>
              <w:rPr>
                <w:rFonts w:hint="eastAsia"/>
                <w:lang w:val="en-US" w:eastAsia="zh-CN"/>
              </w:rPr>
              <w:t>硫化物、氯化物、硝酸盐、亚硝酸盐、溶解性总固体</w:t>
            </w:r>
          </w:p>
        </w:tc>
        <w:tc>
          <w:tcPr>
            <w:tcW w:w="940"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每季度1次，再次间隔不少于1个月。封场后每半年1次，直至连续2年不超地下水本底值</w:t>
            </w:r>
          </w:p>
        </w:tc>
        <w:tc>
          <w:tcPr>
            <w:tcW w:w="1075" w:type="pct"/>
            <w:tcBorders>
              <w:tl2br w:val="nil"/>
              <w:tr2bl w:val="nil"/>
            </w:tcBorders>
            <w:tcMar>
              <w:top w:w="0" w:type="dxa"/>
              <w:left w:w="57" w:type="dxa"/>
              <w:bottom w:w="0" w:type="dxa"/>
              <w:right w:w="57" w:type="dxa"/>
            </w:tcMar>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监测井的建设与管理应符合H/T164的技术要求；在符合点位要求地方已有地下水取水井的，可作为监测井。</w:t>
            </w:r>
          </w:p>
        </w:tc>
      </w:tr>
    </w:tbl>
    <w:p>
      <w:pPr>
        <w:pStyle w:val="4"/>
        <w:bidi w:val="0"/>
        <w:rPr>
          <w:rFonts w:hint="eastAsia"/>
          <w:lang w:val="en-US" w:eastAsia="zh-CN"/>
        </w:rPr>
      </w:pPr>
      <w:bookmarkStart w:id="74" w:name="_Toc18611"/>
      <w:r>
        <w:rPr>
          <w:rFonts w:hint="eastAsia"/>
          <w:lang w:val="en-US" w:eastAsia="zh-CN"/>
        </w:rPr>
        <w:t>根据《一般工业固体废物贮存和填埋污染控制标准》（GB18599-2020）10.3.2：f）已有的地下水取水井、观测井和勘测井，如果满足上述要求可以作为地下水监测井使用。本项目填埋区上、下游分布有吉布库镇耕地的灌溉水井，可满足本项目监测需求，可利用其作为本项目的监测井使用，其点位分布见附图上文“地下水监测点位分布图”。</w:t>
      </w:r>
    </w:p>
    <w:p>
      <w:pPr>
        <w:pStyle w:val="5"/>
        <w:bidi w:val="0"/>
        <w:rPr>
          <w:rFonts w:hint="eastAsia" w:eastAsia="宋体"/>
          <w:color w:val="auto"/>
          <w:highlight w:val="none"/>
          <w:lang w:val="en-US" w:eastAsia="zh-CN"/>
        </w:rPr>
      </w:pPr>
      <w:bookmarkStart w:id="75" w:name="_Toc1520"/>
      <w:r>
        <w:rPr>
          <w:rFonts w:hint="eastAsia" w:eastAsia="宋体"/>
          <w:color w:val="auto"/>
          <w:highlight w:val="none"/>
          <w:lang w:val="en-US" w:eastAsia="zh-CN"/>
        </w:rPr>
        <w:t>信息公开</w:t>
      </w:r>
      <w:bookmarkEnd w:id="75"/>
    </w:p>
    <w:p>
      <w:pPr>
        <w:pStyle w:val="4"/>
        <w:bidi w:val="0"/>
        <w:rPr>
          <w:rFonts w:hint="default" w:eastAsia="宋体"/>
          <w:color w:val="auto"/>
          <w:highlight w:val="none"/>
          <w:lang w:val="en-US" w:eastAsia="zh-CN"/>
        </w:rPr>
      </w:pPr>
      <w:r>
        <w:rPr>
          <w:rFonts w:hint="eastAsia"/>
          <w:color w:val="auto"/>
          <w:highlight w:val="none"/>
          <w:lang w:val="en-US" w:eastAsia="zh-CN"/>
        </w:rPr>
        <w:t>根据《固定污染源排污许可分类管理名录（2019年版）》，本项目不属于“生态环境保护和环境治理业”中的重点管理单位，根据</w:t>
      </w:r>
      <w:r>
        <w:rPr>
          <w:rFonts w:hint="eastAsia"/>
          <w:color w:val="auto"/>
          <w:highlight w:val="none"/>
          <w:lang w:eastAsia="zh-CN"/>
        </w:rPr>
        <w:t>《</w:t>
      </w:r>
      <w:r>
        <w:rPr>
          <w:rFonts w:hint="eastAsia"/>
          <w:color w:val="auto"/>
          <w:highlight w:val="none"/>
          <w:lang w:val="en-US" w:eastAsia="zh-CN"/>
        </w:rPr>
        <w:t>排污单位自行监测技术指南 总则》（HJ819-2017）7.4，本项目信息公开要求由地方环境保护主管部门确定。</w:t>
      </w:r>
    </w:p>
    <w:p>
      <w:pPr>
        <w:pStyle w:val="5"/>
        <w:bidi w:val="0"/>
        <w:rPr>
          <w:color w:val="auto"/>
          <w:highlight w:val="none"/>
        </w:rPr>
      </w:pPr>
      <w:bookmarkStart w:id="76" w:name="_Toc10008"/>
      <w:r>
        <w:rPr>
          <w:rFonts w:hint="eastAsia"/>
          <w:color w:val="auto"/>
          <w:highlight w:val="none"/>
          <w:lang w:val="en-US" w:eastAsia="zh-CN"/>
        </w:rPr>
        <w:t>环境保护验收与“三同时”</w:t>
      </w:r>
      <w:bookmarkEnd w:id="74"/>
      <w:bookmarkEnd w:id="76"/>
    </w:p>
    <w:p>
      <w:pPr>
        <w:pStyle w:val="4"/>
        <w:bidi w:val="0"/>
        <w:rPr>
          <w:rFonts w:hint="default" w:eastAsia="宋体"/>
          <w:color w:val="auto"/>
          <w:highlight w:val="none"/>
          <w:lang w:val="en-US" w:eastAsia="zh-CN"/>
        </w:rPr>
      </w:pPr>
      <w:r>
        <w:rPr>
          <w:rFonts w:hint="eastAsia"/>
          <w:color w:val="auto"/>
          <w:highlight w:val="none"/>
        </w:rPr>
        <w:t>根据《建设项目环境保护管理条例》（2017年），污染防治设施必须与主体工程同时设计、同时施工、同时投入使用。</w:t>
      </w:r>
      <w:r>
        <w:rPr>
          <w:rFonts w:hint="eastAsia"/>
          <w:color w:val="auto"/>
          <w:highlight w:val="none"/>
          <w:lang w:val="en-US" w:eastAsia="zh-CN"/>
        </w:rPr>
        <w:t>本项目以处理本次非法倾倒的灰渣为目的，回填后即进行覆盖，不继续接收一般工业固体废物。本项目在施工完毕后应保存施工报告、全套竣工图、所有材料的现场及实验室检测报告，并提交人工防渗衬层完整性检测报告。上述材料连同施工质量保证书一并作为竣工环境保护验收的依据。针对本次灰渣治理工作，环保验收内容如下：</w:t>
      </w:r>
    </w:p>
    <w:p>
      <w:pPr>
        <w:pStyle w:val="4"/>
        <w:bidi w:val="0"/>
        <w:rPr>
          <w:rFonts w:hint="eastAsia"/>
          <w:color w:val="auto"/>
          <w:highlight w:val="none"/>
        </w:rPr>
      </w:pPr>
      <w:r>
        <w:rPr>
          <w:rFonts w:hint="eastAsia"/>
          <w:color w:val="auto"/>
          <w:highlight w:val="none"/>
        </w:rPr>
        <w:t>本项目环保设施竣工验收与“三同时”情况见下表：</w:t>
      </w:r>
    </w:p>
    <w:p>
      <w:pPr>
        <w:pStyle w:val="22"/>
        <w:bidi w:val="0"/>
      </w:pPr>
      <w:r>
        <w:rPr>
          <w:rFonts w:hint="eastAsia"/>
        </w:rPr>
        <w:t>表</w:t>
      </w:r>
      <w:r>
        <w:rPr>
          <w:rFonts w:hint="eastAsia"/>
          <w:lang w:val="en-US" w:eastAsia="zh-CN"/>
        </w:rPr>
        <w:t>8.5-1</w:t>
      </w:r>
      <w:r>
        <w:rPr>
          <w:rFonts w:hint="eastAsia"/>
        </w:rPr>
        <w:t xml:space="preserve">    环境保护措施竣工“三同时”验收内容及要求一览表</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1000"/>
        <w:gridCol w:w="1254"/>
        <w:gridCol w:w="1584"/>
        <w:gridCol w:w="2143"/>
        <w:gridCol w:w="24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59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w:t>
            </w:r>
          </w:p>
        </w:tc>
        <w:tc>
          <w:tcPr>
            <w:tcW w:w="74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验收内容/</w:t>
            </w:r>
            <w:r>
              <w:rPr>
                <w:rFonts w:hint="eastAsia"/>
              </w:rPr>
              <w:t>验收点</w:t>
            </w:r>
            <w:r>
              <w:rPr>
                <w:rFonts w:hint="eastAsia"/>
                <w:lang w:val="en-US" w:eastAsia="zh-CN"/>
              </w:rPr>
              <w:t>位</w:t>
            </w:r>
          </w:p>
        </w:tc>
        <w:tc>
          <w:tcPr>
            <w:tcW w:w="94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lang w:val="en-US" w:eastAsia="zh-CN"/>
              </w:rPr>
              <w:t>监测</w:t>
            </w:r>
            <w:r>
              <w:rPr>
                <w:rFonts w:hint="eastAsia"/>
              </w:rPr>
              <w:t>因子</w:t>
            </w:r>
          </w:p>
        </w:tc>
        <w:tc>
          <w:tcPr>
            <w:tcW w:w="1273"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处理措施验收</w:t>
            </w:r>
          </w:p>
        </w:tc>
        <w:tc>
          <w:tcPr>
            <w:tcW w:w="1446"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rPr>
            </w:pPr>
            <w:r>
              <w:rPr>
                <w:rFonts w:hint="eastAsia"/>
              </w:rPr>
              <w:t>验收要求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59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渗滤液</w:t>
            </w:r>
          </w:p>
        </w:tc>
        <w:tc>
          <w:tcPr>
            <w:tcW w:w="74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防渗层建设</w:t>
            </w:r>
          </w:p>
        </w:tc>
        <w:tc>
          <w:tcPr>
            <w:tcW w:w="94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2719"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rPr>
            </w:pPr>
            <w:r>
              <w:rPr>
                <w:rFonts w:hint="eastAsia"/>
                <w:lang w:val="en-US" w:eastAsia="zh-CN"/>
              </w:rPr>
              <w:t>提供相关资料，确保满足《一般工业固体废物贮存和填埋污染控制标准》（GB18599-2020）</w:t>
            </w:r>
            <w:r>
              <w:rPr>
                <w:rFonts w:hint="default" w:ascii="Times New Roman" w:hAnsi="Times New Roman" w:cs="Times New Roman"/>
                <w:lang w:val="en-US" w:eastAsia="zh-CN"/>
              </w:rPr>
              <w:t>Ⅱ</w:t>
            </w:r>
            <w:r>
              <w:rPr>
                <w:rFonts w:hint="eastAsia"/>
                <w:lang w:val="en-US" w:eastAsia="zh-CN"/>
              </w:rPr>
              <w:t>类场防渗要求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594" w:type="pct"/>
            <w:tcBorders>
              <w:tl2br w:val="nil"/>
              <w:tr2bl w:val="nil"/>
            </w:tcBorders>
            <w:vAlign w:val="center"/>
          </w:tcPr>
          <w:p>
            <w:pPr>
              <w:pStyle w:val="2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入场固废</w:t>
            </w:r>
          </w:p>
        </w:tc>
        <w:tc>
          <w:tcPr>
            <w:tcW w:w="745" w:type="pct"/>
            <w:tcBorders>
              <w:tl2br w:val="nil"/>
              <w:tr2bl w:val="nil"/>
            </w:tcBorders>
            <w:vAlign w:val="center"/>
          </w:tcPr>
          <w:p>
            <w:pPr>
              <w:pStyle w:val="2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w:t>
            </w:r>
          </w:p>
        </w:tc>
        <w:tc>
          <w:tcPr>
            <w:tcW w:w="3660" w:type="pct"/>
            <w:gridSpan w:val="3"/>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color w:val="auto"/>
                <w:highlight w:val="none"/>
                <w:lang w:val="en-US" w:eastAsia="zh-CN"/>
              </w:rPr>
              <w:t>本次非法倾倒的粉煤灰和炉渣，不继续接受其他一般工业固体废物。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c>
          <w:tcPr>
            <w:tcW w:w="594"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地下水风险</w:t>
            </w:r>
          </w:p>
        </w:tc>
        <w:tc>
          <w:tcPr>
            <w:tcW w:w="745"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3口地下水监测井</w:t>
            </w:r>
          </w:p>
        </w:tc>
        <w:tc>
          <w:tcPr>
            <w:tcW w:w="941" w:type="pct"/>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浑浊度、pH、氟化物、砷、六价铬、硫化物、氯化物、硝酸盐、亚硝酸盐、溶解性总固体</w:t>
            </w:r>
          </w:p>
        </w:tc>
        <w:tc>
          <w:tcPr>
            <w:tcW w:w="2719" w:type="pct"/>
            <w:gridSpan w:val="2"/>
            <w:tcBorders>
              <w:tl2br w:val="nil"/>
              <w:tr2bl w:val="nil"/>
            </w:tcBorders>
            <w:vAlign w:val="center"/>
          </w:tcPr>
          <w:p>
            <w:pPr>
              <w:pStyle w:val="24"/>
              <w:keepNext w:val="0"/>
              <w:keepLines w:val="0"/>
              <w:suppressLineNumbers w:val="0"/>
              <w:bidi w:val="0"/>
              <w:spacing w:before="0" w:beforeAutospacing="0" w:after="0" w:afterAutospacing="0"/>
              <w:ind w:left="0" w:right="0"/>
              <w:rPr>
                <w:rFonts w:hint="eastAsia"/>
              </w:rPr>
            </w:pPr>
            <w:r>
              <w:rPr>
                <w:rFonts w:hint="eastAsia"/>
              </w:rPr>
              <w:t>在</w:t>
            </w:r>
            <w:r>
              <w:rPr>
                <w:rFonts w:hint="default"/>
              </w:rPr>
              <w:t>填埋区上、下游共布置</w:t>
            </w:r>
            <w:r>
              <w:rPr>
                <w:rFonts w:hint="eastAsia"/>
              </w:rPr>
              <w:t>3口</w:t>
            </w:r>
            <w:r>
              <w:rPr>
                <w:rFonts w:hint="default"/>
              </w:rPr>
              <w:t>监测井，上游</w:t>
            </w:r>
            <w:r>
              <w:rPr>
                <w:rFonts w:hint="eastAsia"/>
              </w:rPr>
              <w:t>设置1口对照井</w:t>
            </w:r>
            <w:r>
              <w:rPr>
                <w:rFonts w:hint="default"/>
              </w:rPr>
              <w:t>，下游</w:t>
            </w:r>
            <w:r>
              <w:rPr>
                <w:rFonts w:hint="eastAsia"/>
              </w:rPr>
              <w:t>分别</w:t>
            </w:r>
            <w:r>
              <w:rPr>
                <w:rFonts w:hint="default"/>
              </w:rPr>
              <w:t>设置</w:t>
            </w:r>
            <w:r>
              <w:rPr>
                <w:rFonts w:hint="eastAsia"/>
              </w:rPr>
              <w:t>1口污染</w:t>
            </w:r>
            <w:r>
              <w:rPr>
                <w:rFonts w:hint="default"/>
              </w:rPr>
              <w:t>监视监测井和</w:t>
            </w:r>
            <w:r>
              <w:rPr>
                <w:rFonts w:hint="eastAsia"/>
              </w:rPr>
              <w:t>1口</w:t>
            </w:r>
            <w:r>
              <w:rPr>
                <w:rFonts w:hint="default"/>
              </w:rPr>
              <w:t>污染扩散监测井</w:t>
            </w:r>
            <w:r>
              <w:rPr>
                <w:rFonts w:hint="eastAsia"/>
                <w:lang w:val="en-US" w:eastAsia="zh-CN"/>
              </w:rPr>
              <w:t>；在符合点位要求地方已有地下水取水井的，可作为监测井。</w:t>
            </w:r>
          </w:p>
        </w:tc>
      </w:tr>
    </w:tbl>
    <w:p>
      <w:pPr>
        <w:pStyle w:val="3"/>
        <w:bidi w:val="0"/>
        <w:rPr>
          <w:color w:val="auto"/>
          <w:highlight w:val="none"/>
        </w:rPr>
      </w:pPr>
      <w:bookmarkStart w:id="77" w:name="_Toc26252"/>
      <w:bookmarkStart w:id="78" w:name="_Toc9176"/>
      <w:bookmarkStart w:id="91" w:name="_GoBack"/>
      <w:bookmarkEnd w:id="91"/>
      <w:r>
        <w:rPr>
          <w:rFonts w:hint="eastAsia"/>
          <w:color w:val="auto"/>
          <w:highlight w:val="none"/>
          <w:lang w:val="en-US" w:eastAsia="zh-CN"/>
        </w:rPr>
        <w:t>环境影响评价结论</w:t>
      </w:r>
      <w:bookmarkEnd w:id="77"/>
      <w:bookmarkEnd w:id="78"/>
    </w:p>
    <w:p>
      <w:pPr>
        <w:pStyle w:val="5"/>
        <w:bidi w:val="0"/>
        <w:rPr>
          <w:color w:val="auto"/>
          <w:highlight w:val="none"/>
        </w:rPr>
      </w:pPr>
      <w:bookmarkStart w:id="79" w:name="_Toc9182"/>
      <w:bookmarkStart w:id="80" w:name="_Toc16630"/>
      <w:r>
        <w:rPr>
          <w:rFonts w:hint="eastAsia"/>
          <w:color w:val="auto"/>
          <w:highlight w:val="none"/>
          <w:lang w:val="en-US" w:eastAsia="zh-CN"/>
        </w:rPr>
        <w:t>建设概况</w:t>
      </w:r>
      <w:bookmarkEnd w:id="79"/>
      <w:bookmarkEnd w:id="80"/>
    </w:p>
    <w:p>
      <w:pPr>
        <w:pStyle w:val="4"/>
        <w:rPr>
          <w:rFonts w:hint="eastAsia"/>
          <w:color w:val="auto"/>
          <w:highlight w:val="none"/>
          <w:lang w:val="en-US" w:eastAsia="zh-CN"/>
        </w:rPr>
      </w:pPr>
      <w:r>
        <w:rPr>
          <w:rFonts w:hint="eastAsia"/>
          <w:color w:val="auto"/>
          <w:highlight w:val="none"/>
          <w:lang w:val="en-US" w:eastAsia="zh-CN"/>
        </w:rPr>
        <w:t>项目名称：灰渣倾倒场地治理项目</w:t>
      </w:r>
    </w:p>
    <w:p>
      <w:pPr>
        <w:pStyle w:val="4"/>
        <w:rPr>
          <w:rFonts w:hint="default"/>
          <w:color w:val="auto"/>
          <w:highlight w:val="none"/>
          <w:lang w:val="en-US" w:eastAsia="zh-CN"/>
        </w:rPr>
      </w:pPr>
      <w:r>
        <w:rPr>
          <w:rFonts w:hint="eastAsia"/>
          <w:color w:val="auto"/>
          <w:highlight w:val="none"/>
          <w:lang w:val="en-US" w:eastAsia="zh-CN"/>
        </w:rPr>
        <w:t>建设单位：奇台县瑞丰商贸有限公司</w:t>
      </w:r>
    </w:p>
    <w:p>
      <w:pPr>
        <w:pStyle w:val="4"/>
        <w:rPr>
          <w:rFonts w:hint="default"/>
          <w:color w:val="auto"/>
          <w:highlight w:val="none"/>
          <w:lang w:val="en-US" w:eastAsia="zh-CN"/>
        </w:rPr>
      </w:pPr>
      <w:r>
        <w:rPr>
          <w:rFonts w:hint="eastAsia"/>
          <w:color w:val="auto"/>
          <w:highlight w:val="none"/>
          <w:lang w:val="en-US" w:eastAsia="zh-CN"/>
        </w:rPr>
        <w:t>建设性质：新建</w:t>
      </w:r>
    </w:p>
    <w:p>
      <w:pPr>
        <w:pStyle w:val="4"/>
        <w:rPr>
          <w:rFonts w:hint="default" w:eastAsia="宋体"/>
          <w:color w:val="auto"/>
          <w:highlight w:val="none"/>
          <w:lang w:val="en-US" w:eastAsia="zh-CN"/>
        </w:rPr>
      </w:pPr>
      <w:r>
        <w:rPr>
          <w:rFonts w:hint="eastAsia"/>
          <w:color w:val="auto"/>
          <w:highlight w:val="none"/>
          <w:lang w:val="en-US" w:eastAsia="zh-CN"/>
        </w:rPr>
        <w:t>建设地点：</w:t>
      </w:r>
      <w:r>
        <w:rPr>
          <w:rFonts w:hint="eastAsia"/>
          <w:color w:val="auto"/>
          <w:highlight w:val="none"/>
          <w:lang w:eastAsia="zh-CN"/>
        </w:rPr>
        <w:t>奇台县吉布库镇达坂河村</w:t>
      </w:r>
      <w:r>
        <w:rPr>
          <w:rFonts w:hint="eastAsia"/>
          <w:color w:val="auto"/>
          <w:highlight w:val="none"/>
          <w:lang w:val="en-US" w:eastAsia="zh-CN"/>
        </w:rPr>
        <w:t>。</w:t>
      </w:r>
    </w:p>
    <w:p>
      <w:pPr>
        <w:pStyle w:val="4"/>
        <w:rPr>
          <w:rFonts w:hint="eastAsia" w:ascii="Times New Roman" w:hAnsi="Times New Roman" w:cs="Times New Roman"/>
          <w:color w:val="auto"/>
          <w:highlight w:val="none"/>
          <w:lang w:val="en-US" w:eastAsia="zh-CN"/>
        </w:rPr>
      </w:pPr>
      <w:r>
        <w:rPr>
          <w:rFonts w:hint="eastAsia"/>
          <w:color w:val="auto"/>
          <w:highlight w:val="none"/>
          <w:lang w:val="en-US" w:eastAsia="zh-CN"/>
        </w:rPr>
        <w:t>地理位置坐标</w:t>
      </w:r>
      <w:r>
        <w:rPr>
          <w:rFonts w:hint="default" w:ascii="Times New Roman" w:hAnsi="Times New Roman" w:cs="Times New Roman"/>
          <w:color w:val="auto"/>
          <w:highlight w:val="none"/>
          <w:lang w:val="en-US" w:eastAsia="zh-CN"/>
        </w:rPr>
        <w:t>：</w:t>
      </w:r>
      <w:r>
        <w:rPr>
          <w:rFonts w:hint="eastAsia"/>
          <w:color w:val="auto"/>
          <w:highlight w:val="none"/>
          <w:lang w:val="en-US" w:eastAsia="zh-CN"/>
        </w:rPr>
        <w:t>本项目中心地理位置坐标为E：</w:t>
      </w:r>
      <w:r>
        <w:rPr>
          <w:rFonts w:hint="default" w:ascii="Times New Roman" w:hAnsi="Times New Roman" w:cs="Times New Roman"/>
          <w:color w:val="auto"/>
          <w:highlight w:val="none"/>
          <w:lang w:val="en-US" w:eastAsia="zh-CN"/>
        </w:rPr>
        <w:t>89°30′</w:t>
      </w:r>
      <w:r>
        <w:rPr>
          <w:rFonts w:hint="eastAsia" w:cs="Times New Roman"/>
          <w:color w:val="auto"/>
          <w:highlight w:val="none"/>
          <w:lang w:val="en-US" w:eastAsia="zh-CN"/>
        </w:rPr>
        <w:t>27.515</w:t>
      </w:r>
      <w:r>
        <w:rPr>
          <w:rFonts w:hint="default" w:ascii="Times New Roman" w:hAnsi="Times New Roman" w:cs="Times New Roman"/>
          <w:color w:val="auto"/>
          <w:highlight w:val="none"/>
          <w:lang w:val="en-US" w:eastAsia="zh-CN"/>
        </w:rPr>
        <w:t>″</w:t>
      </w:r>
      <w:r>
        <w:rPr>
          <w:rFonts w:hint="eastAsia"/>
          <w:color w:val="auto"/>
          <w:highlight w:val="none"/>
          <w:lang w:val="en-US" w:eastAsia="zh-CN"/>
        </w:rPr>
        <w:t>，N：</w:t>
      </w:r>
      <w:r>
        <w:rPr>
          <w:rFonts w:hint="default" w:ascii="Times New Roman" w:hAnsi="Times New Roman" w:cs="Times New Roman"/>
          <w:color w:val="auto"/>
          <w:highlight w:val="none"/>
          <w:lang w:val="en-US" w:eastAsia="zh-CN"/>
        </w:rPr>
        <w:t>43°54′38.409″</w:t>
      </w:r>
      <w:r>
        <w:rPr>
          <w:rFonts w:hint="eastAsia" w:ascii="Times New Roman" w:hAnsi="Times New Roman" w:cs="Times New Roman"/>
          <w:color w:val="auto"/>
          <w:highlight w:val="none"/>
          <w:lang w:val="en-US" w:eastAsia="zh-CN"/>
        </w:rPr>
        <w:t>。项目地理位置见附图1。</w:t>
      </w:r>
    </w:p>
    <w:p>
      <w:pPr>
        <w:pStyle w:val="4"/>
        <w:rPr>
          <w:rFonts w:hint="default" w:cs="Times New Roman"/>
          <w:color w:val="auto"/>
          <w:highlight w:val="none"/>
          <w:lang w:val="en-US" w:eastAsia="zh-CN"/>
        </w:rPr>
      </w:pPr>
      <w:r>
        <w:rPr>
          <w:rFonts w:hint="eastAsia"/>
          <w:color w:val="auto"/>
          <w:highlight w:val="none"/>
          <w:lang w:val="en-US" w:eastAsia="zh-CN"/>
        </w:rPr>
        <w:t>周边关系：</w:t>
      </w:r>
      <w:r>
        <w:rPr>
          <w:rFonts w:hint="eastAsia" w:cs="Times New Roman"/>
          <w:color w:val="auto"/>
          <w:highlight w:val="none"/>
          <w:lang w:val="en-US" w:eastAsia="zh-CN"/>
        </w:rPr>
        <w:t>项目区南侧隔路和东、西侧区域为奇台县历史遗留采砂坑，目前正在筹备建设一般工业固体废物填埋场对其进行生态恢复治理。项目区北侧为低覆盖度荒草地，距G7京新高速和奇台县建成区最近距离分别为250m和8km，东南侧550m和1500m处分别为吉布库养殖区和达坂河5村，西南侧2000m处为达坂河11村。周边关系见附图2。</w:t>
      </w:r>
    </w:p>
    <w:p>
      <w:pPr>
        <w:pStyle w:val="4"/>
        <w:rPr>
          <w:rFonts w:hint="default"/>
          <w:color w:val="auto"/>
          <w:highlight w:val="none"/>
          <w:lang w:val="en-US" w:eastAsia="zh-CN"/>
        </w:rPr>
      </w:pPr>
      <w:r>
        <w:rPr>
          <w:rFonts w:hint="eastAsia"/>
          <w:color w:val="auto"/>
          <w:highlight w:val="none"/>
          <w:lang w:val="en-US" w:eastAsia="zh-CN"/>
        </w:rPr>
        <w:t>项目投资：项目总投资86万元，其中环保投资38.5万元，占项目总投资44.8%。</w:t>
      </w:r>
    </w:p>
    <w:p>
      <w:pPr>
        <w:pStyle w:val="4"/>
        <w:rPr>
          <w:rFonts w:hint="default"/>
          <w:color w:val="auto"/>
          <w:highlight w:val="none"/>
          <w:lang w:val="en-US" w:eastAsia="zh-CN"/>
        </w:rPr>
      </w:pPr>
      <w:r>
        <w:rPr>
          <w:rFonts w:hint="eastAsia"/>
          <w:color w:val="auto"/>
          <w:highlight w:val="none"/>
          <w:lang w:val="en-US" w:eastAsia="zh-CN"/>
        </w:rPr>
        <w:t>建设规模：拟治理的污染区面积5700m</w:t>
      </w:r>
      <w:r>
        <w:rPr>
          <w:rFonts w:hint="eastAsia"/>
          <w:color w:val="auto"/>
          <w:highlight w:val="none"/>
          <w:vertAlign w:val="superscript"/>
          <w:lang w:val="en-US" w:eastAsia="zh-CN"/>
        </w:rPr>
        <w:t>2</w:t>
      </w:r>
      <w:r>
        <w:rPr>
          <w:rFonts w:hint="eastAsia"/>
          <w:color w:val="auto"/>
          <w:highlight w:val="none"/>
          <w:lang w:val="en-US" w:eastAsia="zh-CN"/>
        </w:rPr>
        <w:t>，就地回填的采砂坑坑底面积11075m</w:t>
      </w:r>
      <w:r>
        <w:rPr>
          <w:rFonts w:hint="eastAsia"/>
          <w:color w:val="auto"/>
          <w:highlight w:val="none"/>
          <w:vertAlign w:val="superscript"/>
          <w:lang w:val="en-US" w:eastAsia="zh-CN"/>
        </w:rPr>
        <w:t>2</w:t>
      </w:r>
      <w:r>
        <w:rPr>
          <w:rFonts w:hint="eastAsia"/>
          <w:color w:val="auto"/>
          <w:highlight w:val="none"/>
          <w:lang w:val="en-US" w:eastAsia="zh-CN"/>
        </w:rPr>
        <w:t>，坑口面积26183m</w:t>
      </w:r>
      <w:r>
        <w:rPr>
          <w:rFonts w:hint="eastAsia"/>
          <w:color w:val="auto"/>
          <w:highlight w:val="none"/>
          <w:vertAlign w:val="superscript"/>
          <w:lang w:val="en-US" w:eastAsia="zh-CN"/>
        </w:rPr>
        <w:t>2</w:t>
      </w:r>
      <w:r>
        <w:rPr>
          <w:rFonts w:hint="eastAsia"/>
          <w:color w:val="auto"/>
          <w:highlight w:val="none"/>
          <w:vertAlign w:val="baseline"/>
          <w:lang w:val="en-US" w:eastAsia="zh-CN"/>
        </w:rPr>
        <w:t>，</w:t>
      </w:r>
      <w:r>
        <w:rPr>
          <w:rFonts w:hint="eastAsia"/>
          <w:color w:val="auto"/>
          <w:highlight w:val="none"/>
          <w:lang w:val="en-US" w:eastAsia="zh-CN"/>
        </w:rPr>
        <w:t>坑底标高803.3~809.0m，坑口标高822.4~835.0m，平均深度23m。拟填埋处置现状非法倾倒的粉煤灰13948t，炉渣3000t，体积约1.1万m</w:t>
      </w:r>
      <w:r>
        <w:rPr>
          <w:rFonts w:hint="eastAsia"/>
          <w:color w:val="auto"/>
          <w:highlight w:val="none"/>
          <w:vertAlign w:val="superscript"/>
          <w:lang w:val="en-US" w:eastAsia="zh-CN"/>
        </w:rPr>
        <w:t>3</w:t>
      </w:r>
      <w:r>
        <w:rPr>
          <w:rFonts w:hint="eastAsia"/>
          <w:color w:val="auto"/>
          <w:highlight w:val="none"/>
          <w:vertAlign w:val="baseline"/>
          <w:lang w:val="en-US" w:eastAsia="zh-CN"/>
        </w:rPr>
        <w:t>。灰渣移除后，项目拟清除堆放区表土面积5700m</w:t>
      </w:r>
      <w:r>
        <w:rPr>
          <w:rFonts w:hint="eastAsia"/>
          <w:color w:val="auto"/>
          <w:highlight w:val="none"/>
          <w:vertAlign w:val="superscript"/>
          <w:lang w:val="en-US" w:eastAsia="zh-CN"/>
        </w:rPr>
        <w:t>2</w:t>
      </w:r>
      <w:r>
        <w:rPr>
          <w:rFonts w:hint="eastAsia"/>
          <w:color w:val="auto"/>
          <w:highlight w:val="none"/>
          <w:vertAlign w:val="baseline"/>
          <w:lang w:val="en-US" w:eastAsia="zh-CN"/>
        </w:rPr>
        <w:t>，深度0.5m，土方量约0.3万m</w:t>
      </w:r>
      <w:r>
        <w:rPr>
          <w:rFonts w:hint="eastAsia"/>
          <w:color w:val="auto"/>
          <w:highlight w:val="none"/>
          <w:vertAlign w:val="superscript"/>
          <w:lang w:val="en-US" w:eastAsia="zh-CN"/>
        </w:rPr>
        <w:t>3</w:t>
      </w:r>
      <w:r>
        <w:rPr>
          <w:rFonts w:hint="eastAsia"/>
          <w:color w:val="auto"/>
          <w:highlight w:val="none"/>
          <w:vertAlign w:val="baseline"/>
          <w:lang w:val="en-US" w:eastAsia="zh-CN"/>
        </w:rPr>
        <w:t>。回填作业完成后覆盖砂砾层抑尘，覆盖层厚度5cm，面积约12000</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val="en-US" w:eastAsia="zh-CN"/>
        </w:rPr>
        <w:t>，覆盖砂砾层量600m</w:t>
      </w:r>
      <w:r>
        <w:rPr>
          <w:rFonts w:hint="eastAsia"/>
          <w:color w:val="auto"/>
          <w:highlight w:val="none"/>
          <w:vertAlign w:val="superscript"/>
          <w:lang w:val="en-US" w:eastAsia="zh-CN"/>
        </w:rPr>
        <w:t>3</w:t>
      </w:r>
      <w:r>
        <w:rPr>
          <w:rFonts w:hint="eastAsia"/>
          <w:color w:val="auto"/>
          <w:highlight w:val="none"/>
          <w:lang w:val="en-US" w:eastAsia="zh-CN"/>
        </w:rPr>
        <w:t>。填埋作业结束后，坑地标高提升约0.75m。</w:t>
      </w:r>
    </w:p>
    <w:p>
      <w:pPr>
        <w:pStyle w:val="4"/>
        <w:ind w:left="240" w:leftChars="100" w:firstLine="240" w:firstLineChars="100"/>
        <w:rPr>
          <w:rFonts w:hint="default"/>
          <w:color w:val="auto"/>
          <w:highlight w:val="none"/>
          <w:lang w:val="en-US" w:eastAsia="zh-CN"/>
        </w:rPr>
      </w:pPr>
      <w:r>
        <w:rPr>
          <w:rFonts w:hint="eastAsia"/>
          <w:color w:val="auto"/>
          <w:highlight w:val="none"/>
          <w:lang w:val="en-US" w:eastAsia="zh-CN"/>
        </w:rPr>
        <w:t>建设周期：2个月（2022年3月1日至2022年5月1日）。</w:t>
      </w:r>
    </w:p>
    <w:p>
      <w:pPr>
        <w:pStyle w:val="4"/>
        <w:rPr>
          <w:rFonts w:hint="eastAsia"/>
          <w:color w:val="auto"/>
          <w:highlight w:val="none"/>
          <w:lang w:val="en-US" w:eastAsia="zh-CN"/>
        </w:rPr>
      </w:pPr>
      <w:r>
        <w:rPr>
          <w:rFonts w:hint="eastAsia"/>
          <w:color w:val="auto"/>
          <w:highlight w:val="none"/>
          <w:lang w:val="en-US" w:eastAsia="zh-CN"/>
        </w:rPr>
        <w:t>劳动定员与工作制度：基础建设及回填作业劳动总定员20人，一班制，12h/班，工作时间60d。</w:t>
      </w:r>
    </w:p>
    <w:p>
      <w:pPr>
        <w:pStyle w:val="4"/>
        <w:rPr>
          <w:rFonts w:hint="eastAsia"/>
          <w:color w:val="auto"/>
          <w:highlight w:val="none"/>
          <w:lang w:val="en-US" w:eastAsia="zh-CN"/>
        </w:rPr>
      </w:pPr>
      <w:r>
        <w:rPr>
          <w:rFonts w:hint="eastAsia"/>
          <w:color w:val="auto"/>
          <w:highlight w:val="none"/>
          <w:lang w:val="en-US" w:eastAsia="zh-CN"/>
        </w:rPr>
        <w:t>服务范围和对象：处置本次非法倾倒的粉煤灰和炉渣。</w:t>
      </w:r>
    </w:p>
    <w:p>
      <w:pPr>
        <w:pStyle w:val="4"/>
        <w:rPr>
          <w:rFonts w:hint="eastAsia"/>
          <w:color w:val="auto"/>
          <w:highlight w:val="none"/>
          <w:lang w:val="en-US" w:eastAsia="zh-CN"/>
        </w:rPr>
      </w:pPr>
      <w:r>
        <w:rPr>
          <w:rFonts w:hint="eastAsia"/>
          <w:color w:val="auto"/>
          <w:highlight w:val="none"/>
          <w:lang w:val="en-US" w:eastAsia="zh-CN"/>
        </w:rPr>
        <w:t>本项目建设内容包括：进场道路、卸料平台、防渗工程、</w:t>
      </w:r>
      <w:r>
        <w:rPr>
          <w:rFonts w:hint="eastAsia"/>
          <w:lang w:val="en-US" w:eastAsia="zh-CN"/>
        </w:rPr>
        <w:t>防渗层渗漏监控系统、</w:t>
      </w:r>
      <w:r>
        <w:rPr>
          <w:rFonts w:hint="eastAsia"/>
          <w:color w:val="auto"/>
          <w:highlight w:val="none"/>
          <w:lang w:val="en-US" w:eastAsia="zh-CN"/>
        </w:rPr>
        <w:t>地下水监测井。</w:t>
      </w:r>
    </w:p>
    <w:p>
      <w:pPr>
        <w:pStyle w:val="5"/>
        <w:bidi w:val="0"/>
        <w:rPr>
          <w:color w:val="auto"/>
          <w:highlight w:val="none"/>
        </w:rPr>
      </w:pPr>
      <w:bookmarkStart w:id="81" w:name="_Toc15406"/>
      <w:r>
        <w:rPr>
          <w:rFonts w:hint="eastAsia"/>
          <w:color w:val="auto"/>
          <w:highlight w:val="none"/>
          <w:lang w:val="en-US" w:eastAsia="zh-CN"/>
        </w:rPr>
        <w:t>产业政策符合性</w:t>
      </w:r>
      <w:bookmarkEnd w:id="81"/>
    </w:p>
    <w:p>
      <w:pPr>
        <w:pStyle w:val="4"/>
        <w:rPr>
          <w:rFonts w:hint="eastAsia"/>
          <w:color w:val="auto"/>
          <w:highlight w:val="none"/>
        </w:rPr>
      </w:pPr>
      <w:r>
        <w:rPr>
          <w:rFonts w:hint="eastAsia"/>
          <w:color w:val="auto"/>
          <w:highlight w:val="none"/>
        </w:rPr>
        <w:t>根据《产业结构调整指导目录》（2019年本），本项目属于“鼓励类”中的“四十三、环境保护与资源节约综合利用”中的“1、矿山生态环境恢复工程”及“20、城镇垃圾、农村生活垃圾、农村生活污水、污泥及其他固体废弃物减量化、资源化、无害化处理和综合利用工程”，</w:t>
      </w:r>
      <w:r>
        <w:rPr>
          <w:rFonts w:hint="eastAsia"/>
          <w:color w:val="auto"/>
          <w:highlight w:val="none"/>
          <w:lang w:val="en-US" w:eastAsia="zh-CN"/>
        </w:rPr>
        <w:t>项目建设</w:t>
      </w:r>
      <w:r>
        <w:rPr>
          <w:rFonts w:hint="eastAsia"/>
          <w:color w:val="auto"/>
          <w:highlight w:val="none"/>
        </w:rPr>
        <w:t>符合国家产业政策。</w:t>
      </w:r>
    </w:p>
    <w:p>
      <w:pPr>
        <w:pStyle w:val="5"/>
        <w:bidi w:val="0"/>
        <w:rPr>
          <w:color w:val="auto"/>
          <w:highlight w:val="none"/>
        </w:rPr>
      </w:pPr>
      <w:bookmarkStart w:id="82" w:name="_Toc30859"/>
      <w:bookmarkStart w:id="83" w:name="_Toc8712"/>
      <w:r>
        <w:rPr>
          <w:rFonts w:hint="eastAsia"/>
          <w:color w:val="auto"/>
          <w:highlight w:val="none"/>
          <w:lang w:val="en-US" w:eastAsia="zh-CN"/>
        </w:rPr>
        <w:t>环境质量现状</w:t>
      </w:r>
      <w:bookmarkEnd w:id="82"/>
      <w:bookmarkEnd w:id="83"/>
    </w:p>
    <w:p>
      <w:pPr>
        <w:pStyle w:val="4"/>
        <w:bidi w:val="0"/>
        <w:rPr>
          <w:color w:val="auto"/>
          <w:highlight w:val="none"/>
        </w:rPr>
      </w:pPr>
      <w:r>
        <w:rPr>
          <w:rFonts w:hint="eastAsia"/>
          <w:color w:val="auto"/>
          <w:highlight w:val="none"/>
          <w:lang w:val="en-US" w:eastAsia="zh-CN"/>
        </w:rPr>
        <w:t>（1）大气环境质量现状</w:t>
      </w:r>
    </w:p>
    <w:p>
      <w:pPr>
        <w:pStyle w:val="4"/>
        <w:shd w:val="clear"/>
        <w:rPr>
          <w:rFonts w:hint="eastAsia"/>
          <w:color w:val="auto"/>
          <w:highlight w:val="none"/>
        </w:rPr>
      </w:pPr>
      <w:r>
        <w:rPr>
          <w:rFonts w:hint="eastAsia"/>
          <w:color w:val="auto"/>
          <w:highlight w:val="none"/>
          <w:lang w:val="en-US" w:eastAsia="zh-CN"/>
        </w:rPr>
        <w:t>项目所在区域</w:t>
      </w:r>
      <w:r>
        <w:rPr>
          <w:rFonts w:hint="eastAsia"/>
          <w:color w:val="auto"/>
          <w:highlight w:val="none"/>
        </w:rPr>
        <w:t>基本污染因子SO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lang w:val="en-US" w:eastAsia="zh-CN"/>
        </w:rPr>
        <w:t>的浓度满足</w:t>
      </w:r>
      <w:r>
        <w:rPr>
          <w:rFonts w:hint="eastAsia"/>
          <w:color w:val="auto"/>
          <w:highlight w:val="none"/>
        </w:rPr>
        <w:t>《环境空气质量标准》（</w:t>
      </w:r>
      <w:r>
        <w:rPr>
          <w:rFonts w:hint="eastAsia"/>
          <w:color w:val="auto"/>
          <w:highlight w:val="none"/>
          <w:lang w:eastAsia="zh-CN"/>
        </w:rPr>
        <w:t>GB</w:t>
      </w:r>
      <w:r>
        <w:rPr>
          <w:rFonts w:hint="eastAsia"/>
          <w:color w:val="auto"/>
          <w:highlight w:val="none"/>
        </w:rPr>
        <w:t>3095-2012）及</w:t>
      </w:r>
      <w:r>
        <w:rPr>
          <w:rFonts w:hint="eastAsia"/>
          <w:color w:val="auto"/>
          <w:highlight w:val="none"/>
          <w:lang w:val="en-US" w:eastAsia="zh-CN"/>
        </w:rPr>
        <w:t>其</w:t>
      </w:r>
      <w:r>
        <w:rPr>
          <w:rFonts w:hint="eastAsia"/>
          <w:color w:val="auto"/>
          <w:highlight w:val="none"/>
        </w:rPr>
        <w:t>修改单中二级标准</w:t>
      </w:r>
      <w:r>
        <w:rPr>
          <w:rFonts w:hint="eastAsia"/>
          <w:color w:val="auto"/>
          <w:highlight w:val="none"/>
          <w:lang w:val="en-US" w:eastAsia="zh-CN"/>
        </w:rPr>
        <w:t>要求，</w:t>
      </w:r>
      <w:r>
        <w:rPr>
          <w:rFonts w:hint="eastAsia"/>
          <w:color w:val="auto"/>
          <w:highlight w:val="none"/>
        </w:rPr>
        <w:t>基本污染因子PM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年平均浓度超标，超标倍数分别为</w:t>
      </w:r>
      <w:r>
        <w:rPr>
          <w:rFonts w:hint="eastAsia"/>
          <w:color w:val="auto"/>
          <w:highlight w:val="none"/>
          <w:lang w:val="en-US" w:eastAsia="zh-CN"/>
        </w:rPr>
        <w:t>0.27</w:t>
      </w:r>
      <w:r>
        <w:rPr>
          <w:rFonts w:hint="eastAsia"/>
          <w:color w:val="auto"/>
          <w:highlight w:val="none"/>
        </w:rPr>
        <w:t>和</w:t>
      </w:r>
      <w:r>
        <w:rPr>
          <w:rFonts w:hint="eastAsia"/>
          <w:color w:val="auto"/>
          <w:highlight w:val="none"/>
          <w:lang w:val="en-US" w:eastAsia="zh-CN"/>
        </w:rPr>
        <w:t>0.51</w:t>
      </w:r>
      <w:r>
        <w:rPr>
          <w:rFonts w:hint="eastAsia"/>
          <w:color w:val="auto"/>
          <w:highlight w:val="none"/>
        </w:rPr>
        <w:t>，主要原因为</w:t>
      </w:r>
      <w:r>
        <w:rPr>
          <w:rFonts w:hint="eastAsia"/>
          <w:color w:val="auto"/>
          <w:highlight w:val="none"/>
          <w:lang w:val="en-US" w:eastAsia="zh-CN"/>
        </w:rPr>
        <w:t>新疆大部分区域</w:t>
      </w:r>
      <w:r>
        <w:rPr>
          <w:rFonts w:hint="eastAsia"/>
          <w:color w:val="auto"/>
          <w:highlight w:val="none"/>
        </w:rPr>
        <w:t>干旱缺水，地表植被稀疏，地面干燥易起尘，受自然因素的影响比较明显，主要与当地自然气候有关。项目所在区域其它污染因子</w:t>
      </w:r>
      <w:r>
        <w:rPr>
          <w:rFonts w:hint="eastAsia"/>
          <w:color w:val="auto"/>
          <w:highlight w:val="none"/>
          <w:lang w:eastAsia="zh-CN"/>
        </w:rPr>
        <w:t>（</w:t>
      </w:r>
      <w:r>
        <w:rPr>
          <w:rFonts w:hint="eastAsia"/>
          <w:color w:val="auto"/>
          <w:highlight w:val="none"/>
          <w:lang w:val="en-US" w:eastAsia="zh-CN"/>
        </w:rPr>
        <w:t>TSP）监测期间</w:t>
      </w:r>
      <w:r>
        <w:rPr>
          <w:rFonts w:hint="eastAsia"/>
          <w:color w:val="auto"/>
          <w:highlight w:val="none"/>
        </w:rPr>
        <w:t>现状浓度满足</w:t>
      </w:r>
      <w:r>
        <w:rPr>
          <w:color w:val="auto"/>
          <w:highlight w:val="none"/>
        </w:rPr>
        <w:t>《</w:t>
      </w:r>
      <w:r>
        <w:rPr>
          <w:rFonts w:hint="eastAsia"/>
          <w:color w:val="auto"/>
          <w:highlight w:val="none"/>
          <w:lang w:val="en-US" w:eastAsia="zh-CN"/>
        </w:rPr>
        <w:t>环境影响评价技术导则 大气环境</w:t>
      </w:r>
      <w:r>
        <w:rPr>
          <w:color w:val="auto"/>
          <w:highlight w:val="none"/>
        </w:rPr>
        <w:t>》（</w:t>
      </w:r>
      <w:r>
        <w:rPr>
          <w:rFonts w:hint="eastAsia"/>
          <w:color w:val="auto"/>
          <w:highlight w:val="none"/>
          <w:lang w:val="en-US" w:eastAsia="zh-CN"/>
        </w:rPr>
        <w:t>HJ2.2-2018</w:t>
      </w:r>
      <w:r>
        <w:rPr>
          <w:color w:val="auto"/>
          <w:highlight w:val="none"/>
        </w:rPr>
        <w:t>）</w:t>
      </w:r>
      <w:r>
        <w:rPr>
          <w:rFonts w:hint="eastAsia"/>
          <w:color w:val="auto"/>
          <w:highlight w:val="none"/>
        </w:rPr>
        <w:t>要求。</w:t>
      </w:r>
    </w:p>
    <w:p>
      <w:pPr>
        <w:pStyle w:val="4"/>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2）地表水环境质量现状</w:t>
      </w:r>
    </w:p>
    <w:p>
      <w:pPr>
        <w:pStyle w:val="4"/>
        <w:rPr>
          <w:rFonts w:hint="eastAsia"/>
          <w:color w:val="auto"/>
          <w:highlight w:val="none"/>
          <w:lang w:val="en-US" w:eastAsia="zh-CN"/>
        </w:rPr>
      </w:pPr>
      <w:r>
        <w:rPr>
          <w:rFonts w:hint="eastAsia"/>
          <w:color w:val="auto"/>
          <w:highlight w:val="none"/>
          <w:lang w:val="en-US" w:eastAsia="zh-CN"/>
        </w:rPr>
        <w:t>距离本项目最近的地表水体为项目区西侧的达板河冲沟，距离本项目最近距离2.3km，根据《新疆水环境功能区划》，达板河并划定地表水环境功能。达坂</w:t>
      </w:r>
      <w:r>
        <w:rPr>
          <w:rFonts w:hint="eastAsia"/>
          <w:color w:val="auto"/>
          <w:highlight w:val="none"/>
        </w:rPr>
        <w:t>河发源于</w:t>
      </w:r>
      <w:r>
        <w:rPr>
          <w:rFonts w:hint="eastAsia"/>
          <w:color w:val="auto"/>
          <w:highlight w:val="none"/>
          <w:lang w:val="en-US" w:eastAsia="zh-CN"/>
        </w:rPr>
        <w:t>奇台县南侧博格达峰，消逝于平原，项目区处于达坂河发育末端，无常年性地表水体，暂时性暴雨时段会聚集少量暴雨径流，经强烈蒸发和地表入渗而干涸。现场调查期间，达板河从南侧山区向北侧平原流逝，断流点与本项目距离6km。</w:t>
      </w:r>
    </w:p>
    <w:p>
      <w:pPr>
        <w:pStyle w:val="4"/>
        <w:bidi w:val="0"/>
        <w:rPr>
          <w:rFonts w:hint="eastAsia"/>
          <w:color w:val="auto"/>
          <w:highlight w:val="none"/>
          <w:lang w:val="en-US" w:eastAsia="zh-CN"/>
        </w:rPr>
      </w:pPr>
      <w:r>
        <w:rPr>
          <w:rFonts w:hint="eastAsia"/>
          <w:color w:val="auto"/>
          <w:highlight w:val="none"/>
          <w:lang w:val="en-US" w:eastAsia="zh-CN"/>
        </w:rPr>
        <w:t>（3）地下水环境质量现状</w:t>
      </w:r>
    </w:p>
    <w:p>
      <w:pPr>
        <w:pStyle w:val="4"/>
        <w:rPr>
          <w:rFonts w:hint="eastAsia"/>
          <w:color w:val="auto"/>
          <w:highlight w:val="none"/>
          <w:lang w:val="en-US" w:eastAsia="zh-CN"/>
        </w:rPr>
      </w:pPr>
      <w:r>
        <w:rPr>
          <w:rFonts w:hint="eastAsia"/>
          <w:color w:val="auto"/>
          <w:highlight w:val="none"/>
          <w:lang w:val="en-US" w:eastAsia="zh-CN"/>
        </w:rPr>
        <w:t>项目区项目区地下水各污染因子均满足</w:t>
      </w:r>
      <w:r>
        <w:rPr>
          <w:color w:val="auto"/>
          <w:highlight w:val="none"/>
        </w:rPr>
        <w:t>《地</w:t>
      </w:r>
      <w:r>
        <w:rPr>
          <w:rFonts w:hint="eastAsia"/>
          <w:color w:val="auto"/>
          <w:highlight w:val="none"/>
        </w:rPr>
        <w:t>下</w:t>
      </w:r>
      <w:r>
        <w:rPr>
          <w:color w:val="auto"/>
          <w:highlight w:val="none"/>
        </w:rPr>
        <w:t>水环境质量标准》（</w:t>
      </w:r>
      <w:r>
        <w:rPr>
          <w:rFonts w:hint="eastAsia"/>
          <w:color w:val="auto"/>
          <w:highlight w:val="none"/>
          <w:lang w:eastAsia="zh-CN"/>
        </w:rPr>
        <w:t>GB</w:t>
      </w:r>
      <w:r>
        <w:rPr>
          <w:rFonts w:hint="eastAsia"/>
          <w:color w:val="auto"/>
          <w:highlight w:val="none"/>
        </w:rPr>
        <w:t>/T14848</w:t>
      </w:r>
      <w:r>
        <w:rPr>
          <w:color w:val="auto"/>
          <w:highlight w:val="none"/>
        </w:rPr>
        <w:t>-20</w:t>
      </w:r>
      <w:r>
        <w:rPr>
          <w:rFonts w:hint="eastAsia"/>
          <w:color w:val="auto"/>
          <w:highlight w:val="none"/>
        </w:rPr>
        <w:t>17</w:t>
      </w:r>
      <w:r>
        <w:rPr>
          <w:color w:val="auto"/>
          <w:highlight w:val="none"/>
        </w:rPr>
        <w:t>）中Ⅲ类标准</w:t>
      </w:r>
      <w:r>
        <w:rPr>
          <w:rFonts w:hint="eastAsia"/>
          <w:color w:val="auto"/>
          <w:highlight w:val="none"/>
          <w:lang w:eastAsia="zh-CN"/>
        </w:rPr>
        <w:t>，</w:t>
      </w:r>
      <w:r>
        <w:rPr>
          <w:rFonts w:hint="eastAsia"/>
          <w:color w:val="auto"/>
          <w:highlight w:val="none"/>
          <w:lang w:val="en-US" w:eastAsia="zh-CN"/>
        </w:rPr>
        <w:t>地下水环境质量较好</w:t>
      </w:r>
      <w:r>
        <w:rPr>
          <w:rFonts w:hint="eastAsia"/>
          <w:color w:val="auto"/>
          <w:highlight w:val="none"/>
          <w:lang w:eastAsia="zh-CN"/>
        </w:rPr>
        <w:t>。</w:t>
      </w:r>
    </w:p>
    <w:p>
      <w:pPr>
        <w:pStyle w:val="4"/>
        <w:bidi w:val="0"/>
        <w:rPr>
          <w:rFonts w:hint="eastAsia"/>
          <w:color w:val="auto"/>
          <w:highlight w:val="none"/>
          <w:lang w:val="en-US" w:eastAsia="zh-CN"/>
        </w:rPr>
      </w:pPr>
      <w:r>
        <w:rPr>
          <w:rFonts w:hint="eastAsia"/>
          <w:color w:val="auto"/>
          <w:highlight w:val="none"/>
          <w:lang w:val="en-US" w:eastAsia="zh-CN"/>
        </w:rPr>
        <w:t>（4）声环境质量现状</w:t>
      </w:r>
    </w:p>
    <w:p>
      <w:pPr>
        <w:pStyle w:val="4"/>
        <w:rPr>
          <w:rFonts w:hint="eastAsia"/>
          <w:color w:val="auto"/>
          <w:highlight w:val="none"/>
        </w:rPr>
      </w:pPr>
      <w:r>
        <w:rPr>
          <w:rFonts w:hint="eastAsia"/>
          <w:color w:val="auto"/>
          <w:highlight w:val="none"/>
        </w:rPr>
        <w:t>项目区域</w:t>
      </w:r>
      <w:r>
        <w:rPr>
          <w:rFonts w:hint="eastAsia"/>
          <w:color w:val="auto"/>
          <w:highlight w:val="none"/>
          <w:lang w:val="en-US" w:eastAsia="zh-CN"/>
        </w:rPr>
        <w:t>声环境现状</w:t>
      </w:r>
      <w:r>
        <w:rPr>
          <w:rFonts w:hint="eastAsia"/>
          <w:color w:val="auto"/>
          <w:highlight w:val="none"/>
        </w:rPr>
        <w:t>满足《声环境质量标准》（</w:t>
      </w:r>
      <w:r>
        <w:rPr>
          <w:rFonts w:hint="eastAsia"/>
          <w:color w:val="auto"/>
          <w:highlight w:val="none"/>
          <w:lang w:eastAsia="zh-CN"/>
        </w:rPr>
        <w:t>GB</w:t>
      </w:r>
      <w:r>
        <w:rPr>
          <w:rFonts w:hint="eastAsia"/>
          <w:color w:val="auto"/>
          <w:highlight w:val="none"/>
        </w:rPr>
        <w:t>3096-2008）</w:t>
      </w:r>
      <w:r>
        <w:rPr>
          <w:rFonts w:hint="eastAsia"/>
          <w:color w:val="auto"/>
          <w:highlight w:val="none"/>
          <w:lang w:val="en-US" w:eastAsia="zh-CN"/>
        </w:rPr>
        <w:t>2</w:t>
      </w:r>
      <w:r>
        <w:rPr>
          <w:rFonts w:hint="eastAsia"/>
          <w:color w:val="auto"/>
          <w:highlight w:val="none"/>
        </w:rPr>
        <w:t>类标准要求。</w:t>
      </w:r>
    </w:p>
    <w:p>
      <w:pPr>
        <w:pStyle w:val="4"/>
        <w:bidi w:val="0"/>
        <w:rPr>
          <w:rFonts w:hint="eastAsia"/>
          <w:color w:val="auto"/>
          <w:highlight w:val="none"/>
          <w:lang w:val="en-US" w:eastAsia="zh-CN"/>
        </w:rPr>
      </w:pPr>
      <w:r>
        <w:rPr>
          <w:rFonts w:hint="eastAsia"/>
          <w:color w:val="auto"/>
          <w:highlight w:val="none"/>
          <w:lang w:val="en-US" w:eastAsia="zh-CN"/>
        </w:rPr>
        <w:t>（5）土壤环境质量现状</w:t>
      </w:r>
    </w:p>
    <w:p>
      <w:pPr>
        <w:pStyle w:val="4"/>
        <w:rPr>
          <w:rFonts w:hint="eastAsia"/>
          <w:color w:val="auto"/>
          <w:highlight w:val="none"/>
          <w:lang w:val="en-US" w:eastAsia="zh-CN"/>
        </w:rPr>
      </w:pPr>
      <w:r>
        <w:rPr>
          <w:rFonts w:hint="eastAsia"/>
          <w:color w:val="auto"/>
          <w:highlight w:val="none"/>
          <w:lang w:val="en-US" w:eastAsia="zh-CN"/>
        </w:rPr>
        <w:t>场区内表层样和柱状样监测结果满足《土壤环境质量 建设用地土壤污染风险管控标准（试行）》（GB36600-2018）第二类工业用地筛选值。</w:t>
      </w:r>
    </w:p>
    <w:p>
      <w:pPr>
        <w:pStyle w:val="4"/>
        <w:bidi w:val="0"/>
        <w:rPr>
          <w:rFonts w:hint="default"/>
          <w:color w:val="auto"/>
          <w:highlight w:val="none"/>
          <w:lang w:val="en-US" w:eastAsia="zh-CN"/>
        </w:rPr>
      </w:pPr>
      <w:r>
        <w:rPr>
          <w:rFonts w:hint="eastAsia"/>
          <w:color w:val="auto"/>
          <w:highlight w:val="none"/>
          <w:lang w:val="en-US" w:eastAsia="zh-CN"/>
        </w:rPr>
        <w:t>（6）生态环境质量现状</w:t>
      </w:r>
    </w:p>
    <w:p>
      <w:pPr>
        <w:pStyle w:val="4"/>
        <w:ind w:firstLine="480"/>
        <w:rPr>
          <w:rFonts w:hint="eastAsia"/>
          <w:color w:val="auto"/>
          <w:highlight w:val="none"/>
          <w:lang w:val="en-US" w:eastAsia="zh-CN"/>
        </w:rPr>
      </w:pPr>
      <w:r>
        <w:rPr>
          <w:rFonts w:hint="eastAsia"/>
          <w:color w:val="auto"/>
          <w:highlight w:val="none"/>
        </w:rPr>
        <w:t>根据《新疆生态功能区划》，</w:t>
      </w:r>
      <w:r>
        <w:rPr>
          <w:rFonts w:hint="eastAsia"/>
          <w:color w:val="auto"/>
          <w:highlight w:val="none"/>
          <w:lang w:val="en-US" w:eastAsia="zh-CN"/>
        </w:rPr>
        <w:t>项目所在区域生态</w:t>
      </w:r>
      <w:r>
        <w:rPr>
          <w:rFonts w:hint="eastAsia"/>
          <w:color w:val="auto"/>
          <w:highlight w:val="none"/>
        </w:rPr>
        <w:t>功能区</w:t>
      </w:r>
      <w:r>
        <w:rPr>
          <w:rFonts w:hint="eastAsia"/>
          <w:color w:val="auto"/>
          <w:highlight w:val="none"/>
          <w:lang w:val="en-US" w:eastAsia="zh-CN"/>
        </w:rPr>
        <w:t>为“</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准噶尔盆地温性荒漠也绿洲农业生态区——</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准噶尔盆地南部荒漠绿洲农业生态亚区——28.阜康—木垒绿洲农业、荒漠草地保护生态功能区”。</w:t>
      </w:r>
    </w:p>
    <w:p>
      <w:pPr>
        <w:pStyle w:val="4"/>
        <w:ind w:firstLine="480"/>
        <w:rPr>
          <w:rFonts w:hint="eastAsia"/>
          <w:color w:val="auto"/>
          <w:highlight w:val="none"/>
        </w:rPr>
      </w:pPr>
      <w:r>
        <w:rPr>
          <w:rFonts w:hint="eastAsia"/>
          <w:color w:val="auto"/>
          <w:highlight w:val="none"/>
          <w:lang w:val="en-US" w:eastAsia="zh-CN"/>
        </w:rPr>
        <w:t>项目区位于国道G7高速公路南侧250m处，</w:t>
      </w:r>
      <w:r>
        <w:rPr>
          <w:rFonts w:hint="eastAsia"/>
          <w:color w:val="auto"/>
          <w:highlight w:val="none"/>
        </w:rPr>
        <w:t>承受一定的人类活动干扰。</w:t>
      </w:r>
      <w:r>
        <w:rPr>
          <w:rFonts w:hint="eastAsia"/>
          <w:color w:val="auto"/>
          <w:highlight w:val="none"/>
          <w:lang w:val="en-US" w:eastAsia="zh-CN"/>
        </w:rPr>
        <w:t>区域</w:t>
      </w:r>
      <w:r>
        <w:rPr>
          <w:rFonts w:hint="eastAsia"/>
          <w:color w:val="auto"/>
          <w:highlight w:val="none"/>
        </w:rPr>
        <w:t>林木主要是沿公路、街道两边分布的道路林，</w:t>
      </w:r>
      <w:r>
        <w:rPr>
          <w:rFonts w:hint="eastAsia"/>
          <w:color w:val="auto"/>
          <w:highlight w:val="none"/>
          <w:lang w:val="en-US" w:eastAsia="zh-CN"/>
        </w:rPr>
        <w:t>周边耕地</w:t>
      </w:r>
      <w:r>
        <w:rPr>
          <w:rFonts w:hint="eastAsia"/>
          <w:color w:val="auto"/>
          <w:highlight w:val="none"/>
          <w:lang w:eastAsia="zh-CN"/>
        </w:rPr>
        <w:t>主要植被类型以</w:t>
      </w:r>
      <w:r>
        <w:rPr>
          <w:rFonts w:hint="eastAsia"/>
          <w:color w:val="auto"/>
          <w:highlight w:val="none"/>
          <w:lang w:val="en-US" w:eastAsia="zh-CN"/>
        </w:rPr>
        <w:t>小麦</w:t>
      </w:r>
      <w:r>
        <w:rPr>
          <w:rFonts w:hint="eastAsia"/>
          <w:color w:val="auto"/>
          <w:highlight w:val="none"/>
          <w:lang w:eastAsia="zh-CN"/>
        </w:rPr>
        <w:t>、</w:t>
      </w:r>
      <w:r>
        <w:rPr>
          <w:rFonts w:hint="eastAsia"/>
          <w:color w:val="auto"/>
          <w:highlight w:val="none"/>
          <w:lang w:val="en-US" w:eastAsia="zh-CN"/>
        </w:rPr>
        <w:t>玉米等</w:t>
      </w:r>
      <w:r>
        <w:rPr>
          <w:rFonts w:hint="eastAsia"/>
          <w:color w:val="auto"/>
          <w:highlight w:val="none"/>
          <w:lang w:eastAsia="zh-CN"/>
        </w:rPr>
        <w:t>为主，</w:t>
      </w:r>
      <w:r>
        <w:rPr>
          <w:rFonts w:hint="eastAsia"/>
          <w:color w:val="auto"/>
          <w:highlight w:val="none"/>
          <w:lang w:val="en-US" w:eastAsia="zh-CN"/>
        </w:rPr>
        <w:t>其余地类为低覆盖度荒草地</w:t>
      </w:r>
      <w:r>
        <w:rPr>
          <w:rFonts w:hint="eastAsia"/>
          <w:color w:val="auto"/>
          <w:highlight w:val="none"/>
        </w:rPr>
        <w:t>。</w:t>
      </w:r>
      <w:r>
        <w:rPr>
          <w:rFonts w:hint="eastAsia"/>
          <w:color w:val="auto"/>
          <w:highlight w:val="none"/>
          <w:lang w:val="en-US" w:eastAsia="zh-CN"/>
        </w:rPr>
        <w:t>天然</w:t>
      </w:r>
      <w:r>
        <w:rPr>
          <w:rFonts w:hint="eastAsia"/>
          <w:color w:val="auto"/>
          <w:highlight w:val="none"/>
        </w:rPr>
        <w:t>植物稀疏，盖度约10%。</w:t>
      </w:r>
    </w:p>
    <w:p>
      <w:pPr>
        <w:pStyle w:val="4"/>
        <w:rPr>
          <w:rFonts w:hint="eastAsia"/>
          <w:color w:val="auto"/>
          <w:highlight w:val="yellow"/>
        </w:rPr>
      </w:pPr>
      <w:r>
        <w:rPr>
          <w:rFonts w:hint="eastAsia"/>
          <w:color w:val="auto"/>
          <w:highlight w:val="none"/>
          <w:lang w:val="en-US" w:eastAsia="zh-CN"/>
        </w:rPr>
        <w:t>项目区周边</w:t>
      </w:r>
      <w:r>
        <w:rPr>
          <w:rFonts w:hint="eastAsia"/>
          <w:color w:val="auto"/>
          <w:highlight w:val="none"/>
        </w:rPr>
        <w:t>野生动物较少，以多种昆虫居多，其次是鼠类，常见野生动物有喜鹊、麻雀、沙鼠等，区域内没有珍稀野生动植物，周边也没有生态敏感保护目标。</w:t>
      </w:r>
    </w:p>
    <w:p>
      <w:pPr>
        <w:pStyle w:val="5"/>
        <w:bidi w:val="0"/>
        <w:rPr>
          <w:color w:val="auto"/>
          <w:highlight w:val="none"/>
        </w:rPr>
      </w:pPr>
      <w:bookmarkStart w:id="84" w:name="_Toc18771"/>
      <w:bookmarkStart w:id="85" w:name="_Toc2108"/>
      <w:r>
        <w:rPr>
          <w:rFonts w:hint="eastAsia"/>
          <w:color w:val="auto"/>
          <w:highlight w:val="none"/>
          <w:lang w:val="en-US" w:eastAsia="zh-CN"/>
        </w:rPr>
        <w:t>污染物排放情况</w:t>
      </w:r>
      <w:bookmarkEnd w:id="84"/>
      <w:bookmarkEnd w:id="85"/>
    </w:p>
    <w:p>
      <w:pPr>
        <w:pStyle w:val="4"/>
        <w:rPr>
          <w:rFonts w:hint="eastAsia"/>
          <w:color w:val="auto"/>
          <w:highlight w:val="none"/>
          <w:lang w:val="en-US" w:eastAsia="zh-CN"/>
        </w:rPr>
      </w:pPr>
      <w:r>
        <w:rPr>
          <w:rFonts w:hint="eastAsia"/>
          <w:color w:val="auto"/>
          <w:highlight w:val="none"/>
          <w:lang w:val="en-US" w:eastAsia="zh-CN"/>
        </w:rPr>
        <w:t>本项目以治理现状灰渣为目的，不投入生产运营，施工期及填埋作业结束后污染物排放情况如下：</w:t>
      </w:r>
    </w:p>
    <w:p>
      <w:pPr>
        <w:pStyle w:val="4"/>
        <w:rPr>
          <w:rFonts w:hint="eastAsia"/>
          <w:color w:val="auto"/>
          <w:highlight w:val="none"/>
          <w:lang w:val="en-US" w:eastAsia="zh-CN"/>
        </w:rPr>
      </w:pPr>
      <w:r>
        <w:rPr>
          <w:rFonts w:hint="eastAsia"/>
          <w:color w:val="auto"/>
          <w:highlight w:val="none"/>
          <w:lang w:val="en-US" w:eastAsia="zh-CN"/>
        </w:rPr>
        <w:t>（1）废气</w:t>
      </w:r>
    </w:p>
    <w:p>
      <w:pPr>
        <w:pStyle w:val="4"/>
        <w:bidi w:val="0"/>
        <w:rPr>
          <w:rFonts w:hint="default" w:eastAsia="宋体"/>
          <w:color w:val="auto"/>
          <w:highlight w:val="none"/>
          <w:lang w:val="en-US" w:eastAsia="zh-CN"/>
        </w:rPr>
      </w:pPr>
      <w:r>
        <w:rPr>
          <w:rFonts w:hint="eastAsia"/>
          <w:color w:val="auto"/>
          <w:highlight w:val="none"/>
          <w:lang w:val="en-US" w:eastAsia="zh-CN"/>
        </w:rPr>
        <w:t>本项目废气主要为施工期扬尘，</w:t>
      </w:r>
      <w:r>
        <w:rPr>
          <w:color w:val="auto"/>
          <w:highlight w:val="none"/>
        </w:rPr>
        <w:t>扬尘污染</w:t>
      </w:r>
      <w:r>
        <w:rPr>
          <w:rFonts w:hint="eastAsia"/>
          <w:color w:val="auto"/>
          <w:highlight w:val="none"/>
        </w:rPr>
        <w:t>来</w:t>
      </w:r>
      <w:r>
        <w:rPr>
          <w:color w:val="auto"/>
          <w:highlight w:val="none"/>
        </w:rPr>
        <w:t>源主要</w:t>
      </w:r>
      <w:r>
        <w:rPr>
          <w:rFonts w:hint="eastAsia"/>
          <w:color w:val="auto"/>
          <w:highlight w:val="none"/>
        </w:rPr>
        <w:t>包括</w:t>
      </w:r>
      <w:r>
        <w:rPr>
          <w:rFonts w:hint="eastAsia"/>
          <w:color w:val="auto"/>
          <w:highlight w:val="none"/>
          <w:lang w:val="en-US" w:eastAsia="zh-CN"/>
        </w:rPr>
        <w:t>汽车动力起尘、</w:t>
      </w:r>
      <w:r>
        <w:rPr>
          <w:rFonts w:hint="eastAsia"/>
          <w:color w:val="auto"/>
          <w:highlight w:val="none"/>
        </w:rPr>
        <w:t>固废</w:t>
      </w:r>
      <w:r>
        <w:rPr>
          <w:color w:val="auto"/>
          <w:highlight w:val="none"/>
        </w:rPr>
        <w:t>卸车</w:t>
      </w:r>
      <w:r>
        <w:rPr>
          <w:rFonts w:hint="eastAsia"/>
          <w:color w:val="auto"/>
          <w:highlight w:val="none"/>
          <w:lang w:val="en-US" w:eastAsia="zh-CN"/>
        </w:rPr>
        <w:t>扬尘</w:t>
      </w:r>
      <w:r>
        <w:rPr>
          <w:rFonts w:hint="eastAsia"/>
          <w:color w:val="auto"/>
          <w:highlight w:val="none"/>
        </w:rPr>
        <w:t>、</w:t>
      </w:r>
      <w:r>
        <w:rPr>
          <w:rFonts w:hint="eastAsia"/>
          <w:color w:val="auto"/>
          <w:highlight w:val="none"/>
          <w:lang w:val="en-US" w:eastAsia="zh-CN"/>
        </w:rPr>
        <w:t>回填场地风力扬</w:t>
      </w:r>
      <w:r>
        <w:rPr>
          <w:color w:val="auto"/>
          <w:highlight w:val="none"/>
        </w:rPr>
        <w:t>尘</w:t>
      </w:r>
      <w:r>
        <w:rPr>
          <w:rFonts w:hint="eastAsia"/>
          <w:color w:val="auto"/>
          <w:highlight w:val="none"/>
          <w:lang w:eastAsia="zh-CN"/>
        </w:rPr>
        <w:t>，</w:t>
      </w:r>
      <w:r>
        <w:rPr>
          <w:rFonts w:hint="eastAsia"/>
          <w:color w:val="auto"/>
          <w:highlight w:val="none"/>
          <w:lang w:val="en-US" w:eastAsia="zh-CN"/>
        </w:rPr>
        <w:t>均为无组织排放</w:t>
      </w:r>
      <w:r>
        <w:rPr>
          <w:color w:val="auto"/>
          <w:highlight w:val="none"/>
        </w:rPr>
        <w:t>。</w:t>
      </w:r>
      <w:r>
        <w:rPr>
          <w:rFonts w:hint="eastAsia"/>
          <w:color w:val="auto"/>
          <w:highlight w:val="none"/>
          <w:lang w:val="en-US" w:eastAsia="zh-CN"/>
        </w:rPr>
        <w:t>施工作业及场地经洒水抑尘后，通过污染源源强核算，施工扬尘排放量为0.3803t/a。</w:t>
      </w:r>
    </w:p>
    <w:p>
      <w:pPr>
        <w:pStyle w:val="4"/>
        <w:ind w:firstLine="480"/>
        <w:textAlignment w:val="auto"/>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2）废水</w:t>
      </w:r>
    </w:p>
    <w:p>
      <w:pPr>
        <w:pStyle w:val="4"/>
        <w:rPr>
          <w:rFonts w:hint="eastAsia"/>
          <w:color w:val="auto"/>
          <w:highlight w:val="none"/>
        </w:rPr>
      </w:pPr>
      <w:r>
        <w:rPr>
          <w:rFonts w:hint="eastAsia"/>
          <w:color w:val="auto"/>
          <w:highlight w:val="none"/>
        </w:rPr>
        <w:t>施工期</w:t>
      </w:r>
      <w:r>
        <w:rPr>
          <w:rFonts w:hint="eastAsia"/>
          <w:color w:val="auto"/>
          <w:highlight w:val="none"/>
          <w:lang w:val="en-US" w:eastAsia="zh-CN"/>
        </w:rPr>
        <w:t>场地平整及防渗层建设不产生生产废水，施工人员生活依托周围村庄，不产生生活污水。</w:t>
      </w:r>
    </w:p>
    <w:p>
      <w:pPr>
        <w:pStyle w:val="4"/>
        <w:ind w:firstLine="480"/>
        <w:textAlignment w:val="auto"/>
        <w:rPr>
          <w:rFonts w:hint="eastAsia"/>
          <w:color w:val="auto"/>
          <w:highlight w:val="none"/>
          <w:lang w:val="en-US" w:eastAsia="zh-CN"/>
        </w:rPr>
      </w:pPr>
      <w:r>
        <w:rPr>
          <w:rFonts w:hint="eastAsia"/>
          <w:color w:val="auto"/>
          <w:highlight w:val="none"/>
          <w:lang w:val="en-US" w:eastAsia="zh-CN"/>
        </w:rPr>
        <w:t>（3）噪声</w:t>
      </w:r>
    </w:p>
    <w:p>
      <w:pPr>
        <w:pStyle w:val="4"/>
        <w:rPr>
          <w:rFonts w:hint="eastAsia"/>
          <w:color w:val="auto"/>
          <w:highlight w:val="none"/>
          <w:lang w:val="en-US" w:eastAsia="zh-CN"/>
        </w:rPr>
      </w:pPr>
      <w:r>
        <w:rPr>
          <w:rFonts w:hint="eastAsia"/>
          <w:color w:val="auto"/>
          <w:highlight w:val="none"/>
          <w:lang w:val="en-US" w:eastAsia="zh-CN"/>
        </w:rPr>
        <w:t>项目运营期主要噪声污染源是转运车辆和填埋设备，如灰渣装载车、推土机、压路机等，根据《环境噪声与振动控制工程技术导则》（HJ2034-2013），其声压级范围在80~90dB（A）之间。</w:t>
      </w:r>
    </w:p>
    <w:p>
      <w:pPr>
        <w:pStyle w:val="4"/>
        <w:ind w:firstLine="480"/>
        <w:textAlignment w:val="auto"/>
        <w:rPr>
          <w:rFonts w:hint="eastAsia"/>
          <w:color w:val="auto"/>
          <w:highlight w:val="none"/>
          <w:lang w:val="en-US" w:eastAsia="zh-CN"/>
        </w:rPr>
      </w:pPr>
      <w:r>
        <w:rPr>
          <w:rFonts w:hint="eastAsia"/>
          <w:color w:val="auto"/>
          <w:highlight w:val="none"/>
          <w:lang w:val="en-US" w:eastAsia="zh-CN"/>
        </w:rPr>
        <w:t>（4）固体废物</w:t>
      </w:r>
    </w:p>
    <w:p>
      <w:pPr>
        <w:pStyle w:val="4"/>
        <w:ind w:firstLine="480"/>
        <w:rPr>
          <w:color w:val="auto"/>
          <w:highlight w:val="none"/>
        </w:rPr>
      </w:pPr>
      <w:r>
        <w:rPr>
          <w:rFonts w:hint="eastAsia"/>
          <w:color w:val="auto"/>
          <w:highlight w:val="none"/>
        </w:rPr>
        <w:t>施工期的固废主要为生活垃圾、施工土石方及建筑垃圾。</w:t>
      </w:r>
    </w:p>
    <w:p>
      <w:pPr>
        <w:pStyle w:val="4"/>
        <w:ind w:firstLine="480"/>
        <w:rPr>
          <w:rFonts w:hint="eastAsia"/>
          <w:color w:val="auto"/>
          <w:highlight w:val="none"/>
        </w:rPr>
      </w:pPr>
      <w:r>
        <w:rPr>
          <w:rFonts w:hint="eastAsia"/>
          <w:color w:val="auto"/>
          <w:highlight w:val="none"/>
        </w:rPr>
        <w:t>本项目施工期生活垃圾产生总量</w:t>
      </w:r>
      <w:r>
        <w:rPr>
          <w:rFonts w:hint="eastAsia"/>
          <w:color w:val="auto"/>
          <w:highlight w:val="none"/>
          <w:lang w:val="en-US" w:eastAsia="zh-CN"/>
        </w:rPr>
        <w:t>1.2</w:t>
      </w:r>
      <w:r>
        <w:rPr>
          <w:rFonts w:hint="eastAsia"/>
          <w:color w:val="auto"/>
          <w:highlight w:val="none"/>
        </w:rPr>
        <w:t>t。</w:t>
      </w:r>
      <w:r>
        <w:rPr>
          <w:rFonts w:hint="eastAsia"/>
          <w:color w:val="auto"/>
          <w:highlight w:val="none"/>
          <w:lang w:val="en-US" w:eastAsia="zh-CN"/>
        </w:rPr>
        <w:t>根据土石方平衡分析，无弃土产生。</w:t>
      </w:r>
      <w:r>
        <w:rPr>
          <w:rFonts w:hint="eastAsia"/>
          <w:color w:val="auto"/>
          <w:highlight w:val="none"/>
        </w:rPr>
        <w:t>施工期产生的建筑垃圾</w:t>
      </w:r>
      <w:r>
        <w:rPr>
          <w:rFonts w:hint="eastAsia"/>
          <w:color w:val="auto"/>
          <w:highlight w:val="none"/>
          <w:lang w:val="en-US" w:eastAsia="zh-CN"/>
        </w:rPr>
        <w:t>为废土工膜</w:t>
      </w:r>
      <w:r>
        <w:rPr>
          <w:rFonts w:hint="eastAsia"/>
          <w:color w:val="auto"/>
          <w:highlight w:val="none"/>
        </w:rPr>
        <w:t>，产生量约</w:t>
      </w:r>
      <w:r>
        <w:rPr>
          <w:rFonts w:hint="eastAsia"/>
          <w:color w:val="auto"/>
          <w:highlight w:val="none"/>
          <w:lang w:val="en-US" w:eastAsia="zh-CN"/>
        </w:rPr>
        <w:t>2</w:t>
      </w:r>
      <w:r>
        <w:rPr>
          <w:rFonts w:hint="eastAsia"/>
          <w:color w:val="auto"/>
          <w:highlight w:val="none"/>
        </w:rPr>
        <w:t>t。</w:t>
      </w:r>
    </w:p>
    <w:p>
      <w:pPr>
        <w:pStyle w:val="5"/>
        <w:bidi w:val="0"/>
        <w:rPr>
          <w:color w:val="auto"/>
          <w:highlight w:val="none"/>
        </w:rPr>
      </w:pPr>
      <w:bookmarkStart w:id="86" w:name="_Toc19648"/>
      <w:bookmarkStart w:id="87" w:name="_Toc24994"/>
      <w:r>
        <w:rPr>
          <w:rFonts w:hint="eastAsia"/>
          <w:color w:val="auto"/>
          <w:highlight w:val="none"/>
          <w:lang w:val="en-US" w:eastAsia="zh-CN"/>
        </w:rPr>
        <w:t>主要环境保护措施及影响</w:t>
      </w:r>
      <w:bookmarkEnd w:id="86"/>
      <w:bookmarkEnd w:id="87"/>
    </w:p>
    <w:p>
      <w:pPr>
        <w:pStyle w:val="7"/>
        <w:bidi w:val="0"/>
        <w:rPr>
          <w:rFonts w:hint="eastAsia"/>
          <w:color w:val="auto"/>
          <w:highlight w:val="none"/>
          <w:lang w:val="en-US" w:eastAsia="zh-CN"/>
        </w:rPr>
      </w:pPr>
      <w:r>
        <w:rPr>
          <w:rFonts w:hint="eastAsia"/>
          <w:color w:val="auto"/>
          <w:highlight w:val="none"/>
          <w:lang w:val="en-US" w:eastAsia="zh-CN"/>
        </w:rPr>
        <w:t>大气环境</w:t>
      </w:r>
    </w:p>
    <w:p>
      <w:pPr>
        <w:pStyle w:val="4"/>
        <w:ind w:firstLine="480"/>
        <w:rPr>
          <w:rFonts w:hint="eastAsia"/>
          <w:color w:val="auto"/>
          <w:highlight w:val="none"/>
        </w:rPr>
      </w:pPr>
      <w:r>
        <w:rPr>
          <w:rFonts w:hint="eastAsia"/>
          <w:color w:val="auto"/>
          <w:highlight w:val="none"/>
        </w:rPr>
        <w:t>本项目运营期无组织排放的</w:t>
      </w:r>
      <w:r>
        <w:rPr>
          <w:rFonts w:hint="eastAsia"/>
          <w:color w:val="auto"/>
          <w:highlight w:val="none"/>
          <w:lang w:val="en-US" w:eastAsia="zh-CN"/>
        </w:rPr>
        <w:t>TSP</w:t>
      </w:r>
      <w:r>
        <w:rPr>
          <w:rFonts w:hint="eastAsia"/>
          <w:color w:val="auto"/>
          <w:highlight w:val="none"/>
        </w:rPr>
        <w:t>厂界处满足</w:t>
      </w:r>
      <w:r>
        <w:rPr>
          <w:color w:val="auto"/>
          <w:highlight w:val="none"/>
        </w:rPr>
        <w:t>《大气污染物综合排放标准》（GB16297-1996）</w:t>
      </w:r>
      <w:r>
        <w:rPr>
          <w:rFonts w:hint="eastAsia"/>
          <w:color w:val="auto"/>
          <w:highlight w:val="none"/>
        </w:rPr>
        <w:t>二级</w:t>
      </w:r>
      <w:r>
        <w:rPr>
          <w:rFonts w:hint="eastAsia"/>
          <w:color w:val="auto"/>
          <w:highlight w:val="none"/>
          <w:lang w:val="en-US" w:eastAsia="zh-CN"/>
        </w:rPr>
        <w:t>标准</w:t>
      </w:r>
      <w:r>
        <w:rPr>
          <w:rFonts w:hint="eastAsia"/>
          <w:color w:val="auto"/>
          <w:highlight w:val="none"/>
        </w:rPr>
        <w:t>要求。无组织排放的颗粒物</w:t>
      </w:r>
      <w:r>
        <w:rPr>
          <w:color w:val="auto"/>
          <w:highlight w:val="none"/>
        </w:rPr>
        <w:t>最大落地浓度</w:t>
      </w:r>
      <w:r>
        <w:rPr>
          <w:rFonts w:hint="eastAsia"/>
          <w:color w:val="auto"/>
          <w:highlight w:val="none"/>
        </w:rPr>
        <w:t>满足《环境空气质量标准》（GB3095-2012）及修改单</w:t>
      </w:r>
      <w:r>
        <w:rPr>
          <w:color w:val="auto"/>
          <w:highlight w:val="none"/>
        </w:rPr>
        <w:t>二级</w:t>
      </w:r>
      <w:r>
        <w:rPr>
          <w:rFonts w:hint="eastAsia"/>
          <w:color w:val="auto"/>
          <w:highlight w:val="none"/>
        </w:rPr>
        <w:t>要求。</w:t>
      </w:r>
      <w:r>
        <w:rPr>
          <w:color w:val="auto"/>
          <w:highlight w:val="none"/>
        </w:rPr>
        <w:t>项目</w:t>
      </w:r>
      <w:r>
        <w:rPr>
          <w:rFonts w:hint="eastAsia"/>
          <w:color w:val="auto"/>
          <w:highlight w:val="none"/>
        </w:rPr>
        <w:t>无组织</w:t>
      </w:r>
      <w:r>
        <w:rPr>
          <w:color w:val="auto"/>
          <w:highlight w:val="none"/>
        </w:rPr>
        <w:t>排放的</w:t>
      </w:r>
      <w:r>
        <w:rPr>
          <w:rFonts w:hint="eastAsia"/>
          <w:color w:val="auto"/>
          <w:highlight w:val="none"/>
        </w:rPr>
        <w:t>废气特征污染物（颗粒物）不同距离处</w:t>
      </w:r>
      <w:r>
        <w:rPr>
          <w:color w:val="auto"/>
          <w:highlight w:val="none"/>
        </w:rPr>
        <w:t>预测浓度占标率均低于10</w:t>
      </w:r>
      <w:r>
        <w:rPr>
          <w:rFonts w:hint="eastAsia"/>
          <w:color w:val="auto"/>
          <w:highlight w:val="none"/>
        </w:rPr>
        <w:t>%</w:t>
      </w:r>
      <w:r>
        <w:rPr>
          <w:color w:val="auto"/>
          <w:highlight w:val="none"/>
        </w:rPr>
        <w:t>，对区域大气环境质量</w:t>
      </w:r>
      <w:r>
        <w:rPr>
          <w:rFonts w:hint="eastAsia"/>
          <w:color w:val="auto"/>
          <w:highlight w:val="none"/>
        </w:rPr>
        <w:t>影响</w:t>
      </w:r>
      <w:r>
        <w:rPr>
          <w:color w:val="auto"/>
          <w:highlight w:val="none"/>
        </w:rPr>
        <w:t>较小</w:t>
      </w:r>
      <w:r>
        <w:rPr>
          <w:rFonts w:hint="eastAsia"/>
          <w:color w:val="auto"/>
          <w:highlight w:val="none"/>
        </w:rPr>
        <w:t>。</w:t>
      </w:r>
      <w:r>
        <w:rPr>
          <w:rFonts w:hint="eastAsia"/>
          <w:color w:val="auto"/>
          <w:highlight w:val="none"/>
          <w:lang w:val="en-US" w:eastAsia="zh-CN"/>
        </w:rPr>
        <w:t>各村庄与项目最大距离均大于最大落地点浓度的距离，</w:t>
      </w:r>
      <w:r>
        <w:rPr>
          <w:rFonts w:hint="eastAsia"/>
          <w:color w:val="auto"/>
          <w:highlight w:val="none"/>
        </w:rPr>
        <w:t>项目运营期无组织排放的</w:t>
      </w:r>
      <w:r>
        <w:rPr>
          <w:rFonts w:hint="eastAsia"/>
          <w:color w:val="auto"/>
          <w:highlight w:val="none"/>
          <w:lang w:val="en-US" w:eastAsia="zh-CN"/>
        </w:rPr>
        <w:t>颗粒物</w:t>
      </w:r>
      <w:r>
        <w:rPr>
          <w:rFonts w:hint="eastAsia"/>
          <w:color w:val="auto"/>
          <w:highlight w:val="none"/>
        </w:rPr>
        <w:t>对</w:t>
      </w:r>
      <w:r>
        <w:rPr>
          <w:rFonts w:hint="eastAsia"/>
          <w:color w:val="auto"/>
          <w:highlight w:val="none"/>
          <w:lang w:val="en-US" w:eastAsia="zh-CN"/>
        </w:rPr>
        <w:t>周围评价范围内居住区</w:t>
      </w:r>
      <w:r>
        <w:rPr>
          <w:rFonts w:hint="eastAsia"/>
          <w:color w:val="auto"/>
          <w:highlight w:val="none"/>
        </w:rPr>
        <w:t>的影响较小。</w:t>
      </w:r>
    </w:p>
    <w:p>
      <w:pPr>
        <w:pStyle w:val="4"/>
        <w:ind w:firstLine="480"/>
        <w:rPr>
          <w:color w:val="auto"/>
          <w:highlight w:val="none"/>
        </w:rPr>
      </w:pPr>
      <w:r>
        <w:rPr>
          <w:rFonts w:hint="eastAsia"/>
          <w:color w:val="auto"/>
          <w:highlight w:val="none"/>
        </w:rPr>
        <w:t>综上所述，</w:t>
      </w:r>
      <w:r>
        <w:rPr>
          <w:rFonts w:hint="eastAsia"/>
          <w:color w:val="auto"/>
          <w:highlight w:val="none"/>
          <w:lang w:val="en-US" w:eastAsia="zh-CN"/>
        </w:rPr>
        <w:t>在采取洒水抑尘、压实覆盖等措施后，</w:t>
      </w:r>
      <w:r>
        <w:rPr>
          <w:rFonts w:hint="eastAsia"/>
          <w:color w:val="auto"/>
          <w:highlight w:val="none"/>
        </w:rPr>
        <w:t>本项目</w:t>
      </w:r>
      <w:r>
        <w:rPr>
          <w:color w:val="auto"/>
          <w:highlight w:val="none"/>
        </w:rPr>
        <w:t>正常排放情况下对周边环境空气不会造成明显不良影响。</w:t>
      </w:r>
    </w:p>
    <w:p>
      <w:pPr>
        <w:pStyle w:val="7"/>
        <w:bidi w:val="0"/>
        <w:rPr>
          <w:rFonts w:hint="eastAsia"/>
          <w:color w:val="auto"/>
          <w:highlight w:val="none"/>
          <w:lang w:val="en-US" w:eastAsia="zh-CN"/>
        </w:rPr>
      </w:pPr>
      <w:r>
        <w:rPr>
          <w:rFonts w:hint="eastAsia"/>
          <w:color w:val="auto"/>
          <w:highlight w:val="none"/>
          <w:lang w:val="en-US" w:eastAsia="zh-CN"/>
        </w:rPr>
        <w:t>地下水环境</w:t>
      </w:r>
    </w:p>
    <w:p>
      <w:pPr>
        <w:pStyle w:val="4"/>
        <w:ind w:firstLine="480"/>
        <w:rPr>
          <w:rFonts w:hint="eastAsia"/>
          <w:color w:val="auto"/>
          <w:highlight w:val="none"/>
          <w:lang w:eastAsia="zh-CN"/>
        </w:rPr>
      </w:pPr>
      <w:r>
        <w:rPr>
          <w:color w:val="auto"/>
          <w:highlight w:val="none"/>
        </w:rPr>
        <w:t>在假定</w:t>
      </w:r>
      <w:r>
        <w:rPr>
          <w:rFonts w:hint="eastAsia"/>
          <w:color w:val="auto"/>
          <w:highlight w:val="none"/>
          <w:lang w:val="en-US" w:eastAsia="zh-CN"/>
        </w:rPr>
        <w:t>填埋堆体防渗层老化、破裂导致雨水渗滤液全部进入地下水的情</w:t>
      </w:r>
      <w:r>
        <w:rPr>
          <w:color w:val="auto"/>
          <w:highlight w:val="none"/>
        </w:rPr>
        <w:t>况下，</w:t>
      </w:r>
      <w:r>
        <w:rPr>
          <w:rFonts w:hint="eastAsia"/>
          <w:color w:val="auto"/>
          <w:highlight w:val="none"/>
          <w:lang w:val="en-US" w:eastAsia="zh-CN"/>
        </w:rPr>
        <w:t>下游区域始终</w:t>
      </w:r>
      <w:r>
        <w:rPr>
          <w:rFonts w:hint="eastAsia"/>
          <w:color w:val="auto"/>
          <w:highlight w:val="none"/>
        </w:rPr>
        <w:t>未出现超标，</w:t>
      </w:r>
      <w:r>
        <w:rPr>
          <w:rFonts w:hint="eastAsia"/>
          <w:color w:val="auto"/>
          <w:highlight w:val="none"/>
          <w:lang w:val="en-US" w:eastAsia="zh-CN"/>
        </w:rPr>
        <w:t>满足《地下水质量标准》（GB/T14848-2017）</w:t>
      </w:r>
      <w:r>
        <w:rPr>
          <w:rFonts w:hint="default" w:ascii="Times New Roman" w:hAnsi="Times New Roman" w:cs="Times New Roman"/>
          <w:color w:val="auto"/>
          <w:highlight w:val="none"/>
          <w:lang w:val="en-US" w:eastAsia="zh-CN"/>
        </w:rPr>
        <w:t>Ⅲ</w:t>
      </w:r>
      <w:r>
        <w:rPr>
          <w:rFonts w:hint="eastAsia"/>
          <w:color w:val="auto"/>
          <w:highlight w:val="none"/>
          <w:lang w:val="en-US" w:eastAsia="zh-CN"/>
        </w:rPr>
        <w:t>类标准要求，</w:t>
      </w:r>
      <w:r>
        <w:rPr>
          <w:color w:val="auto"/>
          <w:highlight w:val="none"/>
        </w:rPr>
        <w:t>在预测期</w:t>
      </w:r>
      <w:r>
        <w:rPr>
          <w:rFonts w:hint="eastAsia"/>
          <w:color w:val="auto"/>
          <w:highlight w:val="none"/>
        </w:rPr>
        <w:t>3650d</w:t>
      </w:r>
      <w:r>
        <w:rPr>
          <w:color w:val="auto"/>
          <w:highlight w:val="none"/>
        </w:rPr>
        <w:t>内泄漏废水污染物影响范围主要集中在地下水下游距泄漏点</w:t>
      </w:r>
      <w:r>
        <w:rPr>
          <w:rFonts w:hint="eastAsia"/>
          <w:color w:val="auto"/>
          <w:highlight w:val="none"/>
          <w:lang w:val="en-US" w:eastAsia="zh-CN"/>
        </w:rPr>
        <w:t>2400</w:t>
      </w:r>
      <w:r>
        <w:rPr>
          <w:color w:val="auto"/>
          <w:highlight w:val="none"/>
        </w:rPr>
        <w:t>m范围内，</w:t>
      </w:r>
      <w:r>
        <w:rPr>
          <w:rFonts w:hint="eastAsia"/>
          <w:color w:val="auto"/>
          <w:highlight w:val="none"/>
        </w:rPr>
        <w:t>该</w:t>
      </w:r>
      <w:r>
        <w:rPr>
          <w:color w:val="auto"/>
          <w:highlight w:val="none"/>
        </w:rPr>
        <w:t>范围内无居民饮用水</w:t>
      </w:r>
      <w:r>
        <w:rPr>
          <w:rFonts w:hint="eastAsia"/>
          <w:color w:val="auto"/>
          <w:highlight w:val="none"/>
        </w:rPr>
        <w:t>取水</w:t>
      </w:r>
      <w:r>
        <w:rPr>
          <w:color w:val="auto"/>
          <w:highlight w:val="none"/>
        </w:rPr>
        <w:t>井</w:t>
      </w:r>
      <w:r>
        <w:rPr>
          <w:rFonts w:hint="eastAsia"/>
          <w:color w:val="auto"/>
          <w:highlight w:val="none"/>
          <w:lang w:eastAsia="zh-CN"/>
        </w:rPr>
        <w:t>。</w:t>
      </w:r>
    </w:p>
    <w:p>
      <w:pPr>
        <w:pStyle w:val="4"/>
        <w:ind w:firstLine="480"/>
        <w:rPr>
          <w:color w:val="auto"/>
          <w:highlight w:val="none"/>
        </w:rPr>
      </w:pPr>
      <w:r>
        <w:rPr>
          <w:rFonts w:hint="eastAsia"/>
          <w:color w:val="auto"/>
          <w:highlight w:val="none"/>
        </w:rPr>
        <w:t>项目正常和非正常工况下对地下水环境的影响较小，在</w:t>
      </w:r>
      <w:r>
        <w:rPr>
          <w:rFonts w:hint="eastAsia"/>
          <w:color w:val="auto"/>
          <w:highlight w:val="none"/>
          <w:lang w:val="en-US" w:eastAsia="zh-CN"/>
        </w:rPr>
        <w:t>建设防渗层并对地下水进行定期监测的情况下，</w:t>
      </w:r>
      <w:r>
        <w:rPr>
          <w:rFonts w:hint="eastAsia"/>
          <w:color w:val="auto"/>
          <w:highlight w:val="none"/>
        </w:rPr>
        <w:t>地下水污染在可控范围内</w:t>
      </w:r>
      <w:r>
        <w:rPr>
          <w:rFonts w:hint="eastAsia"/>
          <w:color w:val="auto"/>
          <w:highlight w:val="none"/>
          <w:lang w:eastAsia="zh-CN"/>
        </w:rPr>
        <w:t>，</w:t>
      </w:r>
      <w:r>
        <w:rPr>
          <w:rFonts w:hint="eastAsia"/>
          <w:color w:val="auto"/>
          <w:highlight w:val="none"/>
          <w:lang w:val="en-US" w:eastAsia="zh-CN"/>
        </w:rPr>
        <w:t>对地下水环境影响可接受</w:t>
      </w:r>
      <w:r>
        <w:rPr>
          <w:rFonts w:hint="eastAsia"/>
          <w:color w:val="auto"/>
          <w:highlight w:val="none"/>
        </w:rPr>
        <w:t>。</w:t>
      </w:r>
    </w:p>
    <w:p>
      <w:pPr>
        <w:pStyle w:val="7"/>
        <w:bidi w:val="0"/>
        <w:rPr>
          <w:rFonts w:hint="default"/>
          <w:color w:val="auto"/>
          <w:highlight w:val="none"/>
          <w:lang w:val="en-US" w:eastAsia="zh-CN"/>
        </w:rPr>
      </w:pPr>
      <w:r>
        <w:rPr>
          <w:rFonts w:hint="eastAsia"/>
          <w:color w:val="auto"/>
          <w:highlight w:val="none"/>
          <w:lang w:val="en-US" w:eastAsia="zh-CN"/>
        </w:rPr>
        <w:t>声环境</w:t>
      </w:r>
    </w:p>
    <w:p>
      <w:pPr>
        <w:pStyle w:val="4"/>
        <w:rPr>
          <w:color w:val="auto"/>
          <w:highlight w:val="none"/>
        </w:rPr>
      </w:pPr>
      <w:r>
        <w:rPr>
          <w:rFonts w:hint="eastAsia"/>
          <w:color w:val="auto"/>
          <w:highlight w:val="none"/>
          <w:lang w:val="en-US" w:eastAsia="zh-CN"/>
        </w:rPr>
        <w:t>根据预测结果，</w:t>
      </w:r>
      <w:r>
        <w:rPr>
          <w:color w:val="auto"/>
          <w:highlight w:val="none"/>
        </w:rPr>
        <w:t>厂界噪声昼</w:t>
      </w:r>
      <w:r>
        <w:rPr>
          <w:rFonts w:hint="eastAsia"/>
          <w:color w:val="auto"/>
          <w:highlight w:val="none"/>
          <w:lang w:val="en-US" w:eastAsia="zh-CN"/>
        </w:rPr>
        <w:t>间、</w:t>
      </w:r>
      <w:r>
        <w:rPr>
          <w:rFonts w:hint="eastAsia"/>
          <w:color w:val="auto"/>
          <w:highlight w:val="none"/>
        </w:rPr>
        <w:t>夜</w:t>
      </w:r>
      <w:r>
        <w:rPr>
          <w:rFonts w:hint="eastAsia"/>
          <w:color w:val="auto"/>
          <w:highlight w:val="none"/>
          <w:lang w:val="en-US" w:eastAsia="zh-CN"/>
        </w:rPr>
        <w:t>间</w:t>
      </w:r>
      <w:r>
        <w:rPr>
          <w:rFonts w:hint="eastAsia"/>
          <w:color w:val="auto"/>
          <w:highlight w:val="none"/>
        </w:rPr>
        <w:t>均</w:t>
      </w:r>
      <w:r>
        <w:rPr>
          <w:color w:val="auto"/>
          <w:highlight w:val="none"/>
        </w:rPr>
        <w:t>满足</w:t>
      </w:r>
      <w:r>
        <w:rPr>
          <w:rFonts w:hint="default"/>
        </w:rPr>
        <w:t>《建筑施工场界环境噪声排放标准》（</w:t>
      </w:r>
      <w:r>
        <w:rPr>
          <w:rFonts w:hint="eastAsia"/>
          <w:lang w:eastAsia="zh-CN"/>
        </w:rPr>
        <w:t>GB</w:t>
      </w:r>
      <w:r>
        <w:rPr>
          <w:rFonts w:hint="default"/>
        </w:rPr>
        <w:t>12523-2011）</w:t>
      </w:r>
      <w:r>
        <w:rPr>
          <w:color w:val="auto"/>
          <w:highlight w:val="none"/>
        </w:rPr>
        <w:t>标准要求</w:t>
      </w:r>
      <w:r>
        <w:rPr>
          <w:rFonts w:hint="eastAsia"/>
          <w:color w:val="auto"/>
          <w:highlight w:val="none"/>
          <w:lang w:eastAsia="zh-CN"/>
        </w:rPr>
        <w:t>，</w:t>
      </w:r>
      <w:r>
        <w:rPr>
          <w:rFonts w:hint="eastAsia"/>
          <w:color w:val="auto"/>
          <w:highlight w:val="none"/>
          <w:lang w:val="en-US" w:eastAsia="zh-CN"/>
        </w:rPr>
        <w:t>项目区周边200m范围内无声环境敏感目标</w:t>
      </w:r>
      <w:r>
        <w:rPr>
          <w:color w:val="auto"/>
          <w:highlight w:val="none"/>
        </w:rPr>
        <w:t>。</w:t>
      </w:r>
      <w:r>
        <w:rPr>
          <w:rFonts w:hint="eastAsia"/>
          <w:color w:val="auto"/>
          <w:highlight w:val="none"/>
        </w:rPr>
        <w:t>本项目运营期噪声</w:t>
      </w:r>
      <w:r>
        <w:rPr>
          <w:color w:val="auto"/>
          <w:highlight w:val="none"/>
        </w:rPr>
        <w:t>对周围环境噪声影响</w:t>
      </w:r>
      <w:r>
        <w:rPr>
          <w:rFonts w:hint="eastAsia"/>
          <w:color w:val="auto"/>
          <w:highlight w:val="none"/>
          <w:lang w:val="en-US" w:eastAsia="zh-CN"/>
        </w:rPr>
        <w:t>可以接受</w:t>
      </w:r>
      <w:r>
        <w:rPr>
          <w:color w:val="auto"/>
          <w:highlight w:val="none"/>
        </w:rPr>
        <w:t>。</w:t>
      </w:r>
    </w:p>
    <w:p>
      <w:pPr>
        <w:pStyle w:val="7"/>
        <w:bidi w:val="0"/>
        <w:rPr>
          <w:color w:val="auto"/>
          <w:highlight w:val="none"/>
        </w:rPr>
      </w:pPr>
      <w:r>
        <w:rPr>
          <w:rFonts w:hint="eastAsia"/>
          <w:color w:val="auto"/>
          <w:highlight w:val="none"/>
          <w:lang w:val="en-US" w:eastAsia="zh-CN"/>
        </w:rPr>
        <w:t>固体废物</w:t>
      </w:r>
    </w:p>
    <w:p>
      <w:pPr>
        <w:pStyle w:val="4"/>
        <w:bidi w:val="0"/>
        <w:rPr>
          <w:rFonts w:hint="eastAsia"/>
          <w:color w:val="auto"/>
          <w:highlight w:val="none"/>
          <w:lang w:val="en-US" w:eastAsia="zh-CN"/>
        </w:rPr>
      </w:pPr>
      <w:r>
        <w:rPr>
          <w:rFonts w:hint="eastAsia"/>
          <w:color w:val="auto"/>
          <w:highlight w:val="none"/>
          <w:lang w:val="en-US" w:eastAsia="zh-CN"/>
        </w:rPr>
        <w:t>生活垃圾集中收集后统一清运至奇台县生活垃圾填埋场卫生填埋。</w:t>
      </w:r>
    </w:p>
    <w:p>
      <w:pPr>
        <w:pStyle w:val="4"/>
        <w:pageBreakBefore w:val="0"/>
        <w:kinsoku/>
        <w:wordWrap/>
        <w:overflowPunct/>
        <w:topLinePunct w:val="0"/>
        <w:bidi w:val="0"/>
        <w:rPr>
          <w:rFonts w:hint="eastAsia"/>
          <w:color w:val="auto"/>
          <w:highlight w:val="none"/>
          <w:lang w:val="en-US" w:eastAsia="zh-CN"/>
        </w:rPr>
      </w:pPr>
      <w:r>
        <w:rPr>
          <w:rFonts w:hint="eastAsia"/>
          <w:color w:val="auto"/>
          <w:highlight w:val="none"/>
          <w:lang w:val="en-US" w:eastAsia="zh-CN"/>
        </w:rPr>
        <w:t>项目本身为固体废物治理环保工程，项目建设对固体废物环境影响方面利大于弊。</w:t>
      </w:r>
    </w:p>
    <w:p>
      <w:pPr>
        <w:pStyle w:val="7"/>
        <w:bidi w:val="0"/>
        <w:rPr>
          <w:color w:val="auto"/>
          <w:highlight w:val="none"/>
        </w:rPr>
      </w:pPr>
      <w:r>
        <w:rPr>
          <w:rFonts w:hint="eastAsia"/>
          <w:color w:val="auto"/>
          <w:highlight w:val="none"/>
          <w:lang w:val="en-US" w:eastAsia="zh-CN"/>
        </w:rPr>
        <w:t>土壤环境</w:t>
      </w:r>
    </w:p>
    <w:p>
      <w:pPr>
        <w:pStyle w:val="4"/>
        <w:rPr>
          <w:rFonts w:hint="eastAsia"/>
          <w:color w:val="auto"/>
          <w:highlight w:val="none"/>
          <w:lang w:val="en-US" w:eastAsia="zh-CN"/>
        </w:rPr>
      </w:pPr>
      <w:r>
        <w:rPr>
          <w:rFonts w:hint="eastAsia"/>
          <w:color w:val="auto"/>
          <w:highlight w:val="none"/>
          <w:lang w:val="en-US" w:eastAsia="zh-CN"/>
        </w:rPr>
        <w:t>本项目所填埋废物为煤化工、电厂产生的粉煤灰、炉渣，对土壤影响途径为大气沉降和垂直入渗。项目运营期在采取一系列洒水降尘、控制作业面积、及时压实等废气治理措施后，扬尘大气沉降作用对评价范围内土壤环境的影响极小，可满足《土壤环境质量 农用地土壤污染风险管控标准（试行）》（GB36600-2018）筛选值要求。粉煤灰、炉渣属第</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类一般工业固体废物。项目对可能产生的垂直入渗污染影响区域进行了防渗处理，防渗效果满足《一般工业固体废物贮存和填埋污染控制标准》（GB18599-2020）中</w:t>
      </w:r>
      <w:r>
        <w:rPr>
          <w:rFonts w:hint="default" w:ascii="Times New Roman" w:hAnsi="Times New Roman" w:cs="Times New Roman"/>
          <w:color w:val="auto"/>
          <w:highlight w:val="none"/>
          <w:lang w:val="en-US" w:eastAsia="zh-CN"/>
        </w:rPr>
        <w:t>Ⅱ</w:t>
      </w:r>
      <w:r>
        <w:rPr>
          <w:rFonts w:hint="eastAsia"/>
          <w:color w:val="auto"/>
          <w:highlight w:val="none"/>
          <w:lang w:val="en-US" w:eastAsia="zh-CN"/>
        </w:rPr>
        <w:t>类场相关要求。</w:t>
      </w:r>
    </w:p>
    <w:p>
      <w:pPr>
        <w:pStyle w:val="4"/>
        <w:ind w:firstLine="480"/>
        <w:rPr>
          <w:rFonts w:hint="eastAsia"/>
          <w:color w:val="auto"/>
          <w:highlight w:val="none"/>
          <w:lang w:val="en-US" w:eastAsia="zh-CN"/>
        </w:rPr>
      </w:pPr>
      <w:r>
        <w:rPr>
          <w:rFonts w:hint="eastAsia"/>
          <w:color w:val="auto"/>
          <w:highlight w:val="none"/>
          <w:lang w:val="en-US" w:eastAsia="zh-CN"/>
        </w:rPr>
        <w:t>综合以上分析，本项目</w:t>
      </w:r>
      <w:r>
        <w:rPr>
          <w:rFonts w:hint="eastAsia"/>
          <w:color w:val="auto"/>
          <w:highlight w:val="none"/>
        </w:rPr>
        <w:t>在做好</w:t>
      </w:r>
      <w:r>
        <w:rPr>
          <w:rFonts w:hint="eastAsia"/>
          <w:color w:val="auto"/>
          <w:highlight w:val="none"/>
          <w:lang w:val="en-US" w:eastAsia="zh-CN"/>
        </w:rPr>
        <w:t>大气扬尘污染防控、填埋区</w:t>
      </w:r>
      <w:r>
        <w:rPr>
          <w:rFonts w:hint="eastAsia"/>
          <w:color w:val="auto"/>
          <w:highlight w:val="none"/>
        </w:rPr>
        <w:t>防渗</w:t>
      </w:r>
      <w:r>
        <w:rPr>
          <w:rFonts w:hint="eastAsia"/>
          <w:color w:val="auto"/>
          <w:highlight w:val="none"/>
          <w:lang w:eastAsia="zh-CN"/>
        </w:rPr>
        <w:t>、</w:t>
      </w:r>
      <w:r>
        <w:rPr>
          <w:rFonts w:hint="eastAsia"/>
          <w:color w:val="auto"/>
          <w:highlight w:val="none"/>
          <w:lang w:val="en-US" w:eastAsia="zh-CN"/>
        </w:rPr>
        <w:t>风险防范</w:t>
      </w:r>
      <w:r>
        <w:rPr>
          <w:rFonts w:hint="eastAsia"/>
          <w:color w:val="auto"/>
          <w:highlight w:val="none"/>
        </w:rPr>
        <w:t>和</w:t>
      </w:r>
      <w:r>
        <w:rPr>
          <w:rFonts w:hint="eastAsia"/>
          <w:color w:val="auto"/>
          <w:highlight w:val="none"/>
          <w:lang w:val="en-US" w:eastAsia="zh-CN"/>
        </w:rPr>
        <w:t>日常</w:t>
      </w:r>
      <w:r>
        <w:rPr>
          <w:rFonts w:hint="eastAsia"/>
          <w:color w:val="auto"/>
          <w:highlight w:val="none"/>
        </w:rPr>
        <w:t>环境管理的基础上，本项目的</w:t>
      </w:r>
      <w:r>
        <w:rPr>
          <w:rFonts w:hint="eastAsia"/>
          <w:color w:val="auto"/>
          <w:highlight w:val="none"/>
          <w:lang w:val="en-US" w:eastAsia="zh-CN"/>
        </w:rPr>
        <w:t>大气沉降及垂直入渗对</w:t>
      </w:r>
      <w:r>
        <w:rPr>
          <w:rFonts w:hint="eastAsia"/>
          <w:color w:val="auto"/>
          <w:highlight w:val="none"/>
        </w:rPr>
        <w:t>土壤环境影响可</w:t>
      </w:r>
      <w:r>
        <w:rPr>
          <w:rFonts w:hint="eastAsia"/>
          <w:color w:val="auto"/>
          <w:highlight w:val="none"/>
          <w:lang w:val="en-US" w:eastAsia="zh-CN"/>
        </w:rPr>
        <w:t>以</w:t>
      </w:r>
      <w:r>
        <w:rPr>
          <w:rFonts w:hint="eastAsia"/>
          <w:color w:val="auto"/>
          <w:highlight w:val="none"/>
        </w:rPr>
        <w:t>接受</w:t>
      </w:r>
      <w:r>
        <w:rPr>
          <w:rFonts w:hint="eastAsia"/>
          <w:color w:val="auto"/>
          <w:highlight w:val="none"/>
          <w:lang w:eastAsia="zh-CN"/>
        </w:rPr>
        <w:t>。</w:t>
      </w:r>
    </w:p>
    <w:p>
      <w:pPr>
        <w:pStyle w:val="7"/>
        <w:bidi w:val="0"/>
        <w:rPr>
          <w:rFonts w:hint="eastAsia"/>
          <w:color w:val="auto"/>
          <w:highlight w:val="none"/>
          <w:lang w:val="en-US" w:eastAsia="zh-CN"/>
        </w:rPr>
      </w:pPr>
      <w:r>
        <w:rPr>
          <w:rFonts w:hint="eastAsia"/>
          <w:color w:val="auto"/>
          <w:highlight w:val="none"/>
          <w:lang w:val="en-US" w:eastAsia="zh-CN"/>
        </w:rPr>
        <w:t>环境风险</w:t>
      </w:r>
    </w:p>
    <w:p>
      <w:pPr>
        <w:pStyle w:val="4"/>
        <w:bidi w:val="0"/>
        <w:rPr>
          <w:rFonts w:hint="eastAsia"/>
          <w:color w:val="auto"/>
          <w:highlight w:val="none"/>
        </w:rPr>
      </w:pPr>
      <w:r>
        <w:rPr>
          <w:rFonts w:hint="eastAsia"/>
          <w:color w:val="auto"/>
          <w:highlight w:val="none"/>
        </w:rPr>
        <w:t>本项目</w:t>
      </w:r>
      <w:r>
        <w:rPr>
          <w:rFonts w:hint="eastAsia"/>
          <w:color w:val="auto"/>
          <w:highlight w:val="none"/>
          <w:lang w:val="en-US" w:eastAsia="zh-CN"/>
        </w:rPr>
        <w:t>主要产生的环境风险为</w:t>
      </w:r>
      <w:r>
        <w:rPr>
          <w:rFonts w:hint="eastAsia"/>
          <w:color w:val="auto"/>
          <w:highlight w:val="none"/>
        </w:rPr>
        <w:t>填埋场渗滤液发生泄漏，进而污染地下水。</w:t>
      </w:r>
    </w:p>
    <w:p>
      <w:pPr>
        <w:pStyle w:val="4"/>
        <w:ind w:firstLine="480"/>
        <w:rPr>
          <w:rFonts w:hint="eastAsia"/>
          <w:color w:val="auto"/>
          <w:highlight w:val="none"/>
        </w:rPr>
      </w:pPr>
      <w:r>
        <w:rPr>
          <w:rFonts w:hint="eastAsia"/>
          <w:color w:val="auto"/>
          <w:highlight w:val="none"/>
          <w:lang w:val="en-US" w:eastAsia="zh-CN"/>
        </w:rPr>
        <w:t>通过定性分析典型事故对环境造成的风险影响程度，</w:t>
      </w:r>
      <w:r>
        <w:rPr>
          <w:rFonts w:hint="eastAsia"/>
          <w:color w:val="auto"/>
          <w:highlight w:val="none"/>
        </w:rPr>
        <w:t>针对本项目</w:t>
      </w:r>
      <w:r>
        <w:rPr>
          <w:rFonts w:hint="eastAsia"/>
          <w:color w:val="auto"/>
          <w:highlight w:val="none"/>
          <w:lang w:val="en-US" w:eastAsia="zh-CN"/>
        </w:rPr>
        <w:t>可能造成</w:t>
      </w:r>
      <w:r>
        <w:rPr>
          <w:rFonts w:hint="eastAsia"/>
          <w:color w:val="auto"/>
          <w:highlight w:val="none"/>
        </w:rPr>
        <w:t>的各类风险</w:t>
      </w:r>
      <w:r>
        <w:rPr>
          <w:rFonts w:hint="eastAsia"/>
          <w:color w:val="auto"/>
          <w:highlight w:val="none"/>
          <w:lang w:val="en-US" w:eastAsia="zh-CN"/>
        </w:rPr>
        <w:t>事故</w:t>
      </w:r>
      <w:r>
        <w:rPr>
          <w:rFonts w:hint="eastAsia"/>
          <w:color w:val="auto"/>
          <w:highlight w:val="none"/>
        </w:rPr>
        <w:t>，提出了相关预防及应急</w:t>
      </w:r>
      <w:r>
        <w:rPr>
          <w:rFonts w:hint="eastAsia"/>
          <w:color w:val="auto"/>
          <w:highlight w:val="none"/>
          <w:lang w:val="en-US" w:eastAsia="zh-CN"/>
        </w:rPr>
        <w:t>管理</w:t>
      </w:r>
      <w:r>
        <w:rPr>
          <w:rFonts w:hint="eastAsia"/>
          <w:color w:val="auto"/>
          <w:highlight w:val="none"/>
        </w:rPr>
        <w:t>措施，</w:t>
      </w:r>
      <w:r>
        <w:rPr>
          <w:rFonts w:hint="eastAsia"/>
          <w:color w:val="auto"/>
          <w:highlight w:val="none"/>
          <w:lang w:val="en-US" w:eastAsia="zh-CN"/>
        </w:rPr>
        <w:t>企业应</w:t>
      </w:r>
      <w:r>
        <w:rPr>
          <w:rFonts w:hint="eastAsia"/>
          <w:color w:val="auto"/>
          <w:highlight w:val="none"/>
        </w:rPr>
        <w:t>在加强生产</w:t>
      </w:r>
      <w:r>
        <w:rPr>
          <w:rFonts w:hint="eastAsia"/>
          <w:color w:val="auto"/>
          <w:highlight w:val="none"/>
          <w:lang w:val="en-US" w:eastAsia="zh-CN"/>
        </w:rPr>
        <w:t>环境</w:t>
      </w:r>
      <w:r>
        <w:rPr>
          <w:rFonts w:hint="eastAsia"/>
          <w:color w:val="auto"/>
          <w:highlight w:val="none"/>
        </w:rPr>
        <w:t>管理的</w:t>
      </w:r>
      <w:r>
        <w:rPr>
          <w:rFonts w:hint="eastAsia"/>
          <w:color w:val="auto"/>
          <w:highlight w:val="none"/>
          <w:lang w:val="en-US" w:eastAsia="zh-CN"/>
        </w:rPr>
        <w:t>前提</w:t>
      </w:r>
      <w:r>
        <w:rPr>
          <w:rFonts w:hint="eastAsia"/>
          <w:color w:val="auto"/>
          <w:highlight w:val="none"/>
        </w:rPr>
        <w:t>下，严格</w:t>
      </w:r>
      <w:r>
        <w:rPr>
          <w:rFonts w:hint="eastAsia"/>
          <w:color w:val="auto"/>
          <w:highlight w:val="none"/>
          <w:lang w:val="en-US" w:eastAsia="zh-CN"/>
        </w:rPr>
        <w:t>执行风险</w:t>
      </w:r>
      <w:r>
        <w:rPr>
          <w:rFonts w:hint="eastAsia"/>
          <w:color w:val="auto"/>
          <w:highlight w:val="none"/>
        </w:rPr>
        <w:t>防范措施</w:t>
      </w:r>
      <w:r>
        <w:rPr>
          <w:rFonts w:hint="eastAsia"/>
          <w:color w:val="auto"/>
          <w:highlight w:val="none"/>
          <w:lang w:eastAsia="zh-CN"/>
        </w:rPr>
        <w:t>，</w:t>
      </w:r>
      <w:r>
        <w:rPr>
          <w:rFonts w:hint="eastAsia"/>
          <w:color w:val="auto"/>
          <w:highlight w:val="none"/>
          <w:lang w:val="en-US" w:eastAsia="zh-CN"/>
        </w:rPr>
        <w:t>加强事故应急演练</w:t>
      </w:r>
      <w:r>
        <w:rPr>
          <w:rFonts w:hint="eastAsia"/>
          <w:color w:val="auto"/>
          <w:highlight w:val="none"/>
        </w:rPr>
        <w:t>，认真落实相关环保规定。在采取上述措施后，本项目环境风险影响程度可接受。</w:t>
      </w:r>
    </w:p>
    <w:p>
      <w:pPr>
        <w:pStyle w:val="5"/>
        <w:bidi w:val="0"/>
        <w:rPr>
          <w:color w:val="FF0000"/>
          <w:highlight w:val="none"/>
        </w:rPr>
      </w:pPr>
      <w:bookmarkStart w:id="88" w:name="_Toc6417"/>
      <w:r>
        <w:rPr>
          <w:rFonts w:hint="eastAsia"/>
          <w:color w:val="FF0000"/>
          <w:highlight w:val="none"/>
          <w:lang w:val="en-US" w:eastAsia="zh-CN"/>
        </w:rPr>
        <w:t>公众意见采纳情况</w:t>
      </w:r>
      <w:bookmarkEnd w:id="88"/>
    </w:p>
    <w:p>
      <w:pPr>
        <w:pStyle w:val="4"/>
        <w:ind w:firstLine="480"/>
        <w:rPr>
          <w:rFonts w:hint="eastAsia"/>
          <w:color w:val="FF0000"/>
          <w:highlight w:val="none"/>
        </w:rPr>
      </w:pPr>
      <w:r>
        <w:rPr>
          <w:rFonts w:hint="eastAsia"/>
          <w:color w:val="FF0000"/>
        </w:rPr>
        <w:t>20</w:t>
      </w:r>
      <w:r>
        <w:rPr>
          <w:rFonts w:hint="eastAsia"/>
          <w:color w:val="FF0000"/>
          <w:lang w:val="en-US" w:eastAsia="zh-CN"/>
        </w:rPr>
        <w:t>21</w:t>
      </w:r>
      <w:r>
        <w:rPr>
          <w:rFonts w:hint="eastAsia"/>
          <w:color w:val="FF0000"/>
        </w:rPr>
        <w:t>年</w:t>
      </w:r>
      <w:r>
        <w:rPr>
          <w:rFonts w:hint="eastAsia"/>
          <w:color w:val="FF0000"/>
          <w:lang w:val="en-US" w:eastAsia="zh-CN"/>
        </w:rPr>
        <w:t>10</w:t>
      </w:r>
      <w:r>
        <w:rPr>
          <w:rFonts w:hint="eastAsia"/>
          <w:color w:val="FF0000"/>
        </w:rPr>
        <w:t>月</w:t>
      </w:r>
      <w:r>
        <w:rPr>
          <w:rFonts w:hint="eastAsia"/>
          <w:color w:val="FF0000"/>
          <w:lang w:val="en-US" w:eastAsia="zh-CN"/>
        </w:rPr>
        <w:t>15日</w:t>
      </w:r>
      <w:r>
        <w:rPr>
          <w:rFonts w:hint="eastAsia"/>
          <w:color w:val="FF0000"/>
        </w:rPr>
        <w:t>，</w:t>
      </w:r>
      <w:r>
        <w:rPr>
          <w:rFonts w:hint="eastAsia"/>
          <w:color w:val="FF0000"/>
          <w:lang w:eastAsia="zh-CN"/>
        </w:rPr>
        <w:t>奇台县瑞丰商贸有限公司</w:t>
      </w:r>
      <w:r>
        <w:rPr>
          <w:rFonts w:hint="eastAsia"/>
          <w:color w:val="FF0000"/>
        </w:rPr>
        <w:t>（以下简称“我公司”）委托新疆新疆天蓝蓝环保技术服务有限公司（以下简称“环评单位”）承担“</w:t>
      </w:r>
      <w:r>
        <w:rPr>
          <w:rFonts w:hint="eastAsia"/>
          <w:color w:val="FF0000"/>
          <w:lang w:eastAsia="zh-CN"/>
        </w:rPr>
        <w:t>灰渣倾倒地块治理项目</w:t>
      </w:r>
      <w:r>
        <w:rPr>
          <w:rFonts w:hint="eastAsia"/>
          <w:color w:val="FF0000"/>
        </w:rPr>
        <w:t>”</w:t>
      </w:r>
      <w:r>
        <w:rPr>
          <w:rFonts w:hint="eastAsia"/>
          <w:color w:val="FF0000"/>
          <w:lang w:eastAsia="zh-CN"/>
        </w:rPr>
        <w:t>（</w:t>
      </w:r>
      <w:r>
        <w:rPr>
          <w:rFonts w:hint="eastAsia"/>
          <w:color w:val="FF0000"/>
          <w:lang w:val="en-US" w:eastAsia="zh-CN"/>
        </w:rPr>
        <w:t>以下简称“建设项目”）</w:t>
      </w:r>
      <w:r>
        <w:rPr>
          <w:rFonts w:hint="eastAsia"/>
          <w:color w:val="FF0000"/>
        </w:rPr>
        <w:t>环境影响评价工作。</w:t>
      </w:r>
      <w:r>
        <w:rPr>
          <w:rFonts w:hint="eastAsia"/>
          <w:color w:val="FF0000"/>
          <w:lang w:val="en-US" w:eastAsia="zh-CN"/>
        </w:rPr>
        <w:t>根据</w:t>
      </w:r>
      <w:r>
        <w:rPr>
          <w:rFonts w:hint="eastAsia"/>
          <w:color w:val="FF0000"/>
        </w:rPr>
        <w:t>《中华人民共和国环境影响评价法》</w:t>
      </w:r>
      <w:r>
        <w:rPr>
          <w:rFonts w:hint="eastAsia"/>
          <w:color w:val="FF0000"/>
          <w:lang w:eastAsia="zh-CN"/>
        </w:rPr>
        <w:t>（</w:t>
      </w:r>
      <w:r>
        <w:rPr>
          <w:rFonts w:hint="eastAsia"/>
          <w:color w:val="FF0000"/>
          <w:lang w:val="en-US" w:eastAsia="zh-CN"/>
        </w:rPr>
        <w:t>2018年12月29日修正）和</w:t>
      </w:r>
      <w:r>
        <w:rPr>
          <w:rFonts w:hint="eastAsia"/>
          <w:color w:val="FF0000"/>
        </w:rPr>
        <w:t>《环境影响评价公众参与办法》（</w:t>
      </w:r>
      <w:r>
        <w:rPr>
          <w:rFonts w:hint="eastAsia"/>
          <w:color w:val="FF0000"/>
          <w:lang w:val="en-US" w:eastAsia="zh-CN"/>
        </w:rPr>
        <w:t>2019年1月1日</w:t>
      </w:r>
      <w:r>
        <w:rPr>
          <w:rFonts w:hint="eastAsia"/>
          <w:color w:val="FF0000"/>
        </w:rPr>
        <w:t>）</w:t>
      </w:r>
      <w:r>
        <w:rPr>
          <w:rFonts w:hint="eastAsia"/>
          <w:color w:val="FF0000"/>
          <w:lang w:eastAsia="zh-CN"/>
        </w:rPr>
        <w:t>（</w:t>
      </w:r>
      <w:r>
        <w:rPr>
          <w:rFonts w:hint="eastAsia"/>
          <w:color w:val="FF0000"/>
          <w:lang w:val="en-US" w:eastAsia="zh-CN"/>
        </w:rPr>
        <w:t>以下简称“《办法》”）</w:t>
      </w:r>
      <w:r>
        <w:rPr>
          <w:rFonts w:hint="eastAsia"/>
          <w:color w:val="FF0000"/>
        </w:rPr>
        <w:t>中相关规定，</w:t>
      </w:r>
      <w:r>
        <w:rPr>
          <w:rFonts w:hint="eastAsia"/>
          <w:color w:val="FF0000"/>
          <w:lang w:val="en-US" w:eastAsia="zh-CN"/>
        </w:rPr>
        <w:t>我公司</w:t>
      </w:r>
      <w:r>
        <w:rPr>
          <w:rFonts w:hint="eastAsia"/>
          <w:color w:val="FF0000"/>
        </w:rPr>
        <w:t>于</w:t>
      </w:r>
      <w:r>
        <w:rPr>
          <w:rFonts w:hint="eastAsia"/>
          <w:color w:val="FF0000"/>
          <w:lang w:eastAsia="zh-CN"/>
        </w:rPr>
        <w:t>2021年</w:t>
      </w:r>
      <w:r>
        <w:rPr>
          <w:rFonts w:hint="eastAsia"/>
          <w:color w:val="FF0000"/>
          <w:lang w:val="en-US" w:eastAsia="zh-CN"/>
        </w:rPr>
        <w:t>10</w:t>
      </w:r>
      <w:r>
        <w:rPr>
          <w:rFonts w:hint="eastAsia"/>
          <w:color w:val="FF0000"/>
          <w:lang w:eastAsia="zh-CN"/>
        </w:rPr>
        <w:t>月</w:t>
      </w:r>
      <w:r>
        <w:rPr>
          <w:rFonts w:hint="eastAsia"/>
          <w:color w:val="FF0000"/>
          <w:lang w:val="en-US" w:eastAsia="zh-CN"/>
        </w:rPr>
        <w:t>18</w:t>
      </w:r>
      <w:r>
        <w:rPr>
          <w:rFonts w:hint="eastAsia"/>
          <w:color w:val="FF0000"/>
          <w:lang w:eastAsia="zh-CN"/>
        </w:rPr>
        <w:t>日</w:t>
      </w:r>
      <w:r>
        <w:rPr>
          <w:rFonts w:hint="eastAsia"/>
          <w:color w:val="FF0000"/>
        </w:rPr>
        <w:t>在</w:t>
      </w:r>
      <w:r>
        <w:rPr>
          <w:rFonts w:hint="eastAsia"/>
          <w:color w:val="FF0000"/>
          <w:lang w:eastAsia="zh-CN"/>
        </w:rPr>
        <w:t>新疆维吾尔自治区生态环境保护产业协会网站</w:t>
      </w:r>
      <w:r>
        <w:rPr>
          <w:rFonts w:hint="eastAsia"/>
          <w:color w:val="FF0000"/>
          <w:lang w:val="en-US" w:eastAsia="zh-CN"/>
        </w:rPr>
        <w:t>对建设项目环境影响评价信息</w:t>
      </w:r>
      <w:r>
        <w:rPr>
          <w:rFonts w:hint="eastAsia"/>
          <w:color w:val="FF0000"/>
        </w:rPr>
        <w:t>进行</w:t>
      </w:r>
      <w:r>
        <w:rPr>
          <w:rFonts w:hint="eastAsia"/>
          <w:color w:val="FF0000"/>
          <w:lang w:val="en-US" w:eastAsia="zh-CN"/>
        </w:rPr>
        <w:t>了</w:t>
      </w:r>
      <w:r>
        <w:rPr>
          <w:rFonts w:hint="eastAsia"/>
          <w:color w:val="FF0000"/>
        </w:rPr>
        <w:t>首次公</w:t>
      </w:r>
      <w:r>
        <w:rPr>
          <w:rFonts w:hint="eastAsia"/>
          <w:color w:val="FF0000"/>
          <w:lang w:val="en-US" w:eastAsia="zh-CN"/>
        </w:rPr>
        <w:t>开</w:t>
      </w:r>
      <w:r>
        <w:rPr>
          <w:rFonts w:hint="eastAsia"/>
          <w:color w:val="FF0000"/>
        </w:rPr>
        <w:t>，</w:t>
      </w:r>
      <w:r>
        <w:rPr>
          <w:rFonts w:hint="eastAsia"/>
          <w:color w:val="FF0000"/>
          <w:lang w:val="en-US" w:eastAsia="zh-CN"/>
        </w:rPr>
        <w:t>公开期限</w:t>
      </w:r>
      <w:r>
        <w:rPr>
          <w:rFonts w:hint="eastAsia"/>
          <w:color w:val="FF0000"/>
        </w:rPr>
        <w:t>为10个工作日，首次公</w:t>
      </w:r>
      <w:r>
        <w:rPr>
          <w:rFonts w:hint="eastAsia"/>
          <w:color w:val="FF0000"/>
          <w:lang w:val="en-US" w:eastAsia="zh-CN"/>
        </w:rPr>
        <w:t>开</w:t>
      </w:r>
      <w:r>
        <w:rPr>
          <w:rFonts w:hint="eastAsia"/>
          <w:color w:val="FF0000"/>
        </w:rPr>
        <w:t>期</w:t>
      </w:r>
      <w:r>
        <w:rPr>
          <w:rFonts w:hint="eastAsia"/>
          <w:color w:val="FF0000"/>
          <w:lang w:val="en-US" w:eastAsia="zh-CN"/>
        </w:rPr>
        <w:t>间</w:t>
      </w:r>
      <w:r>
        <w:rPr>
          <w:rFonts w:hint="eastAsia"/>
          <w:color w:val="FF0000"/>
        </w:rPr>
        <w:t>未收到任何公众意见及反馈</w:t>
      </w:r>
      <w:r>
        <w:rPr>
          <w:rFonts w:hint="eastAsia"/>
          <w:color w:val="FF0000"/>
          <w:lang w:val="en-US" w:eastAsia="zh-CN"/>
        </w:rPr>
        <w:t>；建设项目</w:t>
      </w:r>
      <w:r>
        <w:rPr>
          <w:rFonts w:hint="eastAsia"/>
          <w:color w:val="FF0000"/>
        </w:rPr>
        <w:t>环境影响报告书征求意见稿完成后，我公司于202</w:t>
      </w:r>
      <w:r>
        <w:rPr>
          <w:rFonts w:hint="eastAsia"/>
          <w:color w:val="FF0000"/>
          <w:lang w:val="en-US" w:eastAsia="zh-CN"/>
        </w:rPr>
        <w:t>1</w:t>
      </w:r>
      <w:r>
        <w:rPr>
          <w:rFonts w:hint="eastAsia"/>
          <w:color w:val="FF0000"/>
        </w:rPr>
        <w:t>年</w:t>
      </w:r>
      <w:r>
        <w:rPr>
          <w:rFonts w:hint="eastAsia"/>
          <w:color w:val="FF0000"/>
          <w:lang w:val="en-US" w:eastAsia="zh-CN"/>
        </w:rPr>
        <w:t>10</w:t>
      </w:r>
      <w:r>
        <w:rPr>
          <w:rFonts w:hint="eastAsia"/>
          <w:color w:val="FF0000"/>
        </w:rPr>
        <w:t>月</w:t>
      </w:r>
      <w:r>
        <w:rPr>
          <w:rFonts w:hint="eastAsia"/>
          <w:color w:val="FF0000"/>
          <w:lang w:val="en-US" w:eastAsia="zh-CN"/>
        </w:rPr>
        <w:t>28</w:t>
      </w:r>
      <w:r>
        <w:rPr>
          <w:rFonts w:hint="eastAsia"/>
          <w:color w:val="FF0000"/>
        </w:rPr>
        <w:t>日在新疆维吾尔自治区生态环境保护产业协会网站</w:t>
      </w:r>
      <w:r>
        <w:rPr>
          <w:rFonts w:hint="eastAsia"/>
          <w:color w:val="FF0000"/>
          <w:lang w:eastAsia="zh-CN"/>
        </w:rPr>
        <w:t>、昌吉日报</w:t>
      </w:r>
      <w:r>
        <w:rPr>
          <w:rFonts w:hint="eastAsia"/>
          <w:color w:val="FF0000"/>
        </w:rPr>
        <w:t>、项目周边公示栏</w:t>
      </w:r>
      <w:r>
        <w:rPr>
          <w:rFonts w:hint="eastAsia"/>
          <w:color w:val="FF0000"/>
          <w:lang w:val="en-US" w:eastAsia="zh-CN"/>
        </w:rPr>
        <w:t>对建设项目环境影响评价报告书征求意见稿进行了</w:t>
      </w:r>
      <w:r>
        <w:rPr>
          <w:rFonts w:hint="eastAsia"/>
          <w:color w:val="FF0000"/>
        </w:rPr>
        <w:t>同步公</w:t>
      </w:r>
      <w:r>
        <w:rPr>
          <w:rFonts w:hint="eastAsia"/>
          <w:color w:val="FF0000"/>
          <w:lang w:val="en-US" w:eastAsia="zh-CN"/>
        </w:rPr>
        <w:t>示</w:t>
      </w:r>
      <w:r>
        <w:rPr>
          <w:rFonts w:hint="eastAsia"/>
          <w:color w:val="FF0000"/>
        </w:rPr>
        <w:t>，</w:t>
      </w:r>
      <w:r>
        <w:rPr>
          <w:rFonts w:hint="eastAsia"/>
          <w:color w:val="FF0000"/>
          <w:lang w:val="en-US" w:eastAsia="zh-CN"/>
        </w:rPr>
        <w:t>公示期限</w:t>
      </w:r>
      <w:r>
        <w:rPr>
          <w:rFonts w:hint="eastAsia"/>
          <w:color w:val="FF0000"/>
        </w:rPr>
        <w:t>为10个工作日，</w:t>
      </w:r>
      <w:r>
        <w:rPr>
          <w:rFonts w:hint="eastAsia"/>
          <w:color w:val="FF0000"/>
          <w:lang w:val="en-US" w:eastAsia="zh-CN"/>
        </w:rPr>
        <w:t>征求意见稿公示</w:t>
      </w:r>
      <w:r>
        <w:rPr>
          <w:rFonts w:hint="eastAsia"/>
          <w:color w:val="FF0000"/>
        </w:rPr>
        <w:t>期</w:t>
      </w:r>
      <w:r>
        <w:rPr>
          <w:rFonts w:hint="eastAsia"/>
          <w:color w:val="FF0000"/>
          <w:lang w:val="en-US" w:eastAsia="zh-CN"/>
        </w:rPr>
        <w:t>间</w:t>
      </w:r>
      <w:r>
        <w:rPr>
          <w:rFonts w:hint="eastAsia"/>
          <w:color w:val="FF0000"/>
        </w:rPr>
        <w:t>未收到任何公众意见及反馈。</w:t>
      </w:r>
      <w:r>
        <w:rPr>
          <w:rFonts w:hint="eastAsia"/>
          <w:color w:val="FF0000"/>
          <w:highlight w:val="none"/>
          <w:shd w:val="clear" w:color="auto" w:fill="auto"/>
          <w:lang w:val="en-US" w:eastAsia="zh-CN"/>
        </w:rPr>
        <w:t>建设项目</w:t>
      </w:r>
      <w:r>
        <w:rPr>
          <w:rFonts w:hint="eastAsia"/>
          <w:color w:val="FF0000"/>
          <w:highlight w:val="none"/>
          <w:shd w:val="clear" w:color="auto" w:fill="auto"/>
        </w:rPr>
        <w:t>环境影响报告书</w:t>
      </w:r>
      <w:r>
        <w:rPr>
          <w:rFonts w:hint="eastAsia"/>
          <w:color w:val="FF0000"/>
          <w:highlight w:val="none"/>
          <w:shd w:val="clear" w:color="auto" w:fill="auto"/>
          <w:lang w:val="en-US" w:eastAsia="zh-CN"/>
        </w:rPr>
        <w:t>报批前</w:t>
      </w:r>
      <w:r>
        <w:rPr>
          <w:rFonts w:hint="eastAsia"/>
          <w:color w:val="FF0000"/>
          <w:highlight w:val="none"/>
          <w:shd w:val="clear" w:color="auto" w:fill="auto"/>
        </w:rPr>
        <w:t>，我公司于202</w:t>
      </w:r>
      <w:r>
        <w:rPr>
          <w:rFonts w:hint="eastAsia"/>
          <w:color w:val="FF0000"/>
          <w:highlight w:val="none"/>
          <w:shd w:val="clear" w:color="auto" w:fill="auto"/>
          <w:lang w:val="en-US" w:eastAsia="zh-CN"/>
        </w:rPr>
        <w:t>1</w:t>
      </w:r>
      <w:r>
        <w:rPr>
          <w:rFonts w:hint="eastAsia"/>
          <w:color w:val="FF0000"/>
          <w:highlight w:val="none"/>
          <w:shd w:val="clear" w:color="auto" w:fill="auto"/>
        </w:rPr>
        <w:t>年</w:t>
      </w:r>
      <w:r>
        <w:rPr>
          <w:rFonts w:hint="eastAsia"/>
          <w:color w:val="FF0000"/>
          <w:highlight w:val="none"/>
          <w:shd w:val="clear" w:color="auto" w:fill="auto"/>
          <w:lang w:val="en-US" w:eastAsia="zh-CN"/>
        </w:rPr>
        <w:t>12</w:t>
      </w:r>
      <w:r>
        <w:rPr>
          <w:rFonts w:hint="eastAsia"/>
          <w:color w:val="FF0000"/>
          <w:highlight w:val="none"/>
          <w:shd w:val="clear" w:color="auto" w:fill="auto"/>
        </w:rPr>
        <w:t>月</w:t>
      </w:r>
      <w:r>
        <w:rPr>
          <w:rFonts w:hint="eastAsia"/>
          <w:color w:val="FF0000"/>
          <w:highlight w:val="none"/>
          <w:shd w:val="clear" w:color="auto" w:fill="auto"/>
          <w:lang w:val="en-US" w:eastAsia="zh-CN"/>
        </w:rPr>
        <w:t>29</w:t>
      </w:r>
      <w:r>
        <w:rPr>
          <w:rFonts w:hint="eastAsia"/>
          <w:color w:val="FF0000"/>
          <w:highlight w:val="none"/>
          <w:shd w:val="clear" w:color="auto" w:fill="auto"/>
        </w:rPr>
        <w:t>日在新疆维吾尔自治区生态环境保护产业协会网站</w:t>
      </w:r>
      <w:r>
        <w:rPr>
          <w:rFonts w:hint="eastAsia"/>
          <w:color w:val="FF0000"/>
          <w:highlight w:val="none"/>
          <w:shd w:val="clear" w:color="auto" w:fill="auto"/>
          <w:lang w:val="en-US" w:eastAsia="zh-CN"/>
        </w:rPr>
        <w:t>对建设项目环境影响评价报告书和公众参与说明进行了公开</w:t>
      </w:r>
      <w:r>
        <w:rPr>
          <w:rFonts w:hint="eastAsia"/>
          <w:color w:val="FF0000"/>
          <w:highlight w:val="none"/>
          <w:shd w:val="clear" w:color="auto" w:fill="auto"/>
        </w:rPr>
        <w:t>，</w:t>
      </w:r>
      <w:r>
        <w:rPr>
          <w:rFonts w:hint="eastAsia"/>
          <w:color w:val="FF0000"/>
          <w:highlight w:val="none"/>
          <w:shd w:val="clear" w:color="auto" w:fill="auto"/>
          <w:lang w:val="en-US" w:eastAsia="zh-CN"/>
        </w:rPr>
        <w:t>公开</w:t>
      </w:r>
      <w:r>
        <w:rPr>
          <w:rFonts w:hint="eastAsia"/>
          <w:color w:val="FF0000"/>
          <w:highlight w:val="none"/>
          <w:shd w:val="clear" w:color="auto" w:fill="auto"/>
        </w:rPr>
        <w:t>期</w:t>
      </w:r>
      <w:r>
        <w:rPr>
          <w:rFonts w:hint="eastAsia"/>
          <w:color w:val="FF0000"/>
          <w:highlight w:val="none"/>
          <w:shd w:val="clear" w:color="auto" w:fill="auto"/>
          <w:lang w:val="en-US" w:eastAsia="zh-CN"/>
        </w:rPr>
        <w:t>间</w:t>
      </w:r>
      <w:r>
        <w:rPr>
          <w:rFonts w:hint="eastAsia"/>
          <w:color w:val="FF0000"/>
          <w:highlight w:val="none"/>
          <w:shd w:val="clear" w:color="auto" w:fill="auto"/>
        </w:rPr>
        <w:t>未收到任何公众意见及反馈</w:t>
      </w:r>
      <w:r>
        <w:rPr>
          <w:rFonts w:hint="eastAsia"/>
          <w:color w:val="FF0000"/>
          <w:highlight w:val="none"/>
          <w:shd w:val="clear" w:color="auto" w:fill="auto"/>
          <w:lang w:eastAsia="zh-CN"/>
        </w:rPr>
        <w:t>。</w:t>
      </w:r>
    </w:p>
    <w:p>
      <w:pPr>
        <w:pStyle w:val="4"/>
        <w:ind w:firstLine="480"/>
        <w:rPr>
          <w:rFonts w:hint="eastAsia"/>
          <w:color w:val="auto"/>
          <w:highlight w:val="none"/>
        </w:rPr>
      </w:pPr>
    </w:p>
    <w:p>
      <w:pPr>
        <w:pStyle w:val="5"/>
        <w:bidi w:val="0"/>
        <w:rPr>
          <w:color w:val="auto"/>
          <w:highlight w:val="none"/>
        </w:rPr>
      </w:pPr>
      <w:bookmarkStart w:id="89" w:name="_Toc7834"/>
      <w:bookmarkStart w:id="90" w:name="_Toc8057"/>
      <w:r>
        <w:rPr>
          <w:rFonts w:hint="eastAsia"/>
          <w:color w:val="auto"/>
          <w:highlight w:val="none"/>
          <w:lang w:val="en-US" w:eastAsia="zh-CN"/>
        </w:rPr>
        <w:t>环境影响评价综合结论</w:t>
      </w:r>
      <w:bookmarkEnd w:id="89"/>
      <w:bookmarkEnd w:id="90"/>
    </w:p>
    <w:p>
      <w:pPr>
        <w:pStyle w:val="4"/>
        <w:rPr>
          <w:rFonts w:hint="eastAsia"/>
          <w:color w:val="auto"/>
          <w:highlight w:val="none"/>
          <w:lang w:val="en-US" w:eastAsia="zh-CN"/>
        </w:rPr>
      </w:pPr>
      <w:r>
        <w:rPr>
          <w:rFonts w:hint="eastAsia"/>
          <w:color w:val="auto"/>
          <w:highlight w:val="none"/>
        </w:rPr>
        <w:t>项目的建设符合相关产业政策和规划</w:t>
      </w:r>
      <w:r>
        <w:rPr>
          <w:rFonts w:hint="eastAsia"/>
          <w:color w:val="auto"/>
          <w:highlight w:val="none"/>
          <w:lang w:val="zh-CN"/>
        </w:rPr>
        <w:t>。</w:t>
      </w:r>
      <w:r>
        <w:rPr>
          <w:rFonts w:hint="eastAsia"/>
          <w:color w:val="auto"/>
          <w:highlight w:val="none"/>
        </w:rPr>
        <w:t>项目</w:t>
      </w:r>
      <w:r>
        <w:rPr>
          <w:color w:val="auto"/>
          <w:highlight w:val="none"/>
        </w:rPr>
        <w:t>在认真落实报告书提出的各项</w:t>
      </w:r>
      <w:r>
        <w:rPr>
          <w:rFonts w:hint="eastAsia"/>
          <w:color w:val="auto"/>
          <w:highlight w:val="none"/>
          <w:lang w:val="en-US" w:eastAsia="zh-CN"/>
        </w:rPr>
        <w:t>污染防治措施、</w:t>
      </w:r>
      <w:r>
        <w:rPr>
          <w:color w:val="auto"/>
          <w:highlight w:val="none"/>
        </w:rPr>
        <w:t>环</w:t>
      </w:r>
      <w:r>
        <w:rPr>
          <w:rFonts w:hint="eastAsia"/>
          <w:color w:val="auto"/>
          <w:highlight w:val="none"/>
          <w:lang w:val="en-US" w:eastAsia="zh-CN"/>
        </w:rPr>
        <w:t>境</w:t>
      </w:r>
      <w:r>
        <w:rPr>
          <w:color w:val="auto"/>
          <w:highlight w:val="none"/>
        </w:rPr>
        <w:t>保</w:t>
      </w:r>
      <w:r>
        <w:rPr>
          <w:rFonts w:hint="eastAsia"/>
          <w:color w:val="auto"/>
          <w:highlight w:val="none"/>
          <w:lang w:val="en-US" w:eastAsia="zh-CN"/>
        </w:rPr>
        <w:t>护措施、生产恢复措施</w:t>
      </w:r>
      <w:r>
        <w:rPr>
          <w:color w:val="auto"/>
          <w:highlight w:val="none"/>
        </w:rPr>
        <w:t>、环境风险防范措施与应急预案</w:t>
      </w:r>
      <w:r>
        <w:rPr>
          <w:rFonts w:hint="eastAsia"/>
          <w:color w:val="auto"/>
          <w:highlight w:val="none"/>
          <w:lang w:val="en-US" w:eastAsia="zh-CN"/>
        </w:rPr>
        <w:t>要求</w:t>
      </w:r>
      <w:r>
        <w:rPr>
          <w:color w:val="auto"/>
          <w:highlight w:val="none"/>
        </w:rPr>
        <w:t>，严格执行环保</w:t>
      </w:r>
      <w:r>
        <w:rPr>
          <w:rFonts w:hint="eastAsia"/>
          <w:color w:val="auto"/>
          <w:highlight w:val="none"/>
        </w:rPr>
        <w:t>“</w:t>
      </w:r>
      <w:r>
        <w:rPr>
          <w:color w:val="auto"/>
          <w:highlight w:val="none"/>
        </w:rPr>
        <w:t>三同时</w:t>
      </w:r>
      <w:r>
        <w:rPr>
          <w:rFonts w:hint="eastAsia"/>
          <w:color w:val="auto"/>
          <w:highlight w:val="none"/>
        </w:rPr>
        <w:t>”</w:t>
      </w:r>
      <w:r>
        <w:rPr>
          <w:color w:val="auto"/>
          <w:highlight w:val="none"/>
        </w:rPr>
        <w:t>制度</w:t>
      </w:r>
      <w:r>
        <w:rPr>
          <w:rFonts w:hint="eastAsia"/>
          <w:color w:val="auto"/>
          <w:highlight w:val="none"/>
          <w:lang w:val="en-US" w:eastAsia="zh-CN"/>
        </w:rPr>
        <w:t>并</w:t>
      </w:r>
      <w:r>
        <w:rPr>
          <w:color w:val="auto"/>
          <w:highlight w:val="none"/>
        </w:rPr>
        <w:t>加强环境管理</w:t>
      </w:r>
      <w:r>
        <w:rPr>
          <w:rFonts w:hint="eastAsia"/>
          <w:color w:val="auto"/>
          <w:highlight w:val="none"/>
          <w:lang w:val="en-US" w:eastAsia="zh-CN"/>
        </w:rPr>
        <w:t>的前提下</w:t>
      </w:r>
      <w:r>
        <w:rPr>
          <w:color w:val="auto"/>
          <w:highlight w:val="none"/>
        </w:rPr>
        <w:t>，从环境保护角度分析项目建设可行。</w:t>
      </w:r>
    </w:p>
    <w:p>
      <w:pPr>
        <w:pStyle w:val="4"/>
        <w:rPr>
          <w:rFonts w:hint="eastAsia"/>
          <w:color w:val="auto"/>
          <w:highlight w:val="none"/>
          <w:lang w:val="en-US" w:eastAsia="zh-CN"/>
        </w:rPr>
      </w:pPr>
    </w:p>
    <w:p>
      <w:pPr>
        <w:pStyle w:val="4"/>
        <w:rPr>
          <w:rFonts w:hint="eastAsia"/>
          <w:color w:val="auto"/>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p>
    <w:sectPr>
      <w:footerReference r:id="rId6"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宋体l萀">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536"/>
        <w:tab w:val="clear" w:pos="4153"/>
      </w:tabs>
      <w:jc w:val="right"/>
      <w:rPr>
        <w:rFonts w:hint="eastAsia" w:eastAsia="宋体"/>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536"/>
        <w:tab w:val="clear" w:pos="4153"/>
      </w:tabs>
      <w:jc w:val="right"/>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540"/>
                            <w:jc w:val="center"/>
                          </w:pPr>
                          <w:r>
                            <w:fldChar w:fldCharType="begin"/>
                          </w:r>
                          <w:r>
                            <w:instrText xml:space="preserve">PAGE   \* MERGEFORMAT</w:instrText>
                          </w:r>
                          <w:r>
                            <w:fldChar w:fldCharType="separate"/>
                          </w:r>
                          <w:r>
                            <w:rPr>
                              <w:lang w:val="zh-CN"/>
                            </w:rP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9"/>
                      <w:ind w:firstLine="540"/>
                      <w:jc w:val="center"/>
                    </w:pPr>
                    <w:r>
                      <w:fldChar w:fldCharType="begin"/>
                    </w:r>
                    <w:r>
                      <w:instrText xml:space="preserve">PAGE   \* MERGEFORMAT</w:instrText>
                    </w:r>
                    <w:r>
                      <w:fldChar w:fldCharType="separate"/>
                    </w:r>
                    <w:r>
                      <w:rPr>
                        <w:lang w:val="zh-CN"/>
                      </w:rPr>
                      <w:t>47</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536"/>
        <w:tab w:val="clear" w:pos="4153"/>
      </w:tabs>
      <w:jc w:val="right"/>
      <w:rPr>
        <w:rFonts w:hint="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540"/>
                            <w:jc w:val="center"/>
                          </w:pPr>
                          <w:r>
                            <w:fldChar w:fldCharType="begin"/>
                          </w:r>
                          <w:r>
                            <w:instrText xml:space="preserve">PAGE   \* MERGEFORMAT</w:instrText>
                          </w:r>
                          <w:r>
                            <w:fldChar w:fldCharType="separate"/>
                          </w:r>
                          <w:r>
                            <w:rPr>
                              <w:lang w:val="zh-CN"/>
                            </w:rP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9"/>
                      <w:ind w:firstLine="540"/>
                      <w:jc w:val="center"/>
                    </w:pPr>
                    <w:r>
                      <w:fldChar w:fldCharType="begin"/>
                    </w:r>
                    <w:r>
                      <w:instrText xml:space="preserve">PAGE   \* MERGEFORMAT</w:instrText>
                    </w:r>
                    <w:r>
                      <w:fldChar w:fldCharType="separate"/>
                    </w:r>
                    <w:r>
                      <w:rPr>
                        <w:lang w:val="zh-CN"/>
                      </w:rPr>
                      <w:t>47</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single" w:color="auto" w:sz="4" w:space="1"/>
      </w:pBdr>
      <w:bidi w:val="0"/>
      <w:rPr>
        <w:rFonts w:hint="eastAsia"/>
        <w:lang w:val="en-US" w:eastAsia="zh-CN"/>
      </w:rPr>
    </w:pPr>
    <w:r>
      <w:rPr>
        <w:rFonts w:hint="eastAsia"/>
        <w:lang w:val="en-US" w:eastAsia="zh-CN"/>
      </w:rPr>
      <w:t>灰渣倾倒场地治理项目环境影响报告书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E456A8"/>
    <w:multiLevelType w:val="singleLevel"/>
    <w:tmpl w:val="8AE456A8"/>
    <w:lvl w:ilvl="0" w:tentative="0">
      <w:start w:val="1"/>
      <w:numFmt w:val="decimal"/>
      <w:lvlText w:val="(%1)"/>
      <w:lvlJc w:val="left"/>
      <w:pPr>
        <w:ind w:left="425" w:hanging="425"/>
      </w:pPr>
      <w:rPr>
        <w:rFonts w:hint="default"/>
      </w:rPr>
    </w:lvl>
  </w:abstractNum>
  <w:abstractNum w:abstractNumId="1">
    <w:nsid w:val="8D69D2A6"/>
    <w:multiLevelType w:val="singleLevel"/>
    <w:tmpl w:val="8D69D2A6"/>
    <w:lvl w:ilvl="0" w:tentative="0">
      <w:start w:val="1"/>
      <w:numFmt w:val="decimal"/>
      <w:lvlText w:val="(%1)"/>
      <w:lvlJc w:val="left"/>
      <w:pPr>
        <w:ind w:left="425" w:hanging="425"/>
      </w:pPr>
      <w:rPr>
        <w:rFonts w:hint="default"/>
      </w:rPr>
    </w:lvl>
  </w:abstractNum>
  <w:abstractNum w:abstractNumId="2">
    <w:nsid w:val="A8A3A427"/>
    <w:multiLevelType w:val="singleLevel"/>
    <w:tmpl w:val="A8A3A427"/>
    <w:lvl w:ilvl="0" w:tentative="0">
      <w:start w:val="1"/>
      <w:numFmt w:val="decimal"/>
      <w:lvlText w:val="(%1)"/>
      <w:lvlJc w:val="left"/>
      <w:pPr>
        <w:ind w:left="425" w:hanging="425"/>
      </w:pPr>
      <w:rPr>
        <w:rFonts w:hint="default"/>
      </w:rPr>
    </w:lvl>
  </w:abstractNum>
  <w:abstractNum w:abstractNumId="3">
    <w:nsid w:val="B0A5E0FE"/>
    <w:multiLevelType w:val="singleLevel"/>
    <w:tmpl w:val="B0A5E0FE"/>
    <w:lvl w:ilvl="0" w:tentative="0">
      <w:start w:val="1"/>
      <w:numFmt w:val="decimal"/>
      <w:lvlText w:val="(%1)"/>
      <w:lvlJc w:val="left"/>
      <w:pPr>
        <w:ind w:left="425" w:hanging="425"/>
      </w:pPr>
      <w:rPr>
        <w:rFonts w:hint="default"/>
      </w:rPr>
    </w:lvl>
  </w:abstractNum>
  <w:abstractNum w:abstractNumId="4">
    <w:nsid w:val="576167E7"/>
    <w:multiLevelType w:val="multilevel"/>
    <w:tmpl w:val="576167E7"/>
    <w:lvl w:ilvl="0" w:tentative="0">
      <w:start w:val="1"/>
      <w:numFmt w:val="decimal"/>
      <w:pStyle w:val="3"/>
      <w:lvlText w:val="%1"/>
      <w:lvlJc w:val="left"/>
      <w:pPr>
        <w:tabs>
          <w:tab w:val="left" w:pos="432"/>
        </w:tabs>
        <w:ind w:left="432" w:hanging="432"/>
      </w:pPr>
      <w:rPr>
        <w:rFonts w:hint="eastAsia"/>
      </w:rPr>
    </w:lvl>
    <w:lvl w:ilvl="1" w:tentative="0">
      <w:start w:val="1"/>
      <w:numFmt w:val="decimal"/>
      <w:pStyle w:val="5"/>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7E3BF4A4"/>
    <w:multiLevelType w:val="singleLevel"/>
    <w:tmpl w:val="7E3BF4A4"/>
    <w:lvl w:ilvl="0" w:tentative="0">
      <w:start w:val="1"/>
      <w:numFmt w:val="decimal"/>
      <w:lvlText w:val="(%1)"/>
      <w:lvlJc w:val="left"/>
      <w:pPr>
        <w:ind w:left="425" w:hanging="425"/>
      </w:pPr>
      <w:rPr>
        <w:rFonts w:hint="default"/>
      </w:rPr>
    </w:lvl>
  </w:abstractNum>
  <w:num w:numId="1">
    <w:abstractNumId w:val="4"/>
    <w:lvlOverride w:ilvl="2">
      <w:lvl w:ilvl="2" w:tentative="1">
        <w:start w:val="1"/>
        <w:numFmt w:val="decimal"/>
        <w:pStyle w:val="6"/>
        <w:lvlText w:val="%1.%2.%3"/>
        <w:lvlJc w:val="left"/>
        <w:pPr>
          <w:tabs>
            <w:tab w:val="left" w:pos="720"/>
          </w:tabs>
          <w:ind w:left="720" w:hanging="720"/>
        </w:pPr>
        <w:rPr>
          <w:rFonts w:hint="eastAsia"/>
          <w:color w:val="auto"/>
        </w:rPr>
      </w:lvl>
    </w:lvlOverride>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54D75"/>
    <w:rsid w:val="00621FEE"/>
    <w:rsid w:val="008E7FEA"/>
    <w:rsid w:val="00937805"/>
    <w:rsid w:val="0101763A"/>
    <w:rsid w:val="0118544A"/>
    <w:rsid w:val="01195E20"/>
    <w:rsid w:val="013465B1"/>
    <w:rsid w:val="014902DA"/>
    <w:rsid w:val="014C380F"/>
    <w:rsid w:val="01573EEE"/>
    <w:rsid w:val="015E7C73"/>
    <w:rsid w:val="016F2590"/>
    <w:rsid w:val="018B6CDB"/>
    <w:rsid w:val="018E4C16"/>
    <w:rsid w:val="01BE4A70"/>
    <w:rsid w:val="01C57DAC"/>
    <w:rsid w:val="01CD5BB0"/>
    <w:rsid w:val="01D47F3A"/>
    <w:rsid w:val="01F25A9C"/>
    <w:rsid w:val="020C2518"/>
    <w:rsid w:val="0218188E"/>
    <w:rsid w:val="021C4E4D"/>
    <w:rsid w:val="022E0B07"/>
    <w:rsid w:val="023F642D"/>
    <w:rsid w:val="025F7F71"/>
    <w:rsid w:val="02623F39"/>
    <w:rsid w:val="02790384"/>
    <w:rsid w:val="028674D7"/>
    <w:rsid w:val="028C09C8"/>
    <w:rsid w:val="02B66B04"/>
    <w:rsid w:val="02E30D64"/>
    <w:rsid w:val="02E4754A"/>
    <w:rsid w:val="02E87D6D"/>
    <w:rsid w:val="02F022B5"/>
    <w:rsid w:val="02F5504A"/>
    <w:rsid w:val="030229EB"/>
    <w:rsid w:val="031D71B2"/>
    <w:rsid w:val="031F246A"/>
    <w:rsid w:val="032D1D66"/>
    <w:rsid w:val="033A361A"/>
    <w:rsid w:val="033D0198"/>
    <w:rsid w:val="034944E0"/>
    <w:rsid w:val="03791BE3"/>
    <w:rsid w:val="037A7A0E"/>
    <w:rsid w:val="038772CB"/>
    <w:rsid w:val="038E2CF7"/>
    <w:rsid w:val="03BD3CFC"/>
    <w:rsid w:val="03CD4BEA"/>
    <w:rsid w:val="03D0393C"/>
    <w:rsid w:val="042B5889"/>
    <w:rsid w:val="042B5956"/>
    <w:rsid w:val="044177BB"/>
    <w:rsid w:val="044836B3"/>
    <w:rsid w:val="04522E5D"/>
    <w:rsid w:val="04540905"/>
    <w:rsid w:val="04591522"/>
    <w:rsid w:val="0464753C"/>
    <w:rsid w:val="046D2019"/>
    <w:rsid w:val="04702159"/>
    <w:rsid w:val="04825948"/>
    <w:rsid w:val="048457C3"/>
    <w:rsid w:val="048728F1"/>
    <w:rsid w:val="04D47D6C"/>
    <w:rsid w:val="04DE75DD"/>
    <w:rsid w:val="05161259"/>
    <w:rsid w:val="051B3F17"/>
    <w:rsid w:val="05277427"/>
    <w:rsid w:val="053F57C8"/>
    <w:rsid w:val="054D2A7A"/>
    <w:rsid w:val="055644F7"/>
    <w:rsid w:val="055D0081"/>
    <w:rsid w:val="05606717"/>
    <w:rsid w:val="05695418"/>
    <w:rsid w:val="05811A0F"/>
    <w:rsid w:val="058A3999"/>
    <w:rsid w:val="05B8669C"/>
    <w:rsid w:val="05CB2CD2"/>
    <w:rsid w:val="05D1769D"/>
    <w:rsid w:val="05E17F2E"/>
    <w:rsid w:val="05FC725A"/>
    <w:rsid w:val="06330C0D"/>
    <w:rsid w:val="063413A1"/>
    <w:rsid w:val="06824346"/>
    <w:rsid w:val="06B0355E"/>
    <w:rsid w:val="06CD3B06"/>
    <w:rsid w:val="0717279C"/>
    <w:rsid w:val="07472CE9"/>
    <w:rsid w:val="07521910"/>
    <w:rsid w:val="07582889"/>
    <w:rsid w:val="075B4661"/>
    <w:rsid w:val="076E519B"/>
    <w:rsid w:val="077C1A05"/>
    <w:rsid w:val="07906A6D"/>
    <w:rsid w:val="07A01576"/>
    <w:rsid w:val="07A438EC"/>
    <w:rsid w:val="07D40D91"/>
    <w:rsid w:val="07D7726D"/>
    <w:rsid w:val="08016684"/>
    <w:rsid w:val="08043A6B"/>
    <w:rsid w:val="080E4297"/>
    <w:rsid w:val="08224550"/>
    <w:rsid w:val="083D5207"/>
    <w:rsid w:val="086D7BF2"/>
    <w:rsid w:val="087175BE"/>
    <w:rsid w:val="08756850"/>
    <w:rsid w:val="089D26A9"/>
    <w:rsid w:val="08A54E52"/>
    <w:rsid w:val="08B06C38"/>
    <w:rsid w:val="08BD2A6F"/>
    <w:rsid w:val="08E6530E"/>
    <w:rsid w:val="08EB1A56"/>
    <w:rsid w:val="0900635E"/>
    <w:rsid w:val="09017124"/>
    <w:rsid w:val="093D4232"/>
    <w:rsid w:val="09406158"/>
    <w:rsid w:val="09576043"/>
    <w:rsid w:val="09613690"/>
    <w:rsid w:val="096145F0"/>
    <w:rsid w:val="09650482"/>
    <w:rsid w:val="098E5AB1"/>
    <w:rsid w:val="09925D4B"/>
    <w:rsid w:val="09BC2671"/>
    <w:rsid w:val="09BE149C"/>
    <w:rsid w:val="09CE191B"/>
    <w:rsid w:val="09E52D89"/>
    <w:rsid w:val="09FA2749"/>
    <w:rsid w:val="0A0035B7"/>
    <w:rsid w:val="0A110894"/>
    <w:rsid w:val="0A15745D"/>
    <w:rsid w:val="0A3D09D4"/>
    <w:rsid w:val="0A471868"/>
    <w:rsid w:val="0A504F27"/>
    <w:rsid w:val="0A5E21AA"/>
    <w:rsid w:val="0A6D30BC"/>
    <w:rsid w:val="0A7340F8"/>
    <w:rsid w:val="0A8E70B7"/>
    <w:rsid w:val="0ABF49F3"/>
    <w:rsid w:val="0AC20042"/>
    <w:rsid w:val="0AD217CE"/>
    <w:rsid w:val="0AE4648E"/>
    <w:rsid w:val="0AE53A3C"/>
    <w:rsid w:val="0AF02669"/>
    <w:rsid w:val="0AF8294F"/>
    <w:rsid w:val="0B081D7A"/>
    <w:rsid w:val="0B15140F"/>
    <w:rsid w:val="0B376E43"/>
    <w:rsid w:val="0B394787"/>
    <w:rsid w:val="0B87182F"/>
    <w:rsid w:val="0B8B7B4B"/>
    <w:rsid w:val="0B9D3633"/>
    <w:rsid w:val="0BB95560"/>
    <w:rsid w:val="0BC0584D"/>
    <w:rsid w:val="0BCE6EA2"/>
    <w:rsid w:val="0BD12E72"/>
    <w:rsid w:val="0C122A82"/>
    <w:rsid w:val="0C16341B"/>
    <w:rsid w:val="0C1E182E"/>
    <w:rsid w:val="0C36722A"/>
    <w:rsid w:val="0C6B5454"/>
    <w:rsid w:val="0CA015D2"/>
    <w:rsid w:val="0CB05C33"/>
    <w:rsid w:val="0CD130B1"/>
    <w:rsid w:val="0CD33BF6"/>
    <w:rsid w:val="0CF54711"/>
    <w:rsid w:val="0D184574"/>
    <w:rsid w:val="0D3E1A5F"/>
    <w:rsid w:val="0D50004C"/>
    <w:rsid w:val="0D6C4822"/>
    <w:rsid w:val="0D796C3F"/>
    <w:rsid w:val="0D7F084F"/>
    <w:rsid w:val="0D9718CC"/>
    <w:rsid w:val="0DA158D2"/>
    <w:rsid w:val="0DDA60BE"/>
    <w:rsid w:val="0DF5475B"/>
    <w:rsid w:val="0E3D3D4F"/>
    <w:rsid w:val="0E432F08"/>
    <w:rsid w:val="0E4E5428"/>
    <w:rsid w:val="0E631B0E"/>
    <w:rsid w:val="0E661F3A"/>
    <w:rsid w:val="0E833832"/>
    <w:rsid w:val="0E8941A7"/>
    <w:rsid w:val="0E922272"/>
    <w:rsid w:val="0ED9728B"/>
    <w:rsid w:val="0EDD0348"/>
    <w:rsid w:val="0EDD1B97"/>
    <w:rsid w:val="0EED0814"/>
    <w:rsid w:val="0F2F3F0C"/>
    <w:rsid w:val="0F6F448D"/>
    <w:rsid w:val="0F970DAD"/>
    <w:rsid w:val="0FAD52CD"/>
    <w:rsid w:val="0FC83D42"/>
    <w:rsid w:val="0FD8127D"/>
    <w:rsid w:val="0FE01EBE"/>
    <w:rsid w:val="0FE1284A"/>
    <w:rsid w:val="10144BF2"/>
    <w:rsid w:val="102226FF"/>
    <w:rsid w:val="103644D3"/>
    <w:rsid w:val="108A5DE7"/>
    <w:rsid w:val="10B3543E"/>
    <w:rsid w:val="10C60ECA"/>
    <w:rsid w:val="10CC0355"/>
    <w:rsid w:val="10E86135"/>
    <w:rsid w:val="110374F4"/>
    <w:rsid w:val="11176501"/>
    <w:rsid w:val="111B5C9F"/>
    <w:rsid w:val="11397B6C"/>
    <w:rsid w:val="115E0E93"/>
    <w:rsid w:val="116E5D8F"/>
    <w:rsid w:val="119A3CF0"/>
    <w:rsid w:val="11A77CE4"/>
    <w:rsid w:val="11B3452A"/>
    <w:rsid w:val="11BE138E"/>
    <w:rsid w:val="11F86158"/>
    <w:rsid w:val="11F960FF"/>
    <w:rsid w:val="11FD7399"/>
    <w:rsid w:val="121410CB"/>
    <w:rsid w:val="121B1E10"/>
    <w:rsid w:val="121F3738"/>
    <w:rsid w:val="123E2F15"/>
    <w:rsid w:val="126120A0"/>
    <w:rsid w:val="12763C9B"/>
    <w:rsid w:val="1295491E"/>
    <w:rsid w:val="12A040A4"/>
    <w:rsid w:val="12A9327E"/>
    <w:rsid w:val="12A93D07"/>
    <w:rsid w:val="12D43EAC"/>
    <w:rsid w:val="12E244F8"/>
    <w:rsid w:val="12F654D6"/>
    <w:rsid w:val="131E0B1A"/>
    <w:rsid w:val="13250334"/>
    <w:rsid w:val="132A1AA9"/>
    <w:rsid w:val="132E6915"/>
    <w:rsid w:val="13340AFE"/>
    <w:rsid w:val="13407E33"/>
    <w:rsid w:val="134514C7"/>
    <w:rsid w:val="1348233B"/>
    <w:rsid w:val="136A5E03"/>
    <w:rsid w:val="13855A4D"/>
    <w:rsid w:val="13933A4F"/>
    <w:rsid w:val="13A714A6"/>
    <w:rsid w:val="13A9758A"/>
    <w:rsid w:val="13BC494E"/>
    <w:rsid w:val="13BE7D45"/>
    <w:rsid w:val="13EA2077"/>
    <w:rsid w:val="13ED73C4"/>
    <w:rsid w:val="13FB130E"/>
    <w:rsid w:val="14020A79"/>
    <w:rsid w:val="1402287C"/>
    <w:rsid w:val="141737C6"/>
    <w:rsid w:val="141D18A5"/>
    <w:rsid w:val="14357F1D"/>
    <w:rsid w:val="143B0E31"/>
    <w:rsid w:val="144011E0"/>
    <w:rsid w:val="14487232"/>
    <w:rsid w:val="145D22F7"/>
    <w:rsid w:val="14734729"/>
    <w:rsid w:val="147676A4"/>
    <w:rsid w:val="14D65B50"/>
    <w:rsid w:val="14E07153"/>
    <w:rsid w:val="14E859E1"/>
    <w:rsid w:val="152B04C0"/>
    <w:rsid w:val="15376BC4"/>
    <w:rsid w:val="154230CA"/>
    <w:rsid w:val="1545770C"/>
    <w:rsid w:val="15522F0A"/>
    <w:rsid w:val="15644B7E"/>
    <w:rsid w:val="156710EA"/>
    <w:rsid w:val="157675E9"/>
    <w:rsid w:val="1594196A"/>
    <w:rsid w:val="1594620D"/>
    <w:rsid w:val="15D96A49"/>
    <w:rsid w:val="164B5C8C"/>
    <w:rsid w:val="16594A82"/>
    <w:rsid w:val="168648D8"/>
    <w:rsid w:val="16A56257"/>
    <w:rsid w:val="16A71DE4"/>
    <w:rsid w:val="16AF6A31"/>
    <w:rsid w:val="16BB5223"/>
    <w:rsid w:val="16DC74BE"/>
    <w:rsid w:val="16E416E9"/>
    <w:rsid w:val="170A69B6"/>
    <w:rsid w:val="170F5209"/>
    <w:rsid w:val="171E7FAE"/>
    <w:rsid w:val="172C61FB"/>
    <w:rsid w:val="17457093"/>
    <w:rsid w:val="17565B9B"/>
    <w:rsid w:val="176216D2"/>
    <w:rsid w:val="17633132"/>
    <w:rsid w:val="178930E1"/>
    <w:rsid w:val="17911B70"/>
    <w:rsid w:val="17A14E99"/>
    <w:rsid w:val="17A90455"/>
    <w:rsid w:val="17AE48B0"/>
    <w:rsid w:val="17D549B7"/>
    <w:rsid w:val="17D60490"/>
    <w:rsid w:val="17D96481"/>
    <w:rsid w:val="180A1E79"/>
    <w:rsid w:val="181C6019"/>
    <w:rsid w:val="182521F6"/>
    <w:rsid w:val="183C47A5"/>
    <w:rsid w:val="183E6F51"/>
    <w:rsid w:val="185E5DCF"/>
    <w:rsid w:val="186B73E7"/>
    <w:rsid w:val="186C5310"/>
    <w:rsid w:val="1876288A"/>
    <w:rsid w:val="187C698F"/>
    <w:rsid w:val="18870223"/>
    <w:rsid w:val="18D73F6E"/>
    <w:rsid w:val="18DD34D3"/>
    <w:rsid w:val="18E3681B"/>
    <w:rsid w:val="18FB3EB3"/>
    <w:rsid w:val="190F570A"/>
    <w:rsid w:val="19231B9D"/>
    <w:rsid w:val="192E1232"/>
    <w:rsid w:val="194E51A0"/>
    <w:rsid w:val="19750FF7"/>
    <w:rsid w:val="197F252A"/>
    <w:rsid w:val="19C073A6"/>
    <w:rsid w:val="19F521E9"/>
    <w:rsid w:val="19FB69DE"/>
    <w:rsid w:val="1A3E0F10"/>
    <w:rsid w:val="1A41349A"/>
    <w:rsid w:val="1A4153C7"/>
    <w:rsid w:val="1A62395C"/>
    <w:rsid w:val="1A796943"/>
    <w:rsid w:val="1A89288D"/>
    <w:rsid w:val="1A9A3709"/>
    <w:rsid w:val="1AB959C9"/>
    <w:rsid w:val="1ABB01D5"/>
    <w:rsid w:val="1AC4118D"/>
    <w:rsid w:val="1ADA7ADA"/>
    <w:rsid w:val="1B1252D9"/>
    <w:rsid w:val="1B2E7E7C"/>
    <w:rsid w:val="1B3605F2"/>
    <w:rsid w:val="1B540DA7"/>
    <w:rsid w:val="1B667143"/>
    <w:rsid w:val="1B71414D"/>
    <w:rsid w:val="1B866DA7"/>
    <w:rsid w:val="1B957D41"/>
    <w:rsid w:val="1BA31B75"/>
    <w:rsid w:val="1BB70119"/>
    <w:rsid w:val="1BB76AD8"/>
    <w:rsid w:val="1BCA1227"/>
    <w:rsid w:val="1BE11707"/>
    <w:rsid w:val="1BE638C5"/>
    <w:rsid w:val="1BF73BE0"/>
    <w:rsid w:val="1BFC174F"/>
    <w:rsid w:val="1C087712"/>
    <w:rsid w:val="1C1873E1"/>
    <w:rsid w:val="1C1A5BE4"/>
    <w:rsid w:val="1C263BE8"/>
    <w:rsid w:val="1C2A18EE"/>
    <w:rsid w:val="1C5F7A24"/>
    <w:rsid w:val="1C6E53B6"/>
    <w:rsid w:val="1C75447C"/>
    <w:rsid w:val="1C7F0AD0"/>
    <w:rsid w:val="1C842723"/>
    <w:rsid w:val="1C927C88"/>
    <w:rsid w:val="1CCC1CFB"/>
    <w:rsid w:val="1CCC7271"/>
    <w:rsid w:val="1CE10CCF"/>
    <w:rsid w:val="1CE3325C"/>
    <w:rsid w:val="1D271AB6"/>
    <w:rsid w:val="1D3C1D9B"/>
    <w:rsid w:val="1D554D40"/>
    <w:rsid w:val="1D593397"/>
    <w:rsid w:val="1D63034B"/>
    <w:rsid w:val="1D781EDE"/>
    <w:rsid w:val="1D7A34E4"/>
    <w:rsid w:val="1D7C129D"/>
    <w:rsid w:val="1D7E361F"/>
    <w:rsid w:val="1D854E30"/>
    <w:rsid w:val="1D8A41A8"/>
    <w:rsid w:val="1DA31E98"/>
    <w:rsid w:val="1DA50BBA"/>
    <w:rsid w:val="1DA67E54"/>
    <w:rsid w:val="1DAA43AB"/>
    <w:rsid w:val="1DEE363C"/>
    <w:rsid w:val="1DFA067C"/>
    <w:rsid w:val="1E060461"/>
    <w:rsid w:val="1E485B55"/>
    <w:rsid w:val="1E497F59"/>
    <w:rsid w:val="1E704096"/>
    <w:rsid w:val="1EA21EBD"/>
    <w:rsid w:val="1EA73CEA"/>
    <w:rsid w:val="1EAB75DF"/>
    <w:rsid w:val="1ECA4BB7"/>
    <w:rsid w:val="1EEC4EAA"/>
    <w:rsid w:val="1F0279A8"/>
    <w:rsid w:val="1F2557DC"/>
    <w:rsid w:val="1F3B3921"/>
    <w:rsid w:val="1F4C1722"/>
    <w:rsid w:val="1F513F10"/>
    <w:rsid w:val="1F6B1CB8"/>
    <w:rsid w:val="1F820C61"/>
    <w:rsid w:val="1F921EF6"/>
    <w:rsid w:val="1FB83065"/>
    <w:rsid w:val="1FC451AF"/>
    <w:rsid w:val="1FDB7CBE"/>
    <w:rsid w:val="1FDD080B"/>
    <w:rsid w:val="1FF0188A"/>
    <w:rsid w:val="1FF3538F"/>
    <w:rsid w:val="20106131"/>
    <w:rsid w:val="20194370"/>
    <w:rsid w:val="204C5F9F"/>
    <w:rsid w:val="20530595"/>
    <w:rsid w:val="205F7F49"/>
    <w:rsid w:val="20630CE8"/>
    <w:rsid w:val="20705CA1"/>
    <w:rsid w:val="207C3068"/>
    <w:rsid w:val="20877D36"/>
    <w:rsid w:val="209C1280"/>
    <w:rsid w:val="209F5075"/>
    <w:rsid w:val="20A55CF9"/>
    <w:rsid w:val="21190CF7"/>
    <w:rsid w:val="212A2BCB"/>
    <w:rsid w:val="21337DB6"/>
    <w:rsid w:val="213E6DFF"/>
    <w:rsid w:val="214A641E"/>
    <w:rsid w:val="215B2A8B"/>
    <w:rsid w:val="21867A87"/>
    <w:rsid w:val="219A648E"/>
    <w:rsid w:val="21A0681A"/>
    <w:rsid w:val="21B6691C"/>
    <w:rsid w:val="21B90224"/>
    <w:rsid w:val="21CD3F58"/>
    <w:rsid w:val="21E00B6B"/>
    <w:rsid w:val="21E059C4"/>
    <w:rsid w:val="21F30868"/>
    <w:rsid w:val="21F459C5"/>
    <w:rsid w:val="21FF5830"/>
    <w:rsid w:val="2219659D"/>
    <w:rsid w:val="22226ABD"/>
    <w:rsid w:val="224F543A"/>
    <w:rsid w:val="225A3BD9"/>
    <w:rsid w:val="225B7F9B"/>
    <w:rsid w:val="22874A95"/>
    <w:rsid w:val="229D0DDD"/>
    <w:rsid w:val="229D6588"/>
    <w:rsid w:val="22A5554B"/>
    <w:rsid w:val="22A81F4E"/>
    <w:rsid w:val="22D55052"/>
    <w:rsid w:val="22FC7FD9"/>
    <w:rsid w:val="232A706C"/>
    <w:rsid w:val="233A6EF1"/>
    <w:rsid w:val="234B04A3"/>
    <w:rsid w:val="2373632A"/>
    <w:rsid w:val="237B6159"/>
    <w:rsid w:val="237E0897"/>
    <w:rsid w:val="238916D0"/>
    <w:rsid w:val="238E6232"/>
    <w:rsid w:val="238F3987"/>
    <w:rsid w:val="23A76E1B"/>
    <w:rsid w:val="23CE182C"/>
    <w:rsid w:val="23DD0247"/>
    <w:rsid w:val="240E668F"/>
    <w:rsid w:val="2413757D"/>
    <w:rsid w:val="241654D9"/>
    <w:rsid w:val="242F6903"/>
    <w:rsid w:val="243840E4"/>
    <w:rsid w:val="24642DD5"/>
    <w:rsid w:val="246D3E77"/>
    <w:rsid w:val="24846293"/>
    <w:rsid w:val="24C87371"/>
    <w:rsid w:val="24CB206A"/>
    <w:rsid w:val="24F07108"/>
    <w:rsid w:val="24FC3D99"/>
    <w:rsid w:val="252C0ACB"/>
    <w:rsid w:val="252E54C9"/>
    <w:rsid w:val="25346DE7"/>
    <w:rsid w:val="253501EB"/>
    <w:rsid w:val="254F69C5"/>
    <w:rsid w:val="255A76C2"/>
    <w:rsid w:val="25641485"/>
    <w:rsid w:val="25795009"/>
    <w:rsid w:val="258D1AA0"/>
    <w:rsid w:val="259A0994"/>
    <w:rsid w:val="259A2321"/>
    <w:rsid w:val="25AD1C91"/>
    <w:rsid w:val="25BE47D6"/>
    <w:rsid w:val="25BF21FA"/>
    <w:rsid w:val="25D96FE1"/>
    <w:rsid w:val="25E012AF"/>
    <w:rsid w:val="26346D68"/>
    <w:rsid w:val="2644187A"/>
    <w:rsid w:val="2651737C"/>
    <w:rsid w:val="26746BF7"/>
    <w:rsid w:val="2675736F"/>
    <w:rsid w:val="26844151"/>
    <w:rsid w:val="26BD7696"/>
    <w:rsid w:val="26D309FE"/>
    <w:rsid w:val="26ED4681"/>
    <w:rsid w:val="27071552"/>
    <w:rsid w:val="27106F8C"/>
    <w:rsid w:val="27213991"/>
    <w:rsid w:val="276B645F"/>
    <w:rsid w:val="2776149A"/>
    <w:rsid w:val="278D074F"/>
    <w:rsid w:val="27A84E92"/>
    <w:rsid w:val="27A97777"/>
    <w:rsid w:val="27B605AA"/>
    <w:rsid w:val="27C84B71"/>
    <w:rsid w:val="27CD7F37"/>
    <w:rsid w:val="27D54CBE"/>
    <w:rsid w:val="27F35AB2"/>
    <w:rsid w:val="27F920B5"/>
    <w:rsid w:val="27FA0C0E"/>
    <w:rsid w:val="282C1757"/>
    <w:rsid w:val="283F2B4A"/>
    <w:rsid w:val="284A4D60"/>
    <w:rsid w:val="284E0F47"/>
    <w:rsid w:val="286519A7"/>
    <w:rsid w:val="28652F29"/>
    <w:rsid w:val="28791BF0"/>
    <w:rsid w:val="287A6955"/>
    <w:rsid w:val="288934B7"/>
    <w:rsid w:val="289D7E73"/>
    <w:rsid w:val="28B01D97"/>
    <w:rsid w:val="28E5715B"/>
    <w:rsid w:val="290046FB"/>
    <w:rsid w:val="29253E04"/>
    <w:rsid w:val="292B4A98"/>
    <w:rsid w:val="296151EE"/>
    <w:rsid w:val="296C3F6F"/>
    <w:rsid w:val="29993746"/>
    <w:rsid w:val="29A475D3"/>
    <w:rsid w:val="29E53218"/>
    <w:rsid w:val="29EC3757"/>
    <w:rsid w:val="29F814C8"/>
    <w:rsid w:val="2A1D3121"/>
    <w:rsid w:val="2A250465"/>
    <w:rsid w:val="2A6B0AC8"/>
    <w:rsid w:val="2A9D1AC2"/>
    <w:rsid w:val="2AAD0797"/>
    <w:rsid w:val="2AAE05BE"/>
    <w:rsid w:val="2AD228C2"/>
    <w:rsid w:val="2AD53F48"/>
    <w:rsid w:val="2AF027C5"/>
    <w:rsid w:val="2B45587B"/>
    <w:rsid w:val="2B57136F"/>
    <w:rsid w:val="2B5910D2"/>
    <w:rsid w:val="2B5A0412"/>
    <w:rsid w:val="2BAD5B2E"/>
    <w:rsid w:val="2BB636DB"/>
    <w:rsid w:val="2BBB4F99"/>
    <w:rsid w:val="2BC12FC2"/>
    <w:rsid w:val="2BFD78A5"/>
    <w:rsid w:val="2C1146B4"/>
    <w:rsid w:val="2C544E9E"/>
    <w:rsid w:val="2C5E717E"/>
    <w:rsid w:val="2C9F663B"/>
    <w:rsid w:val="2CC11CF5"/>
    <w:rsid w:val="2CCC5CB2"/>
    <w:rsid w:val="2CD2506A"/>
    <w:rsid w:val="2D103524"/>
    <w:rsid w:val="2D1649A1"/>
    <w:rsid w:val="2D53112E"/>
    <w:rsid w:val="2D556FD5"/>
    <w:rsid w:val="2D5B56A7"/>
    <w:rsid w:val="2D79744E"/>
    <w:rsid w:val="2D7C0298"/>
    <w:rsid w:val="2DB73310"/>
    <w:rsid w:val="2DED408A"/>
    <w:rsid w:val="2DEE1C88"/>
    <w:rsid w:val="2DFA3186"/>
    <w:rsid w:val="2E01199A"/>
    <w:rsid w:val="2E051342"/>
    <w:rsid w:val="2E0F4096"/>
    <w:rsid w:val="2E144D3C"/>
    <w:rsid w:val="2E284525"/>
    <w:rsid w:val="2E437A21"/>
    <w:rsid w:val="2E564087"/>
    <w:rsid w:val="2E6A2EC1"/>
    <w:rsid w:val="2E7177C7"/>
    <w:rsid w:val="2E7F5EFB"/>
    <w:rsid w:val="2EA86A4F"/>
    <w:rsid w:val="2EBC36FD"/>
    <w:rsid w:val="2EBE59D4"/>
    <w:rsid w:val="2ED00CA9"/>
    <w:rsid w:val="2F071E42"/>
    <w:rsid w:val="2F1F43E1"/>
    <w:rsid w:val="2F5F5D1E"/>
    <w:rsid w:val="2F79521C"/>
    <w:rsid w:val="2F9212F9"/>
    <w:rsid w:val="2FB26895"/>
    <w:rsid w:val="2FBA70F5"/>
    <w:rsid w:val="2FE32280"/>
    <w:rsid w:val="2FF349F4"/>
    <w:rsid w:val="30001FF1"/>
    <w:rsid w:val="300500AB"/>
    <w:rsid w:val="30234063"/>
    <w:rsid w:val="30405251"/>
    <w:rsid w:val="304058EC"/>
    <w:rsid w:val="31121E78"/>
    <w:rsid w:val="311226CE"/>
    <w:rsid w:val="31315899"/>
    <w:rsid w:val="31523788"/>
    <w:rsid w:val="315A329E"/>
    <w:rsid w:val="3170046B"/>
    <w:rsid w:val="31B95ABD"/>
    <w:rsid w:val="31CB3215"/>
    <w:rsid w:val="31D934FC"/>
    <w:rsid w:val="31DB6586"/>
    <w:rsid w:val="31EF1CD2"/>
    <w:rsid w:val="31F71559"/>
    <w:rsid w:val="3209453C"/>
    <w:rsid w:val="32175693"/>
    <w:rsid w:val="324242A7"/>
    <w:rsid w:val="324C2A19"/>
    <w:rsid w:val="325D4274"/>
    <w:rsid w:val="326B3B27"/>
    <w:rsid w:val="326E1847"/>
    <w:rsid w:val="32722E00"/>
    <w:rsid w:val="328B4BB3"/>
    <w:rsid w:val="329070C9"/>
    <w:rsid w:val="32970AE8"/>
    <w:rsid w:val="32982C23"/>
    <w:rsid w:val="32A63199"/>
    <w:rsid w:val="32BB2531"/>
    <w:rsid w:val="32D06FC2"/>
    <w:rsid w:val="32DC4A27"/>
    <w:rsid w:val="32F43FF7"/>
    <w:rsid w:val="330D1DA6"/>
    <w:rsid w:val="33274ED3"/>
    <w:rsid w:val="332D23A7"/>
    <w:rsid w:val="334724A6"/>
    <w:rsid w:val="3357582A"/>
    <w:rsid w:val="335A0BC7"/>
    <w:rsid w:val="33613DCA"/>
    <w:rsid w:val="337076BD"/>
    <w:rsid w:val="33732AC2"/>
    <w:rsid w:val="338D5CAF"/>
    <w:rsid w:val="33944B44"/>
    <w:rsid w:val="339723E7"/>
    <w:rsid w:val="33E72F43"/>
    <w:rsid w:val="34145320"/>
    <w:rsid w:val="34214EAF"/>
    <w:rsid w:val="34323880"/>
    <w:rsid w:val="34450C3E"/>
    <w:rsid w:val="346F2096"/>
    <w:rsid w:val="3484044B"/>
    <w:rsid w:val="34A64A8D"/>
    <w:rsid w:val="34AF4882"/>
    <w:rsid w:val="34B14C22"/>
    <w:rsid w:val="34C77047"/>
    <w:rsid w:val="34CD6184"/>
    <w:rsid w:val="34D64EC0"/>
    <w:rsid w:val="35167608"/>
    <w:rsid w:val="35372A97"/>
    <w:rsid w:val="35511767"/>
    <w:rsid w:val="355275ED"/>
    <w:rsid w:val="356F76FB"/>
    <w:rsid w:val="357434AE"/>
    <w:rsid w:val="358F65A5"/>
    <w:rsid w:val="359F331D"/>
    <w:rsid w:val="35A90810"/>
    <w:rsid w:val="35C321C9"/>
    <w:rsid w:val="35F0099E"/>
    <w:rsid w:val="35F07657"/>
    <w:rsid w:val="362A083B"/>
    <w:rsid w:val="367403FB"/>
    <w:rsid w:val="36757ECC"/>
    <w:rsid w:val="367D0041"/>
    <w:rsid w:val="367D1965"/>
    <w:rsid w:val="368D7A38"/>
    <w:rsid w:val="36932BC7"/>
    <w:rsid w:val="36983EE9"/>
    <w:rsid w:val="36C04EF0"/>
    <w:rsid w:val="36C379FE"/>
    <w:rsid w:val="36D472F0"/>
    <w:rsid w:val="36DD74C7"/>
    <w:rsid w:val="36E7510B"/>
    <w:rsid w:val="37090D99"/>
    <w:rsid w:val="371B3634"/>
    <w:rsid w:val="37312FB4"/>
    <w:rsid w:val="373E5822"/>
    <w:rsid w:val="374630EA"/>
    <w:rsid w:val="37574708"/>
    <w:rsid w:val="375F745C"/>
    <w:rsid w:val="377363A9"/>
    <w:rsid w:val="377C5962"/>
    <w:rsid w:val="3781624A"/>
    <w:rsid w:val="378B3DD8"/>
    <w:rsid w:val="378E0A89"/>
    <w:rsid w:val="37933791"/>
    <w:rsid w:val="37B42118"/>
    <w:rsid w:val="37C84420"/>
    <w:rsid w:val="37CA7269"/>
    <w:rsid w:val="37D65222"/>
    <w:rsid w:val="37D9529A"/>
    <w:rsid w:val="37DE1B59"/>
    <w:rsid w:val="37E77345"/>
    <w:rsid w:val="37E87504"/>
    <w:rsid w:val="37FB1006"/>
    <w:rsid w:val="38060C27"/>
    <w:rsid w:val="38133392"/>
    <w:rsid w:val="381627EC"/>
    <w:rsid w:val="38533BE8"/>
    <w:rsid w:val="386A71B1"/>
    <w:rsid w:val="38781C12"/>
    <w:rsid w:val="387C11EF"/>
    <w:rsid w:val="38833EE0"/>
    <w:rsid w:val="38923628"/>
    <w:rsid w:val="38AB60B9"/>
    <w:rsid w:val="38DF5882"/>
    <w:rsid w:val="38E07ABB"/>
    <w:rsid w:val="38F66773"/>
    <w:rsid w:val="39052441"/>
    <w:rsid w:val="391E0014"/>
    <w:rsid w:val="392216BA"/>
    <w:rsid w:val="393357E7"/>
    <w:rsid w:val="39377BA8"/>
    <w:rsid w:val="396525A7"/>
    <w:rsid w:val="396774FF"/>
    <w:rsid w:val="396B2D26"/>
    <w:rsid w:val="396B660A"/>
    <w:rsid w:val="39772504"/>
    <w:rsid w:val="397B5A95"/>
    <w:rsid w:val="398B00F2"/>
    <w:rsid w:val="398B288C"/>
    <w:rsid w:val="399056B1"/>
    <w:rsid w:val="39906359"/>
    <w:rsid w:val="399F314B"/>
    <w:rsid w:val="39BC2B19"/>
    <w:rsid w:val="39CC10CB"/>
    <w:rsid w:val="39E953A0"/>
    <w:rsid w:val="3A034CAB"/>
    <w:rsid w:val="3A0A1780"/>
    <w:rsid w:val="3A2D436F"/>
    <w:rsid w:val="3A45456B"/>
    <w:rsid w:val="3A72580F"/>
    <w:rsid w:val="3A8A2FE2"/>
    <w:rsid w:val="3AE21826"/>
    <w:rsid w:val="3AE94AC3"/>
    <w:rsid w:val="3AF5776E"/>
    <w:rsid w:val="3AF86578"/>
    <w:rsid w:val="3B1D1309"/>
    <w:rsid w:val="3B2D5846"/>
    <w:rsid w:val="3B352705"/>
    <w:rsid w:val="3B4552CB"/>
    <w:rsid w:val="3B785B3E"/>
    <w:rsid w:val="3B7F29E2"/>
    <w:rsid w:val="3B8C3B7E"/>
    <w:rsid w:val="3B975174"/>
    <w:rsid w:val="3B996A24"/>
    <w:rsid w:val="3BB8149F"/>
    <w:rsid w:val="3BC55C93"/>
    <w:rsid w:val="3BE8325F"/>
    <w:rsid w:val="3C1B788B"/>
    <w:rsid w:val="3C2551D0"/>
    <w:rsid w:val="3C3B3BC7"/>
    <w:rsid w:val="3C5071BC"/>
    <w:rsid w:val="3C5B1799"/>
    <w:rsid w:val="3C8A2AAC"/>
    <w:rsid w:val="3CCC09B3"/>
    <w:rsid w:val="3CCE3616"/>
    <w:rsid w:val="3CD34BB6"/>
    <w:rsid w:val="3CE34A49"/>
    <w:rsid w:val="3CF27462"/>
    <w:rsid w:val="3CF913D8"/>
    <w:rsid w:val="3CFA6393"/>
    <w:rsid w:val="3D15475E"/>
    <w:rsid w:val="3D2D6C4A"/>
    <w:rsid w:val="3D342758"/>
    <w:rsid w:val="3D420058"/>
    <w:rsid w:val="3D603DDF"/>
    <w:rsid w:val="3D86302E"/>
    <w:rsid w:val="3D9451E8"/>
    <w:rsid w:val="3D9E5E01"/>
    <w:rsid w:val="3DD36B7E"/>
    <w:rsid w:val="3DD70C30"/>
    <w:rsid w:val="3E122D1E"/>
    <w:rsid w:val="3E190559"/>
    <w:rsid w:val="3E1B4267"/>
    <w:rsid w:val="3E2A351E"/>
    <w:rsid w:val="3E2E05BF"/>
    <w:rsid w:val="3E3A5277"/>
    <w:rsid w:val="3E4B01AA"/>
    <w:rsid w:val="3E7F0782"/>
    <w:rsid w:val="3E9A43D0"/>
    <w:rsid w:val="3EA871B3"/>
    <w:rsid w:val="3EED0986"/>
    <w:rsid w:val="3EEF4F5D"/>
    <w:rsid w:val="3EFC0070"/>
    <w:rsid w:val="3F0925DB"/>
    <w:rsid w:val="3F3B664C"/>
    <w:rsid w:val="3F490502"/>
    <w:rsid w:val="3F4A6E50"/>
    <w:rsid w:val="3F785663"/>
    <w:rsid w:val="3FD54401"/>
    <w:rsid w:val="40047A62"/>
    <w:rsid w:val="40140B53"/>
    <w:rsid w:val="401E504F"/>
    <w:rsid w:val="403A1B6B"/>
    <w:rsid w:val="403B5451"/>
    <w:rsid w:val="403E1741"/>
    <w:rsid w:val="404E476A"/>
    <w:rsid w:val="406B7BB9"/>
    <w:rsid w:val="406F3117"/>
    <w:rsid w:val="40A40EB8"/>
    <w:rsid w:val="40AF67CD"/>
    <w:rsid w:val="40B45D58"/>
    <w:rsid w:val="40CE6F1A"/>
    <w:rsid w:val="40F67EA4"/>
    <w:rsid w:val="40F92841"/>
    <w:rsid w:val="41021565"/>
    <w:rsid w:val="410358BE"/>
    <w:rsid w:val="41071277"/>
    <w:rsid w:val="411E6B48"/>
    <w:rsid w:val="412D1181"/>
    <w:rsid w:val="412D1C26"/>
    <w:rsid w:val="41362B61"/>
    <w:rsid w:val="4139110E"/>
    <w:rsid w:val="413E3ED0"/>
    <w:rsid w:val="41712EFA"/>
    <w:rsid w:val="41726D47"/>
    <w:rsid w:val="417F6F56"/>
    <w:rsid w:val="41987B91"/>
    <w:rsid w:val="419A2D70"/>
    <w:rsid w:val="41AF6F1E"/>
    <w:rsid w:val="41B265BD"/>
    <w:rsid w:val="41C400EF"/>
    <w:rsid w:val="41D23D86"/>
    <w:rsid w:val="41D802F3"/>
    <w:rsid w:val="41D915F1"/>
    <w:rsid w:val="41E50347"/>
    <w:rsid w:val="41EA6167"/>
    <w:rsid w:val="41F11B9A"/>
    <w:rsid w:val="42160E73"/>
    <w:rsid w:val="423E5AFE"/>
    <w:rsid w:val="426E2A84"/>
    <w:rsid w:val="428F7D5A"/>
    <w:rsid w:val="429C7BDE"/>
    <w:rsid w:val="42A66599"/>
    <w:rsid w:val="42A862BA"/>
    <w:rsid w:val="42A925E4"/>
    <w:rsid w:val="42E54B4C"/>
    <w:rsid w:val="42EB5B9A"/>
    <w:rsid w:val="43376DC3"/>
    <w:rsid w:val="436440F6"/>
    <w:rsid w:val="43924E85"/>
    <w:rsid w:val="43C13167"/>
    <w:rsid w:val="43E0334C"/>
    <w:rsid w:val="44190FF3"/>
    <w:rsid w:val="441E5C8F"/>
    <w:rsid w:val="441F16C0"/>
    <w:rsid w:val="44402F97"/>
    <w:rsid w:val="44453E66"/>
    <w:rsid w:val="445B583C"/>
    <w:rsid w:val="445F000E"/>
    <w:rsid w:val="446D5332"/>
    <w:rsid w:val="44713A13"/>
    <w:rsid w:val="447B62DE"/>
    <w:rsid w:val="448E6B15"/>
    <w:rsid w:val="449947FE"/>
    <w:rsid w:val="44A8613D"/>
    <w:rsid w:val="44E57FEF"/>
    <w:rsid w:val="44F336B8"/>
    <w:rsid w:val="4501528C"/>
    <w:rsid w:val="45034F0B"/>
    <w:rsid w:val="45082649"/>
    <w:rsid w:val="45356036"/>
    <w:rsid w:val="455604E6"/>
    <w:rsid w:val="457C33FD"/>
    <w:rsid w:val="45BB5DCA"/>
    <w:rsid w:val="45C21E72"/>
    <w:rsid w:val="45C31653"/>
    <w:rsid w:val="45C62188"/>
    <w:rsid w:val="45D27640"/>
    <w:rsid w:val="45E406FC"/>
    <w:rsid w:val="45E85B65"/>
    <w:rsid w:val="45ED57D7"/>
    <w:rsid w:val="461E4C25"/>
    <w:rsid w:val="463539EB"/>
    <w:rsid w:val="463D43A4"/>
    <w:rsid w:val="46476E90"/>
    <w:rsid w:val="464C02D9"/>
    <w:rsid w:val="466F3382"/>
    <w:rsid w:val="46992ABE"/>
    <w:rsid w:val="46A61E9E"/>
    <w:rsid w:val="46C93A4E"/>
    <w:rsid w:val="46D00E38"/>
    <w:rsid w:val="46E1597E"/>
    <w:rsid w:val="46E41702"/>
    <w:rsid w:val="46FE4FEC"/>
    <w:rsid w:val="471E3499"/>
    <w:rsid w:val="472414A1"/>
    <w:rsid w:val="472A37FD"/>
    <w:rsid w:val="473C3819"/>
    <w:rsid w:val="47530B4B"/>
    <w:rsid w:val="47563553"/>
    <w:rsid w:val="476C1F0A"/>
    <w:rsid w:val="47910493"/>
    <w:rsid w:val="47B16326"/>
    <w:rsid w:val="47C7661A"/>
    <w:rsid w:val="47D65709"/>
    <w:rsid w:val="48067F6F"/>
    <w:rsid w:val="48083C42"/>
    <w:rsid w:val="480E3A89"/>
    <w:rsid w:val="481422B5"/>
    <w:rsid w:val="483C7D33"/>
    <w:rsid w:val="48493380"/>
    <w:rsid w:val="48737C0F"/>
    <w:rsid w:val="48D7632E"/>
    <w:rsid w:val="48FA11D0"/>
    <w:rsid w:val="49094AB9"/>
    <w:rsid w:val="49160A12"/>
    <w:rsid w:val="492F5305"/>
    <w:rsid w:val="493B1C4B"/>
    <w:rsid w:val="497E4F8A"/>
    <w:rsid w:val="49800734"/>
    <w:rsid w:val="49A91F7E"/>
    <w:rsid w:val="49B86D66"/>
    <w:rsid w:val="49DA3791"/>
    <w:rsid w:val="49E5537E"/>
    <w:rsid w:val="49F054E8"/>
    <w:rsid w:val="4AB01B94"/>
    <w:rsid w:val="4AB204AC"/>
    <w:rsid w:val="4AB81A56"/>
    <w:rsid w:val="4AD34503"/>
    <w:rsid w:val="4AD418A8"/>
    <w:rsid w:val="4AE0109C"/>
    <w:rsid w:val="4B143EBB"/>
    <w:rsid w:val="4B387832"/>
    <w:rsid w:val="4B4763F2"/>
    <w:rsid w:val="4B6854C0"/>
    <w:rsid w:val="4B6B399D"/>
    <w:rsid w:val="4B883848"/>
    <w:rsid w:val="4B946E2D"/>
    <w:rsid w:val="4B9D3E35"/>
    <w:rsid w:val="4BB5616C"/>
    <w:rsid w:val="4BB86908"/>
    <w:rsid w:val="4BE710E1"/>
    <w:rsid w:val="4BEE48EE"/>
    <w:rsid w:val="4C00443B"/>
    <w:rsid w:val="4C1A7DE1"/>
    <w:rsid w:val="4C255745"/>
    <w:rsid w:val="4C2B51DC"/>
    <w:rsid w:val="4C3712E5"/>
    <w:rsid w:val="4C3E13F2"/>
    <w:rsid w:val="4C6E040A"/>
    <w:rsid w:val="4C7A7C73"/>
    <w:rsid w:val="4C972946"/>
    <w:rsid w:val="4C9E0D27"/>
    <w:rsid w:val="4CBC143E"/>
    <w:rsid w:val="4CCF5573"/>
    <w:rsid w:val="4CEE33E1"/>
    <w:rsid w:val="4D2B3608"/>
    <w:rsid w:val="4D2D73D0"/>
    <w:rsid w:val="4D5239E1"/>
    <w:rsid w:val="4D534A36"/>
    <w:rsid w:val="4D727E20"/>
    <w:rsid w:val="4D8B4357"/>
    <w:rsid w:val="4D912018"/>
    <w:rsid w:val="4D9B4492"/>
    <w:rsid w:val="4DCD062C"/>
    <w:rsid w:val="4DE00B50"/>
    <w:rsid w:val="4DE130A1"/>
    <w:rsid w:val="4DED384D"/>
    <w:rsid w:val="4DF5607D"/>
    <w:rsid w:val="4E2278DC"/>
    <w:rsid w:val="4E2832EF"/>
    <w:rsid w:val="4E6D62A4"/>
    <w:rsid w:val="4EAB49BE"/>
    <w:rsid w:val="4EAD4B5F"/>
    <w:rsid w:val="4EC9207C"/>
    <w:rsid w:val="4EC941D0"/>
    <w:rsid w:val="4EFD5345"/>
    <w:rsid w:val="4F0E43E9"/>
    <w:rsid w:val="4F725C85"/>
    <w:rsid w:val="4F98636F"/>
    <w:rsid w:val="4F993E7A"/>
    <w:rsid w:val="4FB92243"/>
    <w:rsid w:val="4FF64115"/>
    <w:rsid w:val="4FFE0DE3"/>
    <w:rsid w:val="50187AFD"/>
    <w:rsid w:val="502F38D2"/>
    <w:rsid w:val="506B7FF9"/>
    <w:rsid w:val="50840441"/>
    <w:rsid w:val="50882969"/>
    <w:rsid w:val="508A6532"/>
    <w:rsid w:val="50CF147A"/>
    <w:rsid w:val="50FC4E54"/>
    <w:rsid w:val="51032D46"/>
    <w:rsid w:val="514F5D02"/>
    <w:rsid w:val="51686C7D"/>
    <w:rsid w:val="516A369B"/>
    <w:rsid w:val="51814C8D"/>
    <w:rsid w:val="51926811"/>
    <w:rsid w:val="51955885"/>
    <w:rsid w:val="51C468AD"/>
    <w:rsid w:val="51CF1E4A"/>
    <w:rsid w:val="51D23E7D"/>
    <w:rsid w:val="51FA3D95"/>
    <w:rsid w:val="52120C9B"/>
    <w:rsid w:val="52321EF4"/>
    <w:rsid w:val="52450FE9"/>
    <w:rsid w:val="52631CF3"/>
    <w:rsid w:val="526959D7"/>
    <w:rsid w:val="528D54AF"/>
    <w:rsid w:val="52A14636"/>
    <w:rsid w:val="52A96CF5"/>
    <w:rsid w:val="52AD14C5"/>
    <w:rsid w:val="52BE0195"/>
    <w:rsid w:val="52F42646"/>
    <w:rsid w:val="530A5A64"/>
    <w:rsid w:val="53234AB4"/>
    <w:rsid w:val="53382B96"/>
    <w:rsid w:val="53451BE3"/>
    <w:rsid w:val="534B3F7F"/>
    <w:rsid w:val="534F0696"/>
    <w:rsid w:val="535428DF"/>
    <w:rsid w:val="53590704"/>
    <w:rsid w:val="53795C68"/>
    <w:rsid w:val="538D5FA2"/>
    <w:rsid w:val="539A4562"/>
    <w:rsid w:val="53A524C5"/>
    <w:rsid w:val="53AB4309"/>
    <w:rsid w:val="53B159B9"/>
    <w:rsid w:val="53BD6CD6"/>
    <w:rsid w:val="53CD42C9"/>
    <w:rsid w:val="54031754"/>
    <w:rsid w:val="54206975"/>
    <w:rsid w:val="544610CA"/>
    <w:rsid w:val="5464495C"/>
    <w:rsid w:val="54A11653"/>
    <w:rsid w:val="54A175AA"/>
    <w:rsid w:val="54E36C7D"/>
    <w:rsid w:val="54E96986"/>
    <w:rsid w:val="54EF3A2C"/>
    <w:rsid w:val="54F149EE"/>
    <w:rsid w:val="54F169EE"/>
    <w:rsid w:val="54FE4394"/>
    <w:rsid w:val="550465DD"/>
    <w:rsid w:val="55046C11"/>
    <w:rsid w:val="550E70BA"/>
    <w:rsid w:val="552A3081"/>
    <w:rsid w:val="552A5EB7"/>
    <w:rsid w:val="55372DCE"/>
    <w:rsid w:val="5561056D"/>
    <w:rsid w:val="55677160"/>
    <w:rsid w:val="556E7BB8"/>
    <w:rsid w:val="558251B6"/>
    <w:rsid w:val="55861462"/>
    <w:rsid w:val="55B342DE"/>
    <w:rsid w:val="55E156DE"/>
    <w:rsid w:val="55E231DA"/>
    <w:rsid w:val="55E963D8"/>
    <w:rsid w:val="560222D1"/>
    <w:rsid w:val="561B5368"/>
    <w:rsid w:val="561C3A12"/>
    <w:rsid w:val="562C7EB9"/>
    <w:rsid w:val="5641134B"/>
    <w:rsid w:val="56497DF0"/>
    <w:rsid w:val="5652499A"/>
    <w:rsid w:val="56827C34"/>
    <w:rsid w:val="569D5AD6"/>
    <w:rsid w:val="569D6FEB"/>
    <w:rsid w:val="56B7311C"/>
    <w:rsid w:val="56BA0207"/>
    <w:rsid w:val="56C6393A"/>
    <w:rsid w:val="57075726"/>
    <w:rsid w:val="570B2466"/>
    <w:rsid w:val="57141D7B"/>
    <w:rsid w:val="5721795F"/>
    <w:rsid w:val="57377ECA"/>
    <w:rsid w:val="578A5832"/>
    <w:rsid w:val="57936D18"/>
    <w:rsid w:val="579A3632"/>
    <w:rsid w:val="57A331E4"/>
    <w:rsid w:val="57C82B15"/>
    <w:rsid w:val="57E03143"/>
    <w:rsid w:val="57F008E7"/>
    <w:rsid w:val="57F37D46"/>
    <w:rsid w:val="57FA3ADB"/>
    <w:rsid w:val="580D1CF2"/>
    <w:rsid w:val="58345D40"/>
    <w:rsid w:val="584726DE"/>
    <w:rsid w:val="586121A5"/>
    <w:rsid w:val="586364E4"/>
    <w:rsid w:val="589C3D13"/>
    <w:rsid w:val="589F5301"/>
    <w:rsid w:val="58B023C7"/>
    <w:rsid w:val="58C2649B"/>
    <w:rsid w:val="58CC3FC9"/>
    <w:rsid w:val="58D518B0"/>
    <w:rsid w:val="58DF0826"/>
    <w:rsid w:val="58EA61EF"/>
    <w:rsid w:val="58FC5C8E"/>
    <w:rsid w:val="5906411B"/>
    <w:rsid w:val="59224801"/>
    <w:rsid w:val="594563C0"/>
    <w:rsid w:val="594D53DC"/>
    <w:rsid w:val="59774729"/>
    <w:rsid w:val="599D39E2"/>
    <w:rsid w:val="59D00DE3"/>
    <w:rsid w:val="59EF6D52"/>
    <w:rsid w:val="59F8330E"/>
    <w:rsid w:val="5A067ADE"/>
    <w:rsid w:val="5A29339B"/>
    <w:rsid w:val="5A566DDC"/>
    <w:rsid w:val="5A7560DD"/>
    <w:rsid w:val="5A7D6053"/>
    <w:rsid w:val="5AB248D3"/>
    <w:rsid w:val="5AC05827"/>
    <w:rsid w:val="5ACB224D"/>
    <w:rsid w:val="5AF73706"/>
    <w:rsid w:val="5AFA2F92"/>
    <w:rsid w:val="5B0C77F9"/>
    <w:rsid w:val="5B2800C3"/>
    <w:rsid w:val="5B445D9F"/>
    <w:rsid w:val="5B47295A"/>
    <w:rsid w:val="5B522201"/>
    <w:rsid w:val="5B5228CD"/>
    <w:rsid w:val="5B6C45C3"/>
    <w:rsid w:val="5B6E2134"/>
    <w:rsid w:val="5BB12AED"/>
    <w:rsid w:val="5BB56CA6"/>
    <w:rsid w:val="5BB9105C"/>
    <w:rsid w:val="5BCC0838"/>
    <w:rsid w:val="5BE67221"/>
    <w:rsid w:val="5C020C82"/>
    <w:rsid w:val="5C023D67"/>
    <w:rsid w:val="5C1D63F1"/>
    <w:rsid w:val="5C317152"/>
    <w:rsid w:val="5C36180A"/>
    <w:rsid w:val="5C3A74BE"/>
    <w:rsid w:val="5C3B7942"/>
    <w:rsid w:val="5C403D4A"/>
    <w:rsid w:val="5C696F3B"/>
    <w:rsid w:val="5C96490F"/>
    <w:rsid w:val="5CBC3D94"/>
    <w:rsid w:val="5CCE3B13"/>
    <w:rsid w:val="5D0F6679"/>
    <w:rsid w:val="5D1061CE"/>
    <w:rsid w:val="5D2C0633"/>
    <w:rsid w:val="5D2C3326"/>
    <w:rsid w:val="5D31367B"/>
    <w:rsid w:val="5D3E3A21"/>
    <w:rsid w:val="5D3E67CF"/>
    <w:rsid w:val="5D526130"/>
    <w:rsid w:val="5D5C47C6"/>
    <w:rsid w:val="5D5E1888"/>
    <w:rsid w:val="5D686ED8"/>
    <w:rsid w:val="5D8439A1"/>
    <w:rsid w:val="5D8C4C3C"/>
    <w:rsid w:val="5D931B4D"/>
    <w:rsid w:val="5D9D6BDE"/>
    <w:rsid w:val="5DAE6871"/>
    <w:rsid w:val="5DB40C32"/>
    <w:rsid w:val="5DBD191A"/>
    <w:rsid w:val="5E043EAD"/>
    <w:rsid w:val="5E2C301C"/>
    <w:rsid w:val="5E6E0DFC"/>
    <w:rsid w:val="5E8C4097"/>
    <w:rsid w:val="5EF2521E"/>
    <w:rsid w:val="5EF82B50"/>
    <w:rsid w:val="5F160614"/>
    <w:rsid w:val="5F171F07"/>
    <w:rsid w:val="5F2074FD"/>
    <w:rsid w:val="5F3C6ECB"/>
    <w:rsid w:val="5F556807"/>
    <w:rsid w:val="5F583DC6"/>
    <w:rsid w:val="5F7D398A"/>
    <w:rsid w:val="5F800097"/>
    <w:rsid w:val="5F8D0CFB"/>
    <w:rsid w:val="5F9405E4"/>
    <w:rsid w:val="5FB20B54"/>
    <w:rsid w:val="5FDF6E18"/>
    <w:rsid w:val="5FF34BFF"/>
    <w:rsid w:val="60123853"/>
    <w:rsid w:val="604167F5"/>
    <w:rsid w:val="604B4F9C"/>
    <w:rsid w:val="605D7ED6"/>
    <w:rsid w:val="606F6BB1"/>
    <w:rsid w:val="609803A3"/>
    <w:rsid w:val="61017368"/>
    <w:rsid w:val="610E2531"/>
    <w:rsid w:val="611C2C06"/>
    <w:rsid w:val="61356358"/>
    <w:rsid w:val="613F332E"/>
    <w:rsid w:val="615C69C8"/>
    <w:rsid w:val="616017C1"/>
    <w:rsid w:val="616B4C48"/>
    <w:rsid w:val="617F4DA7"/>
    <w:rsid w:val="61A14C0C"/>
    <w:rsid w:val="61BB53B1"/>
    <w:rsid w:val="61F564A0"/>
    <w:rsid w:val="62044E62"/>
    <w:rsid w:val="622D6EB7"/>
    <w:rsid w:val="62385F7D"/>
    <w:rsid w:val="62647D8D"/>
    <w:rsid w:val="629112B6"/>
    <w:rsid w:val="62AC0A9B"/>
    <w:rsid w:val="62BA6218"/>
    <w:rsid w:val="62BC7BC5"/>
    <w:rsid w:val="62C0102E"/>
    <w:rsid w:val="62CE17ED"/>
    <w:rsid w:val="62DF3FF8"/>
    <w:rsid w:val="62E3682F"/>
    <w:rsid w:val="62EA4894"/>
    <w:rsid w:val="62EF4EC9"/>
    <w:rsid w:val="63042633"/>
    <w:rsid w:val="63257A6E"/>
    <w:rsid w:val="6327261E"/>
    <w:rsid w:val="632979D6"/>
    <w:rsid w:val="63314C78"/>
    <w:rsid w:val="636926F5"/>
    <w:rsid w:val="639D379B"/>
    <w:rsid w:val="63A05BB2"/>
    <w:rsid w:val="63BB1EF8"/>
    <w:rsid w:val="640D3279"/>
    <w:rsid w:val="64302B14"/>
    <w:rsid w:val="6434615B"/>
    <w:rsid w:val="643F0638"/>
    <w:rsid w:val="644248A2"/>
    <w:rsid w:val="644F5F2D"/>
    <w:rsid w:val="6462244F"/>
    <w:rsid w:val="64776726"/>
    <w:rsid w:val="6485529F"/>
    <w:rsid w:val="648B7055"/>
    <w:rsid w:val="64963AA6"/>
    <w:rsid w:val="64A253D7"/>
    <w:rsid w:val="650C3B9D"/>
    <w:rsid w:val="651F258D"/>
    <w:rsid w:val="65477BDB"/>
    <w:rsid w:val="655718F8"/>
    <w:rsid w:val="65671554"/>
    <w:rsid w:val="65995723"/>
    <w:rsid w:val="65BB1861"/>
    <w:rsid w:val="65EC47CE"/>
    <w:rsid w:val="65FA6D1C"/>
    <w:rsid w:val="660C523E"/>
    <w:rsid w:val="66166D1B"/>
    <w:rsid w:val="661E5EFB"/>
    <w:rsid w:val="6622666F"/>
    <w:rsid w:val="66252A25"/>
    <w:rsid w:val="66256646"/>
    <w:rsid w:val="66297486"/>
    <w:rsid w:val="6659645E"/>
    <w:rsid w:val="66826151"/>
    <w:rsid w:val="66B87932"/>
    <w:rsid w:val="66BC32E1"/>
    <w:rsid w:val="66D528CC"/>
    <w:rsid w:val="66F84618"/>
    <w:rsid w:val="6704086E"/>
    <w:rsid w:val="6705537A"/>
    <w:rsid w:val="670D1B52"/>
    <w:rsid w:val="672B192F"/>
    <w:rsid w:val="67411465"/>
    <w:rsid w:val="674B7F8B"/>
    <w:rsid w:val="67894393"/>
    <w:rsid w:val="67AC6C37"/>
    <w:rsid w:val="67BB3D4C"/>
    <w:rsid w:val="67C4205B"/>
    <w:rsid w:val="67DA1B5F"/>
    <w:rsid w:val="67FF72AE"/>
    <w:rsid w:val="6807144B"/>
    <w:rsid w:val="681355E4"/>
    <w:rsid w:val="682A71BA"/>
    <w:rsid w:val="68584651"/>
    <w:rsid w:val="688277E9"/>
    <w:rsid w:val="688940ED"/>
    <w:rsid w:val="689861F2"/>
    <w:rsid w:val="68A11DE4"/>
    <w:rsid w:val="68C64217"/>
    <w:rsid w:val="68E92D35"/>
    <w:rsid w:val="68F608CE"/>
    <w:rsid w:val="6914431C"/>
    <w:rsid w:val="691C7C04"/>
    <w:rsid w:val="69581DC3"/>
    <w:rsid w:val="6974727F"/>
    <w:rsid w:val="69824DF7"/>
    <w:rsid w:val="69957EDE"/>
    <w:rsid w:val="699E3E9E"/>
    <w:rsid w:val="69CD3729"/>
    <w:rsid w:val="69D06F95"/>
    <w:rsid w:val="69D2500F"/>
    <w:rsid w:val="6A3058F1"/>
    <w:rsid w:val="6A3C5E05"/>
    <w:rsid w:val="6A5B0AE4"/>
    <w:rsid w:val="6A7925A2"/>
    <w:rsid w:val="6A856331"/>
    <w:rsid w:val="6A875023"/>
    <w:rsid w:val="6A93647E"/>
    <w:rsid w:val="6AD42A4E"/>
    <w:rsid w:val="6AE30A1D"/>
    <w:rsid w:val="6AE318A9"/>
    <w:rsid w:val="6B180052"/>
    <w:rsid w:val="6B2F0BDB"/>
    <w:rsid w:val="6B4E17E2"/>
    <w:rsid w:val="6B57473A"/>
    <w:rsid w:val="6B781A33"/>
    <w:rsid w:val="6B8D278E"/>
    <w:rsid w:val="6B954686"/>
    <w:rsid w:val="6B9A3228"/>
    <w:rsid w:val="6B9F4A37"/>
    <w:rsid w:val="6BA0109A"/>
    <w:rsid w:val="6BA958C5"/>
    <w:rsid w:val="6BC745EA"/>
    <w:rsid w:val="6BE02190"/>
    <w:rsid w:val="6C2D2EA8"/>
    <w:rsid w:val="6C4510D3"/>
    <w:rsid w:val="6C4B2C0C"/>
    <w:rsid w:val="6C793229"/>
    <w:rsid w:val="6C7B7AC3"/>
    <w:rsid w:val="6C813F9E"/>
    <w:rsid w:val="6C847E17"/>
    <w:rsid w:val="6CAC72BC"/>
    <w:rsid w:val="6CB57F68"/>
    <w:rsid w:val="6CE514E2"/>
    <w:rsid w:val="6CEC674A"/>
    <w:rsid w:val="6CF43C67"/>
    <w:rsid w:val="6D0E46B5"/>
    <w:rsid w:val="6D3D7D46"/>
    <w:rsid w:val="6D4B2456"/>
    <w:rsid w:val="6D5673DD"/>
    <w:rsid w:val="6D5D680E"/>
    <w:rsid w:val="6D6717EA"/>
    <w:rsid w:val="6D7F179B"/>
    <w:rsid w:val="6DA37471"/>
    <w:rsid w:val="6DD40FF4"/>
    <w:rsid w:val="6DF945A9"/>
    <w:rsid w:val="6DFD2F6C"/>
    <w:rsid w:val="6E430BB2"/>
    <w:rsid w:val="6E48574E"/>
    <w:rsid w:val="6E551B18"/>
    <w:rsid w:val="6E881731"/>
    <w:rsid w:val="6E992C2B"/>
    <w:rsid w:val="6EBC60EA"/>
    <w:rsid w:val="6EC86A4D"/>
    <w:rsid w:val="6ECE302C"/>
    <w:rsid w:val="6EE92B03"/>
    <w:rsid w:val="6F0E7D4B"/>
    <w:rsid w:val="6F6F25F2"/>
    <w:rsid w:val="6F7121C9"/>
    <w:rsid w:val="6F790C8D"/>
    <w:rsid w:val="6F7C1D17"/>
    <w:rsid w:val="6FC06131"/>
    <w:rsid w:val="6FD64E39"/>
    <w:rsid w:val="701229A7"/>
    <w:rsid w:val="7033041B"/>
    <w:rsid w:val="70431141"/>
    <w:rsid w:val="705157D8"/>
    <w:rsid w:val="706344DD"/>
    <w:rsid w:val="706B4698"/>
    <w:rsid w:val="70834E44"/>
    <w:rsid w:val="708A1D65"/>
    <w:rsid w:val="70917D78"/>
    <w:rsid w:val="70B2355F"/>
    <w:rsid w:val="70DD71EA"/>
    <w:rsid w:val="70F346DD"/>
    <w:rsid w:val="712555C0"/>
    <w:rsid w:val="713B0C05"/>
    <w:rsid w:val="71471338"/>
    <w:rsid w:val="714A46FC"/>
    <w:rsid w:val="717A1DE3"/>
    <w:rsid w:val="71A04E57"/>
    <w:rsid w:val="71A06352"/>
    <w:rsid w:val="71AB66F4"/>
    <w:rsid w:val="71CB60B6"/>
    <w:rsid w:val="7208534C"/>
    <w:rsid w:val="720D3510"/>
    <w:rsid w:val="722D3987"/>
    <w:rsid w:val="723124B3"/>
    <w:rsid w:val="723C71DA"/>
    <w:rsid w:val="725651BF"/>
    <w:rsid w:val="728C14B2"/>
    <w:rsid w:val="729369C4"/>
    <w:rsid w:val="72AD3414"/>
    <w:rsid w:val="72C650EE"/>
    <w:rsid w:val="72E014A1"/>
    <w:rsid w:val="72F557C8"/>
    <w:rsid w:val="732B2B9F"/>
    <w:rsid w:val="732C3F6A"/>
    <w:rsid w:val="73314D9E"/>
    <w:rsid w:val="73534FF6"/>
    <w:rsid w:val="73586963"/>
    <w:rsid w:val="737A5AC2"/>
    <w:rsid w:val="7381256D"/>
    <w:rsid w:val="738F42FF"/>
    <w:rsid w:val="73A81399"/>
    <w:rsid w:val="73A976B8"/>
    <w:rsid w:val="73C56151"/>
    <w:rsid w:val="73CC3296"/>
    <w:rsid w:val="73D04B00"/>
    <w:rsid w:val="73D06A4D"/>
    <w:rsid w:val="73FF6B6D"/>
    <w:rsid w:val="74010F1E"/>
    <w:rsid w:val="74027152"/>
    <w:rsid w:val="74036BBB"/>
    <w:rsid w:val="740559E4"/>
    <w:rsid w:val="741B7593"/>
    <w:rsid w:val="7425038E"/>
    <w:rsid w:val="74293EAC"/>
    <w:rsid w:val="742E5E0B"/>
    <w:rsid w:val="746657D7"/>
    <w:rsid w:val="74C40110"/>
    <w:rsid w:val="74C57078"/>
    <w:rsid w:val="750355C3"/>
    <w:rsid w:val="750A4A47"/>
    <w:rsid w:val="750B0A0F"/>
    <w:rsid w:val="751C2DCF"/>
    <w:rsid w:val="75260D2E"/>
    <w:rsid w:val="7534620B"/>
    <w:rsid w:val="7536036D"/>
    <w:rsid w:val="754524FA"/>
    <w:rsid w:val="756C2B6E"/>
    <w:rsid w:val="75747188"/>
    <w:rsid w:val="75A303BE"/>
    <w:rsid w:val="75AB5E09"/>
    <w:rsid w:val="75DD303D"/>
    <w:rsid w:val="75E411D0"/>
    <w:rsid w:val="75E477E7"/>
    <w:rsid w:val="761224C9"/>
    <w:rsid w:val="762B36F3"/>
    <w:rsid w:val="765B1847"/>
    <w:rsid w:val="765E03B8"/>
    <w:rsid w:val="76871AB2"/>
    <w:rsid w:val="769812EB"/>
    <w:rsid w:val="76AC0D29"/>
    <w:rsid w:val="76E90A27"/>
    <w:rsid w:val="76EC6A1A"/>
    <w:rsid w:val="76F36620"/>
    <w:rsid w:val="76F617DC"/>
    <w:rsid w:val="771471DD"/>
    <w:rsid w:val="772B4C48"/>
    <w:rsid w:val="774B67E7"/>
    <w:rsid w:val="77531217"/>
    <w:rsid w:val="77612CFC"/>
    <w:rsid w:val="7766119C"/>
    <w:rsid w:val="779A5FCF"/>
    <w:rsid w:val="780E7A65"/>
    <w:rsid w:val="7817231D"/>
    <w:rsid w:val="78582395"/>
    <w:rsid w:val="78627669"/>
    <w:rsid w:val="78671EDD"/>
    <w:rsid w:val="78B34A01"/>
    <w:rsid w:val="78B51F47"/>
    <w:rsid w:val="78C2698E"/>
    <w:rsid w:val="78EC5468"/>
    <w:rsid w:val="78EF1A1F"/>
    <w:rsid w:val="78F44C7C"/>
    <w:rsid w:val="79067C55"/>
    <w:rsid w:val="795E4961"/>
    <w:rsid w:val="797B4CC5"/>
    <w:rsid w:val="79807707"/>
    <w:rsid w:val="79934E16"/>
    <w:rsid w:val="79C24953"/>
    <w:rsid w:val="79D84DD0"/>
    <w:rsid w:val="79E7062C"/>
    <w:rsid w:val="7A0E28B4"/>
    <w:rsid w:val="7A1538D2"/>
    <w:rsid w:val="7A2B2CA6"/>
    <w:rsid w:val="7A2D46EC"/>
    <w:rsid w:val="7A4C084A"/>
    <w:rsid w:val="7A80574F"/>
    <w:rsid w:val="7AA9566D"/>
    <w:rsid w:val="7AAA39A3"/>
    <w:rsid w:val="7AAA43C5"/>
    <w:rsid w:val="7AAF27F8"/>
    <w:rsid w:val="7AB65AC1"/>
    <w:rsid w:val="7AB9272E"/>
    <w:rsid w:val="7ACB1F34"/>
    <w:rsid w:val="7ADE16C9"/>
    <w:rsid w:val="7AE174AD"/>
    <w:rsid w:val="7AE74B22"/>
    <w:rsid w:val="7AF75D6E"/>
    <w:rsid w:val="7AFA22B8"/>
    <w:rsid w:val="7B024243"/>
    <w:rsid w:val="7B4E0064"/>
    <w:rsid w:val="7B5A161F"/>
    <w:rsid w:val="7BB82D29"/>
    <w:rsid w:val="7BC13D54"/>
    <w:rsid w:val="7BDC0843"/>
    <w:rsid w:val="7BEA5DD5"/>
    <w:rsid w:val="7BFC1262"/>
    <w:rsid w:val="7BFD5845"/>
    <w:rsid w:val="7C0D3CF2"/>
    <w:rsid w:val="7C132511"/>
    <w:rsid w:val="7C157737"/>
    <w:rsid w:val="7C273DCA"/>
    <w:rsid w:val="7C772E2D"/>
    <w:rsid w:val="7C926444"/>
    <w:rsid w:val="7CA93B4F"/>
    <w:rsid w:val="7CBC35C8"/>
    <w:rsid w:val="7CBD603E"/>
    <w:rsid w:val="7CC753F1"/>
    <w:rsid w:val="7CD119B4"/>
    <w:rsid w:val="7D025B84"/>
    <w:rsid w:val="7D0E1633"/>
    <w:rsid w:val="7D332007"/>
    <w:rsid w:val="7D3A2D0C"/>
    <w:rsid w:val="7D4B52B2"/>
    <w:rsid w:val="7D667FC7"/>
    <w:rsid w:val="7D7F5EF6"/>
    <w:rsid w:val="7DBD212D"/>
    <w:rsid w:val="7DC23346"/>
    <w:rsid w:val="7DE2143A"/>
    <w:rsid w:val="7DE46BCB"/>
    <w:rsid w:val="7DE94750"/>
    <w:rsid w:val="7E23102D"/>
    <w:rsid w:val="7E257DD4"/>
    <w:rsid w:val="7E3A205F"/>
    <w:rsid w:val="7E4E17FB"/>
    <w:rsid w:val="7E4F6260"/>
    <w:rsid w:val="7E4F6889"/>
    <w:rsid w:val="7E6E30F9"/>
    <w:rsid w:val="7E7768F9"/>
    <w:rsid w:val="7E7E5729"/>
    <w:rsid w:val="7E8502C2"/>
    <w:rsid w:val="7E8C6D76"/>
    <w:rsid w:val="7EA5630F"/>
    <w:rsid w:val="7EAE1417"/>
    <w:rsid w:val="7EC014A8"/>
    <w:rsid w:val="7ED159D3"/>
    <w:rsid w:val="7EE40CA9"/>
    <w:rsid w:val="7F0852C5"/>
    <w:rsid w:val="7F0A2F40"/>
    <w:rsid w:val="7F0E6AE4"/>
    <w:rsid w:val="7F1579B8"/>
    <w:rsid w:val="7F1A7450"/>
    <w:rsid w:val="7F2024F2"/>
    <w:rsid w:val="7F6312FE"/>
    <w:rsid w:val="7F683D75"/>
    <w:rsid w:val="7F73465B"/>
    <w:rsid w:val="7F7D33FC"/>
    <w:rsid w:val="7F9A5627"/>
    <w:rsid w:val="7FA92ADA"/>
    <w:rsid w:val="7FD762A0"/>
    <w:rsid w:val="7FE32E42"/>
    <w:rsid w:val="7FE75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4"/>
    <w:qFormat/>
    <w:uiPriority w:val="0"/>
    <w:pPr>
      <w:keepNext/>
      <w:keepLines/>
      <w:pageBreakBefore/>
      <w:numPr>
        <w:ilvl w:val="0"/>
        <w:numId w:val="1"/>
      </w:numPr>
      <w:adjustRightInd w:val="0"/>
      <w:spacing w:beforeAutospacing="1" w:after="100" w:afterLines="100" w:afterAutospacing="0" w:line="240" w:lineRule="auto"/>
      <w:ind w:left="431" w:hanging="431"/>
      <w:jc w:val="center"/>
      <w:outlineLvl w:val="0"/>
    </w:pPr>
    <w:rPr>
      <w:rFonts w:ascii="Times New Roman" w:hAnsi="Times New Roman" w:eastAsia="宋体"/>
      <w:b/>
      <w:bCs/>
      <w:kern w:val="44"/>
      <w:sz w:val="32"/>
      <w:szCs w:val="32"/>
    </w:rPr>
  </w:style>
  <w:style w:type="paragraph" w:styleId="5">
    <w:name w:val="heading 2"/>
    <w:basedOn w:val="1"/>
    <w:next w:val="4"/>
    <w:qFormat/>
    <w:uiPriority w:val="0"/>
    <w:pPr>
      <w:keepNext/>
      <w:keepLines/>
      <w:numPr>
        <w:ilvl w:val="1"/>
        <w:numId w:val="1"/>
      </w:numPr>
      <w:ind w:left="578" w:hanging="578"/>
      <w:jc w:val="left"/>
      <w:outlineLvl w:val="1"/>
    </w:pPr>
    <w:rPr>
      <w:rFonts w:ascii="Times New Roman" w:hAnsi="Times New Roman" w:eastAsia="宋体"/>
      <w:b/>
      <w:bCs/>
      <w:sz w:val="30"/>
      <w:szCs w:val="30"/>
    </w:rPr>
  </w:style>
  <w:style w:type="paragraph" w:styleId="6">
    <w:name w:val="heading 3"/>
    <w:basedOn w:val="5"/>
    <w:next w:val="4"/>
    <w:qFormat/>
    <w:uiPriority w:val="0"/>
    <w:pPr>
      <w:keepNext/>
      <w:keepLines/>
      <w:numPr>
        <w:ilvl w:val="2"/>
        <w:numId w:val="1"/>
      </w:numPr>
      <w:tabs>
        <w:tab w:val="clear" w:pos="576"/>
      </w:tabs>
      <w:jc w:val="left"/>
      <w:outlineLvl w:val="2"/>
    </w:pPr>
    <w:rPr>
      <w:rFonts w:ascii="Times New Roman" w:hAnsi="Times New Roman" w:eastAsia="宋体"/>
      <w:sz w:val="28"/>
      <w:szCs w:val="28"/>
    </w:rPr>
  </w:style>
  <w:style w:type="paragraph" w:styleId="7">
    <w:name w:val="heading 4"/>
    <w:basedOn w:val="1"/>
    <w:next w:val="4"/>
    <w:link w:val="21"/>
    <w:qFormat/>
    <w:uiPriority w:val="0"/>
    <w:pPr>
      <w:keepNext/>
      <w:keepLines/>
      <w:numPr>
        <w:ilvl w:val="3"/>
        <w:numId w:val="1"/>
      </w:numPr>
      <w:ind w:left="0" w:firstLine="643" w:firstLineChars="200"/>
      <w:outlineLvl w:val="3"/>
    </w:pPr>
    <w:rPr>
      <w:rFonts w:ascii="Times New Roman" w:hAnsi="Times New Roman" w:eastAsia="宋体"/>
    </w:rPr>
  </w:style>
  <w:style w:type="character" w:default="1" w:styleId="18">
    <w:name w:val="Default Paragraph Font"/>
    <w:semiHidden/>
    <w:qFormat/>
    <w:uiPriority w:val="0"/>
  </w:style>
  <w:style w:type="table" w:default="1" w:styleId="1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cs="Times New Roman"/>
    </w:rPr>
  </w:style>
  <w:style w:type="paragraph" w:customStyle="1" w:styleId="4">
    <w:name w:val="@正文缩进"/>
    <w:basedOn w:val="1"/>
    <w:qFormat/>
    <w:uiPriority w:val="0"/>
    <w:pPr>
      <w:kinsoku/>
      <w:wordWrap/>
      <w:ind w:firstLine="200" w:firstLineChars="200"/>
      <w:jc w:val="left"/>
    </w:pPr>
    <w:rPr>
      <w:rFonts w:ascii="Times New Roman" w:hAnsi="Times New Roman" w:eastAsia="宋体"/>
      <w:kern w:val="0"/>
    </w:rPr>
  </w:style>
  <w:style w:type="paragraph" w:styleId="8">
    <w:name w:val="caption"/>
    <w:basedOn w:val="1"/>
    <w:next w:val="1"/>
    <w:unhideWhenUsed/>
    <w:qFormat/>
    <w:uiPriority w:val="35"/>
    <w:rPr>
      <w:rFonts w:ascii="Arial" w:hAnsi="Arial" w:eastAsia="黑体"/>
      <w:sz w:val="20"/>
    </w:rPr>
  </w:style>
  <w:style w:type="paragraph" w:styleId="9">
    <w:name w:val="footer"/>
    <w:basedOn w:val="1"/>
    <w:qFormat/>
    <w:uiPriority w:val="99"/>
    <w:pPr>
      <w:tabs>
        <w:tab w:val="center" w:pos="4153"/>
        <w:tab w:val="right" w:pos="8306"/>
      </w:tabs>
      <w:snapToGrid w:val="0"/>
      <w:spacing w:line="240" w:lineRule="auto"/>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39"/>
    <w:pPr>
      <w:tabs>
        <w:tab w:val="left" w:pos="480"/>
        <w:tab w:val="right" w:leader="dot" w:pos="9060"/>
      </w:tabs>
      <w:spacing w:line="360" w:lineRule="auto"/>
    </w:pPr>
    <w:rPr>
      <w:rFonts w:ascii="Times New Roman" w:hAnsi="Times New Roman" w:eastAsia="宋体"/>
      <w:b/>
      <w:bCs/>
    </w:rPr>
  </w:style>
  <w:style w:type="paragraph" w:styleId="12">
    <w:name w:val="List"/>
    <w:basedOn w:val="1"/>
    <w:next w:val="1"/>
    <w:qFormat/>
    <w:uiPriority w:val="0"/>
    <w:pPr>
      <w:widowControl/>
      <w:ind w:left="200" w:hanging="200" w:firstLineChars="200"/>
      <w:jc w:val="left"/>
    </w:pPr>
    <w:rPr>
      <w:rFonts w:ascii="宋体" w:hAnsi="宋体" w:eastAsia="宋体" w:cs="宋体"/>
      <w:kern w:val="0"/>
      <w:sz w:val="24"/>
      <w:szCs w:val="20"/>
    </w:rPr>
  </w:style>
  <w:style w:type="paragraph" w:styleId="13">
    <w:name w:val="toc 2"/>
    <w:basedOn w:val="1"/>
    <w:next w:val="1"/>
    <w:qFormat/>
    <w:uiPriority w:val="39"/>
    <w:pPr>
      <w:tabs>
        <w:tab w:val="left" w:pos="1050"/>
        <w:tab w:val="right" w:leader="dot" w:pos="9060"/>
      </w:tabs>
      <w:spacing w:line="360" w:lineRule="auto"/>
      <w:ind w:left="480" w:leftChars="200"/>
    </w:pPr>
    <w:rPr>
      <w:rFonts w:ascii="Times New Roman" w:hAnsi="Times New Roman" w:eastAsia="宋体"/>
    </w:rPr>
  </w:style>
  <w:style w:type="paragraph" w:styleId="14">
    <w:name w:val="Normal (Web)"/>
    <w:basedOn w:val="1"/>
    <w:unhideWhenUsed/>
    <w:qFormat/>
    <w:uiPriority w:val="99"/>
    <w:rPr>
      <w:sz w:val="24"/>
    </w:rPr>
  </w:style>
  <w:style w:type="paragraph" w:styleId="15">
    <w:name w:val="Title"/>
    <w:basedOn w:val="1"/>
    <w:qFormat/>
    <w:uiPriority w:val="0"/>
    <w:pPr>
      <w:spacing w:before="240" w:after="60"/>
      <w:jc w:val="center"/>
      <w:outlineLvl w:val="0"/>
    </w:pPr>
    <w:rPr>
      <w:rFonts w:cs="Arial"/>
      <w:b/>
      <w:bCs/>
      <w:sz w:val="32"/>
      <w:szCs w:val="32"/>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qFormat/>
    <w:uiPriority w:val="0"/>
    <w:rPr>
      <w:color w:val="0000FF"/>
      <w:u w:val="single"/>
    </w:rPr>
  </w:style>
  <w:style w:type="character" w:customStyle="1" w:styleId="21">
    <w:name w:val="标题 4 Char"/>
    <w:link w:val="7"/>
    <w:qFormat/>
    <w:uiPriority w:val="0"/>
    <w:rPr>
      <w:rFonts w:ascii="Times New Roman" w:hAnsi="Times New Roman" w:eastAsia="宋体"/>
      <w:szCs w:val="24"/>
    </w:rPr>
  </w:style>
  <w:style w:type="paragraph" w:customStyle="1" w:styleId="22">
    <w:name w:val="@表头"/>
    <w:basedOn w:val="23"/>
    <w:next w:val="1"/>
    <w:qFormat/>
    <w:uiPriority w:val="0"/>
    <w:pPr>
      <w:adjustRightInd w:val="0"/>
      <w:snapToGrid/>
      <w:spacing w:before="5" w:beforeLines="5" w:beforeAutospacing="0" w:after="5" w:afterLines="5" w:afterAutospacing="0" w:line="360" w:lineRule="auto"/>
      <w:ind w:firstLine="0" w:firstLineChars="0"/>
      <w:jc w:val="center"/>
    </w:pPr>
    <w:rPr>
      <w:rFonts w:ascii="Times New Roman" w:hAnsi="Times New Roman" w:eastAsia="宋体"/>
      <w:b/>
      <w:bCs/>
      <w:sz w:val="22"/>
      <w:szCs w:val="22"/>
    </w:rPr>
  </w:style>
  <w:style w:type="paragraph" w:customStyle="1" w:styleId="23">
    <w:name w:val="正文1"/>
    <w:basedOn w:val="1"/>
    <w:qFormat/>
    <w:uiPriority w:val="0"/>
    <w:pPr>
      <w:spacing w:before="25" w:beforeLines="25" w:after="25" w:afterLines="25" w:line="360" w:lineRule="auto"/>
      <w:ind w:firstLine="200" w:firstLineChars="200"/>
    </w:pPr>
    <w:rPr>
      <w:sz w:val="24"/>
      <w:szCs w:val="24"/>
    </w:rPr>
  </w:style>
  <w:style w:type="paragraph" w:customStyle="1" w:styleId="24">
    <w:name w:val="@表格内容"/>
    <w:basedOn w:val="1"/>
    <w:qFormat/>
    <w:uiPriority w:val="0"/>
    <w:pPr>
      <w:pBdr>
        <w:top w:val="none" w:color="auto" w:sz="0" w:space="1"/>
        <w:left w:val="none" w:color="auto" w:sz="0" w:space="4"/>
        <w:bottom w:val="none" w:color="auto" w:sz="0" w:space="1"/>
        <w:right w:val="none" w:color="auto" w:sz="0" w:space="4"/>
      </w:pBdr>
      <w:autoSpaceDN w:val="0"/>
      <w:spacing w:line="240" w:lineRule="auto"/>
      <w:jc w:val="center"/>
      <w:textAlignment w:val="center"/>
    </w:pPr>
    <w:rPr>
      <w:rFonts w:ascii="Times New Roman" w:hAnsi="Times New Roman" w:eastAsia="宋体"/>
      <w:sz w:val="21"/>
      <w:szCs w:val="21"/>
    </w:rPr>
  </w:style>
  <w:style w:type="paragraph" w:customStyle="1" w:styleId="25">
    <w:name w:val="@页眉"/>
    <w:basedOn w:val="10"/>
    <w:qFormat/>
    <w:uiPriority w:val="0"/>
    <w:pPr>
      <w:jc w:val="right"/>
    </w:pPr>
    <w:rPr>
      <w:rFonts w:ascii="Times New Roman" w:hAnsi="Times New Roman" w:eastAsia="宋体"/>
    </w:rPr>
  </w:style>
  <w:style w:type="paragraph" w:customStyle="1" w:styleId="26">
    <w:name w:val="Default"/>
    <w:next w:val="1"/>
    <w:qFormat/>
    <w:uiPriority w:val="0"/>
    <w:pPr>
      <w:widowControl w:val="0"/>
      <w:autoSpaceDE w:val="0"/>
      <w:autoSpaceDN w:val="0"/>
      <w:adjustRightInd w:val="0"/>
    </w:pPr>
    <w:rPr>
      <w:rFonts w:ascii="宋体l萀" w:hAnsi="Times New Roman" w:eastAsia="宋体l萀" w:cs="宋体l萀"/>
      <w:color w:val="000000"/>
      <w:sz w:val="24"/>
      <w:szCs w:val="24"/>
      <w:lang w:val="en-US" w:eastAsia="zh-CN" w:bidi="ar-SA"/>
    </w:rPr>
  </w:style>
  <w:style w:type="paragraph" w:customStyle="1" w:styleId="27">
    <w:name w:val="表格内容"/>
    <w:basedOn w:val="1"/>
    <w:qFormat/>
    <w:uiPriority w:val="0"/>
    <w:pPr>
      <w:spacing w:line="240" w:lineRule="auto"/>
      <w:jc w:val="center"/>
    </w:pPr>
    <w:rPr>
      <w:rFonts w:ascii="Times New Roman" w:hAnsi="Times New Roman" w:eastAsia="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5.png"/><Relationship Id="rId40" Type="http://schemas.openxmlformats.org/officeDocument/2006/relationships/image" Target="media/image24.wmf"/><Relationship Id="rId4" Type="http://schemas.openxmlformats.org/officeDocument/2006/relationships/footer" Target="footer1.xml"/><Relationship Id="rId39" Type="http://schemas.openxmlformats.org/officeDocument/2006/relationships/oleObject" Target="embeddings/oleObject9.bin"/><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wmf"/><Relationship Id="rId35" Type="http://schemas.openxmlformats.org/officeDocument/2006/relationships/oleObject" Target="embeddings/oleObject8.bin"/><Relationship Id="rId34" Type="http://schemas.openxmlformats.org/officeDocument/2006/relationships/image" Target="media/image20.wmf"/><Relationship Id="rId33" Type="http://schemas.openxmlformats.org/officeDocument/2006/relationships/oleObject" Target="embeddings/oleObject7.bin"/><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6.bin"/><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jpe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17</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2020-07-30T18:33:00Z</dcterms:created>
  <dc:creator>LENOVU</dc:creator>
  <cp:lastModifiedBy>涂漱漱</cp:lastModifiedBy>
  <cp:lastPrinted>2020-09-07T09:46:00Z</cp:lastPrinted>
  <dcterms:modified xsi:type="dcterms:W3CDTF">2022-01-05T02:52:28Z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682E4F1216FF42B4A4E7693FA07BFBB9</vt:lpwstr>
  </property>
</Properties>
</file>