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6"/>
          <w:szCs w:val="36"/>
        </w:rPr>
      </w:pPr>
      <w:bookmarkStart w:id="0" w:name="_Hlk57883707"/>
      <w:bookmarkStart w:id="101" w:name="_GoBack"/>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bookmarkEnd w:id="0"/>
    <w:p>
      <w:pPr>
        <w:outlineLvl w:val="0"/>
        <w:rPr>
          <w:rFonts w:eastAsia="方正小标宋_GBK"/>
          <w:bCs/>
          <w:color w:val="auto"/>
          <w:sz w:val="72"/>
          <w:szCs w:val="72"/>
        </w:rPr>
      </w:pPr>
      <w:r>
        <w:rPr>
          <w:rFonts w:eastAsia="方正小标宋_GBK"/>
          <w:bCs/>
          <w:color w:val="auto"/>
          <w:sz w:val="72"/>
          <w:szCs w:val="72"/>
        </w:rPr>
        <w:t>建设项目环境影响报告表</w:t>
      </w:r>
    </w:p>
    <w:p>
      <w:pPr>
        <w:spacing w:before="192" w:beforeLines="80"/>
        <w:rPr>
          <w:rFonts w:eastAsia="楷体_GB2312"/>
          <w:bCs/>
          <w:color w:val="auto"/>
          <w:sz w:val="48"/>
          <w:szCs w:val="48"/>
        </w:rPr>
      </w:pPr>
      <w:r>
        <w:rPr>
          <w:rFonts w:eastAsia="楷体_GB2312"/>
          <w:bCs/>
          <w:color w:val="auto"/>
          <w:sz w:val="48"/>
          <w:szCs w:val="48"/>
        </w:rPr>
        <w:t>（生态影响类）</w:t>
      </w:r>
    </w:p>
    <w:p>
      <w:pPr>
        <w:rPr>
          <w:rFonts w:eastAsia="仿宋"/>
          <w:color w:val="auto"/>
          <w:sz w:val="52"/>
          <w:szCs w:val="52"/>
        </w:rPr>
      </w:pPr>
      <w:bookmarkStart w:id="1" w:name="_Hlk57883728"/>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bookmarkEnd w:id="1"/>
    <w:p>
      <w:pPr>
        <w:spacing w:line="288" w:lineRule="auto"/>
        <w:jc w:val="both"/>
        <w:rPr>
          <w:rFonts w:hint="eastAsia" w:eastAsia="仿宋_GB2312"/>
          <w:color w:val="auto"/>
          <w:sz w:val="36"/>
          <w:szCs w:val="36"/>
          <w:u w:val="single"/>
          <w:lang w:val="en-US" w:eastAsia="zh-CN"/>
        </w:rPr>
      </w:pPr>
      <w:r>
        <w:rPr>
          <w:rFonts w:eastAsia="仿宋_GB2312"/>
          <w:color w:val="auto"/>
          <w:sz w:val="36"/>
          <w:szCs w:val="36"/>
        </w:rPr>
        <w:t>项目名称：</w:t>
      </w:r>
      <w:r>
        <w:rPr>
          <w:rFonts w:eastAsia="仿宋_GB2312"/>
          <w:color w:val="auto"/>
          <w:sz w:val="36"/>
          <w:szCs w:val="36"/>
          <w:u w:val="single"/>
        </w:rPr>
        <w:t xml:space="preserve">  </w:t>
      </w:r>
      <w:r>
        <w:rPr>
          <w:rFonts w:hint="eastAsia" w:eastAsia="仿宋_GB2312"/>
          <w:color w:val="auto"/>
          <w:sz w:val="36"/>
          <w:szCs w:val="36"/>
          <w:u w:val="single"/>
          <w:lang w:val="en-US" w:eastAsia="zh-CN"/>
        </w:rPr>
        <w:t xml:space="preserve">        沙帐1井钻试工程</w:t>
      </w:r>
      <w:r>
        <w:rPr>
          <w:rFonts w:hint="eastAsia" w:eastAsia="仿宋_GB2312"/>
          <w:color w:val="auto"/>
          <w:sz w:val="36"/>
          <w:szCs w:val="36"/>
          <w:u w:val="single"/>
        </w:rPr>
        <w:t xml:space="preserve"> </w:t>
      </w:r>
      <w:r>
        <w:rPr>
          <w:rFonts w:hint="eastAsia" w:eastAsia="仿宋_GB2312"/>
          <w:color w:val="auto"/>
          <w:sz w:val="36"/>
          <w:szCs w:val="36"/>
          <w:u w:val="single"/>
          <w:lang w:val="en-US" w:eastAsia="zh-CN"/>
        </w:rPr>
        <w:t xml:space="preserve">            </w:t>
      </w:r>
    </w:p>
    <w:p>
      <w:pPr>
        <w:spacing w:line="288" w:lineRule="auto"/>
        <w:ind w:left="2880" w:hanging="2880" w:hangingChars="800"/>
        <w:rPr>
          <w:rFonts w:eastAsia="仿宋_GB2312"/>
          <w:color w:val="auto"/>
          <w:sz w:val="36"/>
          <w:szCs w:val="36"/>
          <w:u w:val="single"/>
        </w:rPr>
      </w:pPr>
      <w:r>
        <w:rPr>
          <w:rFonts w:eastAsia="仿宋_GB2312"/>
          <w:color w:val="auto"/>
          <w:sz w:val="36"/>
          <w:szCs w:val="36"/>
        </w:rPr>
        <w:t>建设单位（盖章）：</w:t>
      </w:r>
      <w:r>
        <w:rPr>
          <w:rFonts w:hint="eastAsia" w:eastAsia="仿宋_GB2312"/>
          <w:color w:val="auto"/>
          <w:sz w:val="36"/>
          <w:szCs w:val="36"/>
          <w:u w:val="single"/>
        </w:rPr>
        <w:t>中国石油天然气股份有限公司吐哈油</w:t>
      </w:r>
    </w:p>
    <w:p>
      <w:pPr>
        <w:spacing w:line="288" w:lineRule="auto"/>
        <w:ind w:left="1560" w:leftChars="650"/>
        <w:rPr>
          <w:rFonts w:eastAsia="仿宋_GB2312"/>
          <w:color w:val="auto"/>
          <w:sz w:val="36"/>
          <w:szCs w:val="36"/>
          <w:u w:val="single"/>
        </w:rPr>
      </w:pPr>
      <w:bookmarkStart w:id="2" w:name="_Hlk67645787"/>
      <w:r>
        <w:rPr>
          <w:rFonts w:eastAsia="仿宋_GB2312"/>
          <w:color w:val="auto"/>
          <w:sz w:val="36"/>
          <w:szCs w:val="36"/>
          <w:u w:val="single"/>
        </w:rPr>
        <w:t xml:space="preserve">       </w:t>
      </w:r>
      <w:r>
        <w:rPr>
          <w:rFonts w:hint="eastAsia" w:eastAsia="仿宋_GB2312"/>
          <w:color w:val="auto"/>
          <w:sz w:val="36"/>
          <w:szCs w:val="36"/>
          <w:u w:val="single"/>
        </w:rPr>
        <w:t>田分公司准东勘探开发项目经理部</w:t>
      </w:r>
      <w:bookmarkEnd w:id="2"/>
      <w:r>
        <w:rPr>
          <w:rFonts w:hint="eastAsia" w:eastAsia="仿宋_GB2312"/>
          <w:color w:val="auto"/>
          <w:sz w:val="36"/>
          <w:szCs w:val="36"/>
          <w:u w:val="single"/>
        </w:rPr>
        <w:t xml:space="preserve"> </w:t>
      </w:r>
      <w:r>
        <w:rPr>
          <w:rFonts w:eastAsia="仿宋_GB2312"/>
          <w:color w:val="auto"/>
          <w:sz w:val="36"/>
          <w:szCs w:val="36"/>
          <w:u w:val="single"/>
        </w:rPr>
        <w:t xml:space="preserve"> </w:t>
      </w:r>
    </w:p>
    <w:p>
      <w:pPr>
        <w:spacing w:line="288" w:lineRule="auto"/>
        <w:jc w:val="both"/>
        <w:rPr>
          <w:rFonts w:eastAsia="仿宋_GB2312"/>
          <w:color w:val="auto"/>
          <w:sz w:val="36"/>
          <w:szCs w:val="36"/>
          <w:u w:val="single"/>
        </w:rPr>
      </w:pPr>
      <w:r>
        <w:rPr>
          <w:rFonts w:eastAsia="仿宋_GB2312"/>
          <w:color w:val="auto"/>
          <w:sz w:val="36"/>
          <w:szCs w:val="36"/>
        </w:rPr>
        <w:t>编制日期：</w:t>
      </w:r>
      <w:r>
        <w:rPr>
          <w:rFonts w:eastAsia="仿宋_GB2312"/>
          <w:color w:val="auto"/>
          <w:sz w:val="36"/>
          <w:szCs w:val="36"/>
          <w:u w:val="single"/>
        </w:rPr>
        <w:t xml:space="preserve">             2021年1</w:t>
      </w:r>
      <w:r>
        <w:rPr>
          <w:rFonts w:hint="eastAsia" w:eastAsia="仿宋_GB2312"/>
          <w:color w:val="auto"/>
          <w:sz w:val="36"/>
          <w:szCs w:val="36"/>
          <w:u w:val="single"/>
          <w:lang w:val="en-US" w:eastAsia="zh-CN"/>
        </w:rPr>
        <w:t>2</w:t>
      </w:r>
      <w:r>
        <w:rPr>
          <w:rFonts w:eastAsia="仿宋_GB2312"/>
          <w:color w:val="auto"/>
          <w:sz w:val="36"/>
          <w:szCs w:val="36"/>
          <w:u w:val="single"/>
        </w:rPr>
        <w:t xml:space="preserve">月               </w:t>
      </w:r>
    </w:p>
    <w:p>
      <w:pPr>
        <w:spacing w:line="288" w:lineRule="auto"/>
        <w:ind w:firstLine="1040"/>
        <w:rPr>
          <w:rFonts w:eastAsia="仿宋_GB2312"/>
          <w:color w:val="auto"/>
          <w:sz w:val="36"/>
          <w:szCs w:val="36"/>
          <w:u w:val="single"/>
        </w:rPr>
      </w:pPr>
    </w:p>
    <w:p>
      <w:pPr>
        <w:spacing w:line="288" w:lineRule="auto"/>
        <w:ind w:firstLine="1040"/>
        <w:rPr>
          <w:rFonts w:eastAsia="仿宋_GB2312"/>
          <w:color w:val="auto"/>
          <w:sz w:val="36"/>
          <w:szCs w:val="36"/>
        </w:rPr>
      </w:pPr>
    </w:p>
    <w:p>
      <w:pPr>
        <w:spacing w:line="288" w:lineRule="auto"/>
        <w:ind w:firstLine="1040"/>
        <w:rPr>
          <w:rFonts w:eastAsia="仿宋_GB2312"/>
          <w:color w:val="auto"/>
          <w:sz w:val="36"/>
          <w:szCs w:val="36"/>
        </w:rPr>
      </w:pPr>
    </w:p>
    <w:p>
      <w:pPr>
        <w:spacing w:line="288" w:lineRule="auto"/>
        <w:ind w:firstLine="1040"/>
        <w:rPr>
          <w:rFonts w:eastAsia="仿宋_GB2312"/>
          <w:color w:val="auto"/>
          <w:sz w:val="36"/>
          <w:szCs w:val="36"/>
        </w:rPr>
      </w:pPr>
    </w:p>
    <w:p>
      <w:pPr>
        <w:spacing w:line="288" w:lineRule="auto"/>
        <w:ind w:firstLine="1040"/>
        <w:rPr>
          <w:rFonts w:eastAsia="仿宋_GB2312"/>
          <w:color w:val="auto"/>
          <w:sz w:val="36"/>
          <w:szCs w:val="36"/>
        </w:rPr>
      </w:pPr>
    </w:p>
    <w:p>
      <w:pPr>
        <w:spacing w:line="288" w:lineRule="auto"/>
        <w:rPr>
          <w:rFonts w:eastAsia="楷体_GB2312"/>
          <w:color w:val="auto"/>
          <w:sz w:val="36"/>
          <w:szCs w:val="36"/>
        </w:rPr>
      </w:pPr>
      <w:r>
        <w:rPr>
          <w:rFonts w:eastAsia="楷体_GB2312"/>
          <w:color w:val="auto"/>
          <w:sz w:val="36"/>
          <w:szCs w:val="36"/>
        </w:rPr>
        <w:t>中华人民共和国生态环境部制</w:t>
      </w:r>
    </w:p>
    <w:p>
      <w:pPr>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17"/>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2"/>
        <w:gridCol w:w="1200"/>
        <w:gridCol w:w="2507"/>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62" w:type="dxa"/>
            <w:gridSpan w:val="2"/>
            <w:noWrap w:val="0"/>
            <w:tcMar>
              <w:top w:w="16" w:type="dxa"/>
              <w:left w:w="16" w:type="dxa"/>
              <w:right w:w="16" w:type="dxa"/>
            </w:tcMar>
            <w:vAlign w:val="center"/>
          </w:tcPr>
          <w:p>
            <w:pPr>
              <w:rPr>
                <w:color w:val="auto"/>
              </w:rPr>
            </w:pPr>
            <w:r>
              <w:rPr>
                <w:color w:val="auto"/>
              </w:rPr>
              <w:t>建设项目名称</w:t>
            </w:r>
          </w:p>
        </w:tc>
        <w:tc>
          <w:tcPr>
            <w:tcW w:w="7277" w:type="dxa"/>
            <w:gridSpan w:val="4"/>
            <w:noWrap w:val="0"/>
            <w:vAlign w:val="center"/>
          </w:tcPr>
          <w:p>
            <w:pPr>
              <w:rPr>
                <w:color w:val="auto"/>
              </w:rPr>
            </w:pPr>
            <w:r>
              <w:rPr>
                <w:rFonts w:hint="eastAsia"/>
                <w:color w:val="auto"/>
                <w:lang w:val="en-US" w:eastAsia="zh-CN"/>
              </w:rPr>
              <w:t>沙帐1井钻试工程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62" w:type="dxa"/>
            <w:gridSpan w:val="2"/>
            <w:noWrap w:val="0"/>
            <w:tcMar>
              <w:top w:w="16" w:type="dxa"/>
              <w:left w:w="16" w:type="dxa"/>
              <w:right w:w="16" w:type="dxa"/>
            </w:tcMar>
            <w:vAlign w:val="center"/>
          </w:tcPr>
          <w:p>
            <w:pPr>
              <w:rPr>
                <w:color w:val="auto"/>
              </w:rPr>
            </w:pPr>
            <w:r>
              <w:rPr>
                <w:color w:val="auto"/>
              </w:rPr>
              <w:t>项目代码</w:t>
            </w:r>
          </w:p>
        </w:tc>
        <w:tc>
          <w:tcPr>
            <w:tcW w:w="7277" w:type="dxa"/>
            <w:gridSpan w:val="4"/>
            <w:noWrap w:val="0"/>
            <w:vAlign w:val="center"/>
          </w:tcPr>
          <w:p>
            <w:pPr>
              <w:rPr>
                <w:color w:val="auto"/>
              </w:rPr>
            </w:pPr>
            <w:r>
              <w:rPr>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62" w:type="dxa"/>
            <w:gridSpan w:val="2"/>
            <w:noWrap w:val="0"/>
            <w:tcMar>
              <w:top w:w="16" w:type="dxa"/>
              <w:left w:w="16" w:type="dxa"/>
              <w:right w:w="16" w:type="dxa"/>
            </w:tcMar>
            <w:vAlign w:val="center"/>
          </w:tcPr>
          <w:p>
            <w:pPr>
              <w:rPr>
                <w:color w:val="auto"/>
              </w:rPr>
            </w:pPr>
            <w:r>
              <w:rPr>
                <w:color w:val="auto"/>
              </w:rPr>
              <w:t>建设单位联系人</w:t>
            </w:r>
          </w:p>
        </w:tc>
        <w:tc>
          <w:tcPr>
            <w:tcW w:w="2507" w:type="dxa"/>
            <w:noWrap w:val="0"/>
            <w:vAlign w:val="center"/>
          </w:tcPr>
          <w:p>
            <w:pPr>
              <w:rPr>
                <w:color w:val="auto"/>
              </w:rPr>
            </w:pPr>
            <w:r>
              <w:rPr>
                <w:rFonts w:hint="eastAsia"/>
                <w:color w:val="auto"/>
              </w:rPr>
              <w:t>王建伟</w:t>
            </w:r>
          </w:p>
        </w:tc>
        <w:tc>
          <w:tcPr>
            <w:tcW w:w="2228" w:type="dxa"/>
            <w:gridSpan w:val="2"/>
            <w:noWrap w:val="0"/>
            <w:vAlign w:val="center"/>
          </w:tcPr>
          <w:p>
            <w:pPr>
              <w:rPr>
                <w:color w:val="auto"/>
              </w:rPr>
            </w:pPr>
            <w:r>
              <w:rPr>
                <w:color w:val="auto"/>
              </w:rPr>
              <w:t>联系方式</w:t>
            </w:r>
          </w:p>
        </w:tc>
        <w:tc>
          <w:tcPr>
            <w:tcW w:w="2542" w:type="dxa"/>
            <w:noWrap w:val="0"/>
            <w:vAlign w:val="center"/>
          </w:tcPr>
          <w:p>
            <w:pPr>
              <w:rPr>
                <w:color w:val="auto"/>
              </w:rPr>
            </w:pPr>
            <w:r>
              <w:rPr>
                <w:color w:val="auto"/>
              </w:rPr>
              <w:t>13899311159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62" w:type="dxa"/>
            <w:gridSpan w:val="2"/>
            <w:noWrap w:val="0"/>
            <w:tcMar>
              <w:top w:w="16" w:type="dxa"/>
              <w:left w:w="16" w:type="dxa"/>
              <w:right w:w="16" w:type="dxa"/>
            </w:tcMar>
            <w:vAlign w:val="center"/>
          </w:tcPr>
          <w:p>
            <w:pPr>
              <w:rPr>
                <w:color w:val="auto"/>
              </w:rPr>
            </w:pPr>
            <w:r>
              <w:rPr>
                <w:color w:val="auto"/>
              </w:rPr>
              <w:t>建设地点</w:t>
            </w:r>
          </w:p>
        </w:tc>
        <w:tc>
          <w:tcPr>
            <w:tcW w:w="7277" w:type="dxa"/>
            <w:gridSpan w:val="4"/>
            <w:noWrap w:val="0"/>
            <w:vAlign w:val="center"/>
          </w:tcPr>
          <w:p>
            <w:pPr>
              <w:rPr>
                <w:rFonts w:hint="default" w:eastAsia="宋体"/>
                <w:color w:val="auto"/>
                <w:lang w:val="en-US" w:eastAsia="zh-CN"/>
              </w:rPr>
            </w:pPr>
            <w:r>
              <w:rPr>
                <w:color w:val="auto"/>
              </w:rPr>
              <w:t>新疆</w:t>
            </w:r>
            <w:r>
              <w:rPr>
                <w:rFonts w:hint="eastAsia"/>
                <w:color w:val="auto"/>
              </w:rPr>
              <w:t>维吾尔</w:t>
            </w:r>
            <w:r>
              <w:rPr>
                <w:color w:val="auto"/>
              </w:rPr>
              <w:t>自治区</w:t>
            </w:r>
            <w:r>
              <w:rPr>
                <w:rFonts w:hint="eastAsia"/>
                <w:color w:val="auto"/>
              </w:rPr>
              <w:t>昌吉州吉木萨尔</w:t>
            </w:r>
            <w:r>
              <w:rPr>
                <w:color w:val="auto"/>
              </w:rPr>
              <w:t>县</w:t>
            </w:r>
            <w:r>
              <w:rPr>
                <w:rFonts w:hint="eastAsia"/>
                <w:color w:val="auto"/>
              </w:rPr>
              <w:t>城北约95km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62" w:type="dxa"/>
            <w:gridSpan w:val="2"/>
            <w:noWrap w:val="0"/>
            <w:tcMar>
              <w:top w:w="16" w:type="dxa"/>
              <w:left w:w="16" w:type="dxa"/>
              <w:right w:w="16" w:type="dxa"/>
            </w:tcMar>
            <w:vAlign w:val="center"/>
          </w:tcPr>
          <w:p>
            <w:pPr>
              <w:rPr>
                <w:color w:val="auto"/>
              </w:rPr>
            </w:pPr>
            <w:r>
              <w:rPr>
                <w:color w:val="auto"/>
              </w:rPr>
              <w:t>地理坐标</w:t>
            </w:r>
          </w:p>
        </w:tc>
        <w:tc>
          <w:tcPr>
            <w:tcW w:w="7277" w:type="dxa"/>
            <w:gridSpan w:val="4"/>
            <w:noWrap w:val="0"/>
            <w:vAlign w:val="center"/>
          </w:tcPr>
          <w:p>
            <w:pPr>
              <w:jc w:val="both"/>
              <w:rPr>
                <w:rFonts w:hint="eastAsia"/>
                <w:color w:val="auto"/>
              </w:rPr>
            </w:pPr>
            <w:r>
              <w:rPr>
                <w:rFonts w:hint="eastAsia"/>
                <w:color w:val="auto"/>
                <w:lang w:val="en-US" w:eastAsia="zh-CN"/>
              </w:rPr>
              <w:t>沙帐1井</w:t>
            </w:r>
            <w:r>
              <w:rPr>
                <w:color w:val="auto"/>
              </w:rPr>
              <w:t>（</w:t>
            </w:r>
            <w:r>
              <w:rPr>
                <w:color w:val="auto"/>
                <w:highlight w:val="none"/>
              </w:rPr>
              <w:t xml:space="preserve"> </w:t>
            </w:r>
            <w:r>
              <w:rPr>
                <w:rFonts w:hint="eastAsia"/>
                <w:color w:val="auto"/>
                <w:highlight w:val="none"/>
                <w:lang w:val="en-US" w:eastAsia="zh-CN"/>
              </w:rPr>
              <w:t>88</w:t>
            </w:r>
            <w:r>
              <w:rPr>
                <w:color w:val="auto"/>
                <w:highlight w:val="none"/>
              </w:rPr>
              <w:t xml:space="preserve"> 度 </w:t>
            </w:r>
            <w:r>
              <w:rPr>
                <w:rFonts w:hint="eastAsia"/>
                <w:color w:val="auto"/>
                <w:highlight w:val="none"/>
                <w:lang w:val="en-US" w:eastAsia="zh-CN"/>
              </w:rPr>
              <w:t>56</w:t>
            </w:r>
            <w:r>
              <w:rPr>
                <w:color w:val="auto"/>
                <w:highlight w:val="none"/>
              </w:rPr>
              <w:t xml:space="preserve"> 分 </w:t>
            </w:r>
            <w:r>
              <w:rPr>
                <w:rFonts w:hint="eastAsia"/>
                <w:color w:val="auto"/>
                <w:highlight w:val="none"/>
                <w:lang w:val="en-US" w:eastAsia="zh-CN"/>
              </w:rPr>
              <w:t>56.420</w:t>
            </w:r>
            <w:r>
              <w:rPr>
                <w:color w:val="auto"/>
                <w:highlight w:val="none"/>
              </w:rPr>
              <w:t xml:space="preserve"> 秒， 4</w:t>
            </w:r>
            <w:r>
              <w:rPr>
                <w:rFonts w:hint="eastAsia"/>
                <w:color w:val="auto"/>
                <w:highlight w:val="none"/>
                <w:lang w:val="en-US" w:eastAsia="zh-CN"/>
              </w:rPr>
              <w:t>4</w:t>
            </w:r>
            <w:r>
              <w:rPr>
                <w:color w:val="auto"/>
                <w:highlight w:val="none"/>
              </w:rPr>
              <w:t xml:space="preserve"> 度 </w:t>
            </w:r>
            <w:r>
              <w:rPr>
                <w:rFonts w:hint="eastAsia"/>
                <w:color w:val="auto"/>
                <w:highlight w:val="none"/>
                <w:lang w:val="en-US" w:eastAsia="zh-CN"/>
              </w:rPr>
              <w:t>50</w:t>
            </w:r>
            <w:r>
              <w:rPr>
                <w:color w:val="auto"/>
                <w:highlight w:val="none"/>
              </w:rPr>
              <w:t xml:space="preserve"> 分 </w:t>
            </w:r>
            <w:r>
              <w:rPr>
                <w:rFonts w:hint="eastAsia"/>
                <w:color w:val="auto"/>
                <w:highlight w:val="none"/>
                <w:lang w:val="en-US" w:eastAsia="zh-CN"/>
              </w:rPr>
              <w:t xml:space="preserve">19.800 </w:t>
            </w:r>
            <w:r>
              <w:rPr>
                <w:color w:val="auto"/>
                <w:highlight w:val="none"/>
              </w:rPr>
              <w:t>秒</w:t>
            </w: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762" w:type="dxa"/>
            <w:gridSpan w:val="2"/>
            <w:noWrap w:val="0"/>
            <w:tcMar>
              <w:top w:w="16" w:type="dxa"/>
              <w:left w:w="16" w:type="dxa"/>
              <w:right w:w="16" w:type="dxa"/>
            </w:tcMar>
            <w:vAlign w:val="center"/>
          </w:tcPr>
          <w:p>
            <w:pPr>
              <w:rPr>
                <w:color w:val="auto"/>
              </w:rPr>
            </w:pPr>
            <w:bookmarkStart w:id="3" w:name="_Hlk81847652"/>
            <w:r>
              <w:rPr>
                <w:color w:val="auto"/>
              </w:rPr>
              <w:t>建设项目</w:t>
            </w:r>
          </w:p>
          <w:p>
            <w:pPr>
              <w:rPr>
                <w:color w:val="auto"/>
              </w:rPr>
            </w:pPr>
            <w:r>
              <w:rPr>
                <w:color w:val="auto"/>
              </w:rPr>
              <w:t>行业类别</w:t>
            </w:r>
          </w:p>
        </w:tc>
        <w:tc>
          <w:tcPr>
            <w:tcW w:w="2507" w:type="dxa"/>
            <w:noWrap w:val="0"/>
            <w:vAlign w:val="center"/>
          </w:tcPr>
          <w:p>
            <w:pPr>
              <w:rPr>
                <w:color w:val="auto"/>
              </w:rPr>
            </w:pPr>
            <w:r>
              <w:rPr>
                <w:color w:val="auto"/>
              </w:rPr>
              <w:t>四十六、专业技术服务业99陆地矿产资源地质勘查（含油气资源勘探）</w:t>
            </w:r>
          </w:p>
        </w:tc>
        <w:tc>
          <w:tcPr>
            <w:tcW w:w="2218" w:type="dxa"/>
            <w:noWrap w:val="0"/>
            <w:vAlign w:val="center"/>
          </w:tcPr>
          <w:p>
            <w:pPr>
              <w:rPr>
                <w:color w:val="auto"/>
              </w:rPr>
            </w:pPr>
            <w:r>
              <w:rPr>
                <w:color w:val="auto"/>
              </w:rPr>
              <w:t>用地（用海）面积（m</w:t>
            </w:r>
            <w:r>
              <w:rPr>
                <w:color w:val="auto"/>
                <w:vertAlign w:val="superscript"/>
              </w:rPr>
              <w:t>2</w:t>
            </w:r>
            <w:r>
              <w:rPr>
                <w:color w:val="auto"/>
              </w:rPr>
              <w:t>）/长度（km）</w:t>
            </w:r>
          </w:p>
        </w:tc>
        <w:tc>
          <w:tcPr>
            <w:tcW w:w="2552" w:type="dxa"/>
            <w:gridSpan w:val="2"/>
            <w:noWrap w:val="0"/>
            <w:vAlign w:val="center"/>
          </w:tcPr>
          <w:p>
            <w:pPr>
              <w:rPr>
                <w:color w:val="auto"/>
                <w:vertAlign w:val="superscript"/>
              </w:rPr>
            </w:pPr>
            <w:r>
              <w:rPr>
                <w:rFonts w:hint="eastAsia"/>
                <w:color w:val="auto"/>
                <w:lang w:val="en-US" w:eastAsia="zh-CN"/>
              </w:rPr>
              <w:t>10740</w:t>
            </w:r>
            <w:r>
              <w:rPr>
                <w:color w:val="auto"/>
              </w:rPr>
              <w:t>m</w:t>
            </w:r>
            <w:r>
              <w:rPr>
                <w:color w:val="auto"/>
                <w:vertAlign w:val="superscript"/>
              </w:rPr>
              <w:t>2</w:t>
            </w:r>
            <w:r>
              <w:rPr>
                <w:rFonts w:hint="eastAsia"/>
                <w:color w:val="auto"/>
                <w:lang w:val="en-US" w:eastAsia="zh-CN"/>
              </w:rPr>
              <w:t>（临时占地）</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762" w:type="dxa"/>
            <w:gridSpan w:val="2"/>
            <w:noWrap w:val="0"/>
            <w:tcMar>
              <w:top w:w="16" w:type="dxa"/>
              <w:left w:w="16" w:type="dxa"/>
              <w:right w:w="16" w:type="dxa"/>
            </w:tcMar>
            <w:vAlign w:val="center"/>
          </w:tcPr>
          <w:p>
            <w:pPr>
              <w:rPr>
                <w:color w:val="auto"/>
              </w:rPr>
            </w:pPr>
            <w:r>
              <w:rPr>
                <w:color w:val="auto"/>
              </w:rPr>
              <w:t>建设性质</w:t>
            </w:r>
          </w:p>
        </w:tc>
        <w:tc>
          <w:tcPr>
            <w:tcW w:w="2507" w:type="dxa"/>
            <w:noWrap w:val="0"/>
            <w:vAlign w:val="center"/>
          </w:tcPr>
          <w:p>
            <w:pPr>
              <w:jc w:val="left"/>
              <w:rPr>
                <w:color w:val="auto"/>
              </w:rPr>
            </w:pPr>
            <w:r>
              <w:rPr>
                <w:color w:val="auto"/>
              </w:rPr>
              <w:t>☑新建（迁建）</w:t>
            </w:r>
          </w:p>
          <w:p>
            <w:pPr>
              <w:jc w:val="left"/>
              <w:rPr>
                <w:color w:val="auto"/>
              </w:rPr>
            </w:pPr>
            <w:r>
              <w:rPr>
                <w:color w:val="auto"/>
              </w:rPr>
              <w:t>□改建</w:t>
            </w:r>
          </w:p>
          <w:p>
            <w:pPr>
              <w:jc w:val="left"/>
              <w:rPr>
                <w:color w:val="auto"/>
              </w:rPr>
            </w:pPr>
            <w:r>
              <w:rPr>
                <w:color w:val="auto"/>
              </w:rPr>
              <w:t>□扩建</w:t>
            </w:r>
          </w:p>
          <w:p>
            <w:pPr>
              <w:jc w:val="left"/>
              <w:rPr>
                <w:color w:val="auto"/>
              </w:rPr>
            </w:pPr>
            <w:r>
              <w:rPr>
                <w:color w:val="auto"/>
              </w:rPr>
              <w:t>□技术改造</w:t>
            </w:r>
          </w:p>
        </w:tc>
        <w:tc>
          <w:tcPr>
            <w:tcW w:w="2218" w:type="dxa"/>
            <w:noWrap w:val="0"/>
            <w:vAlign w:val="center"/>
          </w:tcPr>
          <w:p>
            <w:pPr>
              <w:rPr>
                <w:color w:val="auto"/>
              </w:rPr>
            </w:pPr>
            <w:r>
              <w:rPr>
                <w:color w:val="auto"/>
              </w:rPr>
              <w:t>建设项目</w:t>
            </w:r>
          </w:p>
          <w:p>
            <w:pPr>
              <w:rPr>
                <w:color w:val="auto"/>
              </w:rPr>
            </w:pPr>
            <w:r>
              <w:rPr>
                <w:color w:val="auto"/>
              </w:rPr>
              <w:t>申报情形</w:t>
            </w:r>
          </w:p>
        </w:tc>
        <w:tc>
          <w:tcPr>
            <w:tcW w:w="2552" w:type="dxa"/>
            <w:gridSpan w:val="2"/>
            <w:noWrap w:val="0"/>
            <w:vAlign w:val="center"/>
          </w:tcPr>
          <w:p>
            <w:pPr>
              <w:jc w:val="left"/>
              <w:rPr>
                <w:color w:val="auto"/>
              </w:rPr>
            </w:pPr>
            <w:r>
              <w:rPr>
                <w:color w:val="auto"/>
              </w:rPr>
              <w:t>☑首次申报项目</w:t>
            </w:r>
          </w:p>
          <w:p>
            <w:pPr>
              <w:jc w:val="left"/>
              <w:rPr>
                <w:color w:val="auto"/>
              </w:rPr>
            </w:pPr>
            <w:r>
              <w:rPr>
                <w:color w:val="auto"/>
              </w:rPr>
              <w:t>□不予批准后再次申报项目</w:t>
            </w:r>
          </w:p>
          <w:p>
            <w:pPr>
              <w:jc w:val="left"/>
              <w:rPr>
                <w:color w:val="auto"/>
              </w:rPr>
            </w:pPr>
            <w:r>
              <w:rPr>
                <w:color w:val="auto"/>
              </w:rPr>
              <w:t>□超五年重新审核项目</w:t>
            </w:r>
          </w:p>
          <w:p>
            <w:pPr>
              <w:jc w:val="left"/>
              <w:rPr>
                <w:color w:val="auto"/>
              </w:rPr>
            </w:pPr>
            <w:r>
              <w:rPr>
                <w:color w:val="auto"/>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762" w:type="dxa"/>
            <w:gridSpan w:val="2"/>
            <w:noWrap w:val="0"/>
            <w:tcMar>
              <w:top w:w="16" w:type="dxa"/>
              <w:left w:w="16" w:type="dxa"/>
              <w:right w:w="16" w:type="dxa"/>
            </w:tcMar>
            <w:vAlign w:val="center"/>
          </w:tcPr>
          <w:p>
            <w:pPr>
              <w:rPr>
                <w:color w:val="auto"/>
              </w:rPr>
            </w:pPr>
            <w:r>
              <w:rPr>
                <w:color w:val="auto"/>
              </w:rPr>
              <w:t>项目审批（核准/</w:t>
            </w:r>
          </w:p>
          <w:p>
            <w:pPr>
              <w:rPr>
                <w:color w:val="auto"/>
              </w:rPr>
            </w:pPr>
            <w:r>
              <w:rPr>
                <w:color w:val="auto"/>
              </w:rPr>
              <w:t>备案）部门（选填）</w:t>
            </w:r>
          </w:p>
        </w:tc>
        <w:tc>
          <w:tcPr>
            <w:tcW w:w="2507" w:type="dxa"/>
            <w:noWrap w:val="0"/>
            <w:vAlign w:val="center"/>
          </w:tcPr>
          <w:p>
            <w:pPr>
              <w:rPr>
                <w:color w:val="auto"/>
              </w:rPr>
            </w:pPr>
            <w:r>
              <w:rPr>
                <w:rFonts w:hint="eastAsia"/>
                <w:color w:val="auto"/>
              </w:rPr>
              <w:t>-</w:t>
            </w:r>
          </w:p>
        </w:tc>
        <w:tc>
          <w:tcPr>
            <w:tcW w:w="2218" w:type="dxa"/>
            <w:noWrap w:val="0"/>
            <w:vAlign w:val="center"/>
          </w:tcPr>
          <w:p>
            <w:pPr>
              <w:rPr>
                <w:color w:val="auto"/>
              </w:rPr>
            </w:pPr>
            <w:r>
              <w:rPr>
                <w:color w:val="auto"/>
              </w:rPr>
              <w:t>项目审批（核准/</w:t>
            </w:r>
          </w:p>
          <w:p>
            <w:pPr>
              <w:rPr>
                <w:color w:val="auto"/>
              </w:rPr>
            </w:pPr>
            <w:r>
              <w:rPr>
                <w:color w:val="auto"/>
              </w:rPr>
              <w:t>备案）文号（选填）</w:t>
            </w:r>
          </w:p>
        </w:tc>
        <w:tc>
          <w:tcPr>
            <w:tcW w:w="2552" w:type="dxa"/>
            <w:gridSpan w:val="2"/>
            <w:noWrap w:val="0"/>
            <w:vAlign w:val="center"/>
          </w:tcPr>
          <w:p>
            <w:pPr>
              <w:rPr>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62" w:type="dxa"/>
            <w:gridSpan w:val="2"/>
            <w:noWrap w:val="0"/>
            <w:tcMar>
              <w:top w:w="16" w:type="dxa"/>
              <w:left w:w="16" w:type="dxa"/>
              <w:right w:w="16" w:type="dxa"/>
            </w:tcMar>
            <w:vAlign w:val="center"/>
          </w:tcPr>
          <w:p>
            <w:pPr>
              <w:rPr>
                <w:color w:val="auto"/>
              </w:rPr>
            </w:pPr>
            <w:r>
              <w:rPr>
                <w:color w:val="auto"/>
              </w:rPr>
              <w:t>总投资（万元）</w:t>
            </w:r>
          </w:p>
        </w:tc>
        <w:tc>
          <w:tcPr>
            <w:tcW w:w="2507" w:type="dxa"/>
            <w:noWrap w:val="0"/>
            <w:vAlign w:val="center"/>
          </w:tcPr>
          <w:p>
            <w:pPr>
              <w:rPr>
                <w:rFonts w:hint="default" w:eastAsia="宋体"/>
                <w:color w:val="auto"/>
                <w:lang w:val="en-US" w:eastAsia="zh-CN"/>
              </w:rPr>
            </w:pPr>
            <w:r>
              <w:rPr>
                <w:rFonts w:hint="eastAsia"/>
                <w:color w:val="auto"/>
                <w:lang w:val="en-US" w:eastAsia="zh-CN"/>
              </w:rPr>
              <w:t>800</w:t>
            </w:r>
          </w:p>
        </w:tc>
        <w:tc>
          <w:tcPr>
            <w:tcW w:w="2218" w:type="dxa"/>
            <w:noWrap w:val="0"/>
            <w:tcMar>
              <w:top w:w="16" w:type="dxa"/>
              <w:left w:w="16" w:type="dxa"/>
              <w:right w:w="16" w:type="dxa"/>
            </w:tcMar>
            <w:vAlign w:val="center"/>
          </w:tcPr>
          <w:p>
            <w:pPr>
              <w:rPr>
                <w:color w:val="auto"/>
              </w:rPr>
            </w:pPr>
            <w:r>
              <w:rPr>
                <w:color w:val="auto"/>
              </w:rPr>
              <w:t>环保投资（万元）</w:t>
            </w:r>
          </w:p>
        </w:tc>
        <w:tc>
          <w:tcPr>
            <w:tcW w:w="2552" w:type="dxa"/>
            <w:gridSpan w:val="2"/>
            <w:noWrap w:val="0"/>
            <w:vAlign w:val="center"/>
          </w:tcPr>
          <w:p>
            <w:pPr>
              <w:rPr>
                <w:rFonts w:hint="default" w:eastAsia="宋体"/>
                <w:color w:val="auto"/>
                <w:lang w:val="en-US" w:eastAsia="zh-CN"/>
              </w:rPr>
            </w:pPr>
            <w:r>
              <w:rPr>
                <w:rFonts w:hint="eastAsia"/>
                <w:color w:val="auto"/>
                <w:lang w:val="en-US" w:eastAsia="zh-CN"/>
              </w:rPr>
              <w:t>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762" w:type="dxa"/>
            <w:gridSpan w:val="2"/>
            <w:noWrap w:val="0"/>
            <w:tcMar>
              <w:top w:w="16" w:type="dxa"/>
              <w:left w:w="16" w:type="dxa"/>
              <w:right w:w="16" w:type="dxa"/>
            </w:tcMar>
            <w:vAlign w:val="center"/>
          </w:tcPr>
          <w:p>
            <w:pPr>
              <w:rPr>
                <w:color w:val="auto"/>
              </w:rPr>
            </w:pPr>
            <w:r>
              <w:rPr>
                <w:color w:val="auto"/>
              </w:rPr>
              <w:t>环保投资占比（%）</w:t>
            </w:r>
          </w:p>
        </w:tc>
        <w:tc>
          <w:tcPr>
            <w:tcW w:w="2507" w:type="dxa"/>
            <w:noWrap w:val="0"/>
            <w:vAlign w:val="center"/>
          </w:tcPr>
          <w:p>
            <w:pPr>
              <w:rPr>
                <w:rFonts w:hint="default" w:eastAsia="宋体"/>
                <w:color w:val="auto"/>
                <w:lang w:val="en-US" w:eastAsia="zh-CN"/>
              </w:rPr>
            </w:pPr>
            <w:r>
              <w:rPr>
                <w:rFonts w:hint="eastAsia"/>
                <w:color w:val="auto"/>
                <w:lang w:val="en-US" w:eastAsia="zh-CN"/>
              </w:rPr>
              <w:t>6.45</w:t>
            </w:r>
          </w:p>
        </w:tc>
        <w:tc>
          <w:tcPr>
            <w:tcW w:w="2218" w:type="dxa"/>
            <w:noWrap w:val="0"/>
            <w:tcMar>
              <w:top w:w="16" w:type="dxa"/>
              <w:left w:w="16" w:type="dxa"/>
              <w:right w:w="16" w:type="dxa"/>
            </w:tcMar>
            <w:vAlign w:val="center"/>
          </w:tcPr>
          <w:p>
            <w:pPr>
              <w:rPr>
                <w:color w:val="auto"/>
              </w:rPr>
            </w:pPr>
            <w:r>
              <w:rPr>
                <w:color w:val="auto"/>
              </w:rPr>
              <w:t>施工工期</w:t>
            </w:r>
          </w:p>
        </w:tc>
        <w:tc>
          <w:tcPr>
            <w:tcW w:w="2552" w:type="dxa"/>
            <w:gridSpan w:val="2"/>
            <w:noWrap w:val="0"/>
            <w:vAlign w:val="center"/>
          </w:tcPr>
          <w:p>
            <w:pPr>
              <w:rPr>
                <w:rFonts w:hint="eastAsia"/>
                <w:color w:val="auto"/>
                <w:lang w:val="en-US" w:eastAsia="zh-CN"/>
              </w:rPr>
            </w:pPr>
            <w:r>
              <w:rPr>
                <w:rFonts w:hint="eastAsia"/>
                <w:color w:val="auto"/>
                <w:lang w:val="en-US" w:eastAsia="zh-CN"/>
              </w:rPr>
              <w:t>钻井期42天</w:t>
            </w:r>
          </w:p>
          <w:p>
            <w:pPr>
              <w:pStyle w:val="14"/>
              <w:keepNext w:val="0"/>
              <w:keepLines w:val="0"/>
              <w:pageBreakBefore w:val="0"/>
              <w:widowControl w:val="0"/>
              <w:kinsoku/>
              <w:wordWrap/>
              <w:overflowPunct/>
              <w:topLinePunct w:val="0"/>
              <w:autoSpaceDE/>
              <w:autoSpaceDN/>
              <w:bidi w:val="0"/>
              <w:adjustRightInd w:val="0"/>
              <w:snapToGrid w:val="0"/>
              <w:spacing w:before="0"/>
              <w:ind w:left="0" w:leftChars="0" w:firstLine="0" w:firstLineChars="0"/>
              <w:jc w:val="center"/>
              <w:textAlignment w:val="auto"/>
              <w:rPr>
                <w:rFonts w:hint="default"/>
                <w:color w:val="auto"/>
                <w:lang w:val="en-US" w:eastAsia="zh-CN"/>
              </w:rPr>
            </w:pPr>
            <w:r>
              <w:rPr>
                <w:rFonts w:hint="eastAsia" w:ascii="Times New Roman" w:hAnsi="Times New Roman" w:eastAsia="宋体" w:cs="Times New Roman"/>
                <w:i w:val="0"/>
                <w:iCs w:val="0"/>
                <w:color w:val="auto"/>
                <w:kern w:val="2"/>
                <w:sz w:val="24"/>
                <w:szCs w:val="24"/>
                <w:lang w:val="en-US" w:eastAsia="zh-CN" w:bidi="ar-SA"/>
              </w:rPr>
              <w:t>试油期180天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62" w:type="dxa"/>
            <w:gridSpan w:val="2"/>
            <w:noWrap w:val="0"/>
            <w:tcMar>
              <w:top w:w="16" w:type="dxa"/>
              <w:left w:w="16" w:type="dxa"/>
              <w:right w:w="16" w:type="dxa"/>
            </w:tcMar>
            <w:vAlign w:val="center"/>
          </w:tcPr>
          <w:p>
            <w:pPr>
              <w:rPr>
                <w:color w:val="auto"/>
              </w:rPr>
            </w:pPr>
            <w:r>
              <w:rPr>
                <w:color w:val="auto"/>
              </w:rPr>
              <w:t>是否开工建设</w:t>
            </w:r>
          </w:p>
        </w:tc>
        <w:tc>
          <w:tcPr>
            <w:tcW w:w="7277" w:type="dxa"/>
            <w:gridSpan w:val="4"/>
            <w:noWrap w:val="0"/>
            <w:vAlign w:val="center"/>
          </w:tcPr>
          <w:p>
            <w:pPr>
              <w:ind w:firstLine="105"/>
              <w:rPr>
                <w:color w:val="auto"/>
              </w:rPr>
            </w:pPr>
            <w:r>
              <w:rPr>
                <w:color w:val="auto"/>
              </w:rPr>
              <w:t>☑否</w:t>
            </w:r>
          </w:p>
          <w:p>
            <w:pPr>
              <w:ind w:firstLine="92"/>
              <w:rPr>
                <w:color w:val="auto"/>
              </w:rPr>
            </w:pPr>
            <w:r>
              <w:rPr>
                <w:color w:val="auto"/>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62" w:type="dxa"/>
            <w:gridSpan w:val="2"/>
            <w:noWrap w:val="0"/>
            <w:tcMar>
              <w:top w:w="16" w:type="dxa"/>
              <w:left w:w="16" w:type="dxa"/>
              <w:right w:w="16" w:type="dxa"/>
            </w:tcMar>
            <w:vAlign w:val="center"/>
          </w:tcPr>
          <w:p>
            <w:pPr>
              <w:autoSpaceDE w:val="0"/>
              <w:autoSpaceDN w:val="0"/>
              <w:rPr>
                <w:color w:val="auto"/>
                <w:kern w:val="0"/>
              </w:rPr>
            </w:pPr>
            <w:r>
              <w:rPr>
                <w:color w:val="auto"/>
                <w:kern w:val="0"/>
              </w:rPr>
              <w:t>专项评价设置情况</w:t>
            </w:r>
          </w:p>
        </w:tc>
        <w:tc>
          <w:tcPr>
            <w:tcW w:w="7277" w:type="dxa"/>
            <w:gridSpan w:val="4"/>
            <w:noWrap w:val="0"/>
            <w:tcMar>
              <w:top w:w="16" w:type="dxa"/>
              <w:left w:w="16" w:type="dxa"/>
              <w:right w:w="16" w:type="dxa"/>
            </w:tcMar>
            <w:vAlign w:val="center"/>
          </w:tcPr>
          <w:p>
            <w:pPr>
              <w:autoSpaceDE w:val="0"/>
              <w:autoSpaceDN w:val="0"/>
              <w:rPr>
                <w:color w:val="auto"/>
                <w:kern w:val="0"/>
              </w:rPr>
            </w:pPr>
            <w:r>
              <w:rPr>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62" w:type="dxa"/>
            <w:gridSpan w:val="2"/>
            <w:noWrap w:val="0"/>
            <w:tcMar>
              <w:top w:w="16" w:type="dxa"/>
              <w:left w:w="16" w:type="dxa"/>
              <w:right w:w="16" w:type="dxa"/>
            </w:tcMar>
            <w:vAlign w:val="center"/>
          </w:tcPr>
          <w:p>
            <w:pPr>
              <w:autoSpaceDE w:val="0"/>
              <w:autoSpaceDN w:val="0"/>
              <w:rPr>
                <w:color w:val="auto"/>
                <w:kern w:val="0"/>
              </w:rPr>
            </w:pPr>
            <w:r>
              <w:rPr>
                <w:color w:val="auto"/>
              </w:rPr>
              <w:t>规划情况</w:t>
            </w:r>
          </w:p>
        </w:tc>
        <w:tc>
          <w:tcPr>
            <w:tcW w:w="7277" w:type="dxa"/>
            <w:gridSpan w:val="4"/>
            <w:noWrap w:val="0"/>
            <w:tcMar>
              <w:top w:w="16" w:type="dxa"/>
              <w:left w:w="16" w:type="dxa"/>
              <w:right w:w="16" w:type="dxa"/>
            </w:tcMar>
            <w:vAlign w:val="center"/>
          </w:tcPr>
          <w:p>
            <w:pPr>
              <w:autoSpaceDE w:val="0"/>
              <w:autoSpaceDN w:val="0"/>
              <w:rPr>
                <w:color w:val="auto"/>
                <w:kern w:val="0"/>
              </w:rPr>
            </w:pPr>
            <w:r>
              <w:rPr>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62" w:type="dxa"/>
            <w:gridSpan w:val="2"/>
            <w:noWrap w:val="0"/>
            <w:tcMar>
              <w:top w:w="16" w:type="dxa"/>
              <w:left w:w="16" w:type="dxa"/>
              <w:right w:w="16" w:type="dxa"/>
            </w:tcMar>
            <w:vAlign w:val="center"/>
          </w:tcPr>
          <w:p>
            <w:pPr>
              <w:autoSpaceDE w:val="0"/>
              <w:autoSpaceDN w:val="0"/>
              <w:rPr>
                <w:color w:val="auto"/>
              </w:rPr>
            </w:pPr>
            <w:r>
              <w:rPr>
                <w:color w:val="auto"/>
              </w:rPr>
              <w:t>规划环境影响</w:t>
            </w:r>
          </w:p>
          <w:p>
            <w:pPr>
              <w:autoSpaceDE w:val="0"/>
              <w:autoSpaceDN w:val="0"/>
              <w:rPr>
                <w:color w:val="auto"/>
                <w:kern w:val="0"/>
              </w:rPr>
            </w:pPr>
            <w:r>
              <w:rPr>
                <w:color w:val="auto"/>
              </w:rPr>
              <w:t>评价情况</w:t>
            </w:r>
          </w:p>
        </w:tc>
        <w:tc>
          <w:tcPr>
            <w:tcW w:w="7277" w:type="dxa"/>
            <w:gridSpan w:val="4"/>
            <w:noWrap w:val="0"/>
            <w:tcMar>
              <w:top w:w="16" w:type="dxa"/>
              <w:left w:w="16" w:type="dxa"/>
              <w:right w:w="16" w:type="dxa"/>
            </w:tcMar>
            <w:vAlign w:val="center"/>
          </w:tcPr>
          <w:p>
            <w:pPr>
              <w:rPr>
                <w:color w:val="auto"/>
                <w:kern w:val="0"/>
              </w:rPr>
            </w:pPr>
            <w:r>
              <w:rPr>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62" w:type="dxa"/>
            <w:gridSpan w:val="2"/>
            <w:noWrap w:val="0"/>
            <w:tcMar>
              <w:top w:w="16" w:type="dxa"/>
              <w:left w:w="16" w:type="dxa"/>
              <w:right w:w="16" w:type="dxa"/>
            </w:tcMar>
            <w:vAlign w:val="center"/>
          </w:tcPr>
          <w:p>
            <w:pPr>
              <w:autoSpaceDE w:val="0"/>
              <w:autoSpaceDN w:val="0"/>
              <w:rPr>
                <w:color w:val="auto"/>
                <w:kern w:val="0"/>
              </w:rPr>
            </w:pPr>
            <w:r>
              <w:rPr>
                <w:color w:val="auto"/>
                <w:kern w:val="0"/>
              </w:rPr>
              <w:t>规划及</w:t>
            </w:r>
            <w:r>
              <w:rPr>
                <w:color w:val="auto"/>
              </w:rPr>
              <w:t>规划环境影响评价</w:t>
            </w:r>
            <w:r>
              <w:rPr>
                <w:color w:val="auto"/>
                <w:kern w:val="0"/>
              </w:rPr>
              <w:t>符合性分析</w:t>
            </w:r>
          </w:p>
        </w:tc>
        <w:tc>
          <w:tcPr>
            <w:tcW w:w="7277" w:type="dxa"/>
            <w:gridSpan w:val="4"/>
            <w:noWrap w:val="0"/>
            <w:tcMar>
              <w:top w:w="16" w:type="dxa"/>
              <w:left w:w="16" w:type="dxa"/>
              <w:right w:w="16" w:type="dxa"/>
            </w:tcMar>
            <w:vAlign w:val="center"/>
          </w:tcPr>
          <w:p>
            <w:pPr>
              <w:autoSpaceDE w:val="0"/>
              <w:autoSpaceDN w:val="0"/>
              <w:rPr>
                <w:color w:val="auto"/>
                <w:kern w:val="0"/>
              </w:rPr>
            </w:pPr>
            <w:r>
              <w:rPr>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562" w:type="dxa"/>
            <w:noWrap w:val="0"/>
            <w:tcMar>
              <w:top w:w="16" w:type="dxa"/>
              <w:left w:w="16" w:type="dxa"/>
              <w:right w:w="16" w:type="dxa"/>
            </w:tcMar>
            <w:vAlign w:val="center"/>
          </w:tcPr>
          <w:p>
            <w:pPr>
              <w:autoSpaceDE w:val="0"/>
              <w:autoSpaceDN w:val="0"/>
              <w:rPr>
                <w:color w:val="auto"/>
                <w:kern w:val="0"/>
              </w:rPr>
            </w:pPr>
            <w:bookmarkStart w:id="4" w:name="_Hlk56690880"/>
            <w:r>
              <w:rPr>
                <w:color w:val="auto"/>
                <w:kern w:val="0"/>
              </w:rPr>
              <w:t>其他符合性分析</w:t>
            </w:r>
            <w:bookmarkEnd w:id="4"/>
          </w:p>
        </w:tc>
        <w:tc>
          <w:tcPr>
            <w:tcW w:w="8477" w:type="dxa"/>
            <w:gridSpan w:val="5"/>
            <w:noWrap w:val="0"/>
            <w:tcMar>
              <w:top w:w="16" w:type="dxa"/>
              <w:left w:w="16" w:type="dxa"/>
              <w:right w:w="16" w:type="dxa"/>
            </w:tcMar>
            <w:vAlign w:val="center"/>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pacing w:val="4"/>
                <w:sz w:val="28"/>
                <w:szCs w:val="28"/>
              </w:rPr>
            </w:pPr>
            <w:bookmarkStart w:id="5" w:name="_Hlk68138037"/>
            <w:r>
              <w:rPr>
                <w:rFonts w:hint="eastAsia" w:eastAsia="宋体" w:cs="Times New Roman"/>
                <w:b/>
                <w:bCs/>
                <w:color w:val="auto"/>
                <w:spacing w:val="4"/>
                <w:sz w:val="28"/>
                <w:szCs w:val="28"/>
                <w:lang w:val="en-US" w:eastAsia="zh-CN"/>
              </w:rPr>
              <w:t>1</w:t>
            </w:r>
            <w:r>
              <w:rPr>
                <w:rFonts w:hint="default" w:ascii="Times New Roman" w:hAnsi="Times New Roman" w:eastAsia="宋体" w:cs="Times New Roman"/>
                <w:b/>
                <w:bCs/>
                <w:color w:val="auto"/>
                <w:spacing w:val="4"/>
                <w:sz w:val="28"/>
                <w:szCs w:val="28"/>
              </w:rPr>
              <w:t xml:space="preserve"> 与</w:t>
            </w:r>
            <w:r>
              <w:rPr>
                <w:rFonts w:hint="eastAsia" w:ascii="Times New Roman" w:hAnsi="Times New Roman" w:eastAsia="宋体" w:cs="Times New Roman"/>
                <w:b/>
                <w:bCs/>
                <w:color w:val="auto"/>
                <w:spacing w:val="4"/>
                <w:sz w:val="28"/>
                <w:szCs w:val="28"/>
              </w:rPr>
              <w:t>《昌吉回族自治州“三线一单”生态环境分区管控方案》（昌州政办发[2021]41号）相符性分析</w:t>
            </w:r>
          </w:p>
          <w:p>
            <w:pPr>
              <w:pStyle w:val="4"/>
              <w:rPr>
                <w:color w:val="auto"/>
              </w:rPr>
            </w:pPr>
            <w:r>
              <w:rPr>
                <w:rFonts w:hint="eastAsia"/>
                <w:color w:val="auto"/>
              </w:rPr>
              <w:t>根据《昌吉回族自治州“三线一单”生态环境分区管控方案》（昌州政办发[2021]41号</w:t>
            </w:r>
            <w:r>
              <w:rPr>
                <w:rFonts w:hint="eastAsia"/>
                <w:color w:val="auto"/>
                <w:lang w:eastAsia="zh-CN"/>
              </w:rPr>
              <w:t>，</w:t>
            </w:r>
            <w:r>
              <w:rPr>
                <w:color w:val="auto"/>
                <w:spacing w:val="4"/>
              </w:rPr>
              <w:t>2021年6月30</w:t>
            </w:r>
            <w:r>
              <w:rPr>
                <w:rFonts w:hint="eastAsia"/>
                <w:color w:val="auto"/>
                <w:spacing w:val="4"/>
              </w:rPr>
              <w:t>日发布</w:t>
            </w:r>
            <w:r>
              <w:rPr>
                <w:rFonts w:hint="eastAsia"/>
                <w:color w:val="auto"/>
              </w:rPr>
              <w:t>），自治州共划定119个环境管控单元，分为优先保护单元、重点管控单元和一般管控单元三类，实施分类管控。</w:t>
            </w:r>
          </w:p>
          <w:p>
            <w:pPr>
              <w:pStyle w:val="4"/>
              <w:jc w:val="both"/>
              <w:rPr>
                <w:color w:val="auto"/>
              </w:rPr>
            </w:pPr>
            <w:r>
              <w:rPr>
                <w:color w:val="auto"/>
              </w:rPr>
              <w:t>本项目</w:t>
            </w:r>
            <w:r>
              <w:rPr>
                <w:rFonts w:hint="eastAsia"/>
                <w:color w:val="auto"/>
              </w:rPr>
              <w:t>所在区域位于昌吉回族自治州</w:t>
            </w:r>
            <w:r>
              <w:rPr>
                <w:rFonts w:hint="eastAsia"/>
                <w:color w:val="auto"/>
                <w:lang w:val="en-US" w:eastAsia="zh-CN"/>
              </w:rPr>
              <w:t>吉木萨尔</w:t>
            </w:r>
            <w:r>
              <w:rPr>
                <w:rFonts w:hint="eastAsia"/>
                <w:color w:val="auto"/>
              </w:rPr>
              <w:t>县</w:t>
            </w:r>
            <w:r>
              <w:rPr>
                <w:rFonts w:hint="eastAsia"/>
                <w:color w:val="auto"/>
                <w:lang w:val="en-US" w:eastAsia="zh-CN"/>
              </w:rPr>
              <w:t>重点</w:t>
            </w:r>
            <w:r>
              <w:rPr>
                <w:rFonts w:hint="eastAsia"/>
                <w:color w:val="auto"/>
              </w:rPr>
              <w:t>管控单元，详见图1-</w:t>
            </w:r>
            <w:r>
              <w:rPr>
                <w:rFonts w:hint="eastAsia"/>
                <w:color w:val="auto"/>
                <w:lang w:val="en-US" w:eastAsia="zh-CN"/>
              </w:rPr>
              <w:t>1</w:t>
            </w:r>
            <w:r>
              <w:rPr>
                <w:rFonts w:hint="eastAsia"/>
                <w:color w:val="auto"/>
                <w:lang w:eastAsia="zh-CN"/>
              </w:rPr>
              <w:t>。</w:t>
            </w:r>
            <w:r>
              <w:rPr>
                <w:rFonts w:hint="eastAsia"/>
                <w:color w:val="auto"/>
              </w:rPr>
              <w:t>本工程与昌吉回族自治州生态环境总体管控要求的相符性见</w:t>
            </w:r>
            <w:r>
              <w:rPr>
                <w:color w:val="auto"/>
              </w:rPr>
              <w:t>表1-</w:t>
            </w:r>
            <w:r>
              <w:rPr>
                <w:rFonts w:hint="eastAsia"/>
                <w:color w:val="auto"/>
                <w:lang w:val="en-US" w:eastAsia="zh-CN"/>
              </w:rPr>
              <w:t>1</w:t>
            </w:r>
            <w:r>
              <w:rPr>
                <w:color w:val="auto"/>
              </w:rPr>
              <w:t>。</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表1-</w:t>
            </w:r>
            <w:r>
              <w:rPr>
                <w:rFonts w:hint="eastAsia"/>
                <w:b/>
                <w:bCs/>
                <w:color w:val="auto"/>
                <w:sz w:val="21"/>
                <w:szCs w:val="21"/>
                <w:lang w:val="en-US" w:eastAsia="zh-CN"/>
              </w:rPr>
              <w:t xml:space="preserve">1 </w:t>
            </w:r>
            <w:r>
              <w:rPr>
                <w:b/>
                <w:bCs/>
                <w:color w:val="auto"/>
                <w:sz w:val="21"/>
                <w:szCs w:val="21"/>
              </w:rPr>
              <w:t xml:space="preserve"> 本工程与</w:t>
            </w:r>
            <w:r>
              <w:rPr>
                <w:rFonts w:hint="eastAsia"/>
                <w:b/>
                <w:bCs/>
                <w:color w:val="auto"/>
                <w:sz w:val="21"/>
                <w:szCs w:val="21"/>
              </w:rPr>
              <w:t>昌吉回族自治州生态环境总体管控要求</w:t>
            </w:r>
          </w:p>
          <w:tbl>
            <w:tblPr>
              <w:tblStyle w:val="17"/>
              <w:tblW w:w="49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16"/>
              <w:gridCol w:w="2500"/>
              <w:gridCol w:w="9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noWrap w:val="0"/>
                  <w:vAlign w:val="center"/>
                </w:tcPr>
                <w:p>
                  <w:pPr>
                    <w:pStyle w:val="4"/>
                    <w:spacing w:line="240" w:lineRule="auto"/>
                    <w:ind w:firstLine="0" w:firstLineChars="0"/>
                    <w:jc w:val="center"/>
                    <w:rPr>
                      <w:rFonts w:hint="eastAsia"/>
                      <w:b/>
                      <w:bCs/>
                      <w:color w:val="auto"/>
                      <w:sz w:val="21"/>
                      <w:szCs w:val="21"/>
                    </w:rPr>
                  </w:pPr>
                  <w:r>
                    <w:rPr>
                      <w:rFonts w:hint="eastAsia"/>
                      <w:b/>
                      <w:bCs/>
                      <w:color w:val="auto"/>
                      <w:sz w:val="21"/>
                      <w:szCs w:val="21"/>
                    </w:rPr>
                    <w:t>管控类别</w:t>
                  </w:r>
                </w:p>
              </w:tc>
              <w:tc>
                <w:tcPr>
                  <w:tcW w:w="2184" w:type="pct"/>
                  <w:noWrap w:val="0"/>
                  <w:vAlign w:val="center"/>
                </w:tcPr>
                <w:p>
                  <w:pPr>
                    <w:pStyle w:val="4"/>
                    <w:spacing w:line="240" w:lineRule="auto"/>
                    <w:ind w:firstLine="0" w:firstLineChars="0"/>
                    <w:jc w:val="center"/>
                    <w:rPr>
                      <w:rFonts w:hint="eastAsia"/>
                      <w:b/>
                      <w:bCs/>
                      <w:color w:val="auto"/>
                      <w:sz w:val="21"/>
                      <w:szCs w:val="21"/>
                    </w:rPr>
                  </w:pPr>
                  <w:r>
                    <w:rPr>
                      <w:b/>
                      <w:bCs/>
                      <w:color w:val="auto"/>
                      <w:sz w:val="21"/>
                      <w:szCs w:val="21"/>
                    </w:rPr>
                    <w:t>管控要求</w:t>
                  </w:r>
                </w:p>
              </w:tc>
              <w:tc>
                <w:tcPr>
                  <w:tcW w:w="1510" w:type="pct"/>
                  <w:noWrap w:val="0"/>
                  <w:vAlign w:val="center"/>
                </w:tcPr>
                <w:p>
                  <w:pPr>
                    <w:pStyle w:val="4"/>
                    <w:spacing w:line="240" w:lineRule="auto"/>
                    <w:ind w:firstLine="0" w:firstLineChars="0"/>
                    <w:jc w:val="center"/>
                    <w:rPr>
                      <w:rFonts w:hint="eastAsia"/>
                      <w:b/>
                      <w:bCs/>
                      <w:color w:val="auto"/>
                      <w:sz w:val="21"/>
                      <w:szCs w:val="21"/>
                    </w:rPr>
                  </w:pPr>
                  <w:r>
                    <w:rPr>
                      <w:b/>
                      <w:bCs/>
                      <w:color w:val="auto"/>
                      <w:sz w:val="21"/>
                      <w:szCs w:val="21"/>
                    </w:rPr>
                    <w:t>本工程</w:t>
                  </w:r>
                </w:p>
              </w:tc>
              <w:tc>
                <w:tcPr>
                  <w:tcW w:w="587" w:type="pct"/>
                  <w:noWrap w:val="0"/>
                  <w:vAlign w:val="center"/>
                </w:tcPr>
                <w:p>
                  <w:pPr>
                    <w:pStyle w:val="4"/>
                    <w:spacing w:line="240" w:lineRule="auto"/>
                    <w:ind w:firstLine="0" w:firstLineChars="0"/>
                    <w:jc w:val="center"/>
                    <w:rPr>
                      <w:rFonts w:hint="eastAsia"/>
                      <w:b/>
                      <w:bCs/>
                      <w:color w:val="auto"/>
                      <w:sz w:val="21"/>
                      <w:szCs w:val="21"/>
                    </w:rPr>
                  </w:pPr>
                  <w:r>
                    <w:rPr>
                      <w:rFonts w:hint="eastAsia"/>
                      <w:b/>
                      <w:bCs/>
                      <w:color w:val="auto"/>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pct"/>
                  <w:vMerge w:val="restart"/>
                  <w:noWrap w:val="0"/>
                  <w:vAlign w:val="center"/>
                </w:tcPr>
                <w:p>
                  <w:pPr>
                    <w:pStyle w:val="4"/>
                    <w:spacing w:line="240" w:lineRule="auto"/>
                    <w:ind w:firstLine="0" w:firstLineChars="0"/>
                    <w:jc w:val="center"/>
                    <w:rPr>
                      <w:rFonts w:hint="eastAsia"/>
                      <w:color w:val="auto"/>
                      <w:sz w:val="21"/>
                      <w:szCs w:val="21"/>
                    </w:rPr>
                  </w:pPr>
                  <w:r>
                    <w:rPr>
                      <w:rFonts w:hint="eastAsia"/>
                      <w:color w:val="auto"/>
                      <w:sz w:val="21"/>
                      <w:szCs w:val="21"/>
                    </w:rPr>
                    <w:t>总体要求</w:t>
                  </w:r>
                </w:p>
              </w:tc>
              <w:tc>
                <w:tcPr>
                  <w:tcW w:w="2184" w:type="pct"/>
                  <w:noWrap w:val="0"/>
                  <w:vAlign w:val="center"/>
                </w:tcPr>
                <w:p>
                  <w:pPr>
                    <w:pStyle w:val="4"/>
                    <w:spacing w:line="240" w:lineRule="auto"/>
                    <w:ind w:firstLine="0" w:firstLineChars="0"/>
                    <w:jc w:val="center"/>
                    <w:rPr>
                      <w:rFonts w:hint="eastAsia"/>
                      <w:color w:val="auto"/>
                      <w:sz w:val="21"/>
                      <w:szCs w:val="21"/>
                    </w:rPr>
                  </w:pPr>
                  <w:r>
                    <w:rPr>
                      <w:color w:val="auto"/>
                      <w:sz w:val="21"/>
                      <w:szCs w:val="21"/>
                    </w:rPr>
                    <w:t>1、大气环境重点落实大气污染防治相关行动计划、治理方案等，严格污染物区域削减及总量控制指标要求，“乌-昌-石”区域执行最严格的大气污染物排放标准。</w:t>
                  </w:r>
                </w:p>
              </w:tc>
              <w:tc>
                <w:tcPr>
                  <w:tcW w:w="1510" w:type="pct"/>
                  <w:noWrap w:val="0"/>
                  <w:vAlign w:val="center"/>
                </w:tcPr>
                <w:p>
                  <w:pPr>
                    <w:pStyle w:val="4"/>
                    <w:spacing w:line="240" w:lineRule="auto"/>
                    <w:ind w:left="0" w:leftChars="0" w:firstLine="0" w:firstLineChars="0"/>
                    <w:jc w:val="both"/>
                    <w:rPr>
                      <w:rFonts w:hint="eastAsia"/>
                      <w:color w:val="auto"/>
                    </w:rPr>
                  </w:pPr>
                  <w:r>
                    <w:rPr>
                      <w:rFonts w:hint="eastAsia"/>
                      <w:color w:val="auto"/>
                      <w:sz w:val="21"/>
                      <w:szCs w:val="21"/>
                    </w:rPr>
                    <w:t>本工程位于</w:t>
                  </w:r>
                  <w:r>
                    <w:rPr>
                      <w:color w:val="auto"/>
                      <w:sz w:val="21"/>
                      <w:szCs w:val="21"/>
                    </w:rPr>
                    <w:t>“乌-昌-石”区域</w:t>
                  </w:r>
                  <w:r>
                    <w:rPr>
                      <w:rFonts w:hint="eastAsia"/>
                      <w:color w:val="auto"/>
                      <w:sz w:val="21"/>
                      <w:szCs w:val="21"/>
                    </w:rPr>
                    <w:t>，严格按照《陆上石油天然气开采工业大气污染物排放标准》（GB39728-2020）实行管控。</w:t>
                  </w:r>
                </w:p>
              </w:tc>
              <w:tc>
                <w:tcPr>
                  <w:tcW w:w="587" w:type="pct"/>
                  <w:noWrap w:val="0"/>
                  <w:vAlign w:val="center"/>
                </w:tcPr>
                <w:p>
                  <w:pPr>
                    <w:pStyle w:val="4"/>
                    <w:ind w:firstLine="0" w:firstLineChars="0"/>
                    <w:jc w:val="center"/>
                    <w:rPr>
                      <w:rFonts w:hint="eastAsia"/>
                      <w:color w:val="auto"/>
                      <w:sz w:val="21"/>
                      <w:szCs w:val="21"/>
                    </w:rPr>
                  </w:pPr>
                  <w:r>
                    <w:rPr>
                      <w:rFonts w:hint="eastAsia"/>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17" w:type="pct"/>
                  <w:vMerge w:val="continue"/>
                  <w:noWrap w:val="0"/>
                  <w:vAlign w:val="center"/>
                </w:tcPr>
                <w:p>
                  <w:pPr>
                    <w:pStyle w:val="4"/>
                    <w:spacing w:line="240" w:lineRule="auto"/>
                    <w:ind w:firstLine="0" w:firstLineChars="0"/>
                    <w:jc w:val="center"/>
                    <w:rPr>
                      <w:rFonts w:hint="eastAsia"/>
                      <w:color w:val="auto"/>
                      <w:sz w:val="21"/>
                      <w:szCs w:val="21"/>
                    </w:rPr>
                  </w:pPr>
                </w:p>
              </w:tc>
              <w:tc>
                <w:tcPr>
                  <w:tcW w:w="2184" w:type="pct"/>
                  <w:noWrap w:val="0"/>
                  <w:vAlign w:val="center"/>
                </w:tcPr>
                <w:p>
                  <w:pPr>
                    <w:pStyle w:val="4"/>
                    <w:spacing w:line="240" w:lineRule="auto"/>
                    <w:ind w:firstLine="0" w:firstLineChars="0"/>
                    <w:jc w:val="center"/>
                    <w:rPr>
                      <w:rFonts w:hint="eastAsia"/>
                      <w:color w:val="auto"/>
                      <w:sz w:val="21"/>
                      <w:szCs w:val="21"/>
                    </w:rPr>
                  </w:pPr>
                  <w:r>
                    <w:rPr>
                      <w:color w:val="auto"/>
                      <w:sz w:val="21"/>
                      <w:szCs w:val="21"/>
                    </w:rPr>
                    <w:t>2、水环境重点落实水污染防治相关行动计划、治理方案等，重点水污染行业项目实行主要污染物排放等量或减量置换，工业园区、工业聚集区应配套建设污水集中处理设施，新改扩建城镇污水处理设施执行一级A排放标准。</w:t>
                  </w:r>
                </w:p>
              </w:tc>
              <w:tc>
                <w:tcPr>
                  <w:tcW w:w="1510" w:type="pct"/>
                  <w:noWrap w:val="0"/>
                  <w:vAlign w:val="center"/>
                </w:tcPr>
                <w:p>
                  <w:pPr>
                    <w:pStyle w:val="4"/>
                    <w:spacing w:line="240" w:lineRule="auto"/>
                    <w:ind w:left="0" w:leftChars="0" w:firstLine="0" w:firstLineChars="0"/>
                    <w:jc w:val="both"/>
                    <w:rPr>
                      <w:rFonts w:hint="eastAsia"/>
                      <w:color w:val="auto"/>
                      <w:kern w:val="0"/>
                      <w:sz w:val="21"/>
                      <w:szCs w:val="21"/>
                      <w:lang w:bidi="ar"/>
                    </w:rPr>
                  </w:pPr>
                  <w:r>
                    <w:rPr>
                      <w:rFonts w:hint="eastAsia"/>
                      <w:color w:val="auto"/>
                      <w:kern w:val="0"/>
                      <w:sz w:val="21"/>
                      <w:szCs w:val="21"/>
                      <w:lang w:bidi="ar"/>
                    </w:rPr>
                    <w:t>本项目井下作业废水均拉运至吉祥联合站处理后回注油藏；生活污水清运至</w:t>
                  </w:r>
                  <w:r>
                    <w:rPr>
                      <w:rFonts w:hint="eastAsia"/>
                      <w:color w:val="auto"/>
                      <w:kern w:val="0"/>
                      <w:sz w:val="21"/>
                      <w:szCs w:val="21"/>
                      <w:lang w:eastAsia="zh-CN" w:bidi="ar"/>
                    </w:rPr>
                    <w:t>五彩湾生产服务区污水处理厂</w:t>
                  </w:r>
                  <w:r>
                    <w:rPr>
                      <w:rFonts w:hint="eastAsia"/>
                      <w:color w:val="auto"/>
                      <w:kern w:val="0"/>
                      <w:sz w:val="21"/>
                      <w:szCs w:val="21"/>
                      <w:lang w:bidi="ar"/>
                    </w:rPr>
                    <w:t>处理，</w:t>
                  </w:r>
                  <w:r>
                    <w:rPr>
                      <w:color w:val="auto"/>
                      <w:sz w:val="21"/>
                      <w:szCs w:val="21"/>
                    </w:rPr>
                    <w:t>污水处理设施执行一级A排放标准。</w:t>
                  </w:r>
                </w:p>
              </w:tc>
              <w:tc>
                <w:tcPr>
                  <w:tcW w:w="587" w:type="pct"/>
                  <w:noWrap w:val="0"/>
                  <w:vAlign w:val="center"/>
                </w:tcPr>
                <w:p>
                  <w:pPr>
                    <w:pStyle w:val="4"/>
                    <w:ind w:firstLine="0" w:firstLineChars="0"/>
                    <w:jc w:val="center"/>
                    <w:rPr>
                      <w:rFonts w:hint="eastAsia"/>
                      <w:color w:val="auto"/>
                      <w:sz w:val="21"/>
                      <w:szCs w:val="21"/>
                    </w:rPr>
                  </w:pPr>
                  <w:r>
                    <w:rPr>
                      <w:rFonts w:hint="eastAsia"/>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Merge w:val="continue"/>
                  <w:noWrap w:val="0"/>
                  <w:vAlign w:val="center"/>
                </w:tcPr>
                <w:p>
                  <w:pPr>
                    <w:pStyle w:val="4"/>
                    <w:spacing w:line="240" w:lineRule="auto"/>
                    <w:ind w:firstLine="0" w:firstLineChars="0"/>
                    <w:jc w:val="center"/>
                    <w:rPr>
                      <w:rFonts w:hint="eastAsia"/>
                      <w:color w:val="auto"/>
                      <w:sz w:val="21"/>
                      <w:szCs w:val="21"/>
                    </w:rPr>
                  </w:pPr>
                </w:p>
              </w:tc>
              <w:tc>
                <w:tcPr>
                  <w:tcW w:w="2184" w:type="pct"/>
                  <w:noWrap w:val="0"/>
                  <w:vAlign w:val="center"/>
                </w:tcPr>
                <w:p>
                  <w:pPr>
                    <w:pStyle w:val="4"/>
                    <w:spacing w:line="240" w:lineRule="auto"/>
                    <w:ind w:firstLine="0" w:firstLineChars="0"/>
                    <w:jc w:val="center"/>
                    <w:rPr>
                      <w:rFonts w:hint="eastAsia"/>
                      <w:color w:val="auto"/>
                      <w:sz w:val="21"/>
                      <w:szCs w:val="21"/>
                    </w:rPr>
                  </w:pPr>
                  <w:r>
                    <w:rPr>
                      <w:color w:val="auto"/>
                      <w:sz w:val="21"/>
                      <w:szCs w:val="21"/>
                    </w:rPr>
                    <w:t>3、土壤环境重点落实土壤污染防治相关行动计划、防治工作方案等，对土壤环境重点监管企业严格环境风险管控，将土壤污染防治纳入环境风险防控体系，严格涉重金属行业准入条件。</w:t>
                  </w:r>
                </w:p>
              </w:tc>
              <w:tc>
                <w:tcPr>
                  <w:tcW w:w="1510" w:type="pct"/>
                  <w:noWrap w:val="0"/>
                  <w:vAlign w:val="center"/>
                </w:tcPr>
                <w:p>
                  <w:pPr>
                    <w:pStyle w:val="4"/>
                    <w:spacing w:line="240" w:lineRule="auto"/>
                    <w:ind w:left="0" w:leftChars="0" w:firstLine="0" w:firstLineChars="0"/>
                    <w:jc w:val="both"/>
                    <w:rPr>
                      <w:rFonts w:hint="eastAsia"/>
                      <w:color w:val="auto"/>
                      <w:kern w:val="0"/>
                      <w:sz w:val="21"/>
                      <w:szCs w:val="21"/>
                      <w:lang w:bidi="ar"/>
                    </w:rPr>
                  </w:pPr>
                  <w:r>
                    <w:rPr>
                      <w:rFonts w:hint="eastAsia"/>
                      <w:color w:val="auto"/>
                      <w:kern w:val="0"/>
                      <w:sz w:val="21"/>
                      <w:szCs w:val="21"/>
                      <w:lang w:bidi="ar"/>
                    </w:rPr>
                    <w:t>本项目对土壤污染防治提出措施，正常情况下，钻井及试油工程不会污染土壤环境；非正常情况下，采取有效措施后可减轻对土壤环境的影响。对土壤环境严格环境风险管控。</w:t>
                  </w:r>
                </w:p>
              </w:tc>
              <w:tc>
                <w:tcPr>
                  <w:tcW w:w="587" w:type="pct"/>
                  <w:noWrap w:val="0"/>
                  <w:vAlign w:val="center"/>
                </w:tcPr>
                <w:p>
                  <w:pPr>
                    <w:pStyle w:val="4"/>
                    <w:spacing w:line="240" w:lineRule="auto"/>
                    <w:ind w:firstLine="210" w:firstLineChars="100"/>
                    <w:jc w:val="center"/>
                    <w:rPr>
                      <w:rFonts w:hint="eastAsia"/>
                      <w:color w:val="auto"/>
                      <w:kern w:val="0"/>
                      <w:sz w:val="21"/>
                      <w:szCs w:val="21"/>
                      <w:lang w:bidi="ar"/>
                    </w:rPr>
                  </w:pPr>
                  <w:r>
                    <w:rPr>
                      <w:rFonts w:hint="eastAsia"/>
                      <w:color w:val="auto"/>
                      <w:kern w:val="0"/>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Merge w:val="continue"/>
                  <w:noWrap w:val="0"/>
                  <w:vAlign w:val="center"/>
                </w:tcPr>
                <w:p>
                  <w:pPr>
                    <w:pStyle w:val="4"/>
                    <w:jc w:val="center"/>
                    <w:rPr>
                      <w:rFonts w:hint="eastAsia"/>
                      <w:color w:val="auto"/>
                    </w:rPr>
                  </w:pPr>
                </w:p>
              </w:tc>
              <w:tc>
                <w:tcPr>
                  <w:tcW w:w="2184" w:type="pct"/>
                  <w:noWrap w:val="0"/>
                  <w:vAlign w:val="center"/>
                </w:tcPr>
                <w:p>
                  <w:pPr>
                    <w:pStyle w:val="4"/>
                    <w:spacing w:line="240" w:lineRule="auto"/>
                    <w:ind w:firstLine="0" w:firstLineChars="0"/>
                    <w:jc w:val="center"/>
                    <w:rPr>
                      <w:rFonts w:hint="eastAsia"/>
                      <w:color w:val="auto"/>
                      <w:sz w:val="21"/>
                      <w:szCs w:val="21"/>
                    </w:rPr>
                  </w:pPr>
                  <w:r>
                    <w:rPr>
                      <w:color w:val="auto"/>
                      <w:sz w:val="21"/>
                      <w:szCs w:val="21"/>
                    </w:rPr>
                    <w:t>4、生态环境严格管控矿山开采及地下水超采行为，实施矿区生态修复和污染治理，重点落实林地保护、草原保护、水源涵养等生态保护与恢复措施。</w:t>
                  </w:r>
                </w:p>
              </w:tc>
              <w:tc>
                <w:tcPr>
                  <w:tcW w:w="1510" w:type="pct"/>
                  <w:noWrap w:val="0"/>
                  <w:vAlign w:val="center"/>
                </w:tcPr>
                <w:p>
                  <w:pPr>
                    <w:pStyle w:val="4"/>
                    <w:spacing w:line="240" w:lineRule="auto"/>
                    <w:ind w:left="0" w:leftChars="0" w:firstLine="0" w:firstLineChars="0"/>
                    <w:jc w:val="both"/>
                    <w:rPr>
                      <w:rFonts w:hint="eastAsia"/>
                      <w:color w:val="auto"/>
                    </w:rPr>
                  </w:pPr>
                  <w:r>
                    <w:rPr>
                      <w:rFonts w:hint="eastAsia"/>
                      <w:color w:val="auto"/>
                      <w:kern w:val="0"/>
                      <w:sz w:val="21"/>
                      <w:szCs w:val="21"/>
                      <w:lang w:bidi="ar"/>
                    </w:rPr>
                    <w:t>本项目不涉及</w:t>
                  </w:r>
                  <w:r>
                    <w:rPr>
                      <w:color w:val="auto"/>
                      <w:sz w:val="21"/>
                      <w:szCs w:val="21"/>
                    </w:rPr>
                    <w:t>矿山开采及地下水超采行为</w:t>
                  </w:r>
                  <w:r>
                    <w:rPr>
                      <w:rFonts w:hint="eastAsia"/>
                      <w:color w:val="auto"/>
                      <w:sz w:val="21"/>
                      <w:szCs w:val="21"/>
                    </w:rPr>
                    <w:t>。</w:t>
                  </w:r>
                  <w:r>
                    <w:rPr>
                      <w:rFonts w:hint="eastAsia"/>
                      <w:color w:val="auto"/>
                      <w:kern w:val="0"/>
                      <w:sz w:val="21"/>
                      <w:szCs w:val="21"/>
                      <w:lang w:bidi="ar"/>
                    </w:rPr>
                    <w:t>吐哈油田分公司正在办理征地手续中，对</w:t>
                  </w:r>
                  <w:r>
                    <w:rPr>
                      <w:rFonts w:hint="eastAsia"/>
                      <w:color w:val="auto"/>
                      <w:kern w:val="0"/>
                      <w:sz w:val="21"/>
                      <w:szCs w:val="21"/>
                      <w:lang w:val="en-US" w:eastAsia="zh-CN" w:bidi="ar"/>
                    </w:rPr>
                    <w:t>工程</w:t>
                  </w:r>
                  <w:r>
                    <w:rPr>
                      <w:rFonts w:hint="eastAsia"/>
                      <w:color w:val="auto"/>
                      <w:kern w:val="0"/>
                      <w:sz w:val="21"/>
                      <w:szCs w:val="21"/>
                      <w:lang w:bidi="ar"/>
                    </w:rPr>
                    <w:t>占地实施补偿；施工结束后对场地进行平整、恢复，</w:t>
                  </w:r>
                  <w:r>
                    <w:rPr>
                      <w:rFonts w:hint="eastAsia"/>
                      <w:color w:val="auto"/>
                      <w:sz w:val="21"/>
                      <w:szCs w:val="21"/>
                    </w:rPr>
                    <w:t>本项目对生态环境保护与恢复提出措施。</w:t>
                  </w:r>
                </w:p>
              </w:tc>
              <w:tc>
                <w:tcPr>
                  <w:tcW w:w="587" w:type="pct"/>
                  <w:noWrap w:val="0"/>
                  <w:vAlign w:val="center"/>
                </w:tcPr>
                <w:p>
                  <w:pPr>
                    <w:pStyle w:val="4"/>
                    <w:ind w:firstLine="0" w:firstLineChars="0"/>
                    <w:jc w:val="center"/>
                    <w:rPr>
                      <w:rFonts w:hint="eastAsia"/>
                      <w:color w:val="auto"/>
                    </w:rPr>
                  </w:pPr>
                  <w:r>
                    <w:rPr>
                      <w:rFonts w:hint="eastAsia"/>
                      <w:color w:val="auto"/>
                      <w:sz w:val="21"/>
                      <w:szCs w:val="21"/>
                    </w:rPr>
                    <w:t>符合</w:t>
                  </w:r>
                </w:p>
              </w:tc>
            </w:tr>
          </w:tbl>
          <w:p>
            <w:pPr>
              <w:pStyle w:val="4"/>
              <w:spacing w:line="360" w:lineRule="auto"/>
              <w:jc w:val="both"/>
              <w:rPr>
                <w:rFonts w:hint="eastAsia"/>
                <w:color w:val="auto"/>
                <w:lang w:val="en-US" w:eastAsia="zh-CN"/>
              </w:rPr>
            </w:pPr>
          </w:p>
          <w:p>
            <w:pPr>
              <w:pStyle w:val="4"/>
              <w:spacing w:line="360" w:lineRule="auto"/>
              <w:jc w:val="both"/>
              <w:rPr>
                <w:color w:val="auto"/>
              </w:rPr>
            </w:pPr>
            <w:r>
              <w:rPr>
                <w:rFonts w:hint="eastAsia"/>
                <w:color w:val="auto"/>
                <w:lang w:val="en-US" w:eastAsia="zh-CN"/>
              </w:rPr>
              <w:t>本项目沙帐1井位</w:t>
            </w:r>
            <w:r>
              <w:rPr>
                <w:rFonts w:hint="eastAsia"/>
                <w:color w:val="auto"/>
                <w:highlight w:val="none"/>
                <w:lang w:val="en-US" w:eastAsia="zh-CN"/>
              </w:rPr>
              <w:t>于准东煤矿五彩湾矿区重点管控单元（</w:t>
            </w:r>
            <w:r>
              <w:rPr>
                <w:rFonts w:ascii="Times New Roman" w:hAnsi="Times New Roman" w:eastAsia="仿宋" w:cs="Times New Roman"/>
                <w:color w:val="auto"/>
                <w:kern w:val="0"/>
                <w:sz w:val="24"/>
                <w:szCs w:val="24"/>
                <w:highlight w:val="none"/>
              </w:rPr>
              <w:t>ZH652327200</w:t>
            </w:r>
            <w:r>
              <w:rPr>
                <w:rFonts w:hint="eastAsia" w:eastAsia="仿宋" w:cs="Times New Roman"/>
                <w:color w:val="auto"/>
                <w:kern w:val="0"/>
                <w:sz w:val="24"/>
                <w:szCs w:val="24"/>
                <w:highlight w:val="none"/>
                <w:lang w:val="en-US" w:eastAsia="zh-CN"/>
              </w:rPr>
              <w:t>13</w:t>
            </w:r>
            <w:r>
              <w:rPr>
                <w:rFonts w:hint="eastAsia"/>
                <w:color w:val="auto"/>
                <w:highlight w:val="none"/>
                <w:lang w:val="en-US" w:eastAsia="zh-CN"/>
              </w:rPr>
              <w:t>），</w:t>
            </w:r>
            <w:r>
              <w:rPr>
                <w:rFonts w:hint="eastAsia"/>
                <w:color w:val="auto"/>
                <w:highlight w:val="none"/>
              </w:rPr>
              <w:t>本工程与重点管控单元的</w:t>
            </w:r>
            <w:r>
              <w:rPr>
                <w:rFonts w:hint="eastAsia"/>
                <w:color w:val="auto"/>
                <w:highlight w:val="none"/>
                <w:lang w:val="en-US" w:eastAsia="zh-CN"/>
              </w:rPr>
              <w:t>管控</w:t>
            </w:r>
            <w:r>
              <w:rPr>
                <w:rFonts w:hint="eastAsia"/>
                <w:color w:val="auto"/>
                <w:highlight w:val="none"/>
              </w:rPr>
              <w:t>要求相</w:t>
            </w:r>
            <w:r>
              <w:rPr>
                <w:rFonts w:hint="eastAsia"/>
                <w:color w:val="auto"/>
              </w:rPr>
              <w:t>符</w:t>
            </w:r>
            <w:r>
              <w:rPr>
                <w:color w:val="auto"/>
              </w:rPr>
              <w:t>性见表1-</w:t>
            </w:r>
            <w:r>
              <w:rPr>
                <w:rFonts w:hint="eastAsia"/>
                <w:color w:val="auto"/>
                <w:lang w:val="en-US" w:eastAsia="zh-CN"/>
              </w:rPr>
              <w:t>2</w:t>
            </w:r>
            <w:r>
              <w:rPr>
                <w:color w:val="auto"/>
              </w:rPr>
              <w:t>。</w:t>
            </w:r>
          </w:p>
          <w:bookmarkEnd w:id="5"/>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21"/>
                <w:szCs w:val="21"/>
              </w:rPr>
            </w:pPr>
            <w:r>
              <w:rPr>
                <w:b/>
                <w:bCs/>
                <w:color w:val="auto"/>
                <w:sz w:val="21"/>
                <w:szCs w:val="21"/>
              </w:rPr>
              <w:t>表1-</w:t>
            </w:r>
            <w:r>
              <w:rPr>
                <w:rFonts w:hint="eastAsia"/>
                <w:b/>
                <w:bCs/>
                <w:color w:val="auto"/>
                <w:sz w:val="21"/>
                <w:szCs w:val="21"/>
                <w:lang w:val="en-US" w:eastAsia="zh-CN"/>
              </w:rPr>
              <w:t>2</w:t>
            </w:r>
            <w:r>
              <w:rPr>
                <w:b/>
                <w:bCs/>
                <w:color w:val="auto"/>
                <w:sz w:val="21"/>
                <w:szCs w:val="21"/>
              </w:rPr>
              <w:t xml:space="preserve">  本工程与重点管控单元的</w:t>
            </w:r>
            <w:r>
              <w:rPr>
                <w:rFonts w:hint="eastAsia"/>
                <w:b/>
                <w:bCs/>
                <w:color w:val="auto"/>
                <w:sz w:val="21"/>
                <w:szCs w:val="21"/>
                <w:lang w:val="en-US" w:eastAsia="zh-CN"/>
              </w:rPr>
              <w:t>管控</w:t>
            </w:r>
            <w:r>
              <w:rPr>
                <w:b/>
                <w:bCs/>
                <w:color w:val="auto"/>
                <w:sz w:val="21"/>
                <w:szCs w:val="21"/>
              </w:rPr>
              <w:t>要求</w:t>
            </w:r>
          </w:p>
          <w:tbl>
            <w:tblPr>
              <w:tblStyle w:val="17"/>
              <w:tblW w:w="49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1"/>
              <w:gridCol w:w="810"/>
              <w:gridCol w:w="780"/>
              <w:gridCol w:w="3215"/>
              <w:gridCol w:w="2380"/>
              <w:gridCol w:w="4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0"/>
                  <w:vAlign w:val="center"/>
                </w:tcPr>
                <w:p>
                  <w:pPr>
                    <w:pStyle w:val="4"/>
                    <w:spacing w:line="240" w:lineRule="auto"/>
                    <w:ind w:firstLine="0" w:firstLineChars="0"/>
                    <w:jc w:val="center"/>
                    <w:rPr>
                      <w:rFonts w:hint="eastAsia"/>
                      <w:color w:val="auto"/>
                      <w:sz w:val="21"/>
                      <w:szCs w:val="21"/>
                    </w:rPr>
                  </w:pPr>
                  <w:r>
                    <w:rPr>
                      <w:rFonts w:hint="eastAsia"/>
                      <w:color w:val="auto"/>
                      <w:sz w:val="21"/>
                      <w:szCs w:val="21"/>
                    </w:rPr>
                    <w:t>单元</w:t>
                  </w:r>
                </w:p>
                <w:p>
                  <w:pPr>
                    <w:pStyle w:val="4"/>
                    <w:spacing w:line="240" w:lineRule="auto"/>
                    <w:ind w:firstLine="0" w:firstLineChars="0"/>
                    <w:jc w:val="center"/>
                    <w:rPr>
                      <w:rFonts w:hint="eastAsia" w:eastAsia="宋体"/>
                      <w:color w:val="auto"/>
                      <w:sz w:val="21"/>
                      <w:szCs w:val="21"/>
                      <w:lang w:val="en-US" w:eastAsia="zh-CN"/>
                    </w:rPr>
                  </w:pPr>
                  <w:r>
                    <w:rPr>
                      <w:rFonts w:hint="eastAsia"/>
                      <w:color w:val="auto"/>
                      <w:sz w:val="21"/>
                      <w:szCs w:val="21"/>
                    </w:rPr>
                    <w:t>编码</w:t>
                  </w:r>
                </w:p>
              </w:tc>
              <w:tc>
                <w:tcPr>
                  <w:tcW w:w="489" w:type="pct"/>
                  <w:noWrap w:val="0"/>
                  <w:vAlign w:val="center"/>
                </w:tcPr>
                <w:p>
                  <w:pPr>
                    <w:pStyle w:val="4"/>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环境管控单元名称</w:t>
                  </w:r>
                </w:p>
              </w:tc>
              <w:tc>
                <w:tcPr>
                  <w:tcW w:w="471" w:type="pct"/>
                  <w:noWrap w:val="0"/>
                  <w:vAlign w:val="center"/>
                </w:tcPr>
                <w:p>
                  <w:pPr>
                    <w:pStyle w:val="4"/>
                    <w:spacing w:line="240" w:lineRule="auto"/>
                    <w:ind w:firstLine="0" w:firstLineChars="0"/>
                    <w:jc w:val="center"/>
                    <w:rPr>
                      <w:color w:val="auto"/>
                      <w:sz w:val="21"/>
                      <w:szCs w:val="21"/>
                    </w:rPr>
                  </w:pPr>
                  <w:r>
                    <w:rPr>
                      <w:color w:val="auto"/>
                      <w:sz w:val="21"/>
                      <w:szCs w:val="21"/>
                    </w:rPr>
                    <w:t>环境</w:t>
                  </w:r>
                </w:p>
                <w:p>
                  <w:pPr>
                    <w:pStyle w:val="4"/>
                    <w:spacing w:line="240" w:lineRule="auto"/>
                    <w:ind w:firstLine="0" w:firstLineChars="0"/>
                    <w:jc w:val="center"/>
                    <w:rPr>
                      <w:color w:val="auto"/>
                      <w:sz w:val="21"/>
                      <w:szCs w:val="21"/>
                    </w:rPr>
                  </w:pPr>
                  <w:r>
                    <w:rPr>
                      <w:color w:val="auto"/>
                      <w:sz w:val="21"/>
                      <w:szCs w:val="21"/>
                    </w:rPr>
                    <w:t>管控</w:t>
                  </w:r>
                </w:p>
              </w:tc>
              <w:tc>
                <w:tcPr>
                  <w:tcW w:w="1941" w:type="pct"/>
                  <w:noWrap w:val="0"/>
                  <w:vAlign w:val="center"/>
                </w:tcPr>
                <w:p>
                  <w:pPr>
                    <w:pStyle w:val="4"/>
                    <w:spacing w:line="240" w:lineRule="auto"/>
                    <w:ind w:firstLine="0" w:firstLineChars="0"/>
                    <w:jc w:val="center"/>
                    <w:rPr>
                      <w:color w:val="auto"/>
                      <w:sz w:val="21"/>
                      <w:szCs w:val="21"/>
                    </w:rPr>
                  </w:pPr>
                  <w:r>
                    <w:rPr>
                      <w:color w:val="auto"/>
                      <w:sz w:val="21"/>
                      <w:szCs w:val="21"/>
                    </w:rPr>
                    <w:t>管控要求</w:t>
                  </w:r>
                </w:p>
              </w:tc>
              <w:tc>
                <w:tcPr>
                  <w:tcW w:w="1437" w:type="pct"/>
                  <w:noWrap w:val="0"/>
                  <w:vAlign w:val="center"/>
                </w:tcPr>
                <w:p>
                  <w:pPr>
                    <w:pStyle w:val="4"/>
                    <w:spacing w:line="240" w:lineRule="auto"/>
                    <w:ind w:firstLine="0" w:firstLineChars="0"/>
                    <w:jc w:val="center"/>
                    <w:rPr>
                      <w:color w:val="auto"/>
                      <w:sz w:val="21"/>
                      <w:szCs w:val="21"/>
                    </w:rPr>
                  </w:pPr>
                  <w:r>
                    <w:rPr>
                      <w:color w:val="auto"/>
                      <w:sz w:val="21"/>
                      <w:szCs w:val="21"/>
                    </w:rPr>
                    <w:t>本工程</w:t>
                  </w:r>
                </w:p>
              </w:tc>
              <w:tc>
                <w:tcPr>
                  <w:tcW w:w="284" w:type="pct"/>
                  <w:noWrap w:val="0"/>
                  <w:vAlign w:val="center"/>
                </w:tcPr>
                <w:p>
                  <w:pPr>
                    <w:pStyle w:val="4"/>
                    <w:spacing w:line="240" w:lineRule="auto"/>
                    <w:ind w:firstLine="0" w:firstLineChars="0"/>
                    <w:jc w:val="center"/>
                    <w:rPr>
                      <w:color w:val="auto"/>
                      <w:sz w:val="21"/>
                      <w:szCs w:val="21"/>
                    </w:rPr>
                  </w:pPr>
                  <w:r>
                    <w:rPr>
                      <w:rFonts w:hint="eastAsia"/>
                      <w:color w:val="auto"/>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restart"/>
                  <w:noWrap w:val="0"/>
                  <w:vAlign w:val="center"/>
                </w:tcPr>
                <w:p>
                  <w:pPr>
                    <w:pStyle w:val="4"/>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ascii="Times New Roman" w:hAnsi="Times New Roman" w:eastAsia="宋体" w:cs="Times New Roman"/>
                      <w:color w:val="auto"/>
                      <w:kern w:val="0"/>
                      <w:sz w:val="21"/>
                      <w:szCs w:val="21"/>
                    </w:rPr>
                    <w:t>ZH652327200</w:t>
                  </w:r>
                  <w:r>
                    <w:rPr>
                      <w:rFonts w:hint="eastAsia" w:cs="Times New Roman"/>
                      <w:color w:val="auto"/>
                      <w:kern w:val="0"/>
                      <w:sz w:val="21"/>
                      <w:szCs w:val="21"/>
                      <w:lang w:val="en-US" w:eastAsia="zh-CN"/>
                    </w:rPr>
                    <w:t>13</w:t>
                  </w:r>
                </w:p>
              </w:tc>
              <w:tc>
                <w:tcPr>
                  <w:tcW w:w="489" w:type="pct"/>
                  <w:vMerge w:val="restart"/>
                  <w:noWrap w:val="0"/>
                  <w:vAlign w:val="center"/>
                </w:tcPr>
                <w:p>
                  <w:pPr>
                    <w:pStyle w:val="4"/>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准东煤矿五彩湾矿区</w:t>
                  </w:r>
                </w:p>
              </w:tc>
              <w:tc>
                <w:tcPr>
                  <w:tcW w:w="471" w:type="pct"/>
                  <w:noWrap w:val="0"/>
                  <w:vAlign w:val="center"/>
                </w:tcPr>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空间布局约束</w:t>
                  </w:r>
                </w:p>
              </w:tc>
              <w:tc>
                <w:tcPr>
                  <w:tcW w:w="1941" w:type="pct"/>
                  <w:noWrap w:val="0"/>
                  <w:vAlign w:val="center"/>
                </w:tcPr>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1、执行自治区总体准入要求中关于重点管控单元空间布局约束的准入要求（表2-3A6.1）。</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2、在卡拉麦里山自然保护区实验区东北部向外煤柱留设的宽度应不小于500m，留设保护煤柱宽度也应不小于500m。</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3、禁止新建煤层含硫量大于3%的煤矿。</w:t>
                  </w:r>
                </w:p>
              </w:tc>
              <w:tc>
                <w:tcPr>
                  <w:tcW w:w="1437" w:type="pct"/>
                  <w:noWrap w:val="0"/>
                  <w:vAlign w:val="center"/>
                </w:tcPr>
                <w:p>
                  <w:pPr>
                    <w:pStyle w:val="4"/>
                    <w:spacing w:line="240" w:lineRule="auto"/>
                    <w:ind w:firstLine="0" w:firstLineChars="0"/>
                    <w:jc w:val="center"/>
                    <w:rPr>
                      <w:rFonts w:hint="default" w:eastAsia="宋体"/>
                      <w:b/>
                      <w:bCs/>
                      <w:color w:val="auto"/>
                      <w:sz w:val="21"/>
                      <w:szCs w:val="21"/>
                      <w:lang w:val="en-US" w:eastAsia="zh-CN"/>
                    </w:rPr>
                  </w:pPr>
                  <w:r>
                    <w:rPr>
                      <w:rFonts w:hint="eastAsia"/>
                      <w:color w:val="auto"/>
                      <w:kern w:val="0"/>
                      <w:sz w:val="21"/>
                      <w:szCs w:val="21"/>
                      <w:lang w:bidi="ar"/>
                    </w:rPr>
                    <w:t>本项目属于勘探开发项目，符合生态环境准入清单。</w:t>
                  </w:r>
                  <w:r>
                    <w:rPr>
                      <w:rFonts w:hint="eastAsia"/>
                      <w:color w:val="auto"/>
                      <w:kern w:val="0"/>
                      <w:sz w:val="21"/>
                      <w:szCs w:val="21"/>
                      <w:lang w:val="en-US" w:eastAsia="zh-CN" w:bidi="ar"/>
                    </w:rPr>
                    <w:t>沙帐1井</w:t>
                  </w:r>
                  <w:r>
                    <w:rPr>
                      <w:rFonts w:hint="default"/>
                      <w:color w:val="auto"/>
                      <w:sz w:val="21"/>
                      <w:szCs w:val="21"/>
                      <w:lang w:val="en-US" w:eastAsia="zh-CN"/>
                    </w:rPr>
                    <w:t>距</w:t>
                  </w:r>
                  <w:r>
                    <w:rPr>
                      <w:rFonts w:hint="eastAsia"/>
                      <w:color w:val="auto"/>
                      <w:kern w:val="0"/>
                      <w:sz w:val="21"/>
                      <w:szCs w:val="21"/>
                      <w:lang w:bidi="ar"/>
                    </w:rPr>
                    <w:t>卡拉麦里山自然保护区</w:t>
                  </w:r>
                  <w:r>
                    <w:rPr>
                      <w:rFonts w:hint="eastAsia"/>
                      <w:color w:val="auto"/>
                      <w:sz w:val="21"/>
                      <w:szCs w:val="21"/>
                      <w:lang w:val="en-US" w:eastAsia="zh-CN"/>
                    </w:rPr>
                    <w:t>试验区</w:t>
                  </w:r>
                  <w:r>
                    <w:rPr>
                      <w:rFonts w:hint="default"/>
                      <w:color w:val="auto"/>
                      <w:sz w:val="21"/>
                      <w:szCs w:val="21"/>
                      <w:lang w:val="en-US" w:eastAsia="zh-CN"/>
                    </w:rPr>
                    <w:t>约</w:t>
                  </w:r>
                  <w:r>
                    <w:rPr>
                      <w:rFonts w:hint="eastAsia"/>
                      <w:color w:val="auto"/>
                      <w:sz w:val="21"/>
                      <w:szCs w:val="21"/>
                      <w:lang w:val="en-US" w:eastAsia="zh-CN"/>
                    </w:rPr>
                    <w:t>6.25k</w:t>
                  </w:r>
                  <w:r>
                    <w:rPr>
                      <w:rFonts w:hint="default"/>
                      <w:color w:val="auto"/>
                      <w:sz w:val="21"/>
                      <w:szCs w:val="21"/>
                      <w:lang w:val="en-US" w:eastAsia="zh-CN"/>
                    </w:rPr>
                    <w:t>m。</w:t>
                  </w:r>
                </w:p>
              </w:tc>
              <w:tc>
                <w:tcPr>
                  <w:tcW w:w="284" w:type="pct"/>
                  <w:noWrap w:val="0"/>
                  <w:vAlign w:val="center"/>
                </w:tcPr>
                <w:p>
                  <w:pPr>
                    <w:pStyle w:val="4"/>
                    <w:spacing w:line="240" w:lineRule="auto"/>
                    <w:ind w:firstLine="0" w:firstLineChars="0"/>
                    <w:jc w:val="center"/>
                    <w:rPr>
                      <w:b/>
                      <w:bCs/>
                      <w:color w:val="auto"/>
                      <w:sz w:val="21"/>
                      <w:szCs w:val="21"/>
                    </w:rPr>
                  </w:pPr>
                  <w:r>
                    <w:rPr>
                      <w:rFonts w:hint="eastAsia"/>
                      <w:color w:val="auto"/>
                      <w:kern w:val="0"/>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5" w:type="pct"/>
                  <w:vMerge w:val="continue"/>
                  <w:noWrap w:val="0"/>
                  <w:vAlign w:val="center"/>
                </w:tcPr>
                <w:p>
                  <w:pPr>
                    <w:pStyle w:val="4"/>
                    <w:spacing w:line="240" w:lineRule="auto"/>
                    <w:ind w:firstLine="0" w:firstLineChars="0"/>
                    <w:jc w:val="center"/>
                    <w:rPr>
                      <w:b/>
                      <w:bCs/>
                      <w:color w:val="auto"/>
                      <w:sz w:val="21"/>
                      <w:szCs w:val="21"/>
                    </w:rPr>
                  </w:pPr>
                </w:p>
              </w:tc>
              <w:tc>
                <w:tcPr>
                  <w:tcW w:w="489" w:type="pct"/>
                  <w:vMerge w:val="continue"/>
                  <w:noWrap w:val="0"/>
                  <w:vAlign w:val="center"/>
                </w:tcPr>
                <w:p>
                  <w:pPr>
                    <w:pStyle w:val="4"/>
                    <w:spacing w:line="240" w:lineRule="auto"/>
                    <w:ind w:firstLine="0" w:firstLineChars="0"/>
                    <w:jc w:val="center"/>
                    <w:rPr>
                      <w:b/>
                      <w:bCs/>
                      <w:color w:val="auto"/>
                      <w:sz w:val="21"/>
                      <w:szCs w:val="21"/>
                    </w:rPr>
                  </w:pPr>
                </w:p>
              </w:tc>
              <w:tc>
                <w:tcPr>
                  <w:tcW w:w="471" w:type="pct"/>
                  <w:vMerge w:val="restart"/>
                  <w:noWrap w:val="0"/>
                  <w:vAlign w:val="center"/>
                </w:tcPr>
                <w:p>
                  <w:pPr>
                    <w:pStyle w:val="4"/>
                    <w:spacing w:line="240" w:lineRule="auto"/>
                    <w:ind w:firstLine="0" w:firstLineChars="0"/>
                    <w:jc w:val="center"/>
                    <w:rPr>
                      <w:color w:val="auto"/>
                      <w:kern w:val="0"/>
                      <w:sz w:val="21"/>
                      <w:szCs w:val="21"/>
                    </w:rPr>
                  </w:pPr>
                  <w:r>
                    <w:rPr>
                      <w:color w:val="auto"/>
                      <w:kern w:val="0"/>
                      <w:sz w:val="21"/>
                      <w:szCs w:val="21"/>
                    </w:rPr>
                    <w:t>污染物排放管控</w:t>
                  </w:r>
                </w:p>
              </w:tc>
              <w:tc>
                <w:tcPr>
                  <w:tcW w:w="3279" w:type="dxa"/>
                  <w:vMerge w:val="restart"/>
                  <w:noWrap w:val="0"/>
                  <w:vAlign w:val="center"/>
                </w:tcPr>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1、执行自治区总体准入要求中关于重点管控单元污染物排放管控的准入要求（表2-3A6.2）。</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2、所有矿山企业均应对照《矿山生态环境保护与恢复治理技术规范（试行）》（HJ651-2013）中各项要求，编制实施矿山生态环境保护与恢复治理方案。</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3、新建煤炭项目污染物排放应达到《煤炭工业污染物排放标准GB20426-2006》，废水禁止外排。</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4、矿区生活垃圾应进行集中无害化处理，煤矸石综合利用和安全处置率应达到100%。</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5、建立矿山生产全过程能耗核算体系，通过采取节能减排措施，控制并减少单位产品能耗、物耗、水耗，减少“三废”排放。</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6、采矿产生的固体废物，应在专用场所堆放，并采取措施防止二次污染。</w:t>
                  </w:r>
                </w:p>
              </w:tc>
              <w:tc>
                <w:tcPr>
                  <w:tcW w:w="1437" w:type="pct"/>
                  <w:vMerge w:val="restart"/>
                  <w:noWrap w:val="0"/>
                  <w:vAlign w:val="center"/>
                </w:tcPr>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本项目采用“钻井泥浆不落地技术”，严格落实防渗措施，剩余钻井泥浆回收</w:t>
                  </w:r>
                  <w:r>
                    <w:rPr>
                      <w:rFonts w:hint="eastAsia"/>
                      <w:color w:val="auto"/>
                      <w:kern w:val="0"/>
                      <w:sz w:val="21"/>
                      <w:szCs w:val="21"/>
                      <w:lang w:eastAsia="zh-CN" w:bidi="ar"/>
                    </w:rPr>
                    <w:t>利用</w:t>
                  </w:r>
                  <w:r>
                    <w:rPr>
                      <w:color w:val="auto"/>
                      <w:kern w:val="0"/>
                      <w:sz w:val="21"/>
                      <w:szCs w:val="21"/>
                      <w:lang w:bidi="ar"/>
                    </w:rPr>
                    <w:t>。钻井作业产生的落地原油100%回收处理。</w:t>
                  </w:r>
                </w:p>
                <w:p>
                  <w:pPr>
                    <w:pStyle w:val="4"/>
                    <w:spacing w:line="240" w:lineRule="auto"/>
                    <w:ind w:firstLine="0" w:firstLineChars="0"/>
                    <w:jc w:val="center"/>
                    <w:rPr>
                      <w:b/>
                      <w:bCs/>
                      <w:color w:val="auto"/>
                      <w:sz w:val="21"/>
                      <w:szCs w:val="21"/>
                    </w:rPr>
                  </w:pPr>
                </w:p>
              </w:tc>
              <w:tc>
                <w:tcPr>
                  <w:tcW w:w="284" w:type="pct"/>
                  <w:noWrap w:val="0"/>
                  <w:vAlign w:val="center"/>
                </w:tcPr>
                <w:p>
                  <w:pPr>
                    <w:pStyle w:val="4"/>
                    <w:spacing w:line="240" w:lineRule="auto"/>
                    <w:ind w:firstLine="0" w:firstLineChars="0"/>
                    <w:jc w:val="center"/>
                    <w:rPr>
                      <w:b/>
                      <w:bCs/>
                      <w:color w:val="auto"/>
                      <w:sz w:val="21"/>
                      <w:szCs w:val="21"/>
                    </w:rPr>
                  </w:pPr>
                  <w:r>
                    <w:rPr>
                      <w:rFonts w:hint="eastAsia"/>
                      <w:color w:val="auto"/>
                      <w:kern w:val="0"/>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375" w:type="pct"/>
                  <w:vMerge w:val="continue"/>
                  <w:noWrap w:val="0"/>
                  <w:vAlign w:val="center"/>
                </w:tcPr>
                <w:p>
                  <w:pPr>
                    <w:pStyle w:val="4"/>
                    <w:spacing w:line="240" w:lineRule="auto"/>
                    <w:ind w:firstLine="0" w:firstLineChars="0"/>
                    <w:jc w:val="center"/>
                    <w:rPr>
                      <w:color w:val="auto"/>
                      <w:kern w:val="0"/>
                      <w:sz w:val="21"/>
                      <w:szCs w:val="21"/>
                    </w:rPr>
                  </w:pPr>
                </w:p>
              </w:tc>
              <w:tc>
                <w:tcPr>
                  <w:tcW w:w="489" w:type="pct"/>
                  <w:vMerge w:val="continue"/>
                  <w:noWrap w:val="0"/>
                  <w:vAlign w:val="center"/>
                </w:tcPr>
                <w:p>
                  <w:pPr>
                    <w:pStyle w:val="4"/>
                    <w:spacing w:line="240" w:lineRule="auto"/>
                    <w:ind w:firstLine="0" w:firstLineChars="0"/>
                    <w:jc w:val="center"/>
                    <w:rPr>
                      <w:color w:val="auto"/>
                      <w:kern w:val="0"/>
                      <w:sz w:val="21"/>
                      <w:szCs w:val="21"/>
                    </w:rPr>
                  </w:pPr>
                </w:p>
              </w:tc>
              <w:tc>
                <w:tcPr>
                  <w:tcW w:w="471" w:type="pct"/>
                  <w:vMerge w:val="continue"/>
                  <w:noWrap w:val="0"/>
                  <w:vAlign w:val="center"/>
                </w:tcPr>
                <w:p>
                  <w:pPr>
                    <w:pStyle w:val="4"/>
                    <w:spacing w:line="240" w:lineRule="auto"/>
                    <w:ind w:firstLine="0" w:firstLineChars="0"/>
                    <w:jc w:val="center"/>
                    <w:rPr>
                      <w:color w:val="auto"/>
                      <w:kern w:val="0"/>
                      <w:sz w:val="21"/>
                      <w:szCs w:val="21"/>
                    </w:rPr>
                  </w:pPr>
                </w:p>
              </w:tc>
              <w:tc>
                <w:tcPr>
                  <w:tcW w:w="1941" w:type="pct"/>
                  <w:vMerge w:val="continue"/>
                  <w:noWrap w:val="0"/>
                  <w:vAlign w:val="center"/>
                </w:tcPr>
                <w:p>
                  <w:pPr>
                    <w:pStyle w:val="4"/>
                    <w:spacing w:line="240" w:lineRule="auto"/>
                    <w:ind w:firstLine="0" w:firstLineChars="0"/>
                    <w:jc w:val="center"/>
                    <w:rPr>
                      <w:rFonts w:hint="eastAsia"/>
                      <w:color w:val="auto"/>
                      <w:kern w:val="0"/>
                      <w:sz w:val="21"/>
                      <w:szCs w:val="21"/>
                      <w:lang w:bidi="ar"/>
                    </w:rPr>
                  </w:pPr>
                </w:p>
              </w:tc>
              <w:tc>
                <w:tcPr>
                  <w:tcW w:w="1437" w:type="pct"/>
                  <w:vMerge w:val="continue"/>
                  <w:noWrap w:val="0"/>
                  <w:vAlign w:val="center"/>
                </w:tcPr>
                <w:p>
                  <w:pPr>
                    <w:rPr>
                      <w:rFonts w:hint="eastAsia"/>
                      <w:b/>
                      <w:bCs/>
                      <w:color w:val="auto"/>
                      <w:sz w:val="21"/>
                      <w:szCs w:val="21"/>
                    </w:rPr>
                  </w:pPr>
                </w:p>
              </w:tc>
              <w:tc>
                <w:tcPr>
                  <w:tcW w:w="284" w:type="pct"/>
                  <w:noWrap w:val="0"/>
                  <w:vAlign w:val="center"/>
                </w:tcPr>
                <w:p>
                  <w:pPr>
                    <w:pStyle w:val="4"/>
                    <w:spacing w:line="240" w:lineRule="auto"/>
                    <w:ind w:firstLine="0" w:firstLineChars="0"/>
                    <w:jc w:val="center"/>
                    <w:rPr>
                      <w:rFonts w:hint="eastAsia"/>
                      <w:color w:val="auto"/>
                      <w:sz w:val="21"/>
                      <w:szCs w:val="21"/>
                    </w:rPr>
                  </w:pPr>
                  <w:r>
                    <w:rPr>
                      <w:rFonts w:hint="eastAsia"/>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75" w:type="pct"/>
                  <w:vMerge w:val="continue"/>
                  <w:noWrap w:val="0"/>
                  <w:vAlign w:val="center"/>
                </w:tcPr>
                <w:p>
                  <w:pPr>
                    <w:pStyle w:val="4"/>
                    <w:spacing w:line="240" w:lineRule="auto"/>
                    <w:ind w:firstLine="0" w:firstLineChars="0"/>
                    <w:jc w:val="center"/>
                    <w:rPr>
                      <w:color w:val="auto"/>
                      <w:kern w:val="0"/>
                      <w:sz w:val="21"/>
                      <w:szCs w:val="21"/>
                    </w:rPr>
                  </w:pPr>
                </w:p>
              </w:tc>
              <w:tc>
                <w:tcPr>
                  <w:tcW w:w="489" w:type="pct"/>
                  <w:vMerge w:val="continue"/>
                  <w:noWrap w:val="0"/>
                  <w:vAlign w:val="center"/>
                </w:tcPr>
                <w:p>
                  <w:pPr>
                    <w:pStyle w:val="4"/>
                    <w:spacing w:line="240" w:lineRule="auto"/>
                    <w:ind w:firstLine="0" w:firstLineChars="0"/>
                    <w:jc w:val="center"/>
                    <w:rPr>
                      <w:color w:val="auto"/>
                      <w:kern w:val="0"/>
                      <w:sz w:val="21"/>
                      <w:szCs w:val="21"/>
                    </w:rPr>
                  </w:pPr>
                </w:p>
              </w:tc>
              <w:tc>
                <w:tcPr>
                  <w:tcW w:w="471" w:type="pct"/>
                  <w:vMerge w:val="continue"/>
                  <w:noWrap w:val="0"/>
                  <w:vAlign w:val="center"/>
                </w:tcPr>
                <w:p>
                  <w:pPr>
                    <w:pStyle w:val="4"/>
                    <w:spacing w:line="240" w:lineRule="auto"/>
                    <w:ind w:firstLine="0" w:firstLineChars="0"/>
                    <w:jc w:val="center"/>
                    <w:rPr>
                      <w:color w:val="auto"/>
                      <w:kern w:val="0"/>
                      <w:sz w:val="21"/>
                      <w:szCs w:val="21"/>
                    </w:rPr>
                  </w:pPr>
                </w:p>
              </w:tc>
              <w:tc>
                <w:tcPr>
                  <w:tcW w:w="1941" w:type="pct"/>
                  <w:vMerge w:val="continue"/>
                  <w:noWrap w:val="0"/>
                  <w:vAlign w:val="center"/>
                </w:tcPr>
                <w:p>
                  <w:pPr>
                    <w:pStyle w:val="4"/>
                    <w:spacing w:line="240" w:lineRule="auto"/>
                    <w:ind w:firstLine="0" w:firstLineChars="0"/>
                    <w:jc w:val="center"/>
                    <w:rPr>
                      <w:rFonts w:hint="eastAsia"/>
                      <w:color w:val="auto"/>
                      <w:kern w:val="0"/>
                      <w:sz w:val="21"/>
                      <w:szCs w:val="21"/>
                      <w:lang w:bidi="ar"/>
                    </w:rPr>
                  </w:pPr>
                </w:p>
              </w:tc>
              <w:tc>
                <w:tcPr>
                  <w:tcW w:w="1437" w:type="pct"/>
                  <w:vMerge w:val="continue"/>
                  <w:noWrap w:val="0"/>
                  <w:vAlign w:val="center"/>
                </w:tcPr>
                <w:p>
                  <w:pPr>
                    <w:pStyle w:val="4"/>
                    <w:spacing w:line="240" w:lineRule="auto"/>
                    <w:ind w:firstLine="0" w:firstLineChars="0"/>
                    <w:jc w:val="center"/>
                    <w:rPr>
                      <w:b/>
                      <w:bCs/>
                      <w:color w:val="auto"/>
                      <w:sz w:val="21"/>
                      <w:szCs w:val="21"/>
                    </w:rPr>
                  </w:pPr>
                </w:p>
              </w:tc>
              <w:tc>
                <w:tcPr>
                  <w:tcW w:w="284" w:type="pct"/>
                  <w:noWrap w:val="0"/>
                  <w:vAlign w:val="center"/>
                </w:tcPr>
                <w:p>
                  <w:pPr>
                    <w:pStyle w:val="4"/>
                    <w:spacing w:line="240" w:lineRule="auto"/>
                    <w:ind w:firstLine="0" w:firstLineChars="0"/>
                    <w:jc w:val="center"/>
                    <w:rPr>
                      <w:color w:val="auto"/>
                      <w:sz w:val="21"/>
                      <w:szCs w:val="21"/>
                    </w:rPr>
                  </w:pPr>
                  <w:r>
                    <w:rPr>
                      <w:rFonts w:hint="eastAsia"/>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375" w:type="pct"/>
                  <w:vMerge w:val="continue"/>
                  <w:noWrap w:val="0"/>
                  <w:vAlign w:val="center"/>
                </w:tcPr>
                <w:p>
                  <w:pPr>
                    <w:pStyle w:val="4"/>
                    <w:spacing w:line="240" w:lineRule="auto"/>
                    <w:ind w:firstLine="0" w:firstLineChars="0"/>
                    <w:jc w:val="center"/>
                    <w:rPr>
                      <w:b/>
                      <w:bCs/>
                      <w:color w:val="auto"/>
                      <w:sz w:val="21"/>
                      <w:szCs w:val="21"/>
                    </w:rPr>
                  </w:pPr>
                </w:p>
              </w:tc>
              <w:tc>
                <w:tcPr>
                  <w:tcW w:w="489" w:type="pct"/>
                  <w:vMerge w:val="continue"/>
                  <w:noWrap w:val="0"/>
                  <w:vAlign w:val="center"/>
                </w:tcPr>
                <w:p>
                  <w:pPr>
                    <w:pStyle w:val="4"/>
                    <w:spacing w:line="240" w:lineRule="auto"/>
                    <w:ind w:firstLine="0" w:firstLineChars="0"/>
                    <w:jc w:val="center"/>
                    <w:rPr>
                      <w:b/>
                      <w:bCs/>
                      <w:color w:val="auto"/>
                      <w:sz w:val="21"/>
                      <w:szCs w:val="21"/>
                    </w:rPr>
                  </w:pPr>
                </w:p>
              </w:tc>
              <w:tc>
                <w:tcPr>
                  <w:tcW w:w="471" w:type="pct"/>
                  <w:vMerge w:val="restart"/>
                  <w:noWrap w:val="0"/>
                  <w:vAlign w:val="center"/>
                </w:tcPr>
                <w:p>
                  <w:pPr>
                    <w:pStyle w:val="4"/>
                    <w:spacing w:line="240" w:lineRule="auto"/>
                    <w:ind w:firstLine="0" w:firstLineChars="0"/>
                    <w:jc w:val="center"/>
                    <w:rPr>
                      <w:color w:val="auto"/>
                      <w:kern w:val="0"/>
                      <w:sz w:val="21"/>
                      <w:szCs w:val="21"/>
                      <w:lang w:bidi="ar"/>
                    </w:rPr>
                  </w:pPr>
                  <w:r>
                    <w:rPr>
                      <w:color w:val="auto"/>
                      <w:kern w:val="0"/>
                      <w:sz w:val="21"/>
                      <w:szCs w:val="21"/>
                      <w:lang w:bidi="ar"/>
                    </w:rPr>
                    <w:t>环境风险防控</w:t>
                  </w:r>
                </w:p>
              </w:tc>
              <w:tc>
                <w:tcPr>
                  <w:tcW w:w="3279" w:type="dxa"/>
                  <w:vMerge w:val="restart"/>
                  <w:noWrap w:val="0"/>
                  <w:vAlign w:val="center"/>
                </w:tcPr>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1、执行自治区总体准入要求中关于重点管控单元环境风险防控的准入要求（表2-3A6.3）。</w:t>
                  </w:r>
                </w:p>
              </w:tc>
              <w:tc>
                <w:tcPr>
                  <w:tcW w:w="1437" w:type="pct"/>
                  <w:vMerge w:val="restart"/>
                  <w:noWrap w:val="0"/>
                  <w:vAlign w:val="center"/>
                </w:tcPr>
                <w:p>
                  <w:pPr>
                    <w:pStyle w:val="4"/>
                    <w:spacing w:line="240" w:lineRule="auto"/>
                    <w:ind w:firstLine="0" w:firstLineChars="0"/>
                    <w:jc w:val="center"/>
                    <w:rPr>
                      <w:b/>
                      <w:bCs/>
                      <w:color w:val="auto"/>
                      <w:sz w:val="21"/>
                      <w:szCs w:val="21"/>
                    </w:rPr>
                  </w:pPr>
                  <w:r>
                    <w:rPr>
                      <w:color w:val="auto"/>
                      <w:kern w:val="0"/>
                      <w:sz w:val="21"/>
                      <w:szCs w:val="21"/>
                    </w:rPr>
                    <w:t>吐哈油田</w:t>
                  </w:r>
                  <w:r>
                    <w:rPr>
                      <w:rFonts w:hint="eastAsia"/>
                      <w:color w:val="auto"/>
                      <w:kern w:val="0"/>
                      <w:sz w:val="21"/>
                      <w:szCs w:val="21"/>
                    </w:rPr>
                    <w:t>分</w:t>
                  </w:r>
                  <w:r>
                    <w:rPr>
                      <w:color w:val="auto"/>
                      <w:kern w:val="0"/>
                      <w:sz w:val="21"/>
                      <w:szCs w:val="21"/>
                    </w:rPr>
                    <w:t>公司目前已建立了完善的健康、安全与环境管理体系（QHSE管理体系）。</w:t>
                  </w:r>
                </w:p>
              </w:tc>
              <w:tc>
                <w:tcPr>
                  <w:tcW w:w="284" w:type="pct"/>
                  <w:noWrap w:val="0"/>
                  <w:vAlign w:val="center"/>
                </w:tcPr>
                <w:p>
                  <w:pPr>
                    <w:pStyle w:val="4"/>
                    <w:spacing w:line="240" w:lineRule="auto"/>
                    <w:ind w:firstLine="0" w:firstLineChars="0"/>
                    <w:jc w:val="center"/>
                    <w:rPr>
                      <w:color w:val="auto"/>
                      <w:sz w:val="21"/>
                      <w:szCs w:val="21"/>
                    </w:rPr>
                  </w:pPr>
                  <w:r>
                    <w:rPr>
                      <w:rFonts w:hint="eastAsia"/>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noWrap w:val="0"/>
                  <w:vAlign w:val="center"/>
                </w:tcPr>
                <w:p>
                  <w:pPr>
                    <w:pStyle w:val="4"/>
                    <w:spacing w:line="240" w:lineRule="auto"/>
                    <w:ind w:firstLine="0" w:firstLineChars="0"/>
                    <w:jc w:val="center"/>
                    <w:rPr>
                      <w:b/>
                      <w:bCs/>
                      <w:color w:val="auto"/>
                      <w:sz w:val="21"/>
                      <w:szCs w:val="21"/>
                    </w:rPr>
                  </w:pPr>
                </w:p>
              </w:tc>
              <w:tc>
                <w:tcPr>
                  <w:tcW w:w="489" w:type="pct"/>
                  <w:vMerge w:val="continue"/>
                  <w:noWrap w:val="0"/>
                  <w:vAlign w:val="center"/>
                </w:tcPr>
                <w:p>
                  <w:pPr>
                    <w:pStyle w:val="4"/>
                    <w:spacing w:line="240" w:lineRule="auto"/>
                    <w:ind w:firstLine="0" w:firstLineChars="0"/>
                    <w:jc w:val="center"/>
                    <w:rPr>
                      <w:b/>
                      <w:bCs/>
                      <w:color w:val="auto"/>
                      <w:sz w:val="21"/>
                      <w:szCs w:val="21"/>
                    </w:rPr>
                  </w:pPr>
                </w:p>
              </w:tc>
              <w:tc>
                <w:tcPr>
                  <w:tcW w:w="471" w:type="pct"/>
                  <w:vMerge w:val="continue"/>
                  <w:noWrap w:val="0"/>
                  <w:vAlign w:val="center"/>
                </w:tcPr>
                <w:p>
                  <w:pPr>
                    <w:pStyle w:val="4"/>
                    <w:spacing w:line="240" w:lineRule="auto"/>
                    <w:ind w:firstLine="0" w:firstLineChars="0"/>
                    <w:jc w:val="center"/>
                    <w:rPr>
                      <w:b/>
                      <w:bCs/>
                      <w:color w:val="auto"/>
                      <w:sz w:val="21"/>
                      <w:szCs w:val="21"/>
                    </w:rPr>
                  </w:pPr>
                </w:p>
              </w:tc>
              <w:tc>
                <w:tcPr>
                  <w:tcW w:w="1941" w:type="pct"/>
                  <w:vMerge w:val="continue"/>
                  <w:noWrap w:val="0"/>
                  <w:vAlign w:val="center"/>
                </w:tcPr>
                <w:p>
                  <w:pPr>
                    <w:pStyle w:val="4"/>
                    <w:spacing w:line="240" w:lineRule="auto"/>
                    <w:ind w:firstLine="0" w:firstLineChars="0"/>
                    <w:jc w:val="center"/>
                    <w:rPr>
                      <w:rFonts w:hint="eastAsia"/>
                      <w:color w:val="auto"/>
                      <w:kern w:val="0"/>
                      <w:sz w:val="21"/>
                      <w:szCs w:val="21"/>
                      <w:lang w:bidi="ar"/>
                    </w:rPr>
                  </w:pPr>
                </w:p>
              </w:tc>
              <w:tc>
                <w:tcPr>
                  <w:tcW w:w="1437" w:type="pct"/>
                  <w:vMerge w:val="continue"/>
                  <w:noWrap w:val="0"/>
                  <w:vAlign w:val="center"/>
                </w:tcPr>
                <w:p>
                  <w:pPr>
                    <w:pStyle w:val="4"/>
                    <w:spacing w:line="240" w:lineRule="auto"/>
                    <w:ind w:firstLine="0" w:firstLineChars="0"/>
                    <w:jc w:val="center"/>
                    <w:rPr>
                      <w:b/>
                      <w:bCs/>
                      <w:color w:val="auto"/>
                      <w:sz w:val="21"/>
                      <w:szCs w:val="21"/>
                    </w:rPr>
                  </w:pPr>
                </w:p>
              </w:tc>
              <w:tc>
                <w:tcPr>
                  <w:tcW w:w="284" w:type="pct"/>
                  <w:noWrap w:val="0"/>
                  <w:vAlign w:val="center"/>
                </w:tcPr>
                <w:p>
                  <w:pPr>
                    <w:pStyle w:val="4"/>
                    <w:spacing w:line="240" w:lineRule="auto"/>
                    <w:ind w:firstLine="0" w:firstLineChars="0"/>
                    <w:jc w:val="center"/>
                    <w:rPr>
                      <w:b/>
                      <w:bCs/>
                      <w:color w:val="auto"/>
                      <w:sz w:val="21"/>
                      <w:szCs w:val="21"/>
                    </w:rPr>
                  </w:pPr>
                  <w:r>
                    <w:rPr>
                      <w:rFonts w:hint="eastAsia"/>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75" w:type="pct"/>
                  <w:vMerge w:val="continue"/>
                  <w:noWrap w:val="0"/>
                  <w:vAlign w:val="center"/>
                </w:tcPr>
                <w:p>
                  <w:pPr>
                    <w:pStyle w:val="4"/>
                    <w:spacing w:line="240" w:lineRule="auto"/>
                    <w:ind w:firstLine="0" w:firstLineChars="0"/>
                    <w:jc w:val="center"/>
                    <w:rPr>
                      <w:b/>
                      <w:bCs/>
                      <w:color w:val="auto"/>
                      <w:sz w:val="21"/>
                      <w:szCs w:val="21"/>
                    </w:rPr>
                  </w:pPr>
                </w:p>
              </w:tc>
              <w:tc>
                <w:tcPr>
                  <w:tcW w:w="489" w:type="pct"/>
                  <w:vMerge w:val="continue"/>
                  <w:noWrap w:val="0"/>
                  <w:vAlign w:val="center"/>
                </w:tcPr>
                <w:p>
                  <w:pPr>
                    <w:pStyle w:val="4"/>
                    <w:spacing w:line="240" w:lineRule="auto"/>
                    <w:ind w:firstLine="0" w:firstLineChars="0"/>
                    <w:jc w:val="center"/>
                    <w:rPr>
                      <w:b/>
                      <w:bCs/>
                      <w:color w:val="auto"/>
                      <w:sz w:val="21"/>
                      <w:szCs w:val="21"/>
                    </w:rPr>
                  </w:pPr>
                </w:p>
              </w:tc>
              <w:tc>
                <w:tcPr>
                  <w:tcW w:w="471" w:type="pct"/>
                  <w:noWrap w:val="0"/>
                  <w:vAlign w:val="center"/>
                </w:tcPr>
                <w:p>
                  <w:pPr>
                    <w:pStyle w:val="4"/>
                    <w:spacing w:line="240" w:lineRule="auto"/>
                    <w:ind w:firstLine="0" w:firstLineChars="0"/>
                    <w:jc w:val="center"/>
                    <w:rPr>
                      <w:color w:val="auto"/>
                      <w:kern w:val="0"/>
                      <w:sz w:val="21"/>
                      <w:szCs w:val="21"/>
                      <w:lang w:bidi="ar"/>
                    </w:rPr>
                  </w:pPr>
                  <w:r>
                    <w:rPr>
                      <w:color w:val="auto"/>
                      <w:kern w:val="0"/>
                      <w:sz w:val="21"/>
                      <w:szCs w:val="21"/>
                      <w:lang w:bidi="ar"/>
                    </w:rPr>
                    <w:t>资源利用效率</w:t>
                  </w:r>
                </w:p>
              </w:tc>
              <w:tc>
                <w:tcPr>
                  <w:tcW w:w="3279" w:type="dxa"/>
                  <w:noWrap w:val="0"/>
                  <w:vAlign w:val="center"/>
                </w:tcPr>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1、执行自治区总体准入要求中关于重点管控单元资源利用效率的准入要求（表2-3A6.4）。</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2、采煤用水定额不高于0.2立方米/吨，选煤用水定额不高于0.1立方米/吨。电厂项目机组用水定额控制在0.093立方米/秒•百万千瓦以下。</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3、煤电水重复率不低于95%；煤炭开采水重复率不低于100%。</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4、矿井水综合利用率应达到100%。</w:t>
                  </w:r>
                </w:p>
                <w:p>
                  <w:pPr>
                    <w:pStyle w:val="4"/>
                    <w:spacing w:line="240" w:lineRule="auto"/>
                    <w:ind w:firstLine="0" w:firstLineChars="0"/>
                    <w:jc w:val="center"/>
                    <w:rPr>
                      <w:rFonts w:hint="eastAsia"/>
                      <w:color w:val="auto"/>
                      <w:kern w:val="0"/>
                      <w:sz w:val="21"/>
                      <w:szCs w:val="21"/>
                      <w:lang w:bidi="ar"/>
                    </w:rPr>
                  </w:pPr>
                  <w:r>
                    <w:rPr>
                      <w:rFonts w:hint="eastAsia"/>
                      <w:color w:val="auto"/>
                      <w:kern w:val="0"/>
                      <w:sz w:val="21"/>
                      <w:szCs w:val="21"/>
                      <w:lang w:bidi="ar"/>
                    </w:rPr>
                    <w:t>5、优化采煤、洗选技术和工艺，加强综合利用，减少煤矸石、煤泥等固体废弃物的排放。</w:t>
                  </w:r>
                </w:p>
              </w:tc>
              <w:tc>
                <w:tcPr>
                  <w:tcW w:w="1437" w:type="pct"/>
                  <w:noWrap w:val="0"/>
                  <w:vAlign w:val="center"/>
                </w:tcPr>
                <w:p>
                  <w:pPr>
                    <w:pStyle w:val="4"/>
                    <w:spacing w:line="240" w:lineRule="auto"/>
                    <w:ind w:firstLine="0" w:firstLineChars="0"/>
                    <w:jc w:val="center"/>
                    <w:rPr>
                      <w:b/>
                      <w:bCs/>
                      <w:color w:val="auto"/>
                      <w:sz w:val="21"/>
                      <w:szCs w:val="21"/>
                    </w:rPr>
                  </w:pPr>
                  <w:r>
                    <w:rPr>
                      <w:color w:val="auto"/>
                      <w:kern w:val="0"/>
                      <w:sz w:val="21"/>
                      <w:szCs w:val="21"/>
                      <w:lang w:bidi="ar"/>
                    </w:rPr>
                    <w:t>本项目使用的油气田钻井液均为无毒、环境友好的钻井液，采用泥浆不落地工艺，钻井作业不产生钻井废水。</w:t>
                  </w:r>
                </w:p>
              </w:tc>
              <w:tc>
                <w:tcPr>
                  <w:tcW w:w="284" w:type="pct"/>
                  <w:noWrap w:val="0"/>
                  <w:vAlign w:val="center"/>
                </w:tcPr>
                <w:p>
                  <w:pPr>
                    <w:pStyle w:val="4"/>
                    <w:spacing w:line="240" w:lineRule="auto"/>
                    <w:ind w:firstLine="0" w:firstLineChars="0"/>
                    <w:jc w:val="center"/>
                    <w:rPr>
                      <w:b/>
                      <w:bCs/>
                      <w:color w:val="auto"/>
                      <w:sz w:val="21"/>
                      <w:szCs w:val="21"/>
                    </w:rPr>
                  </w:pPr>
                  <w:r>
                    <w:rPr>
                      <w:rFonts w:hint="eastAsia"/>
                      <w:color w:val="auto"/>
                      <w:sz w:val="21"/>
                      <w:szCs w:val="21"/>
                    </w:rPr>
                    <w:t>符合</w:t>
                  </w:r>
                </w:p>
              </w:tc>
            </w:tr>
          </w:tbl>
          <w:p>
            <w:pPr>
              <w:spacing w:line="360" w:lineRule="auto"/>
              <w:ind w:firstLine="480"/>
              <w:jc w:val="both"/>
              <w:rPr>
                <w:color w:val="auto"/>
              </w:rPr>
            </w:pPr>
            <w:r>
              <w:rPr>
                <w:color w:val="auto"/>
              </w:rPr>
              <w:t>（1）生态保护红线</w:t>
            </w:r>
          </w:p>
          <w:p>
            <w:pPr>
              <w:pStyle w:val="15"/>
              <w:widowControl w:val="0"/>
              <w:spacing w:before="0" w:beforeAutospacing="0" w:after="0" w:afterAutospacing="0" w:line="360" w:lineRule="auto"/>
              <w:ind w:firstLine="480" w:firstLineChars="200"/>
              <w:rPr>
                <w:rFonts w:ascii="Times New Roman" w:hAnsi="Times New Roman"/>
                <w:color w:val="auto"/>
              </w:rPr>
            </w:pPr>
            <w:r>
              <w:rPr>
                <w:rFonts w:ascii="Times New Roman" w:hAnsi="Times New Roman"/>
                <w:color w:val="auto"/>
              </w:rPr>
              <w:t>本项目行政隶属</w:t>
            </w:r>
            <w:r>
              <w:rPr>
                <w:rFonts w:hint="eastAsia"/>
                <w:color w:val="auto"/>
              </w:rPr>
              <w:t>昌吉回族自治州吉木萨尔县</w:t>
            </w:r>
            <w:r>
              <w:rPr>
                <w:rFonts w:hint="eastAsia" w:ascii="Times New Roman" w:hAnsi="Times New Roman"/>
                <w:color w:val="auto"/>
              </w:rPr>
              <w:t>，</w:t>
            </w:r>
            <w:r>
              <w:rPr>
                <w:rFonts w:ascii="Times New Roman" w:hAnsi="Times New Roman"/>
                <w:color w:val="auto"/>
                <w:lang w:bidi="ar"/>
              </w:rPr>
              <w:t>根据《</w:t>
            </w:r>
            <w:r>
              <w:rPr>
                <w:rFonts w:hint="eastAsia"/>
                <w:color w:val="auto"/>
              </w:rPr>
              <w:t>昌吉回族自治州“三线一单”</w:t>
            </w:r>
            <w:r>
              <w:rPr>
                <w:rFonts w:ascii="Times New Roman" w:hAnsi="Times New Roman"/>
                <w:color w:val="auto"/>
                <w:lang w:bidi="ar"/>
              </w:rPr>
              <w:t>生态环境分区管控方案》</w:t>
            </w:r>
            <w:r>
              <w:rPr>
                <w:rFonts w:hint="eastAsia" w:ascii="Times New Roman" w:hAnsi="Times New Roman"/>
                <w:color w:val="auto"/>
                <w:lang w:bidi="ar"/>
              </w:rPr>
              <w:t>项目</w:t>
            </w:r>
            <w:r>
              <w:rPr>
                <w:rFonts w:ascii="Times New Roman" w:hAnsi="Times New Roman"/>
                <w:color w:val="auto"/>
              </w:rPr>
              <w:t>所在区域位于</w:t>
            </w:r>
            <w:r>
              <w:rPr>
                <w:rFonts w:hint="eastAsia" w:ascii="Times New Roman" w:hAnsi="Times New Roman"/>
                <w:color w:val="auto"/>
              </w:rPr>
              <w:t>重点</w:t>
            </w:r>
            <w:r>
              <w:rPr>
                <w:rFonts w:ascii="Times New Roman" w:hAnsi="Times New Roman"/>
                <w:color w:val="auto"/>
              </w:rPr>
              <w:t>管控单元</w:t>
            </w:r>
            <w:r>
              <w:rPr>
                <w:rFonts w:hint="eastAsia" w:ascii="Times New Roman" w:hAnsi="Times New Roman"/>
                <w:color w:val="auto"/>
              </w:rPr>
              <w:t>。</w:t>
            </w:r>
            <w:r>
              <w:rPr>
                <w:rFonts w:ascii="Times New Roman" w:hAnsi="Times New Roman"/>
                <w:color w:val="auto"/>
              </w:rPr>
              <w:t>用地</w:t>
            </w:r>
            <w:r>
              <w:rPr>
                <w:rFonts w:hint="eastAsia" w:ascii="Times New Roman" w:hAnsi="Times New Roman"/>
                <w:color w:val="auto"/>
              </w:rPr>
              <w:t>周围无国家公园、自然保护区、森林公园的生态保育区和核心景观区、地质公园的地质遗迹保护区、世界自然遗产的核心区和缓冲区、湿地公园的湿地保育区和恢复重建区、饮用水水源的一级保护区、水产种质资源保护区的核心区以及其他类型禁止开发区的核心保护区域</w:t>
            </w:r>
            <w:r>
              <w:rPr>
                <w:rFonts w:ascii="Times New Roman" w:hAnsi="Times New Roman"/>
                <w:color w:val="auto"/>
              </w:rPr>
              <w:t>。项目建设不会占用生态红线保护区。</w:t>
            </w:r>
          </w:p>
          <w:p>
            <w:pPr>
              <w:pStyle w:val="15"/>
              <w:widowControl w:val="0"/>
              <w:spacing w:before="0" w:beforeAutospacing="0" w:after="0" w:afterAutospacing="0" w:line="360" w:lineRule="auto"/>
              <w:ind w:firstLine="480" w:firstLineChars="200"/>
              <w:rPr>
                <w:rFonts w:hint="eastAsia" w:ascii="Times New Roman" w:hAnsi="Times New Roman"/>
                <w:color w:val="auto"/>
              </w:rPr>
            </w:pPr>
            <w:r>
              <w:rPr>
                <w:rFonts w:ascii="Times New Roman" w:hAnsi="Times New Roman"/>
                <w:color w:val="auto"/>
              </w:rPr>
              <w:t>（2）环境质量底线</w:t>
            </w:r>
          </w:p>
          <w:p>
            <w:pPr>
              <w:pStyle w:val="15"/>
              <w:widowControl w:val="0"/>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项目评价范围内大气环境、水环境和声环境质量现状良好，项目实施后产生的废气、废水、噪声等虽然对环境造成一定的负面影响，但影响程度很小，不会改变环境功能区，能够严守环境质量底线。</w:t>
            </w:r>
          </w:p>
          <w:p>
            <w:pPr>
              <w:pStyle w:val="15"/>
              <w:widowControl w:val="0"/>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（3）资源利用上线</w:t>
            </w:r>
          </w:p>
          <w:p>
            <w:pPr>
              <w:pStyle w:val="15"/>
              <w:widowControl w:val="0"/>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本项目为</w:t>
            </w:r>
            <w:r>
              <w:rPr>
                <w:rFonts w:hint="eastAsia" w:ascii="Times New Roman" w:hAnsi="Times New Roman"/>
                <w:color w:val="auto"/>
              </w:rPr>
              <w:t>陆地矿产资源勘查项目</w:t>
            </w:r>
            <w:r>
              <w:rPr>
                <w:rFonts w:ascii="Times New Roman" w:hAnsi="Times New Roman"/>
                <w:color w:val="auto"/>
              </w:rPr>
              <w:t>，</w:t>
            </w:r>
            <w:r>
              <w:rPr>
                <w:rFonts w:hint="eastAsia" w:ascii="Times New Roman" w:hAnsi="Times New Roman"/>
                <w:color w:val="auto"/>
              </w:rPr>
              <w:t>无运营期。</w:t>
            </w:r>
            <w:r>
              <w:rPr>
                <w:rFonts w:ascii="Times New Roman" w:hAnsi="Times New Roman"/>
                <w:color w:val="auto"/>
              </w:rPr>
              <w:t>项目建设占用土地资源相对区域资源利用较少，项目施工期较短，水资源消耗量较少，符合资源利用上限的要求。</w:t>
            </w:r>
          </w:p>
          <w:p>
            <w:pPr>
              <w:pStyle w:val="15"/>
              <w:widowControl w:val="0"/>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（4）</w:t>
            </w:r>
            <w:r>
              <w:rPr>
                <w:rFonts w:hint="eastAsia" w:ascii="Times New Roman" w:hAnsi="Times New Roman"/>
                <w:color w:val="auto"/>
              </w:rPr>
              <w:t>生态环境准入清单</w:t>
            </w:r>
          </w:p>
          <w:p>
            <w:pPr>
              <w:pStyle w:val="15"/>
              <w:widowControl w:val="0"/>
              <w:spacing w:before="0" w:beforeAutospacing="0" w:after="0" w:afterAutospacing="0" w:line="360" w:lineRule="auto"/>
              <w:ind w:firstLine="480" w:firstLineChars="200"/>
              <w:jc w:val="both"/>
              <w:rPr>
                <w:rFonts w:hint="eastAsia" w:ascii="Times New Roman" w:hAnsi="Times New Roman"/>
                <w:color w:val="auto"/>
              </w:rPr>
            </w:pPr>
            <w:r>
              <w:rPr>
                <w:rFonts w:hint="eastAsia" w:ascii="Times New Roman" w:hAnsi="Times New Roman"/>
                <w:color w:val="auto"/>
              </w:rPr>
              <w:t>石油天然气开发是当前国民经济的重要基础产业和支柱产业，根据《产业结构调整指导目录》(2019年本)，将“石油、天然气勘探及开采”列入“鼓励类”项目，本项目的建设符合国家的相关政策。</w:t>
            </w:r>
          </w:p>
          <w:p>
            <w:pPr>
              <w:pStyle w:val="15"/>
              <w:widowControl w:val="0"/>
              <w:spacing w:before="0" w:beforeAutospacing="0" w:after="0" w:afterAutospacing="0" w:line="360" w:lineRule="auto"/>
              <w:ind w:firstLine="480" w:firstLineChars="200"/>
              <w:jc w:val="both"/>
              <w:rPr>
                <w:rFonts w:hint="eastAsia" w:ascii="Times New Roman" w:hAnsi="Times New Roman"/>
                <w:color w:val="auto"/>
              </w:rPr>
            </w:pPr>
            <w:r>
              <w:rPr>
                <w:rFonts w:ascii="Times New Roman" w:hAnsi="Times New Roman"/>
                <w:color w:val="auto"/>
              </w:rPr>
              <w:t>（5）《市场准入负面清单》(2020年版)</w:t>
            </w:r>
            <w:r>
              <w:rPr>
                <w:rFonts w:hint="eastAsia"/>
                <w:color w:val="auto"/>
                <w:spacing w:val="-6"/>
              </w:rPr>
              <w:t>（</w:t>
            </w:r>
            <w:r>
              <w:rPr>
                <w:color w:val="auto"/>
                <w:spacing w:val="-6"/>
              </w:rPr>
              <w:t>发</w:t>
            </w:r>
            <w:r>
              <w:rPr>
                <w:rFonts w:ascii="Times New Roman" w:hAnsi="Times New Roman"/>
                <w:color w:val="auto"/>
                <w:spacing w:val="-6"/>
              </w:rPr>
              <w:t>改体改规[2020]1880号）</w:t>
            </w:r>
            <w:r>
              <w:rPr>
                <w:rFonts w:ascii="Times New Roman" w:hAnsi="Times New Roman"/>
                <w:color w:val="auto"/>
              </w:rPr>
              <w:t>：该清单中分禁止准入类和许可准入类两类。本项目为油气资源勘探，位于中石油矿权范围内，属于《市场准入负面清单》中“许可准入类-采矿业”，不属于禁止准入类；因此，本项目符合清单要求。</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综上，本项目建设符合“三线一单”要求。</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pacing w:val="4"/>
                <w:sz w:val="28"/>
                <w:szCs w:val="28"/>
              </w:rPr>
            </w:pPr>
            <w:r>
              <w:rPr>
                <w:rFonts w:hint="eastAsia" w:eastAsia="宋体" w:cs="Times New Roman"/>
                <w:b/>
                <w:bCs/>
                <w:color w:val="auto"/>
                <w:spacing w:val="4"/>
                <w:sz w:val="28"/>
                <w:szCs w:val="28"/>
                <w:lang w:val="en-US" w:eastAsia="zh-CN"/>
              </w:rPr>
              <w:t>2</w:t>
            </w:r>
            <w:r>
              <w:rPr>
                <w:rFonts w:hint="default" w:ascii="Times New Roman" w:hAnsi="Times New Roman" w:eastAsia="宋体" w:cs="Times New Roman"/>
                <w:b/>
                <w:bCs/>
                <w:color w:val="auto"/>
                <w:spacing w:val="4"/>
                <w:sz w:val="28"/>
                <w:szCs w:val="28"/>
              </w:rPr>
              <w:t xml:space="preserve"> </w:t>
            </w:r>
            <w:r>
              <w:rPr>
                <w:rFonts w:hint="eastAsia" w:ascii="Times New Roman" w:hAnsi="Times New Roman" w:eastAsia="宋体" w:cs="Times New Roman"/>
                <w:b/>
                <w:bCs/>
                <w:color w:val="auto"/>
                <w:spacing w:val="4"/>
                <w:sz w:val="28"/>
                <w:szCs w:val="28"/>
              </w:rPr>
              <w:t>与《石油天然气开采业污染防治技术政策》符合性分析</w:t>
            </w:r>
          </w:p>
          <w:p>
            <w:pPr>
              <w:pStyle w:val="4"/>
              <w:rPr>
                <w:color w:val="auto"/>
              </w:rPr>
            </w:pPr>
            <w:r>
              <w:rPr>
                <w:color w:val="auto"/>
              </w:rPr>
              <w:t>本项目与《石油天然气开采业污染防治技术政策》</w:t>
            </w:r>
            <w:r>
              <w:rPr>
                <w:rFonts w:hint="eastAsia"/>
                <w:color w:val="auto"/>
              </w:rPr>
              <w:t>（公告2012年第18号，2012年3月7日实施）</w:t>
            </w:r>
            <w:r>
              <w:rPr>
                <w:color w:val="auto"/>
              </w:rPr>
              <w:t>的相关要求相符性</w:t>
            </w:r>
            <w:r>
              <w:rPr>
                <w:rFonts w:hint="eastAsia"/>
                <w:color w:val="auto"/>
              </w:rPr>
              <w:t>见表1-</w:t>
            </w:r>
            <w:r>
              <w:rPr>
                <w:rFonts w:hint="eastAsia"/>
                <w:color w:val="auto"/>
                <w:lang w:val="en-US" w:eastAsia="zh-CN"/>
              </w:rPr>
              <w:t>3</w:t>
            </w:r>
            <w:r>
              <w:rPr>
                <w:rFonts w:hint="eastAsia"/>
                <w:color w:val="auto"/>
              </w:rPr>
              <w:t>。</w:t>
            </w:r>
          </w:p>
          <w:p>
            <w:pPr>
              <w:pStyle w:val="27"/>
              <w:ind w:firstLine="422"/>
              <w:rPr>
                <w:color w:val="auto"/>
              </w:rPr>
            </w:pPr>
            <w:r>
              <w:rPr>
                <w:color w:val="auto"/>
              </w:rPr>
              <w:t>表1-</w:t>
            </w:r>
            <w:r>
              <w:rPr>
                <w:rFonts w:hint="eastAsia"/>
                <w:color w:val="auto"/>
                <w:lang w:val="en-US" w:eastAsia="zh-CN"/>
              </w:rPr>
              <w:t>3</w:t>
            </w:r>
            <w:r>
              <w:rPr>
                <w:color w:val="auto"/>
              </w:rPr>
              <w:t xml:space="preserve">  与</w:t>
            </w:r>
            <w:r>
              <w:rPr>
                <w:rFonts w:hint="eastAsia"/>
                <w:color w:val="auto"/>
              </w:rPr>
              <w:t>《石油天然气开采业污染防治技术政策》</w:t>
            </w:r>
            <w:r>
              <w:rPr>
                <w:color w:val="auto"/>
              </w:rPr>
              <w:t>相符性分析一览表</w:t>
            </w:r>
          </w:p>
          <w:tbl>
            <w:tblPr>
              <w:tblStyle w:val="17"/>
              <w:tblW w:w="49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576"/>
              <w:gridCol w:w="3190"/>
              <w:gridCol w:w="8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序号</w:t>
                  </w:r>
                </w:p>
              </w:tc>
              <w:tc>
                <w:tcPr>
                  <w:tcW w:w="2160" w:type="pct"/>
                  <w:shd w:val="clear" w:color="auto" w:fill="auto"/>
                  <w:noWrap w:val="0"/>
                  <w:vAlign w:val="center"/>
                </w:tcPr>
                <w:p>
                  <w:pPr>
                    <w:pStyle w:val="28"/>
                    <w:rPr>
                      <w:color w:val="auto"/>
                    </w:rPr>
                  </w:pPr>
                  <w:r>
                    <w:rPr>
                      <w:color w:val="auto"/>
                    </w:rPr>
                    <w:t>要求</w:t>
                  </w:r>
                </w:p>
              </w:tc>
              <w:tc>
                <w:tcPr>
                  <w:tcW w:w="1927" w:type="pct"/>
                  <w:shd w:val="clear" w:color="auto" w:fill="auto"/>
                  <w:noWrap w:val="0"/>
                  <w:vAlign w:val="center"/>
                </w:tcPr>
                <w:p>
                  <w:pPr>
                    <w:pStyle w:val="28"/>
                    <w:rPr>
                      <w:color w:val="auto"/>
                    </w:rPr>
                  </w:pPr>
                  <w:r>
                    <w:rPr>
                      <w:color w:val="auto"/>
                    </w:rPr>
                    <w:t>本项目</w:t>
                  </w:r>
                </w:p>
              </w:tc>
              <w:tc>
                <w:tcPr>
                  <w:tcW w:w="505" w:type="pct"/>
                  <w:shd w:val="clear" w:color="auto" w:fill="auto"/>
                  <w:noWrap w:val="0"/>
                  <w:vAlign w:val="center"/>
                </w:tcPr>
                <w:p>
                  <w:pPr>
                    <w:pStyle w:val="28"/>
                    <w:rPr>
                      <w:color w:val="auto"/>
                    </w:rPr>
                  </w:pPr>
                  <w:r>
                    <w:rPr>
                      <w:color w:val="auto"/>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1</w:t>
                  </w:r>
                </w:p>
              </w:tc>
              <w:tc>
                <w:tcPr>
                  <w:tcW w:w="2160" w:type="pct"/>
                  <w:shd w:val="clear" w:color="auto" w:fill="auto"/>
                  <w:noWrap w:val="0"/>
                  <w:vAlign w:val="center"/>
                </w:tcPr>
                <w:p>
                  <w:pPr>
                    <w:pStyle w:val="28"/>
                    <w:rPr>
                      <w:color w:val="auto"/>
                    </w:rPr>
                  </w:pPr>
                  <w:r>
                    <w:rPr>
                      <w:rFonts w:hint="eastAsia"/>
                      <w:color w:val="auto"/>
                    </w:rPr>
                    <w:t>到2015年末，行业新、改、扩建项目均采用清洁生产工艺和技术，工业废水回用率达到90%以上，工业固体废物资源化及无害化处理处置率达到100%。要遏制重大、杜绝特别重大环境污染和生态破坏事故的发生。要逐步实现对行业排放的石油类污染物进行总量控制</w:t>
                  </w:r>
                </w:p>
              </w:tc>
              <w:tc>
                <w:tcPr>
                  <w:tcW w:w="1927" w:type="pct"/>
                  <w:shd w:val="clear" w:color="auto" w:fill="auto"/>
                  <w:noWrap w:val="0"/>
                  <w:vAlign w:val="center"/>
                </w:tcPr>
                <w:p>
                  <w:pPr>
                    <w:pStyle w:val="28"/>
                    <w:rPr>
                      <w:color w:val="auto"/>
                    </w:rPr>
                  </w:pPr>
                  <w:r>
                    <w:rPr>
                      <w:rFonts w:hint="eastAsia"/>
                      <w:color w:val="auto"/>
                    </w:rPr>
                    <w:t>项目钻井废水循环利用，试油期井下作业废水拉运至吉祥联合站污水处理系统处理后回注地层，工业废水回用率大于9</w:t>
                  </w:r>
                  <w:r>
                    <w:rPr>
                      <w:color w:val="auto"/>
                    </w:rPr>
                    <w:t>0</w:t>
                  </w:r>
                  <w:r>
                    <w:rPr>
                      <w:rFonts w:hint="eastAsia"/>
                      <w:color w:val="auto"/>
                    </w:rPr>
                    <w:t>%；钻井泥浆经“钻井泥浆不落地技术”处理后循环使用，落地油100%回收。本环评对项目可能产生的环境风险进行了分析，并提出了相应的风险防范措施和应急预案。</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2</w:t>
                  </w:r>
                </w:p>
              </w:tc>
              <w:tc>
                <w:tcPr>
                  <w:tcW w:w="2160" w:type="pct"/>
                  <w:shd w:val="clear" w:color="auto" w:fill="auto"/>
                  <w:noWrap w:val="0"/>
                  <w:vAlign w:val="center"/>
                </w:tcPr>
                <w:p>
                  <w:pPr>
                    <w:pStyle w:val="28"/>
                    <w:rPr>
                      <w:color w:val="auto"/>
                    </w:rPr>
                  </w:pPr>
                  <w:r>
                    <w:rPr>
                      <w:rFonts w:hint="eastAsia"/>
                      <w:color w:val="auto"/>
                    </w:rPr>
                    <w:t>油气田开发不得使用含有国际公约禁用化学物质的油气田化学剂，逐步淘汰微毒及以上油气田化学剂，鼓励使用无毒油气田化学剂。</w:t>
                  </w:r>
                </w:p>
              </w:tc>
              <w:tc>
                <w:tcPr>
                  <w:tcW w:w="1927" w:type="pct"/>
                  <w:shd w:val="clear" w:color="auto" w:fill="auto"/>
                  <w:noWrap w:val="0"/>
                  <w:vAlign w:val="center"/>
                </w:tcPr>
                <w:p>
                  <w:pPr>
                    <w:pStyle w:val="28"/>
                    <w:rPr>
                      <w:color w:val="auto"/>
                    </w:rPr>
                  </w:pPr>
                  <w:r>
                    <w:rPr>
                      <w:rFonts w:hint="eastAsia"/>
                      <w:color w:val="auto"/>
                    </w:rPr>
                    <w:t>本项目使用的油气田化学剂均为无毒，环境友好的化学剂，无含有国际公约禁用化学物质的油气田化学剂。</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3</w:t>
                  </w:r>
                </w:p>
              </w:tc>
              <w:tc>
                <w:tcPr>
                  <w:tcW w:w="2160" w:type="pct"/>
                  <w:shd w:val="clear" w:color="auto" w:fill="auto"/>
                  <w:noWrap w:val="0"/>
                  <w:vAlign w:val="center"/>
                </w:tcPr>
                <w:p>
                  <w:pPr>
                    <w:pStyle w:val="28"/>
                    <w:rPr>
                      <w:color w:val="auto"/>
                    </w:rPr>
                  </w:pPr>
                  <w:r>
                    <w:rPr>
                      <w:rFonts w:hint="eastAsia"/>
                      <w:color w:val="auto"/>
                    </w:rPr>
                    <w:t>在勘探开发过程中，应防止产生落地原油。其中井下作业过程中应配备泄油器、刮油器等。落地原油应及时回收，落地原油回收率应达到100%。</w:t>
                  </w:r>
                </w:p>
              </w:tc>
              <w:tc>
                <w:tcPr>
                  <w:tcW w:w="1927" w:type="pct"/>
                  <w:shd w:val="clear" w:color="auto" w:fill="auto"/>
                  <w:noWrap w:val="0"/>
                  <w:vAlign w:val="center"/>
                </w:tcPr>
                <w:p>
                  <w:pPr>
                    <w:pStyle w:val="28"/>
                    <w:rPr>
                      <w:color w:val="auto"/>
                    </w:rPr>
                  </w:pPr>
                  <w:r>
                    <w:rPr>
                      <w:rFonts w:hint="eastAsia"/>
                      <w:color w:val="auto"/>
                    </w:rPr>
                    <w:t>井下作业过程中配备了泄油器、刮油器等设备井下作业时带罐，落地油100%回收。</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4</w:t>
                  </w:r>
                </w:p>
              </w:tc>
              <w:tc>
                <w:tcPr>
                  <w:tcW w:w="2160" w:type="pct"/>
                  <w:shd w:val="clear" w:color="auto" w:fill="auto"/>
                  <w:noWrap w:val="0"/>
                  <w:vAlign w:val="center"/>
                </w:tcPr>
                <w:p>
                  <w:pPr>
                    <w:pStyle w:val="28"/>
                    <w:rPr>
                      <w:color w:val="auto"/>
                    </w:rPr>
                  </w:pPr>
                  <w:r>
                    <w:rPr>
                      <w:rFonts w:hint="eastAsia"/>
                      <w:color w:val="auto"/>
                    </w:rPr>
                    <w:t>在钻井过程中，鼓励采用环境友好的钻井液体系；配备完善的固控设备，钻井液循环率达到95%以上；钻井过程产生的废水应回用。</w:t>
                  </w:r>
                </w:p>
              </w:tc>
              <w:tc>
                <w:tcPr>
                  <w:tcW w:w="1927" w:type="pct"/>
                  <w:shd w:val="clear" w:color="auto" w:fill="auto"/>
                  <w:noWrap w:val="0"/>
                  <w:vAlign w:val="center"/>
                </w:tcPr>
                <w:p>
                  <w:pPr>
                    <w:pStyle w:val="28"/>
                    <w:rPr>
                      <w:color w:val="auto"/>
                    </w:rPr>
                  </w:pPr>
                  <w:r>
                    <w:rPr>
                      <w:rFonts w:hint="eastAsia"/>
                      <w:color w:val="auto"/>
                    </w:rPr>
                    <w:t>本项目钻井期使用的泥浆为水基泥浆，未添加磺化物，为环境友好的钻井液，采用“钻井泥浆不落地技术”，钻井液循环使用，钻井废水全部回用。</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5</w:t>
                  </w:r>
                </w:p>
              </w:tc>
              <w:tc>
                <w:tcPr>
                  <w:tcW w:w="2160" w:type="pct"/>
                  <w:shd w:val="clear" w:color="auto" w:fill="auto"/>
                  <w:noWrap w:val="0"/>
                  <w:vAlign w:val="center"/>
                </w:tcPr>
                <w:p>
                  <w:pPr>
                    <w:pStyle w:val="28"/>
                    <w:rPr>
                      <w:color w:val="auto"/>
                    </w:rPr>
                  </w:pPr>
                  <w:r>
                    <w:rPr>
                      <w:rFonts w:hint="eastAsia"/>
                      <w:color w:val="auto"/>
                    </w:rPr>
                    <w:t>在井下作业过程中，酸化液和压裂液宜集中配制，酸化残液、压裂残液和返排液应回收利用或进行无害化处置，压裂放喷返排入罐率应达到100%。</w:t>
                  </w:r>
                </w:p>
              </w:tc>
              <w:tc>
                <w:tcPr>
                  <w:tcW w:w="1927" w:type="pct"/>
                  <w:shd w:val="clear" w:color="auto" w:fill="auto"/>
                  <w:noWrap w:val="0"/>
                  <w:vAlign w:val="center"/>
                </w:tcPr>
                <w:p>
                  <w:pPr>
                    <w:pStyle w:val="28"/>
                    <w:rPr>
                      <w:color w:val="auto"/>
                    </w:rPr>
                  </w:pPr>
                  <w:r>
                    <w:rPr>
                      <w:rFonts w:hint="eastAsia"/>
                      <w:color w:val="auto"/>
                    </w:rPr>
                    <w:t>本项目井下作业过程中，严格按照吐哈油田分公司环境保护规定的要求，带罐作业，100%回收。井下作业废水严禁直接外排，作业单位自带回收罐1</w:t>
                  </w:r>
                  <w:r>
                    <w:rPr>
                      <w:color w:val="auto"/>
                    </w:rPr>
                    <w:t>00</w:t>
                  </w:r>
                  <w:r>
                    <w:rPr>
                      <w:rFonts w:hint="eastAsia"/>
                      <w:color w:val="auto"/>
                    </w:rPr>
                    <w:t>%回收作业废水，运至吉祥联合站处理达标后回注地层。</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6</w:t>
                  </w:r>
                </w:p>
              </w:tc>
              <w:tc>
                <w:tcPr>
                  <w:tcW w:w="2160" w:type="pct"/>
                  <w:shd w:val="clear" w:color="auto" w:fill="auto"/>
                  <w:noWrap w:val="0"/>
                  <w:vAlign w:val="center"/>
                </w:tcPr>
                <w:p>
                  <w:pPr>
                    <w:pStyle w:val="28"/>
                    <w:rPr>
                      <w:color w:val="auto"/>
                    </w:rPr>
                  </w:pPr>
                  <w:r>
                    <w:rPr>
                      <w:rFonts w:hint="eastAsia"/>
                      <w:color w:val="auto"/>
                    </w:rPr>
                    <w:t>在钻井和井下作业过程中，鼓励污油、污水进入生产流程循环利用。</w:t>
                  </w:r>
                </w:p>
              </w:tc>
              <w:tc>
                <w:tcPr>
                  <w:tcW w:w="1927" w:type="pct"/>
                  <w:shd w:val="clear" w:color="auto" w:fill="auto"/>
                  <w:noWrap w:val="0"/>
                  <w:vAlign w:val="center"/>
                </w:tcPr>
                <w:p>
                  <w:pPr>
                    <w:pStyle w:val="28"/>
                    <w:rPr>
                      <w:color w:val="auto"/>
                    </w:rPr>
                  </w:pPr>
                  <w:r>
                    <w:rPr>
                      <w:rFonts w:hint="eastAsia"/>
                      <w:color w:val="auto"/>
                    </w:rPr>
                    <w:t>本项目采用钻井泥浆不落地技术，无钻井废水排放，试油期井下作业废水经吉祥联合站污水处理系统处理达标后，全部回注地层；落地油100%回收，定期交由有相应危险废物处理资质的单位处置。</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color w:val="auto"/>
                    </w:rPr>
                    <w:t>7</w:t>
                  </w:r>
                </w:p>
              </w:tc>
              <w:tc>
                <w:tcPr>
                  <w:tcW w:w="2160" w:type="pct"/>
                  <w:shd w:val="clear" w:color="auto" w:fill="auto"/>
                  <w:noWrap w:val="0"/>
                  <w:vAlign w:val="center"/>
                </w:tcPr>
                <w:p>
                  <w:pPr>
                    <w:pStyle w:val="28"/>
                    <w:rPr>
                      <w:color w:val="auto"/>
                    </w:rPr>
                  </w:pPr>
                  <w:r>
                    <w:rPr>
                      <w:rFonts w:hint="eastAsia"/>
                      <w:color w:val="auto"/>
                    </w:rPr>
                    <w:t>应回收落地原油，以及原油处理、废水处理产生的油泥（砂）等中的油类物质，含油污泥资源化利用率应达到90%以上，残余固体废物应按照《国家危险废物名录》和危险废物鉴别标准识别，根据识别结果资源化利用或无害化处置。</w:t>
                  </w:r>
                </w:p>
              </w:tc>
              <w:tc>
                <w:tcPr>
                  <w:tcW w:w="1927" w:type="pct"/>
                  <w:shd w:val="clear" w:color="auto" w:fill="auto"/>
                  <w:noWrap w:val="0"/>
                  <w:vAlign w:val="center"/>
                </w:tcPr>
                <w:p>
                  <w:pPr>
                    <w:pStyle w:val="28"/>
                    <w:rPr>
                      <w:color w:val="auto"/>
                    </w:rPr>
                  </w:pPr>
                  <w:r>
                    <w:rPr>
                      <w:rFonts w:hint="eastAsia"/>
                      <w:color w:val="auto"/>
                    </w:rPr>
                    <w:t>井下作业必须带罐（车）操作，将落地油100%进行回收，定期交由有相应危险废物处理资质的单位处置。</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rFonts w:hint="eastAsia"/>
                      <w:color w:val="auto"/>
                    </w:rPr>
                    <w:t>8</w:t>
                  </w:r>
                </w:p>
              </w:tc>
              <w:tc>
                <w:tcPr>
                  <w:tcW w:w="2160" w:type="pct"/>
                  <w:shd w:val="clear" w:color="auto" w:fill="auto"/>
                  <w:noWrap w:val="0"/>
                  <w:vAlign w:val="center"/>
                </w:tcPr>
                <w:p>
                  <w:pPr>
                    <w:pStyle w:val="28"/>
                    <w:rPr>
                      <w:color w:val="auto"/>
                    </w:rPr>
                  </w:pPr>
                  <w:r>
                    <w:rPr>
                      <w:rFonts w:hint="eastAsia"/>
                      <w:color w:val="auto"/>
                    </w:rPr>
                    <w:t>油气田企业应制定环境保护管理规定，建立并运行健康、安全与环境管理体系。</w:t>
                  </w:r>
                </w:p>
              </w:tc>
              <w:tc>
                <w:tcPr>
                  <w:tcW w:w="1927" w:type="pct"/>
                  <w:shd w:val="clear" w:color="auto" w:fill="auto"/>
                  <w:noWrap w:val="0"/>
                  <w:vAlign w:val="center"/>
                </w:tcPr>
                <w:p>
                  <w:pPr>
                    <w:pStyle w:val="28"/>
                    <w:rPr>
                      <w:color w:val="auto"/>
                    </w:rPr>
                  </w:pPr>
                  <w:r>
                    <w:rPr>
                      <w:rFonts w:hint="eastAsia"/>
                      <w:color w:val="auto"/>
                    </w:rPr>
                    <w:t>吐哈油田公司目前已建立了完善的健康、安全与环境管理体系（QHSE管理体系）。</w:t>
                  </w:r>
                </w:p>
              </w:tc>
              <w:tc>
                <w:tcPr>
                  <w:tcW w:w="505" w:type="pct"/>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noWrap w:val="0"/>
                  <w:vAlign w:val="center"/>
                </w:tcPr>
                <w:p>
                  <w:pPr>
                    <w:pStyle w:val="28"/>
                    <w:rPr>
                      <w:color w:val="auto"/>
                    </w:rPr>
                  </w:pPr>
                  <w:r>
                    <w:rPr>
                      <w:rFonts w:hint="eastAsia"/>
                      <w:color w:val="auto"/>
                    </w:rPr>
                    <w:t>9</w:t>
                  </w:r>
                </w:p>
              </w:tc>
              <w:tc>
                <w:tcPr>
                  <w:tcW w:w="2160" w:type="pct"/>
                  <w:shd w:val="clear" w:color="auto" w:fill="auto"/>
                  <w:noWrap w:val="0"/>
                  <w:vAlign w:val="center"/>
                </w:tcPr>
                <w:p>
                  <w:pPr>
                    <w:pStyle w:val="28"/>
                    <w:rPr>
                      <w:color w:val="auto"/>
                    </w:rPr>
                  </w:pPr>
                  <w:r>
                    <w:rPr>
                      <w:rFonts w:hint="eastAsia"/>
                      <w:color w:val="auto"/>
                    </w:rPr>
                    <w:t>加强油气田建设、勘探开发过程的环境监督管理。油气田建设过程应开展工程环境监理。</w:t>
                  </w:r>
                </w:p>
              </w:tc>
              <w:tc>
                <w:tcPr>
                  <w:tcW w:w="1927" w:type="pct"/>
                  <w:shd w:val="clear" w:color="auto" w:fill="auto"/>
                  <w:noWrap w:val="0"/>
                  <w:vAlign w:val="center"/>
                </w:tcPr>
                <w:p>
                  <w:pPr>
                    <w:pStyle w:val="28"/>
                    <w:rPr>
                      <w:color w:val="auto"/>
                    </w:rPr>
                  </w:pPr>
                  <w:r>
                    <w:rPr>
                      <w:rFonts w:hint="eastAsia"/>
                      <w:color w:val="auto"/>
                    </w:rPr>
                    <w:t>环评要求项目开展工程环境监理，并拟定了开发期环境监理计划。</w:t>
                  </w:r>
                </w:p>
              </w:tc>
              <w:tc>
                <w:tcPr>
                  <w:tcW w:w="505" w:type="pct"/>
                  <w:shd w:val="clear" w:color="auto" w:fill="auto"/>
                  <w:noWrap w:val="0"/>
                  <w:vAlign w:val="center"/>
                </w:tcPr>
                <w:p>
                  <w:pPr>
                    <w:pStyle w:val="28"/>
                    <w:rPr>
                      <w:color w:val="auto"/>
                    </w:rPr>
                  </w:pPr>
                  <w:r>
                    <w:rPr>
                      <w:color w:val="auto"/>
                    </w:rPr>
                    <w:t>符合</w:t>
                  </w: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pacing w:val="4"/>
                <w:sz w:val="28"/>
                <w:szCs w:val="28"/>
              </w:rPr>
            </w:pPr>
            <w:r>
              <w:rPr>
                <w:rFonts w:hint="eastAsia" w:eastAsia="宋体" w:cs="Times New Roman"/>
                <w:b/>
                <w:bCs/>
                <w:color w:val="auto"/>
                <w:spacing w:val="4"/>
                <w:sz w:val="28"/>
                <w:szCs w:val="28"/>
                <w:lang w:val="en-US" w:eastAsia="zh-CN"/>
              </w:rPr>
              <w:t>3</w:t>
            </w:r>
            <w:r>
              <w:rPr>
                <w:rFonts w:hint="default" w:ascii="Times New Roman" w:hAnsi="Times New Roman" w:eastAsia="宋体" w:cs="Times New Roman"/>
                <w:b/>
                <w:bCs/>
                <w:color w:val="auto"/>
                <w:spacing w:val="4"/>
                <w:sz w:val="28"/>
                <w:szCs w:val="28"/>
              </w:rPr>
              <w:t xml:space="preserve"> </w:t>
            </w:r>
            <w:r>
              <w:rPr>
                <w:rFonts w:hint="eastAsia" w:ascii="Times New Roman" w:hAnsi="Times New Roman" w:eastAsia="宋体" w:cs="Times New Roman"/>
                <w:b/>
                <w:bCs/>
                <w:color w:val="auto"/>
                <w:spacing w:val="4"/>
                <w:sz w:val="28"/>
                <w:szCs w:val="28"/>
              </w:rPr>
              <w:t>与《新疆维吾尔自治区煤炭石油天然气开发环境保护条例》符合性分析</w:t>
            </w:r>
          </w:p>
          <w:p>
            <w:pPr>
              <w:pStyle w:val="4"/>
              <w:rPr>
                <w:color w:val="auto"/>
              </w:rPr>
            </w:pPr>
            <w:r>
              <w:rPr>
                <w:rFonts w:hint="eastAsia"/>
                <w:color w:val="auto"/>
              </w:rPr>
              <w:t>本项目与《新疆维吾尔自治区煤炭石油天然气开发环境保护条例》（2018年修订，2018年9月21日施行）相符性见表1-</w:t>
            </w:r>
            <w:r>
              <w:rPr>
                <w:rFonts w:hint="eastAsia"/>
                <w:color w:val="auto"/>
                <w:lang w:val="en-US" w:eastAsia="zh-CN"/>
              </w:rPr>
              <w:t>4</w:t>
            </w:r>
            <w:r>
              <w:rPr>
                <w:rFonts w:hint="eastAsia"/>
                <w:color w:val="auto"/>
              </w:rPr>
              <w:t>。</w:t>
            </w:r>
          </w:p>
          <w:p>
            <w:pPr>
              <w:pStyle w:val="27"/>
              <w:rPr>
                <w:color w:val="auto"/>
              </w:rPr>
            </w:pPr>
            <w:r>
              <w:rPr>
                <w:rFonts w:hint="eastAsia"/>
                <w:color w:val="auto"/>
              </w:rPr>
              <w:t>表</w:t>
            </w:r>
            <w:r>
              <w:rPr>
                <w:color w:val="auto"/>
              </w:rPr>
              <w:t>1-</w:t>
            </w:r>
            <w:r>
              <w:rPr>
                <w:rFonts w:hint="eastAsia"/>
                <w:color w:val="auto"/>
                <w:lang w:val="en-US" w:eastAsia="zh-CN"/>
              </w:rPr>
              <w:t>4</w:t>
            </w:r>
            <w:r>
              <w:rPr>
                <w:color w:val="auto"/>
              </w:rPr>
              <w:t xml:space="preserve">  </w:t>
            </w:r>
            <w:r>
              <w:rPr>
                <w:rFonts w:hint="eastAsia"/>
                <w:color w:val="auto"/>
              </w:rPr>
              <w:t>与《新疆维吾尔自治区煤炭石油天然气开发环境保护条例》相符性分析一览表</w:t>
            </w:r>
          </w:p>
          <w:tbl>
            <w:tblPr>
              <w:tblStyle w:val="17"/>
              <w:tblW w:w="49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3"/>
              <w:gridCol w:w="3185"/>
              <w:gridCol w:w="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序号</w:t>
                  </w:r>
                </w:p>
              </w:tc>
              <w:tc>
                <w:tcPr>
                  <w:tcW w:w="2884" w:type="dxa"/>
                  <w:shd w:val="clear" w:color="auto" w:fill="auto"/>
                  <w:noWrap w:val="0"/>
                  <w:vAlign w:val="center"/>
                </w:tcPr>
                <w:p>
                  <w:pPr>
                    <w:pStyle w:val="28"/>
                    <w:ind w:left="-105" w:right="-105"/>
                    <w:rPr>
                      <w:color w:val="auto"/>
                    </w:rPr>
                  </w:pPr>
                  <w:r>
                    <w:rPr>
                      <w:color w:val="auto"/>
                    </w:rPr>
                    <w:t>要求</w:t>
                  </w:r>
                </w:p>
              </w:tc>
              <w:tc>
                <w:tcPr>
                  <w:tcW w:w="2571" w:type="dxa"/>
                  <w:shd w:val="clear" w:color="auto" w:fill="auto"/>
                  <w:noWrap w:val="0"/>
                  <w:vAlign w:val="center"/>
                </w:tcPr>
                <w:p>
                  <w:pPr>
                    <w:pStyle w:val="28"/>
                    <w:ind w:left="-105" w:right="-105"/>
                    <w:rPr>
                      <w:color w:val="auto"/>
                    </w:rPr>
                  </w:pPr>
                  <w:r>
                    <w:rPr>
                      <w:color w:val="auto"/>
                    </w:rPr>
                    <w:t>本项目</w:t>
                  </w:r>
                </w:p>
              </w:tc>
              <w:tc>
                <w:tcPr>
                  <w:tcW w:w="645" w:type="dxa"/>
                  <w:shd w:val="clear" w:color="auto" w:fill="auto"/>
                  <w:noWrap w:val="0"/>
                  <w:vAlign w:val="center"/>
                </w:tcPr>
                <w:p>
                  <w:pPr>
                    <w:pStyle w:val="28"/>
                    <w:ind w:left="-105" w:right="-105"/>
                    <w:rPr>
                      <w:color w:val="auto"/>
                    </w:rPr>
                  </w:pPr>
                  <w:r>
                    <w:rPr>
                      <w:color w:val="auto"/>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1</w:t>
                  </w:r>
                </w:p>
              </w:tc>
              <w:tc>
                <w:tcPr>
                  <w:tcW w:w="2884" w:type="dxa"/>
                  <w:shd w:val="clear" w:color="auto" w:fill="auto"/>
                  <w:noWrap w:val="0"/>
                  <w:vAlign w:val="center"/>
                </w:tcPr>
                <w:p>
                  <w:pPr>
                    <w:pStyle w:val="28"/>
                    <w:ind w:left="-105" w:right="-105"/>
                    <w:rPr>
                      <w:color w:val="auto"/>
                    </w:rPr>
                  </w:pPr>
                  <w:r>
                    <w:rPr>
                      <w:rFonts w:hint="eastAsia"/>
                      <w:color w:val="auto"/>
                    </w:rPr>
                    <w:t>禁止在水源涵养区、地下水源、饮用水源、自然保护区、风景名胜区、森林公园、重要湿地及人群密集区等生态敏感区域内进行煤炭、石油、天然气开发。</w:t>
                  </w:r>
                </w:p>
              </w:tc>
              <w:tc>
                <w:tcPr>
                  <w:tcW w:w="2571" w:type="dxa"/>
                  <w:shd w:val="clear" w:color="auto" w:fill="auto"/>
                  <w:noWrap w:val="0"/>
                  <w:vAlign w:val="center"/>
                </w:tcPr>
                <w:p>
                  <w:pPr>
                    <w:pStyle w:val="28"/>
                    <w:ind w:left="-105" w:right="-105"/>
                    <w:rPr>
                      <w:color w:val="auto"/>
                    </w:rPr>
                  </w:pPr>
                  <w:r>
                    <w:rPr>
                      <w:rFonts w:hint="eastAsia"/>
                      <w:color w:val="auto"/>
                    </w:rPr>
                    <w:t>项目所在区域不属于源涵养区、地下水源、饮用水源、自然保护区、风景名胜区、森林公园、重要湿地及人群密集区等生态敏感区域。</w:t>
                  </w:r>
                </w:p>
              </w:tc>
              <w:tc>
                <w:tcPr>
                  <w:tcW w:w="645" w:type="dxa"/>
                  <w:shd w:val="clear" w:color="auto" w:fill="auto"/>
                  <w:noWrap w:val="0"/>
                  <w:vAlign w:val="center"/>
                </w:tcPr>
                <w:p>
                  <w:pPr>
                    <w:pStyle w:val="28"/>
                    <w:ind w:left="-105" w:right="-105"/>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2</w:t>
                  </w:r>
                </w:p>
              </w:tc>
              <w:tc>
                <w:tcPr>
                  <w:tcW w:w="2884" w:type="dxa"/>
                  <w:shd w:val="clear" w:color="auto" w:fill="auto"/>
                  <w:noWrap w:val="0"/>
                  <w:vAlign w:val="center"/>
                </w:tcPr>
                <w:p>
                  <w:pPr>
                    <w:pStyle w:val="28"/>
                    <w:ind w:left="-105" w:right="-105"/>
                    <w:rPr>
                      <w:color w:val="auto"/>
                    </w:rPr>
                  </w:pPr>
                  <w:r>
                    <w:rPr>
                      <w:rFonts w:hint="eastAsia"/>
                      <w:color w:val="auto"/>
                    </w:rPr>
                    <w:t>煤炭、石油、天然气开发项目实行环境监理，其大气、水体、固体废物等污染防治设施与主体工程同时设计、同时施工、同时投产使用。</w:t>
                  </w:r>
                </w:p>
              </w:tc>
              <w:tc>
                <w:tcPr>
                  <w:tcW w:w="2571" w:type="dxa"/>
                  <w:shd w:val="clear" w:color="auto" w:fill="auto"/>
                  <w:noWrap w:val="0"/>
                  <w:vAlign w:val="center"/>
                </w:tcPr>
                <w:p>
                  <w:pPr>
                    <w:pStyle w:val="28"/>
                    <w:ind w:left="-105" w:right="-105"/>
                    <w:rPr>
                      <w:color w:val="auto"/>
                    </w:rPr>
                  </w:pPr>
                  <w:r>
                    <w:rPr>
                      <w:rFonts w:hint="eastAsia"/>
                      <w:color w:val="auto"/>
                    </w:rPr>
                    <w:t>环评要求项目开展工程环境监理，并拟定了环境监理计划，要求项目严格执行“三同时”制度。</w:t>
                  </w:r>
                </w:p>
              </w:tc>
              <w:tc>
                <w:tcPr>
                  <w:tcW w:w="645" w:type="dxa"/>
                  <w:shd w:val="clear" w:color="auto" w:fill="auto"/>
                  <w:noWrap w:val="0"/>
                  <w:vAlign w:val="center"/>
                </w:tcPr>
                <w:p>
                  <w:pPr>
                    <w:pStyle w:val="28"/>
                    <w:ind w:left="-105" w:right="-105"/>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3</w:t>
                  </w:r>
                </w:p>
              </w:tc>
              <w:tc>
                <w:tcPr>
                  <w:tcW w:w="2884" w:type="dxa"/>
                  <w:shd w:val="clear" w:color="auto" w:fill="auto"/>
                  <w:noWrap w:val="0"/>
                  <w:vAlign w:val="center"/>
                </w:tcPr>
                <w:p>
                  <w:pPr>
                    <w:pStyle w:val="28"/>
                    <w:ind w:left="-105" w:right="-105"/>
                    <w:rPr>
                      <w:color w:val="auto"/>
                    </w:rPr>
                  </w:pPr>
                  <w:r>
                    <w:rPr>
                      <w:rFonts w:hint="eastAsia"/>
                      <w:color w:val="auto"/>
                    </w:rPr>
                    <w:t>煤炭、石油、天然气开发单位应当制定生态保护和恢复治理方案，并予以实施。生态保护和恢复治理方案内容应当向社会公布，接受社会监督。</w:t>
                  </w:r>
                </w:p>
              </w:tc>
              <w:tc>
                <w:tcPr>
                  <w:tcW w:w="2571" w:type="dxa"/>
                  <w:shd w:val="clear" w:color="auto" w:fill="auto"/>
                  <w:noWrap w:val="0"/>
                  <w:vAlign w:val="center"/>
                </w:tcPr>
                <w:p>
                  <w:pPr>
                    <w:pStyle w:val="28"/>
                    <w:ind w:left="-105" w:right="-105"/>
                    <w:rPr>
                      <w:color w:val="auto"/>
                    </w:rPr>
                  </w:pPr>
                  <w:r>
                    <w:rPr>
                      <w:rFonts w:hint="eastAsia"/>
                      <w:color w:val="auto"/>
                    </w:rPr>
                    <w:t>环评要求建设单位制定生态保护和恢复治理方案，开展生态环境恢复治理工作。</w:t>
                  </w:r>
                </w:p>
              </w:tc>
              <w:tc>
                <w:tcPr>
                  <w:tcW w:w="645" w:type="dxa"/>
                  <w:shd w:val="clear" w:color="auto" w:fill="auto"/>
                  <w:noWrap w:val="0"/>
                  <w:vAlign w:val="center"/>
                </w:tcPr>
                <w:p>
                  <w:pPr>
                    <w:pStyle w:val="28"/>
                    <w:ind w:left="-105" w:right="-105"/>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4</w:t>
                  </w:r>
                </w:p>
              </w:tc>
              <w:tc>
                <w:tcPr>
                  <w:tcW w:w="2884" w:type="dxa"/>
                  <w:shd w:val="clear" w:color="auto" w:fill="auto"/>
                  <w:noWrap w:val="0"/>
                  <w:vAlign w:val="center"/>
                </w:tcPr>
                <w:p>
                  <w:pPr>
                    <w:pStyle w:val="28"/>
                    <w:ind w:left="-105" w:right="-105"/>
                    <w:rPr>
                      <w:color w:val="auto"/>
                    </w:rPr>
                  </w:pPr>
                  <w:r>
                    <w:rPr>
                      <w:rFonts w:hint="eastAsia"/>
                      <w:color w:val="auto"/>
                    </w:rPr>
                    <w:t>煤炭、石油、天然气开发单位应当使用先进技术、工艺和设备，实行清洁生产。禁止使用国家和自治区明令淘汰的技术、工艺和设备。</w:t>
                  </w:r>
                </w:p>
              </w:tc>
              <w:tc>
                <w:tcPr>
                  <w:tcW w:w="2571" w:type="dxa"/>
                  <w:shd w:val="clear" w:color="auto" w:fill="auto"/>
                  <w:noWrap w:val="0"/>
                  <w:vAlign w:val="center"/>
                </w:tcPr>
                <w:p>
                  <w:pPr>
                    <w:pStyle w:val="28"/>
                    <w:ind w:left="-105" w:right="-105"/>
                    <w:rPr>
                      <w:color w:val="auto"/>
                    </w:rPr>
                  </w:pPr>
                  <w:r>
                    <w:rPr>
                      <w:rFonts w:hint="eastAsia"/>
                      <w:color w:val="auto"/>
                    </w:rPr>
                    <w:t>项目使用先进技术、工艺和设备，实行清洁生产。未使用国家和自治区明令淘汰的技术、工艺和设备，较好地考虑了清洁生产的要求，属于清洁生产先进企业。</w:t>
                  </w:r>
                </w:p>
              </w:tc>
              <w:tc>
                <w:tcPr>
                  <w:tcW w:w="645" w:type="dxa"/>
                  <w:shd w:val="clear" w:color="auto" w:fill="auto"/>
                  <w:noWrap w:val="0"/>
                  <w:vAlign w:val="center"/>
                </w:tcPr>
                <w:p>
                  <w:pPr>
                    <w:pStyle w:val="28"/>
                    <w:ind w:left="-105" w:right="-105"/>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5</w:t>
                  </w:r>
                </w:p>
              </w:tc>
              <w:tc>
                <w:tcPr>
                  <w:tcW w:w="2884" w:type="dxa"/>
                  <w:shd w:val="clear" w:color="auto" w:fill="auto"/>
                  <w:noWrap w:val="0"/>
                  <w:vAlign w:val="center"/>
                </w:tcPr>
                <w:p>
                  <w:pPr>
                    <w:pStyle w:val="28"/>
                    <w:ind w:left="-105" w:right="-105"/>
                    <w:rPr>
                      <w:color w:val="auto"/>
                    </w:rPr>
                  </w:pPr>
                  <w:r>
                    <w:rPr>
                      <w:rFonts w:hint="eastAsia"/>
                      <w:color w:val="auto"/>
                    </w:rPr>
                    <w:t>石油、天然气开发单位钻井和井下作业应当使用无毒、低毒钻井液。对已使用的有毒钻井液应当回收利用并做无害化处置，防止污染环境。对钻井作业产生的污水应当进行回收，经处理达标后方可回注。未经处理达标的污水不得回注或者外排。对钻井作业产生的污油、废矿物油应当回收处理。</w:t>
                  </w:r>
                </w:p>
              </w:tc>
              <w:tc>
                <w:tcPr>
                  <w:tcW w:w="2571" w:type="dxa"/>
                  <w:shd w:val="clear" w:color="auto" w:fill="auto"/>
                  <w:noWrap w:val="0"/>
                  <w:vAlign w:val="center"/>
                </w:tcPr>
                <w:p>
                  <w:pPr>
                    <w:pStyle w:val="28"/>
                    <w:ind w:left="-105" w:right="-105"/>
                    <w:rPr>
                      <w:color w:val="auto"/>
                    </w:rPr>
                  </w:pPr>
                  <w:r>
                    <w:rPr>
                      <w:rFonts w:hint="eastAsia"/>
                      <w:color w:val="auto"/>
                    </w:rPr>
                    <w:t>①本项目钻井期使用的泥浆为环保水基泥浆，未添加磺化物，为环境友好的钻井液；②本项目无钻井废水外排，井下作业废水经吉祥联合站污水处理系统处理达标后，全部回注地层；③落地油100%回收，定期交由有相应危险废物处理资质的单位处置。</w:t>
                  </w:r>
                </w:p>
              </w:tc>
              <w:tc>
                <w:tcPr>
                  <w:tcW w:w="645" w:type="dxa"/>
                  <w:shd w:val="clear" w:color="auto" w:fill="auto"/>
                  <w:noWrap w:val="0"/>
                  <w:vAlign w:val="center"/>
                </w:tcPr>
                <w:p>
                  <w:pPr>
                    <w:pStyle w:val="28"/>
                    <w:ind w:left="-105" w:right="-105"/>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6</w:t>
                  </w:r>
                </w:p>
              </w:tc>
              <w:tc>
                <w:tcPr>
                  <w:tcW w:w="2884" w:type="dxa"/>
                  <w:shd w:val="clear" w:color="auto" w:fill="auto"/>
                  <w:noWrap w:val="0"/>
                  <w:vAlign w:val="center"/>
                </w:tcPr>
                <w:p>
                  <w:pPr>
                    <w:pStyle w:val="28"/>
                    <w:ind w:left="-105" w:right="-105"/>
                    <w:rPr>
                      <w:color w:val="auto"/>
                    </w:rPr>
                  </w:pPr>
                  <w:r>
                    <w:rPr>
                      <w:rFonts w:hint="eastAsia"/>
                      <w:color w:val="auto"/>
                    </w:rPr>
                    <w:t>石油、天然气开发单位应当采取保护性措施，防止油井套管破损、气井泄漏，污染地下水体。</w:t>
                  </w:r>
                </w:p>
              </w:tc>
              <w:tc>
                <w:tcPr>
                  <w:tcW w:w="2571" w:type="dxa"/>
                  <w:shd w:val="clear" w:color="auto" w:fill="auto"/>
                  <w:noWrap w:val="0"/>
                  <w:vAlign w:val="center"/>
                </w:tcPr>
                <w:p>
                  <w:pPr>
                    <w:pStyle w:val="28"/>
                    <w:ind w:left="-105" w:right="-105"/>
                    <w:rPr>
                      <w:color w:val="auto"/>
                    </w:rPr>
                  </w:pPr>
                  <w:r>
                    <w:rPr>
                      <w:rFonts w:hint="eastAsia"/>
                      <w:color w:val="auto"/>
                    </w:rPr>
                    <w:t>本项目采用下套管注水泥固井完井方式进行水泥固井，保证表层套管封固质量完好；按设计规定实施，确保施工质量；同时严格要求套管下入深度等措施，可以有效控制钻井液在含水层中的漏失，并防止油气泄漏污染地下水。</w:t>
                  </w:r>
                </w:p>
              </w:tc>
              <w:tc>
                <w:tcPr>
                  <w:tcW w:w="645" w:type="dxa"/>
                  <w:shd w:val="clear" w:color="auto" w:fill="auto"/>
                  <w:noWrap w:val="0"/>
                  <w:vAlign w:val="center"/>
                </w:tcPr>
                <w:p>
                  <w:pPr>
                    <w:pStyle w:val="28"/>
                    <w:ind w:left="-105" w:right="-105"/>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shd w:val="clear" w:color="auto" w:fill="auto"/>
                  <w:noWrap w:val="0"/>
                  <w:vAlign w:val="center"/>
                </w:tcPr>
                <w:p>
                  <w:pPr>
                    <w:pStyle w:val="28"/>
                    <w:ind w:left="-105" w:right="-105"/>
                    <w:rPr>
                      <w:color w:val="auto"/>
                    </w:rPr>
                  </w:pPr>
                  <w:r>
                    <w:rPr>
                      <w:color w:val="auto"/>
                    </w:rPr>
                    <w:t>7</w:t>
                  </w:r>
                </w:p>
              </w:tc>
              <w:tc>
                <w:tcPr>
                  <w:tcW w:w="2884" w:type="dxa"/>
                  <w:shd w:val="clear" w:color="auto" w:fill="auto"/>
                  <w:noWrap w:val="0"/>
                  <w:vAlign w:val="center"/>
                </w:tcPr>
                <w:p>
                  <w:pPr>
                    <w:pStyle w:val="28"/>
                    <w:ind w:left="-105" w:right="-105"/>
                    <w:rPr>
                      <w:color w:val="auto"/>
                    </w:rPr>
                  </w:pPr>
                  <w:r>
                    <w:rPr>
                      <w:rFonts w:hint="eastAsia"/>
                      <w:color w:val="auto"/>
                    </w:rPr>
                    <w:t>煤炭、石油、天然气开发单位实施下列活动的，应当恢复地表形态和植被：</w:t>
                  </w:r>
                </w:p>
                <w:p>
                  <w:pPr>
                    <w:pStyle w:val="28"/>
                    <w:ind w:left="-105" w:right="-105"/>
                    <w:rPr>
                      <w:color w:val="auto"/>
                    </w:rPr>
                  </w:pPr>
                  <w:r>
                    <w:rPr>
                      <w:rFonts w:hint="eastAsia"/>
                      <w:color w:val="auto"/>
                    </w:rPr>
                    <w:t>（一）建设工程临时占地破坏腐殖质层、剥离土石的；（二）震裂、压占等造成土地破坏的；（三）占用土地作为临时道路的；（四）油气井、站、中转站、联合站等地面装置设施关闭或者废弃的。</w:t>
                  </w:r>
                </w:p>
              </w:tc>
              <w:tc>
                <w:tcPr>
                  <w:tcW w:w="2571" w:type="dxa"/>
                  <w:shd w:val="clear" w:color="auto" w:fill="auto"/>
                  <w:noWrap w:val="0"/>
                  <w:vAlign w:val="center"/>
                </w:tcPr>
                <w:p>
                  <w:pPr>
                    <w:pStyle w:val="28"/>
                    <w:ind w:left="-105" w:right="-105"/>
                    <w:rPr>
                      <w:color w:val="auto"/>
                    </w:rPr>
                  </w:pPr>
                  <w:r>
                    <w:rPr>
                      <w:rFonts w:hint="eastAsia"/>
                      <w:color w:val="auto"/>
                    </w:rPr>
                    <w:t>环评要求钻井结束后，应对临时占地内的土地进行平整，自然恢复原有地貌，充分利用前期收集的表土覆盖于井场表层，恢复地表植被。</w:t>
                  </w:r>
                </w:p>
              </w:tc>
              <w:tc>
                <w:tcPr>
                  <w:tcW w:w="645" w:type="dxa"/>
                  <w:shd w:val="clear" w:color="auto" w:fill="auto"/>
                  <w:noWrap w:val="0"/>
                  <w:vAlign w:val="center"/>
                </w:tcPr>
                <w:p>
                  <w:pPr>
                    <w:pStyle w:val="28"/>
                    <w:ind w:left="-105" w:right="-105"/>
                    <w:rPr>
                      <w:color w:val="auto"/>
                    </w:rPr>
                  </w:pPr>
                  <w:r>
                    <w:rPr>
                      <w:color w:val="auto"/>
                    </w:rPr>
                    <w:t>符合</w:t>
                  </w: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pacing w:val="4"/>
                <w:sz w:val="28"/>
                <w:szCs w:val="28"/>
              </w:rPr>
            </w:pPr>
            <w:r>
              <w:rPr>
                <w:rFonts w:hint="eastAsia" w:eastAsia="宋体" w:cs="Times New Roman"/>
                <w:b/>
                <w:bCs/>
                <w:color w:val="auto"/>
                <w:spacing w:val="4"/>
                <w:sz w:val="28"/>
                <w:szCs w:val="28"/>
                <w:lang w:val="en-US" w:eastAsia="zh-CN"/>
              </w:rPr>
              <w:t>4</w:t>
            </w:r>
            <w:r>
              <w:rPr>
                <w:rFonts w:hint="default" w:ascii="Times New Roman" w:hAnsi="Times New Roman" w:eastAsia="宋体" w:cs="Times New Roman"/>
                <w:b/>
                <w:bCs/>
                <w:color w:val="auto"/>
                <w:spacing w:val="4"/>
                <w:sz w:val="28"/>
                <w:szCs w:val="28"/>
              </w:rPr>
              <w:t xml:space="preserve"> </w:t>
            </w:r>
            <w:r>
              <w:rPr>
                <w:rFonts w:hint="eastAsia" w:ascii="Times New Roman" w:hAnsi="Times New Roman" w:eastAsia="宋体" w:cs="Times New Roman"/>
                <w:b/>
                <w:bCs/>
                <w:color w:val="auto"/>
                <w:spacing w:val="4"/>
                <w:sz w:val="28"/>
                <w:szCs w:val="28"/>
              </w:rPr>
              <w:t>与《关于进一步加强石油天然气行业环境影响评价管理的通知》的符合性分析</w:t>
            </w:r>
          </w:p>
          <w:p>
            <w:pPr>
              <w:pStyle w:val="4"/>
              <w:rPr>
                <w:color w:val="auto"/>
              </w:rPr>
            </w:pPr>
            <w:r>
              <w:rPr>
                <w:rFonts w:hint="eastAsia"/>
                <w:color w:val="auto"/>
              </w:rPr>
              <w:t>本项目与《关于进一步加强石油天然气行业环境影响评价管理的通知》（环办环评函[2019]910号）相符性见表1-</w:t>
            </w:r>
            <w:r>
              <w:rPr>
                <w:rFonts w:hint="eastAsia"/>
                <w:color w:val="auto"/>
                <w:lang w:val="en-US" w:eastAsia="zh-CN"/>
              </w:rPr>
              <w:t>5</w:t>
            </w:r>
            <w:r>
              <w:rPr>
                <w:rFonts w:hint="eastAsia"/>
                <w:color w:val="auto"/>
              </w:rPr>
              <w:t>。</w:t>
            </w:r>
          </w:p>
          <w:p>
            <w:pPr>
              <w:pStyle w:val="27"/>
              <w:rPr>
                <w:color w:val="auto"/>
              </w:rPr>
            </w:pPr>
            <w:r>
              <w:rPr>
                <w:color w:val="auto"/>
              </w:rPr>
              <w:t>表1-</w:t>
            </w:r>
            <w:r>
              <w:rPr>
                <w:rFonts w:hint="eastAsia"/>
                <w:color w:val="auto"/>
                <w:lang w:val="en-US" w:eastAsia="zh-CN"/>
              </w:rPr>
              <w:t>5</w:t>
            </w:r>
            <w:r>
              <w:rPr>
                <w:color w:val="auto"/>
              </w:rPr>
              <w:t xml:space="preserve">  与《关于进一步加强石油天然气行业环境影响评价管理的通知》相符性分析一览表</w:t>
            </w:r>
          </w:p>
          <w:tbl>
            <w:tblPr>
              <w:tblStyle w:val="17"/>
              <w:tblW w:w="48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2"/>
              <w:gridCol w:w="3184"/>
              <w:gridCol w:w="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序号</w:t>
                  </w:r>
                </w:p>
              </w:tc>
              <w:tc>
                <w:tcPr>
                  <w:tcW w:w="3573" w:type="dxa"/>
                  <w:shd w:val="clear" w:color="auto" w:fill="auto"/>
                  <w:noWrap w:val="0"/>
                  <w:vAlign w:val="center"/>
                </w:tcPr>
                <w:p>
                  <w:pPr>
                    <w:pStyle w:val="28"/>
                    <w:rPr>
                      <w:color w:val="auto"/>
                    </w:rPr>
                  </w:pPr>
                  <w:r>
                    <w:rPr>
                      <w:color w:val="auto"/>
                    </w:rPr>
                    <w:t>要求</w:t>
                  </w:r>
                </w:p>
              </w:tc>
              <w:tc>
                <w:tcPr>
                  <w:tcW w:w="3185" w:type="dxa"/>
                  <w:shd w:val="clear" w:color="auto" w:fill="auto"/>
                  <w:noWrap w:val="0"/>
                  <w:vAlign w:val="center"/>
                </w:tcPr>
                <w:p>
                  <w:pPr>
                    <w:pStyle w:val="28"/>
                    <w:rPr>
                      <w:color w:val="auto"/>
                    </w:rPr>
                  </w:pPr>
                  <w:r>
                    <w:rPr>
                      <w:color w:val="auto"/>
                    </w:rPr>
                    <w:t>本项目</w:t>
                  </w:r>
                </w:p>
              </w:tc>
              <w:tc>
                <w:tcPr>
                  <w:tcW w:w="799" w:type="dxa"/>
                  <w:shd w:val="clear" w:color="auto" w:fill="auto"/>
                  <w:noWrap w:val="0"/>
                  <w:vAlign w:val="center"/>
                </w:tcPr>
                <w:p>
                  <w:pPr>
                    <w:pStyle w:val="28"/>
                    <w:rPr>
                      <w:color w:val="auto"/>
                    </w:rPr>
                  </w:pPr>
                  <w:r>
                    <w:rPr>
                      <w:color w:val="auto"/>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1</w:t>
                  </w:r>
                </w:p>
              </w:tc>
              <w:tc>
                <w:tcPr>
                  <w:tcW w:w="3573" w:type="dxa"/>
                  <w:shd w:val="clear" w:color="auto" w:fill="auto"/>
                  <w:noWrap w:val="0"/>
                  <w:vAlign w:val="center"/>
                </w:tcPr>
                <w:p>
                  <w:pPr>
                    <w:pStyle w:val="28"/>
                    <w:rPr>
                      <w:color w:val="auto"/>
                    </w:rPr>
                  </w:pPr>
                  <w:r>
                    <w:rPr>
                      <w:color w:val="auto"/>
                    </w:rPr>
                    <w:t>项目环评应当深入评价项目建设、运营带来的环境影响和环境风险，提出有效的生态环境保护和环境风险防范措施。</w:t>
                  </w:r>
                </w:p>
              </w:tc>
              <w:tc>
                <w:tcPr>
                  <w:tcW w:w="3185" w:type="dxa"/>
                  <w:shd w:val="clear" w:color="auto" w:fill="auto"/>
                  <w:noWrap w:val="0"/>
                  <w:vAlign w:val="center"/>
                </w:tcPr>
                <w:p>
                  <w:pPr>
                    <w:pStyle w:val="28"/>
                    <w:rPr>
                      <w:color w:val="auto"/>
                    </w:rPr>
                  </w:pPr>
                  <w:r>
                    <w:rPr>
                      <w:color w:val="auto"/>
                    </w:rPr>
                    <w:t>项目</w:t>
                  </w:r>
                  <w:r>
                    <w:rPr>
                      <w:rFonts w:hint="eastAsia"/>
                      <w:color w:val="auto"/>
                      <w:lang w:val="en-US" w:eastAsia="zh-CN"/>
                    </w:rPr>
                    <w:t>钻井</w:t>
                  </w:r>
                  <w:r>
                    <w:rPr>
                      <w:rFonts w:hint="eastAsia"/>
                      <w:color w:val="auto"/>
                    </w:rPr>
                    <w:t>期</w:t>
                  </w:r>
                  <w:r>
                    <w:rPr>
                      <w:color w:val="auto"/>
                    </w:rPr>
                    <w:t>、</w:t>
                  </w:r>
                  <w:r>
                    <w:rPr>
                      <w:rFonts w:hint="eastAsia"/>
                      <w:color w:val="auto"/>
                      <w:lang w:val="en-US" w:eastAsia="zh-CN"/>
                    </w:rPr>
                    <w:t>试油期</w:t>
                  </w:r>
                  <w:r>
                    <w:rPr>
                      <w:color w:val="auto"/>
                    </w:rPr>
                    <w:t>的环境影响及风险评价详见</w:t>
                  </w:r>
                  <w:r>
                    <w:rPr>
                      <w:rFonts w:hint="eastAsia"/>
                      <w:color w:val="auto"/>
                    </w:rPr>
                    <w:t>后文“环境影响分析”章节</w:t>
                  </w:r>
                  <w:r>
                    <w:rPr>
                      <w:color w:val="auto"/>
                    </w:rPr>
                    <w:t>。</w:t>
                  </w:r>
                </w:p>
              </w:tc>
              <w:tc>
                <w:tcPr>
                  <w:tcW w:w="799" w:type="dxa"/>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2</w:t>
                  </w:r>
                </w:p>
              </w:tc>
              <w:tc>
                <w:tcPr>
                  <w:tcW w:w="3573" w:type="dxa"/>
                  <w:shd w:val="clear" w:color="auto" w:fill="auto"/>
                  <w:noWrap w:val="0"/>
                  <w:vAlign w:val="center"/>
                </w:tcPr>
                <w:p>
                  <w:pPr>
                    <w:pStyle w:val="28"/>
                    <w:rPr>
                      <w:color w:val="auto"/>
                    </w:rPr>
                  </w:pPr>
                  <w:r>
                    <w:rPr>
                      <w:color w:val="auto"/>
                    </w:rPr>
                    <w:t>依托其他防治设施的或者委托第三方处置的，应当论证其可行性和有效性。</w:t>
                  </w:r>
                </w:p>
              </w:tc>
              <w:tc>
                <w:tcPr>
                  <w:tcW w:w="3185" w:type="dxa"/>
                  <w:shd w:val="clear" w:color="auto" w:fill="auto"/>
                  <w:noWrap w:val="0"/>
                  <w:vAlign w:val="center"/>
                </w:tcPr>
                <w:p>
                  <w:pPr>
                    <w:pStyle w:val="28"/>
                    <w:rPr>
                      <w:color w:val="auto"/>
                    </w:rPr>
                  </w:pPr>
                  <w:r>
                    <w:rPr>
                      <w:color w:val="auto"/>
                    </w:rPr>
                    <w:t>本项目依托工程及其可行性分析详见</w:t>
                  </w:r>
                  <w:r>
                    <w:rPr>
                      <w:rFonts w:hint="eastAsia"/>
                      <w:color w:val="auto"/>
                    </w:rPr>
                    <w:t>第二章第6小节</w:t>
                  </w:r>
                  <w:r>
                    <w:rPr>
                      <w:color w:val="auto"/>
                    </w:rPr>
                    <w:t>。</w:t>
                  </w:r>
                </w:p>
              </w:tc>
              <w:tc>
                <w:tcPr>
                  <w:tcW w:w="799" w:type="dxa"/>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3</w:t>
                  </w:r>
                </w:p>
              </w:tc>
              <w:tc>
                <w:tcPr>
                  <w:tcW w:w="3573" w:type="dxa"/>
                  <w:shd w:val="clear" w:color="auto" w:fill="auto"/>
                  <w:noWrap w:val="0"/>
                  <w:vAlign w:val="center"/>
                </w:tcPr>
                <w:p>
                  <w:pPr>
                    <w:pStyle w:val="28"/>
                    <w:rPr>
                      <w:color w:val="auto"/>
                    </w:rPr>
                  </w:pPr>
                  <w:r>
                    <w:rPr>
                      <w:color w:val="auto"/>
                    </w:rPr>
                    <w:t>涉及废水回注的，应当论证回注的环境可行性，采取切实可行的地下水污染防治和监控措施，不得回注与油气开采无关的废水，严禁造成地下水污染。</w:t>
                  </w:r>
                </w:p>
              </w:tc>
              <w:tc>
                <w:tcPr>
                  <w:tcW w:w="3185" w:type="dxa"/>
                  <w:shd w:val="clear" w:color="auto" w:fill="auto"/>
                  <w:noWrap w:val="0"/>
                  <w:vAlign w:val="center"/>
                </w:tcPr>
                <w:p>
                  <w:pPr>
                    <w:pStyle w:val="28"/>
                    <w:rPr>
                      <w:color w:val="auto"/>
                    </w:rPr>
                  </w:pPr>
                  <w:r>
                    <w:rPr>
                      <w:color w:val="auto"/>
                    </w:rPr>
                    <w:t>本项目</w:t>
                  </w:r>
                  <w:r>
                    <w:rPr>
                      <w:rFonts w:hint="eastAsia"/>
                      <w:color w:val="auto"/>
                    </w:rPr>
                    <w:t>试油期井下作业废水</w:t>
                  </w:r>
                  <w:r>
                    <w:rPr>
                      <w:color w:val="auto"/>
                    </w:rPr>
                    <w:t>经</w:t>
                  </w:r>
                  <w:r>
                    <w:rPr>
                      <w:rFonts w:hint="eastAsia"/>
                      <w:color w:val="auto"/>
                    </w:rPr>
                    <w:t>吉祥</w:t>
                  </w:r>
                  <w:r>
                    <w:rPr>
                      <w:color w:val="auto"/>
                    </w:rPr>
                    <w:t>联合站污水处理系统处理达标后用于回注油藏，依托可行性详见</w:t>
                  </w:r>
                  <w:r>
                    <w:rPr>
                      <w:rFonts w:hint="eastAsia"/>
                      <w:color w:val="auto"/>
                    </w:rPr>
                    <w:t>第二章第6小节</w:t>
                  </w:r>
                  <w:r>
                    <w:rPr>
                      <w:color w:val="auto"/>
                    </w:rPr>
                    <w:t>。本项目采取了地下水污染防治和监控措施，防止造成地下水污染，详见报告</w:t>
                  </w:r>
                  <w:r>
                    <w:rPr>
                      <w:rFonts w:hint="eastAsia"/>
                      <w:color w:val="auto"/>
                    </w:rPr>
                    <w:t>环保措施章节</w:t>
                  </w:r>
                  <w:r>
                    <w:rPr>
                      <w:color w:val="auto"/>
                    </w:rPr>
                    <w:t>。</w:t>
                  </w:r>
                </w:p>
              </w:tc>
              <w:tc>
                <w:tcPr>
                  <w:tcW w:w="799" w:type="dxa"/>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4</w:t>
                  </w:r>
                </w:p>
              </w:tc>
              <w:tc>
                <w:tcPr>
                  <w:tcW w:w="3573" w:type="dxa"/>
                  <w:shd w:val="clear" w:color="auto" w:fill="auto"/>
                  <w:noWrap w:val="0"/>
                  <w:vAlign w:val="center"/>
                </w:tcPr>
                <w:p>
                  <w:pPr>
                    <w:pStyle w:val="28"/>
                    <w:rPr>
                      <w:color w:val="auto"/>
                    </w:rPr>
                  </w:pPr>
                  <w:r>
                    <w:rPr>
                      <w:color w:val="auto"/>
                    </w:rPr>
                    <w:t>油气开采产生的废弃油基泥浆、含油钻屑及其他固体废物，应当遵循减量化、资源化、无害化原则，按照国家和地方有关固体废物的管理规定进行处置。</w:t>
                  </w:r>
                </w:p>
              </w:tc>
              <w:tc>
                <w:tcPr>
                  <w:tcW w:w="3185" w:type="dxa"/>
                  <w:shd w:val="clear" w:color="auto" w:fill="auto"/>
                  <w:noWrap w:val="0"/>
                  <w:vAlign w:val="center"/>
                </w:tcPr>
                <w:p>
                  <w:pPr>
                    <w:pStyle w:val="28"/>
                    <w:rPr>
                      <w:color w:val="auto"/>
                    </w:rPr>
                  </w:pPr>
                  <w:r>
                    <w:rPr>
                      <w:color w:val="auto"/>
                    </w:rPr>
                    <w:t>本项目不</w:t>
                  </w:r>
                  <w:r>
                    <w:rPr>
                      <w:rFonts w:hint="eastAsia"/>
                      <w:color w:val="auto"/>
                    </w:rPr>
                    <w:t>产生</w:t>
                  </w:r>
                  <w:r>
                    <w:rPr>
                      <w:color w:val="auto"/>
                    </w:rPr>
                    <w:t>油基泥浆，废弃的水基泥浆经固液分离后液相回用，固相经检测达标后</w:t>
                  </w:r>
                  <w:r>
                    <w:rPr>
                      <w:rFonts w:hint="eastAsia"/>
                      <w:color w:val="auto"/>
                    </w:rPr>
                    <w:t>于铺垫井场</w:t>
                  </w:r>
                  <w:r>
                    <w:rPr>
                      <w:color w:val="auto"/>
                    </w:rPr>
                    <w:t>。</w:t>
                  </w:r>
                </w:p>
              </w:tc>
              <w:tc>
                <w:tcPr>
                  <w:tcW w:w="799" w:type="dxa"/>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6</w:t>
                  </w:r>
                </w:p>
              </w:tc>
              <w:tc>
                <w:tcPr>
                  <w:tcW w:w="3573" w:type="dxa"/>
                  <w:shd w:val="clear" w:color="auto" w:fill="auto"/>
                  <w:noWrap w:val="0"/>
                  <w:vAlign w:val="center"/>
                </w:tcPr>
                <w:p>
                  <w:pPr>
                    <w:pStyle w:val="28"/>
                    <w:rPr>
                      <w:color w:val="auto"/>
                    </w:rPr>
                  </w:pPr>
                  <w:r>
                    <w:rPr>
                      <w:color w:val="auto"/>
                    </w:rPr>
                    <w:t>施工期应当尽量减少施工占地、缩短施工时间、选择合理施工方式、落实环境敏感区管控要求以及其他生态环境保护措施，降低生态环境影响。</w:t>
                  </w:r>
                </w:p>
              </w:tc>
              <w:tc>
                <w:tcPr>
                  <w:tcW w:w="3185" w:type="dxa"/>
                  <w:shd w:val="clear" w:color="auto" w:fill="auto"/>
                  <w:noWrap w:val="0"/>
                  <w:vAlign w:val="center"/>
                </w:tcPr>
                <w:p>
                  <w:pPr>
                    <w:pStyle w:val="28"/>
                    <w:rPr>
                      <w:color w:val="auto"/>
                    </w:rPr>
                  </w:pPr>
                  <w:r>
                    <w:rPr>
                      <w:color w:val="auto"/>
                    </w:rPr>
                    <w:t>施工期严格控制占地面积，施工单位在占地范围内施工，严格控制和管理运输车辆及重型机械施工作业范围。</w:t>
                  </w:r>
                  <w:r>
                    <w:rPr>
                      <w:rFonts w:hint="eastAsia"/>
                      <w:color w:val="auto"/>
                    </w:rPr>
                    <w:t>具体详见环境保护措施章节。</w:t>
                  </w:r>
                </w:p>
              </w:tc>
              <w:tc>
                <w:tcPr>
                  <w:tcW w:w="799" w:type="dxa"/>
                  <w:shd w:val="clear" w:color="auto" w:fill="auto"/>
                  <w:noWrap w:val="0"/>
                  <w:vAlign w:val="center"/>
                </w:tcPr>
                <w:p>
                  <w:pPr>
                    <w:pStyle w:val="28"/>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shd w:val="clear" w:color="auto" w:fill="auto"/>
                  <w:noWrap w:val="0"/>
                  <w:vAlign w:val="center"/>
                </w:tcPr>
                <w:p>
                  <w:pPr>
                    <w:pStyle w:val="28"/>
                    <w:rPr>
                      <w:color w:val="auto"/>
                    </w:rPr>
                  </w:pPr>
                  <w:r>
                    <w:rPr>
                      <w:color w:val="auto"/>
                    </w:rPr>
                    <w:t>7</w:t>
                  </w:r>
                </w:p>
              </w:tc>
              <w:tc>
                <w:tcPr>
                  <w:tcW w:w="3573" w:type="dxa"/>
                  <w:shd w:val="clear" w:color="auto" w:fill="auto"/>
                  <w:noWrap w:val="0"/>
                  <w:vAlign w:val="center"/>
                </w:tcPr>
                <w:p>
                  <w:pPr>
                    <w:pStyle w:val="28"/>
                    <w:rPr>
                      <w:color w:val="auto"/>
                    </w:rPr>
                  </w:pPr>
                  <w:r>
                    <w:rPr>
                      <w:color w:val="auto"/>
                    </w:rPr>
                    <w:t>油气企业应当切实落实生态环境保护主体责任，进一步健全生态环境保护管理体系和制度，充分发挥企业内部生态环境保护部门作用，健全健康、安全与环境（HSE）管理体系，加强督促检查，推动所属油气田落实规划、建设、运营、退役等环节生态环境保护措施。</w:t>
                  </w:r>
                </w:p>
              </w:tc>
              <w:tc>
                <w:tcPr>
                  <w:tcW w:w="3185" w:type="dxa"/>
                  <w:shd w:val="clear" w:color="auto" w:fill="auto"/>
                  <w:noWrap w:val="0"/>
                  <w:vAlign w:val="center"/>
                </w:tcPr>
                <w:p>
                  <w:pPr>
                    <w:pStyle w:val="28"/>
                    <w:rPr>
                      <w:color w:val="auto"/>
                    </w:rPr>
                  </w:pPr>
                  <w:r>
                    <w:rPr>
                      <w:color w:val="auto"/>
                    </w:rPr>
                    <w:t>建设单位设置安全环保科室及人员，建有HSE管理体系，监督落实建设期各项生态环境保护措施。</w:t>
                  </w:r>
                </w:p>
              </w:tc>
              <w:tc>
                <w:tcPr>
                  <w:tcW w:w="799" w:type="dxa"/>
                  <w:shd w:val="clear" w:color="auto" w:fill="auto"/>
                  <w:noWrap w:val="0"/>
                  <w:vAlign w:val="center"/>
                </w:tcPr>
                <w:p>
                  <w:pPr>
                    <w:pStyle w:val="28"/>
                    <w:rPr>
                      <w:color w:val="auto"/>
                    </w:rPr>
                  </w:pPr>
                  <w:r>
                    <w:rPr>
                      <w:color w:val="auto"/>
                    </w:rPr>
                    <w:t>符合</w:t>
                  </w:r>
                </w:p>
              </w:tc>
            </w:tr>
          </w:tbl>
          <w:p>
            <w:pPr>
              <w:pStyle w:val="4"/>
              <w:rPr>
                <w:color w:val="auto"/>
              </w:rPr>
            </w:pPr>
            <w:bookmarkStart w:id="6" w:name="_Hlk42530792"/>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bookmarkEnd w:id="6"/>
          <w:p>
            <w:pPr>
              <w:autoSpaceDE w:val="0"/>
              <w:autoSpaceDN w:val="0"/>
              <w:jc w:val="both"/>
              <w:rPr>
                <w:rFonts w:hint="eastAsia"/>
                <w:color w:val="auto"/>
                <w:kern w:val="0"/>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二、建设内容</w:t>
      </w:r>
    </w:p>
    <w:tbl>
      <w:tblPr>
        <w:tblStyle w:val="1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4" w:hRule="atLeast"/>
          <w:jc w:val="center"/>
        </w:trPr>
        <w:tc>
          <w:tcPr>
            <w:tcW w:w="410" w:type="pct"/>
            <w:noWrap w:val="0"/>
            <w:vAlign w:val="center"/>
          </w:tcPr>
          <w:p>
            <w:pPr>
              <w:rPr>
                <w:color w:val="auto"/>
                <w:kern w:val="0"/>
              </w:rPr>
            </w:pPr>
            <w:r>
              <w:rPr>
                <w:color w:val="auto"/>
                <w:kern w:val="0"/>
              </w:rPr>
              <w:t>地理位置</w:t>
            </w:r>
          </w:p>
        </w:tc>
        <w:tc>
          <w:tcPr>
            <w:tcW w:w="4589" w:type="pct"/>
            <w:noWrap w:val="0"/>
            <w:vAlign w:val="center"/>
          </w:tcPr>
          <w:p>
            <w:pPr>
              <w:spacing w:line="360" w:lineRule="auto"/>
              <w:ind w:firstLine="480" w:firstLineChars="200"/>
              <w:jc w:val="left"/>
              <w:rPr>
                <w:color w:val="auto"/>
                <w:kern w:val="0"/>
                <w:highlight w:val="none"/>
              </w:rPr>
            </w:pPr>
            <w:bookmarkStart w:id="7" w:name="_Hlk81848185"/>
            <w:r>
              <w:rPr>
                <w:rFonts w:hint="eastAsia"/>
                <w:color w:val="auto"/>
                <w:kern w:val="0"/>
              </w:rPr>
              <w:t>本工程位于</w:t>
            </w:r>
            <w:r>
              <w:rPr>
                <w:rFonts w:hint="eastAsia"/>
                <w:color w:val="auto"/>
                <w:kern w:val="0"/>
                <w:lang w:val="en-US" w:eastAsia="zh-CN"/>
              </w:rPr>
              <w:t>新疆昌吉州吉木萨尔县，距吉木萨尔县约95km，</w:t>
            </w:r>
            <w:r>
              <w:rPr>
                <w:rFonts w:hint="eastAsia"/>
                <w:color w:val="auto"/>
                <w:kern w:val="0"/>
              </w:rPr>
              <w:t>项目地理位置见图2-1</w:t>
            </w:r>
            <w:r>
              <w:rPr>
                <w:rFonts w:hint="eastAsia"/>
                <w:color w:val="auto"/>
                <w:kern w:val="0"/>
                <w:lang w:eastAsia="zh-CN"/>
              </w:rPr>
              <w:t>。</w:t>
            </w:r>
            <w:r>
              <w:rPr>
                <w:rFonts w:hint="eastAsia"/>
                <w:color w:val="auto"/>
                <w:kern w:val="0"/>
                <w:lang w:val="en-US" w:eastAsia="zh-CN"/>
              </w:rPr>
              <w:t>本次</w:t>
            </w:r>
            <w:r>
              <w:rPr>
                <w:rFonts w:hint="eastAsia"/>
                <w:color w:val="auto"/>
                <w:kern w:val="0"/>
              </w:rPr>
              <w:t>拟新钻</w:t>
            </w:r>
            <w:r>
              <w:rPr>
                <w:rFonts w:hint="eastAsia"/>
                <w:color w:val="auto"/>
                <w:kern w:val="0"/>
                <w:lang w:val="en-US" w:eastAsia="zh-CN"/>
              </w:rPr>
              <w:t>1口预探井（沙帐1井），</w:t>
            </w:r>
            <w:r>
              <w:rPr>
                <w:rFonts w:hint="eastAsia"/>
                <w:color w:val="auto"/>
                <w:kern w:val="0"/>
              </w:rPr>
              <w:t>井口坐标详见表</w:t>
            </w:r>
            <w:r>
              <w:rPr>
                <w:color w:val="auto"/>
                <w:kern w:val="0"/>
              </w:rPr>
              <w:t>2</w:t>
            </w:r>
            <w:r>
              <w:rPr>
                <w:rFonts w:hint="eastAsia"/>
                <w:color w:val="auto"/>
                <w:kern w:val="0"/>
              </w:rPr>
              <w:t>-1。</w:t>
            </w:r>
            <w:r>
              <w:rPr>
                <w:rFonts w:hint="eastAsia"/>
                <w:color w:val="auto"/>
                <w:kern w:val="0"/>
                <w:lang w:val="en-US" w:eastAsia="zh-CN"/>
              </w:rPr>
              <w:t>沙帐1</w:t>
            </w:r>
            <w:r>
              <w:rPr>
                <w:rFonts w:hint="eastAsia"/>
                <w:color w:val="auto"/>
                <w:kern w:val="0"/>
              </w:rPr>
              <w:t>井场周边</w:t>
            </w:r>
            <w:r>
              <w:rPr>
                <w:rFonts w:hint="eastAsia"/>
                <w:color w:val="auto"/>
                <w:kern w:val="0"/>
                <w:lang w:val="en-US" w:eastAsia="zh-CN"/>
              </w:rPr>
              <w:t>为戈壁</w:t>
            </w:r>
            <w:r>
              <w:rPr>
                <w:rFonts w:hint="eastAsia"/>
                <w:color w:val="auto"/>
                <w:kern w:val="0"/>
                <w:highlight w:val="none"/>
                <w:lang w:val="en-US" w:eastAsia="zh-CN"/>
              </w:rPr>
              <w:t>；沙帐1井与阿勒泰-巴仑台公路、五大高速公路分别相距205m、385m，西距卡拉麦里山自然保护区试验区约6.25km。</w:t>
            </w:r>
            <w:r>
              <w:rPr>
                <w:rFonts w:hint="eastAsia"/>
                <w:color w:val="auto"/>
                <w:kern w:val="0"/>
                <w:highlight w:val="none"/>
              </w:rPr>
              <w:t>项目区周边情况见图2-2，现场勘查</w:t>
            </w:r>
            <w:r>
              <w:rPr>
                <w:rFonts w:hint="eastAsia"/>
                <w:color w:val="auto"/>
                <w:kern w:val="0"/>
                <w:highlight w:val="none"/>
                <w:lang w:val="en-US" w:eastAsia="zh-CN"/>
              </w:rPr>
              <w:t>照片</w:t>
            </w:r>
            <w:r>
              <w:rPr>
                <w:rFonts w:hint="eastAsia"/>
                <w:color w:val="auto"/>
                <w:kern w:val="0"/>
                <w:highlight w:val="none"/>
              </w:rPr>
              <w:t>见图2-3</w:t>
            </w:r>
            <w:r>
              <w:rPr>
                <w:color w:val="auto"/>
                <w:kern w:val="0"/>
                <w:highlight w:val="none"/>
              </w:rPr>
              <w:t>。</w:t>
            </w:r>
          </w:p>
          <w:bookmarkEnd w:id="7"/>
          <w:p>
            <w:pPr>
              <w:pStyle w:val="27"/>
              <w:rPr>
                <w:color w:val="auto"/>
              </w:rPr>
            </w:pPr>
            <w:r>
              <w:rPr>
                <w:rFonts w:hint="eastAsia"/>
                <w:color w:val="auto"/>
              </w:rPr>
              <w:t>表</w:t>
            </w:r>
            <w:r>
              <w:rPr>
                <w:color w:val="auto"/>
              </w:rPr>
              <w:t>2</w:t>
            </w:r>
            <w:r>
              <w:rPr>
                <w:rFonts w:hint="eastAsia"/>
                <w:color w:val="auto"/>
              </w:rPr>
              <w:t>-</w:t>
            </w:r>
            <w:r>
              <w:rPr>
                <w:color w:val="auto"/>
              </w:rPr>
              <w:t>1</w:t>
            </w:r>
            <w:r>
              <w:rPr>
                <w:rFonts w:hint="eastAsia"/>
                <w:color w:val="auto"/>
              </w:rPr>
              <w:t xml:space="preserve">  项目井口坐标一览表</w:t>
            </w:r>
          </w:p>
          <w:tbl>
            <w:tblPr>
              <w:tblStyle w:val="17"/>
              <w:tblW w:w="8099" w:type="dxa"/>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1828"/>
              <w:gridCol w:w="1411"/>
              <w:gridCol w:w="1352"/>
              <w:gridCol w:w="1418"/>
              <w:gridCol w:w="147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12" w:type="dxa"/>
                  <w:vMerge w:val="restart"/>
                  <w:tcBorders>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序号</w:t>
                  </w:r>
                </w:p>
              </w:tc>
              <w:tc>
                <w:tcPr>
                  <w:tcW w:w="1828" w:type="dxa"/>
                  <w:vMerge w:val="restart"/>
                  <w:tcBorders>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井号</w:t>
                  </w:r>
                </w:p>
              </w:tc>
              <w:tc>
                <w:tcPr>
                  <w:tcW w:w="5659" w:type="dxa"/>
                  <w:gridSpan w:val="4"/>
                  <w:tcBorders>
                    <w:left w:val="single" w:color="auto" w:sz="8" w:space="0"/>
                    <w:bottom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坐标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12" w:type="dxa"/>
                  <w:vMerge w:val="continue"/>
                  <w:tcBorders>
                    <w:top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p>
              </w:tc>
              <w:tc>
                <w:tcPr>
                  <w:tcW w:w="18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p>
              </w:tc>
              <w:tc>
                <w:tcPr>
                  <w:tcW w:w="141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X</w:t>
                  </w:r>
                </w:p>
              </w:tc>
              <w:tc>
                <w:tcPr>
                  <w:tcW w:w="135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Y</w:t>
                  </w:r>
                </w:p>
              </w:tc>
              <w:tc>
                <w:tcPr>
                  <w:tcW w:w="14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经度</w:t>
                  </w:r>
                </w:p>
              </w:tc>
              <w:tc>
                <w:tcPr>
                  <w:tcW w:w="1478" w:type="dxa"/>
                  <w:tcBorders>
                    <w:top w:val="single" w:color="auto" w:sz="8" w:space="0"/>
                    <w:left w:val="single" w:color="auto" w:sz="8" w:space="0"/>
                    <w:bottom w:val="single" w:color="auto" w:sz="8" w:space="0"/>
                  </w:tcBorders>
                  <w:shd w:val="clear" w:color="auto" w:fill="auto"/>
                  <w:noWrap w:val="0"/>
                  <w:vAlign w:val="center"/>
                </w:tcPr>
                <w:p>
                  <w:pPr>
                    <w:pStyle w:val="28"/>
                    <w:ind w:left="-105" w:right="-105"/>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纬度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12" w:type="dxa"/>
                  <w:tcBorders>
                    <w:top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82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color w:val="auto"/>
                      <w:sz w:val="21"/>
                      <w:szCs w:val="21"/>
                    </w:rPr>
                  </w:pPr>
                  <w:r>
                    <w:rPr>
                      <w:rFonts w:hint="eastAsia" w:cs="Times New Roman"/>
                      <w:color w:val="auto"/>
                      <w:sz w:val="21"/>
                      <w:szCs w:val="21"/>
                      <w:lang w:val="en-US" w:eastAsia="zh-CN"/>
                    </w:rPr>
                    <w:t>沙帐1</w:t>
                  </w:r>
                  <w:r>
                    <w:rPr>
                      <w:rFonts w:hint="default" w:ascii="Times New Roman" w:hAnsi="Times New Roman" w:cs="Times New Roman"/>
                      <w:color w:val="auto"/>
                      <w:sz w:val="21"/>
                      <w:szCs w:val="21"/>
                    </w:rPr>
                    <w:t>井</w:t>
                  </w:r>
                </w:p>
              </w:tc>
              <w:tc>
                <w:tcPr>
                  <w:tcW w:w="141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4968969.97</w:t>
                  </w:r>
                </w:p>
              </w:tc>
              <w:tc>
                <w:tcPr>
                  <w:tcW w:w="135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15654105.93</w:t>
                  </w:r>
                </w:p>
              </w:tc>
              <w:tc>
                <w:tcPr>
                  <w:tcW w:w="14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28"/>
                    <w:ind w:left="-105" w:right="-105"/>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8</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56.42</w:t>
                  </w:r>
                  <w:r>
                    <w:rPr>
                      <w:rFonts w:hint="default" w:ascii="Times New Roman" w:hAnsi="Times New Roman" w:cs="Times New Roman"/>
                      <w:color w:val="auto"/>
                      <w:sz w:val="21"/>
                      <w:szCs w:val="21"/>
                      <w:highlight w:val="none"/>
                    </w:rPr>
                    <w:t>″</w:t>
                  </w:r>
                </w:p>
              </w:tc>
              <w:tc>
                <w:tcPr>
                  <w:tcW w:w="1478" w:type="dxa"/>
                  <w:tcBorders>
                    <w:top w:val="single" w:color="auto" w:sz="8" w:space="0"/>
                    <w:left w:val="single" w:color="auto" w:sz="8" w:space="0"/>
                    <w:bottom w:val="single" w:color="auto" w:sz="8" w:space="0"/>
                  </w:tcBorders>
                  <w:shd w:val="clear" w:color="auto" w:fill="auto"/>
                  <w:noWrap w:val="0"/>
                  <w:vAlign w:val="center"/>
                </w:tcPr>
                <w:p>
                  <w:pPr>
                    <w:pStyle w:val="28"/>
                    <w:ind w:left="-105" w:right="-105"/>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4</w:t>
                  </w:r>
                  <w:r>
                    <w:rPr>
                      <w:rFonts w:hint="eastAsia"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°5</w:t>
                  </w:r>
                  <w:r>
                    <w:rPr>
                      <w:rFonts w:hint="eastAsia"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19.80</w:t>
                  </w:r>
                  <w:r>
                    <w:rPr>
                      <w:rFonts w:hint="default" w:ascii="Times New Roman" w:hAnsi="Times New Roman" w:cs="Times New Roman"/>
                      <w:color w:val="auto"/>
                      <w:sz w:val="21"/>
                      <w:szCs w:val="21"/>
                      <w:highlight w:val="none"/>
                    </w:rPr>
                    <w:t>″</w:t>
                  </w:r>
                </w:p>
              </w:tc>
            </w:tr>
          </w:tbl>
          <w:p>
            <w:pPr>
              <w:pStyle w:val="4"/>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10" w:type="pct"/>
            <w:noWrap w:val="0"/>
            <w:vAlign w:val="center"/>
          </w:tcPr>
          <w:p>
            <w:pPr>
              <w:rPr>
                <w:color w:val="auto"/>
                <w:kern w:val="0"/>
              </w:rPr>
            </w:pPr>
            <w:r>
              <w:rPr>
                <w:color w:val="auto"/>
                <w:kern w:val="0"/>
              </w:rPr>
              <w:t>项目组成及规模</w:t>
            </w:r>
          </w:p>
        </w:tc>
        <w:tc>
          <w:tcPr>
            <w:tcW w:w="4589" w:type="pct"/>
            <w:noWrap w:val="0"/>
            <w:vAlign w:val="center"/>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1</w:t>
            </w:r>
            <w:r>
              <w:rPr>
                <w:rFonts w:hint="eastAsia"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rPr>
              <w:t>建设内容及规模</w:t>
            </w:r>
          </w:p>
          <w:p>
            <w:pPr>
              <w:pStyle w:val="4"/>
              <w:rPr>
                <w:color w:val="auto"/>
              </w:rPr>
            </w:pPr>
            <w:r>
              <w:rPr>
                <w:rFonts w:hint="eastAsia"/>
                <w:color w:val="auto"/>
              </w:rPr>
              <w:t>本工程建设内容为新钻</w:t>
            </w:r>
            <w:r>
              <w:rPr>
                <w:color w:val="auto"/>
              </w:rPr>
              <w:t>1</w:t>
            </w:r>
            <w:r>
              <w:rPr>
                <w:rFonts w:hint="eastAsia"/>
                <w:color w:val="auto"/>
              </w:rPr>
              <w:t>口预探井</w:t>
            </w:r>
            <w:r>
              <w:rPr>
                <w:rFonts w:hint="eastAsia"/>
                <w:color w:val="auto"/>
                <w:kern w:val="0"/>
                <w:lang w:val="en-US" w:eastAsia="zh-CN"/>
              </w:rPr>
              <w:t>（沙帐1井）</w:t>
            </w:r>
            <w:r>
              <w:rPr>
                <w:rFonts w:hint="eastAsia"/>
                <w:color w:val="auto"/>
              </w:rPr>
              <w:t>，完井后进行试油，获取有关技术参数。</w:t>
            </w:r>
            <w:r>
              <w:rPr>
                <w:rFonts w:hint="default" w:ascii="Times New Roman" w:hAnsi="Times New Roman" w:cs="Times New Roman"/>
                <w:color w:val="auto"/>
                <w:lang w:val="en-US" w:eastAsia="zh-CN"/>
              </w:rPr>
              <w:t>本项目临时占地</w:t>
            </w:r>
            <w:r>
              <w:rPr>
                <w:rFonts w:hint="eastAsia" w:cs="Times New Roman"/>
                <w:color w:val="auto"/>
                <w:lang w:val="en-US" w:eastAsia="zh-CN"/>
              </w:rPr>
              <w:t>10740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，其中井场占地</w:t>
            </w:r>
            <w:r>
              <w:rPr>
                <w:rFonts w:hint="eastAsia" w:cs="Times New Roman"/>
                <w:color w:val="auto"/>
                <w:lang w:val="en-US" w:eastAsia="zh-CN"/>
              </w:rPr>
              <w:t>7200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，井场道路占地</w:t>
            </w:r>
            <w:r>
              <w:rPr>
                <w:rFonts w:hint="eastAsia" w:cs="Times New Roman"/>
                <w:color w:val="auto"/>
                <w:lang w:val="en-US" w:eastAsia="zh-CN"/>
              </w:rPr>
              <w:t>1540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，生活区占地</w:t>
            </w:r>
            <w:r>
              <w:rPr>
                <w:rFonts w:hint="eastAsia" w:cs="Times New Roman"/>
                <w:color w:val="auto"/>
                <w:lang w:val="en-US" w:eastAsia="zh-CN"/>
              </w:rPr>
              <w:t>200</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color w:val="auto"/>
              </w:rPr>
              <w:t>工程组成详见表</w:t>
            </w:r>
            <w:r>
              <w:rPr>
                <w:color w:val="auto"/>
              </w:rPr>
              <w:t>2</w:t>
            </w:r>
            <w:r>
              <w:rPr>
                <w:rFonts w:hint="eastAsia"/>
                <w:color w:val="auto"/>
              </w:rPr>
              <w:t>-</w:t>
            </w:r>
            <w:r>
              <w:rPr>
                <w:color w:val="auto"/>
              </w:rPr>
              <w:t>2</w:t>
            </w:r>
            <w:r>
              <w:rPr>
                <w:rFonts w:hint="eastAsia"/>
                <w:color w:val="auto"/>
              </w:rPr>
              <w:t>。</w:t>
            </w:r>
          </w:p>
          <w:p>
            <w:pPr>
              <w:pStyle w:val="27"/>
              <w:rPr>
                <w:color w:val="auto"/>
              </w:rPr>
            </w:pPr>
            <w:bookmarkStart w:id="8" w:name="_Hlk44515507"/>
            <w:r>
              <w:rPr>
                <w:rFonts w:hint="eastAsia"/>
                <w:color w:val="auto"/>
              </w:rPr>
              <w:t>表</w:t>
            </w:r>
            <w:r>
              <w:rPr>
                <w:color w:val="auto"/>
              </w:rPr>
              <w:t>2</w:t>
            </w:r>
            <w:r>
              <w:rPr>
                <w:rFonts w:hint="eastAsia"/>
                <w:color w:val="auto"/>
              </w:rPr>
              <w:t>-</w:t>
            </w:r>
            <w:r>
              <w:rPr>
                <w:color w:val="auto"/>
              </w:rPr>
              <w:t>2</w:t>
            </w:r>
            <w:r>
              <w:rPr>
                <w:rFonts w:hint="eastAsia"/>
                <w:color w:val="auto"/>
              </w:rPr>
              <w:t xml:space="preserve">  项目建设内容一览表</w:t>
            </w:r>
          </w:p>
          <w:bookmarkEnd w:id="8"/>
          <w:tbl>
            <w:tblPr>
              <w:tblStyle w:val="17"/>
              <w:tblW w:w="8078" w:type="dxa"/>
              <w:tblInd w:w="3"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39"/>
              <w:gridCol w:w="678"/>
              <w:gridCol w:w="87"/>
              <w:gridCol w:w="1396"/>
              <w:gridCol w:w="527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shd w:val="clear" w:color="auto" w:fill="auto"/>
                  <w:noWrap w:val="0"/>
                  <w:vAlign w:val="center"/>
                </w:tcPr>
                <w:p>
                  <w:pPr>
                    <w:pStyle w:val="28"/>
                    <w:ind w:left="-105" w:right="-105"/>
                    <w:rPr>
                      <w:b w:val="0"/>
                      <w:bCs w:val="0"/>
                      <w:color w:val="auto"/>
                    </w:rPr>
                  </w:pPr>
                  <w:bookmarkStart w:id="9" w:name="_Hlk44515491"/>
                  <w:r>
                    <w:rPr>
                      <w:rFonts w:hint="eastAsia"/>
                      <w:b w:val="0"/>
                      <w:bCs w:val="0"/>
                      <w:color w:val="auto"/>
                    </w:rPr>
                    <w:t>名称</w:t>
                  </w:r>
                </w:p>
              </w:tc>
              <w:tc>
                <w:tcPr>
                  <w:tcW w:w="2161" w:type="dxa"/>
                  <w:gridSpan w:val="3"/>
                  <w:shd w:val="clear" w:color="auto" w:fill="auto"/>
                  <w:noWrap w:val="0"/>
                  <w:vAlign w:val="center"/>
                </w:tcPr>
                <w:p>
                  <w:pPr>
                    <w:pStyle w:val="28"/>
                    <w:ind w:left="-105" w:right="-105"/>
                    <w:rPr>
                      <w:b w:val="0"/>
                      <w:bCs w:val="0"/>
                      <w:color w:val="auto"/>
                    </w:rPr>
                  </w:pPr>
                  <w:r>
                    <w:rPr>
                      <w:rFonts w:hint="eastAsia"/>
                      <w:b w:val="0"/>
                      <w:bCs w:val="0"/>
                      <w:color w:val="auto"/>
                    </w:rPr>
                    <w:t>建设内容</w:t>
                  </w:r>
                </w:p>
              </w:tc>
              <w:tc>
                <w:tcPr>
                  <w:tcW w:w="5278" w:type="dxa"/>
                  <w:shd w:val="clear" w:color="auto" w:fill="auto"/>
                  <w:noWrap w:val="0"/>
                  <w:vAlign w:val="center"/>
                </w:tcPr>
                <w:p>
                  <w:pPr>
                    <w:pStyle w:val="28"/>
                    <w:ind w:left="-105" w:right="-105"/>
                    <w:rPr>
                      <w:b w:val="0"/>
                      <w:bCs w:val="0"/>
                      <w:color w:val="auto"/>
                    </w:rPr>
                  </w:pPr>
                  <w:r>
                    <w:rPr>
                      <w:rFonts w:hint="eastAsia"/>
                      <w:b w:val="0"/>
                      <w:bCs w:val="0"/>
                      <w:color w:val="auto"/>
                    </w:rPr>
                    <w:t>建设规模</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restart"/>
                  <w:shd w:val="clear" w:color="auto" w:fill="auto"/>
                  <w:noWrap w:val="0"/>
                  <w:vAlign w:val="center"/>
                </w:tcPr>
                <w:p>
                  <w:pPr>
                    <w:pStyle w:val="28"/>
                    <w:ind w:left="-105" w:right="-105"/>
                    <w:rPr>
                      <w:color w:val="auto"/>
                    </w:rPr>
                  </w:pPr>
                  <w:r>
                    <w:rPr>
                      <w:rFonts w:hint="eastAsia"/>
                      <w:color w:val="auto"/>
                    </w:rPr>
                    <w:t>主体</w:t>
                  </w:r>
                </w:p>
                <w:p>
                  <w:pPr>
                    <w:pStyle w:val="28"/>
                    <w:ind w:left="-105" w:right="-105"/>
                    <w:rPr>
                      <w:color w:val="auto"/>
                    </w:rPr>
                  </w:pPr>
                  <w:r>
                    <w:rPr>
                      <w:rFonts w:hint="eastAsia"/>
                      <w:color w:val="auto"/>
                    </w:rPr>
                    <w:t>工程</w:t>
                  </w:r>
                </w:p>
              </w:tc>
              <w:tc>
                <w:tcPr>
                  <w:tcW w:w="2161" w:type="dxa"/>
                  <w:gridSpan w:val="3"/>
                  <w:shd w:val="clear" w:color="auto" w:fill="auto"/>
                  <w:noWrap w:val="0"/>
                  <w:vAlign w:val="center"/>
                </w:tcPr>
                <w:p>
                  <w:pPr>
                    <w:jc w:val="center"/>
                    <w:rPr>
                      <w:rFonts w:hint="eastAsia" w:ascii="Times New Roman" w:hAnsi="Times New Roman" w:eastAsia="宋体" w:cs="Times New Roman"/>
                      <w:color w:val="auto"/>
                      <w:kern w:val="2"/>
                      <w:sz w:val="21"/>
                      <w:szCs w:val="21"/>
                      <w:lang w:val="en-US" w:eastAsia="zh-CN" w:bidi="ar-SA"/>
                    </w:rPr>
                  </w:pPr>
                  <w:r>
                    <w:rPr>
                      <w:color w:val="auto"/>
                      <w:kern w:val="0"/>
                      <w:sz w:val="21"/>
                      <w:szCs w:val="21"/>
                    </w:rPr>
                    <w:t>钻前工程</w:t>
                  </w:r>
                </w:p>
              </w:tc>
              <w:tc>
                <w:tcPr>
                  <w:tcW w:w="5278" w:type="dxa"/>
                  <w:shd w:val="clear" w:color="auto" w:fill="auto"/>
                  <w:noWrap w:val="0"/>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color w:val="auto"/>
                      <w:kern w:val="0"/>
                      <w:sz w:val="21"/>
                      <w:szCs w:val="21"/>
                    </w:rPr>
                    <w:t>钻井前准备工作，包括进场道路建设、井场平整、设备基础修建等</w:t>
                  </w:r>
                  <w:r>
                    <w:rPr>
                      <w:rFonts w:hint="eastAsia"/>
                      <w:color w:val="auto"/>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钻井工程</w:t>
                  </w:r>
                </w:p>
              </w:tc>
              <w:tc>
                <w:tcPr>
                  <w:tcW w:w="5278" w:type="dxa"/>
                  <w:shd w:val="clear" w:color="auto" w:fill="auto"/>
                  <w:noWrap w:val="0"/>
                  <w:vAlign w:val="center"/>
                </w:tcPr>
                <w:p>
                  <w:pPr>
                    <w:pStyle w:val="28"/>
                    <w:ind w:left="-105" w:right="-105"/>
                    <w:rPr>
                      <w:rFonts w:hint="default" w:eastAsia="宋体"/>
                      <w:color w:val="auto"/>
                      <w:lang w:val="en-US" w:eastAsia="zh-CN"/>
                    </w:rPr>
                  </w:pPr>
                  <w:r>
                    <w:rPr>
                      <w:rFonts w:hint="eastAsia"/>
                      <w:color w:val="auto"/>
                    </w:rPr>
                    <w:t>新钻</w:t>
                  </w:r>
                  <w:r>
                    <w:rPr>
                      <w:color w:val="auto"/>
                    </w:rPr>
                    <w:t>1</w:t>
                  </w:r>
                  <w:r>
                    <w:rPr>
                      <w:rFonts w:hint="eastAsia"/>
                      <w:color w:val="auto"/>
                    </w:rPr>
                    <w:t>口预探井</w:t>
                  </w:r>
                  <w:r>
                    <w:rPr>
                      <w:rFonts w:hint="eastAsia"/>
                      <w:color w:val="auto"/>
                      <w:kern w:val="0"/>
                      <w:lang w:val="en-US" w:eastAsia="zh-CN"/>
                    </w:rPr>
                    <w:t>（沙帐1井）</w:t>
                  </w:r>
                  <w:r>
                    <w:rPr>
                      <w:rFonts w:hint="eastAsia"/>
                      <w:color w:val="auto"/>
                      <w:lang w:val="en-US" w:eastAsia="zh-CN"/>
                    </w:rPr>
                    <w:t>，井型</w:t>
                  </w:r>
                  <w:r>
                    <w:rPr>
                      <w:rFonts w:hint="eastAsia"/>
                      <w:color w:val="auto"/>
                    </w:rPr>
                    <w:t>为直井</w:t>
                  </w:r>
                  <w:r>
                    <w:rPr>
                      <w:rFonts w:hint="eastAsia"/>
                      <w:color w:val="auto"/>
                      <w:lang w:eastAsia="zh-CN"/>
                    </w:rPr>
                    <w:t>，</w:t>
                  </w:r>
                  <w:r>
                    <w:rPr>
                      <w:rFonts w:hint="eastAsia"/>
                      <w:color w:val="auto"/>
                      <w:lang w:val="en-US" w:eastAsia="zh-CN"/>
                    </w:rPr>
                    <w:t>设计井深2625m，钻井总进尺2625m。</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765" w:type="dxa"/>
                  <w:gridSpan w:val="2"/>
                  <w:vMerge w:val="restart"/>
                  <w:shd w:val="clear" w:color="auto" w:fill="auto"/>
                  <w:noWrap w:val="0"/>
                  <w:vAlign w:val="center"/>
                </w:tcPr>
                <w:p>
                  <w:pPr>
                    <w:pStyle w:val="28"/>
                    <w:ind w:left="-105" w:right="-105"/>
                    <w:rPr>
                      <w:color w:val="auto"/>
                    </w:rPr>
                  </w:pPr>
                  <w:r>
                    <w:rPr>
                      <w:rFonts w:hint="eastAsia"/>
                      <w:color w:val="auto"/>
                    </w:rPr>
                    <w:t>钻井主要设施</w:t>
                  </w:r>
                </w:p>
              </w:tc>
              <w:tc>
                <w:tcPr>
                  <w:tcW w:w="1396" w:type="dxa"/>
                  <w:shd w:val="clear" w:color="auto" w:fill="auto"/>
                  <w:noWrap w:val="0"/>
                  <w:vAlign w:val="center"/>
                </w:tcPr>
                <w:p>
                  <w:pPr>
                    <w:pStyle w:val="28"/>
                    <w:ind w:left="-105" w:right="-105"/>
                    <w:rPr>
                      <w:color w:val="auto"/>
                    </w:rPr>
                  </w:pPr>
                  <w:r>
                    <w:rPr>
                      <w:color w:val="auto"/>
                    </w:rPr>
                    <w:t>钻井液循环设施</w:t>
                  </w:r>
                </w:p>
              </w:tc>
              <w:tc>
                <w:tcPr>
                  <w:tcW w:w="5278" w:type="dxa"/>
                  <w:shd w:val="clear" w:color="auto" w:fill="auto"/>
                  <w:noWrap w:val="0"/>
                  <w:vAlign w:val="center"/>
                </w:tcPr>
                <w:p>
                  <w:pPr>
                    <w:pStyle w:val="28"/>
                    <w:ind w:left="-105" w:right="-105"/>
                    <w:rPr>
                      <w:color w:val="auto"/>
                    </w:rPr>
                  </w:pPr>
                  <w:r>
                    <w:rPr>
                      <w:color w:val="auto"/>
                    </w:rPr>
                    <w:t>设置在井场靠近井口位置，控制钻井液注入和循环使用。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765" w:type="dxa"/>
                  <w:gridSpan w:val="2"/>
                  <w:vMerge w:val="continue"/>
                  <w:shd w:val="clear" w:color="auto" w:fill="auto"/>
                  <w:noWrap w:val="0"/>
                  <w:vAlign w:val="center"/>
                </w:tcPr>
                <w:p>
                  <w:pPr>
                    <w:pStyle w:val="28"/>
                    <w:ind w:left="-105" w:right="-105"/>
                    <w:rPr>
                      <w:color w:val="auto"/>
                    </w:rPr>
                  </w:pPr>
                </w:p>
              </w:tc>
              <w:tc>
                <w:tcPr>
                  <w:tcW w:w="1396" w:type="dxa"/>
                  <w:shd w:val="clear" w:color="auto" w:fill="auto"/>
                  <w:noWrap w:val="0"/>
                  <w:vAlign w:val="center"/>
                </w:tcPr>
                <w:p>
                  <w:pPr>
                    <w:pStyle w:val="28"/>
                    <w:ind w:left="-105" w:right="-105"/>
                    <w:rPr>
                      <w:color w:val="auto"/>
                    </w:rPr>
                  </w:pPr>
                  <w:r>
                    <w:rPr>
                      <w:color w:val="auto"/>
                    </w:rPr>
                    <w:t>地面安全阀</w:t>
                  </w:r>
                </w:p>
              </w:tc>
              <w:tc>
                <w:tcPr>
                  <w:tcW w:w="5278" w:type="dxa"/>
                  <w:shd w:val="clear" w:color="auto" w:fill="auto"/>
                  <w:noWrap w:val="0"/>
                  <w:vAlign w:val="center"/>
                </w:tcPr>
                <w:p>
                  <w:pPr>
                    <w:pStyle w:val="28"/>
                    <w:ind w:left="-105" w:right="-105"/>
                    <w:rPr>
                      <w:color w:val="auto"/>
                    </w:rPr>
                  </w:pPr>
                  <w:r>
                    <w:rPr>
                      <w:color w:val="auto"/>
                    </w:rPr>
                    <w:t>防止突发事故，在管道爆裂或其他情况下控制钻井液注入。</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765" w:type="dxa"/>
                  <w:gridSpan w:val="2"/>
                  <w:vMerge w:val="continue"/>
                  <w:shd w:val="clear" w:color="auto" w:fill="auto"/>
                  <w:noWrap w:val="0"/>
                  <w:vAlign w:val="center"/>
                </w:tcPr>
                <w:p>
                  <w:pPr>
                    <w:pStyle w:val="28"/>
                    <w:ind w:left="-105" w:right="-105"/>
                    <w:rPr>
                      <w:color w:val="auto"/>
                    </w:rPr>
                  </w:pPr>
                </w:p>
              </w:tc>
              <w:tc>
                <w:tcPr>
                  <w:tcW w:w="1396" w:type="dxa"/>
                  <w:shd w:val="clear" w:color="auto" w:fill="auto"/>
                  <w:noWrap w:val="0"/>
                  <w:vAlign w:val="center"/>
                </w:tcPr>
                <w:p>
                  <w:pPr>
                    <w:pStyle w:val="28"/>
                    <w:ind w:left="-105" w:right="-105"/>
                    <w:rPr>
                      <w:color w:val="auto"/>
                    </w:rPr>
                  </w:pPr>
                  <w:r>
                    <w:rPr>
                      <w:color w:val="auto"/>
                    </w:rPr>
                    <w:t>井口控制面板</w:t>
                  </w:r>
                </w:p>
              </w:tc>
              <w:tc>
                <w:tcPr>
                  <w:tcW w:w="5278" w:type="dxa"/>
                  <w:shd w:val="clear" w:color="auto" w:fill="auto"/>
                  <w:noWrap w:val="0"/>
                  <w:vAlign w:val="center"/>
                </w:tcPr>
                <w:p>
                  <w:pPr>
                    <w:pStyle w:val="28"/>
                    <w:ind w:left="-105" w:right="-105"/>
                    <w:rPr>
                      <w:color w:val="auto"/>
                    </w:rPr>
                  </w:pPr>
                  <w:r>
                    <w:rPr>
                      <w:color w:val="auto"/>
                    </w:rPr>
                    <w:t>设置在井口，控制地面各安全阀门，防止突发事故。</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765" w:type="dxa"/>
                  <w:gridSpan w:val="2"/>
                  <w:vMerge w:val="continue"/>
                  <w:shd w:val="clear" w:color="auto" w:fill="auto"/>
                  <w:noWrap w:val="0"/>
                  <w:vAlign w:val="center"/>
                </w:tcPr>
                <w:p>
                  <w:pPr>
                    <w:pStyle w:val="28"/>
                    <w:ind w:left="-105" w:right="-105"/>
                    <w:rPr>
                      <w:color w:val="auto"/>
                    </w:rPr>
                  </w:pPr>
                </w:p>
              </w:tc>
              <w:tc>
                <w:tcPr>
                  <w:tcW w:w="1396" w:type="dxa"/>
                  <w:shd w:val="clear" w:color="auto" w:fill="auto"/>
                  <w:noWrap w:val="0"/>
                  <w:vAlign w:val="center"/>
                </w:tcPr>
                <w:p>
                  <w:pPr>
                    <w:pStyle w:val="28"/>
                    <w:ind w:left="-105" w:right="-105"/>
                    <w:rPr>
                      <w:color w:val="auto"/>
                    </w:rPr>
                  </w:pPr>
                  <w:r>
                    <w:rPr>
                      <w:color w:val="auto"/>
                    </w:rPr>
                    <w:t>防喷装置</w:t>
                  </w:r>
                </w:p>
              </w:tc>
              <w:tc>
                <w:tcPr>
                  <w:tcW w:w="5278" w:type="dxa"/>
                  <w:shd w:val="clear" w:color="auto" w:fill="auto"/>
                  <w:noWrap w:val="0"/>
                  <w:vAlign w:val="center"/>
                </w:tcPr>
                <w:p>
                  <w:pPr>
                    <w:pStyle w:val="28"/>
                    <w:ind w:left="-105" w:right="-105"/>
                    <w:rPr>
                      <w:color w:val="auto"/>
                    </w:rPr>
                  </w:pPr>
                  <w:r>
                    <w:rPr>
                      <w:color w:val="auto"/>
                    </w:rPr>
                    <w:t>设置在井口，用于防止地下承压水和深层油气喷出。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试油工程</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kern w:val="0"/>
                      <w:sz w:val="21"/>
                      <w:szCs w:val="21"/>
                    </w:rPr>
                    <w:t>单井试油期180d，</w:t>
                  </w:r>
                  <w:r>
                    <w:rPr>
                      <w:color w:val="auto"/>
                      <w:kern w:val="0"/>
                      <w:sz w:val="21"/>
                      <w:szCs w:val="21"/>
                    </w:rPr>
                    <w:t>对完钻井进行通井、洗井、试压、射孔、诱喷、求产等工序，并配套洗井液注入泵等试油设备</w:t>
                  </w:r>
                  <w:r>
                    <w:rPr>
                      <w:rFonts w:hint="eastAsia"/>
                      <w:color w:val="auto"/>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jc w:val="center"/>
                    <w:rPr>
                      <w:rFonts w:hint="eastAsia" w:ascii="Times New Roman" w:hAnsi="Times New Roman" w:eastAsia="宋体" w:cs="Times New Roman"/>
                      <w:color w:val="auto"/>
                      <w:kern w:val="0"/>
                      <w:sz w:val="21"/>
                      <w:szCs w:val="21"/>
                      <w:lang w:val="en-US" w:eastAsia="zh-CN" w:bidi="ar-SA"/>
                    </w:rPr>
                  </w:pPr>
                  <w:r>
                    <w:rPr>
                      <w:color w:val="auto"/>
                      <w:kern w:val="0"/>
                      <w:sz w:val="21"/>
                      <w:szCs w:val="21"/>
                    </w:rPr>
                    <w:t>钻后工程</w:t>
                  </w:r>
                </w:p>
              </w:tc>
              <w:tc>
                <w:tcPr>
                  <w:tcW w:w="5278" w:type="dxa"/>
                  <w:shd w:val="clear" w:color="auto" w:fill="auto"/>
                  <w:noWrap w:val="0"/>
                  <w:vAlign w:val="center"/>
                </w:tcPr>
                <w:p>
                  <w:pPr>
                    <w:autoSpaceDE w:val="0"/>
                    <w:autoSpaceDN w:val="0"/>
                    <w:jc w:val="center"/>
                    <w:rPr>
                      <w:rFonts w:hint="eastAsia" w:ascii="Times New Roman" w:hAnsi="Times New Roman" w:eastAsia="宋体" w:cs="Times New Roman"/>
                      <w:color w:val="auto"/>
                      <w:kern w:val="0"/>
                      <w:sz w:val="21"/>
                      <w:szCs w:val="21"/>
                      <w:lang w:val="en-US" w:eastAsia="zh-CN" w:bidi="ar-SA"/>
                    </w:rPr>
                  </w:pPr>
                  <w:r>
                    <w:rPr>
                      <w:color w:val="auto"/>
                      <w:kern w:val="0"/>
                      <w:sz w:val="21"/>
                      <w:szCs w:val="21"/>
                    </w:rPr>
                    <w:t>钻井工程结束后进行设备搬迁以及钻井产生“三废”的无害化处理，井场平整及临时占地恢复</w:t>
                  </w:r>
                  <w:r>
                    <w:rPr>
                      <w:rFonts w:hint="eastAsia"/>
                      <w:color w:val="auto"/>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restart"/>
                  <w:shd w:val="clear" w:color="auto" w:fill="auto"/>
                  <w:noWrap w:val="0"/>
                  <w:vAlign w:val="center"/>
                </w:tcPr>
                <w:p>
                  <w:pPr>
                    <w:pStyle w:val="28"/>
                    <w:ind w:left="-105" w:right="-105"/>
                    <w:rPr>
                      <w:color w:val="auto"/>
                    </w:rPr>
                  </w:pPr>
                  <w:r>
                    <w:rPr>
                      <w:rFonts w:hint="eastAsia"/>
                      <w:color w:val="auto"/>
                    </w:rPr>
                    <w:t>辅助</w:t>
                  </w:r>
                </w:p>
                <w:p>
                  <w:pPr>
                    <w:pStyle w:val="28"/>
                    <w:ind w:left="-105" w:right="-105"/>
                    <w:rPr>
                      <w:color w:val="auto"/>
                    </w:rPr>
                  </w:pPr>
                  <w:r>
                    <w:rPr>
                      <w:rFonts w:hint="eastAsia"/>
                      <w:color w:val="auto"/>
                    </w:rPr>
                    <w:t>工程</w:t>
                  </w:r>
                </w:p>
              </w:tc>
              <w:tc>
                <w:tcPr>
                  <w:tcW w:w="2161" w:type="dxa"/>
                  <w:gridSpan w:val="3"/>
                  <w:shd w:val="clear" w:color="auto" w:fill="auto"/>
                  <w:noWrap w:val="0"/>
                  <w:vAlign w:val="center"/>
                </w:tcPr>
                <w:p>
                  <w:pPr>
                    <w:pStyle w:val="28"/>
                    <w:ind w:left="-105" w:right="-105"/>
                    <w:rPr>
                      <w:color w:val="auto"/>
                    </w:rPr>
                  </w:pPr>
                  <w:r>
                    <w:rPr>
                      <w:rFonts w:hint="eastAsia"/>
                      <w:color w:val="auto"/>
                    </w:rPr>
                    <w:t>施工生活营地</w:t>
                  </w:r>
                </w:p>
              </w:tc>
              <w:tc>
                <w:tcPr>
                  <w:tcW w:w="5278" w:type="dxa"/>
                  <w:shd w:val="clear" w:color="auto" w:fill="auto"/>
                  <w:noWrap w:val="0"/>
                  <w:vAlign w:val="center"/>
                </w:tcPr>
                <w:p>
                  <w:pPr>
                    <w:pStyle w:val="28"/>
                    <w:ind w:left="-105" w:right="-105"/>
                    <w:rPr>
                      <w:color w:val="auto"/>
                    </w:rPr>
                  </w:pPr>
                  <w:r>
                    <w:rPr>
                      <w:rFonts w:hint="eastAsia"/>
                      <w:color w:val="auto"/>
                    </w:rPr>
                    <w:t>新建</w:t>
                  </w:r>
                  <w:r>
                    <w:rPr>
                      <w:rFonts w:hint="eastAsia"/>
                      <w:color w:val="auto"/>
                      <w:lang w:val="en-US" w:eastAsia="zh-CN"/>
                    </w:rPr>
                    <w:t>1</w:t>
                  </w:r>
                  <w:r>
                    <w:rPr>
                      <w:rFonts w:hint="eastAsia"/>
                      <w:color w:val="auto"/>
                    </w:rPr>
                    <w:t>座生活营地，占地面积</w:t>
                  </w:r>
                  <w:r>
                    <w:rPr>
                      <w:rFonts w:hint="eastAsia"/>
                      <w:color w:val="auto"/>
                      <w:lang w:val="en-US" w:eastAsia="zh-CN"/>
                    </w:rPr>
                    <w:t>20</w:t>
                  </w:r>
                  <w:r>
                    <w:rPr>
                      <w:color w:val="auto"/>
                    </w:rPr>
                    <w:t>00m</w:t>
                  </w:r>
                  <w:r>
                    <w:rPr>
                      <w:color w:val="auto"/>
                      <w:vertAlign w:val="superscript"/>
                    </w:rPr>
                    <w:t>2</w:t>
                  </w:r>
                  <w:r>
                    <w:rPr>
                      <w:rFonts w:hint="eastAsia"/>
                      <w:color w:val="auto"/>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color w:val="auto"/>
                    </w:rPr>
                    <w:t>井口基础</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rPr>
                    <w:t>加固井口，方便其他配套设施安装</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color w:val="auto"/>
                    </w:rPr>
                    <w:t>临时性活动房</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rPr>
                    <w:t>用于员工休息，设备材料安置等</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restart"/>
                  <w:shd w:val="clear" w:color="auto" w:fill="auto"/>
                  <w:noWrap w:val="0"/>
                  <w:vAlign w:val="center"/>
                </w:tcPr>
                <w:p>
                  <w:pPr>
                    <w:pStyle w:val="28"/>
                    <w:ind w:left="-105" w:right="-105"/>
                    <w:rPr>
                      <w:color w:val="auto"/>
                    </w:rPr>
                  </w:pPr>
                  <w:bookmarkStart w:id="10" w:name="_Hlk85557049"/>
                  <w:bookmarkStart w:id="11" w:name="_Hlk81847802"/>
                  <w:r>
                    <w:rPr>
                      <w:rFonts w:hint="eastAsia"/>
                      <w:color w:val="auto"/>
                    </w:rPr>
                    <w:t>储运</w:t>
                  </w:r>
                </w:p>
                <w:p>
                  <w:pPr>
                    <w:pStyle w:val="28"/>
                    <w:ind w:left="-105" w:right="-105"/>
                    <w:rPr>
                      <w:color w:val="auto"/>
                    </w:rPr>
                  </w:pPr>
                  <w:r>
                    <w:rPr>
                      <w:rFonts w:hint="eastAsia"/>
                      <w:color w:val="auto"/>
                    </w:rPr>
                    <w:t>工程</w:t>
                  </w:r>
                </w:p>
              </w:tc>
              <w:tc>
                <w:tcPr>
                  <w:tcW w:w="2161" w:type="dxa"/>
                  <w:gridSpan w:val="3"/>
                  <w:shd w:val="clear" w:color="auto" w:fill="auto"/>
                  <w:noWrap w:val="0"/>
                  <w:vAlign w:val="center"/>
                </w:tcPr>
                <w:p>
                  <w:pPr>
                    <w:pStyle w:val="28"/>
                    <w:ind w:left="-105" w:right="-105"/>
                    <w:rPr>
                      <w:color w:val="auto"/>
                    </w:rPr>
                  </w:pPr>
                  <w:r>
                    <w:rPr>
                      <w:color w:val="auto"/>
                    </w:rPr>
                    <w:t>井场道路</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rPr>
                    <w:t>新建临时</w:t>
                  </w:r>
                  <w:r>
                    <w:rPr>
                      <w:rFonts w:hint="eastAsia"/>
                      <w:color w:val="auto"/>
                    </w:rPr>
                    <w:t>进场</w:t>
                  </w:r>
                  <w:r>
                    <w:rPr>
                      <w:color w:val="auto"/>
                    </w:rPr>
                    <w:t>道路长</w:t>
                  </w:r>
                  <w:r>
                    <w:rPr>
                      <w:rFonts w:hint="eastAsia"/>
                      <w:color w:val="auto"/>
                      <w:lang w:val="en-US" w:eastAsia="zh-CN"/>
                    </w:rPr>
                    <w:t>220</w:t>
                  </w:r>
                  <w:r>
                    <w:rPr>
                      <w:rFonts w:hint="eastAsia"/>
                      <w:color w:val="auto"/>
                    </w:rPr>
                    <w:t>m，道路宽度</w:t>
                  </w:r>
                  <w:r>
                    <w:rPr>
                      <w:color w:val="auto"/>
                    </w:rPr>
                    <w:t>7m</w:t>
                  </w:r>
                  <w:r>
                    <w:rPr>
                      <w:rFonts w:hint="eastAsia"/>
                      <w:color w:val="auto"/>
                    </w:rPr>
                    <w:t>，</w:t>
                  </w:r>
                  <w:r>
                    <w:rPr>
                      <w:rFonts w:hint="eastAsia"/>
                      <w:color w:val="auto"/>
                      <w:lang w:val="en-US" w:eastAsia="zh-CN"/>
                    </w:rPr>
                    <w:t>道路占地面积1540m</w:t>
                  </w:r>
                  <w:r>
                    <w:rPr>
                      <w:rFonts w:hint="eastAsia"/>
                      <w:color w:val="auto"/>
                      <w:vertAlign w:val="superscript"/>
                      <w:lang w:val="en-US" w:eastAsia="zh-CN"/>
                    </w:rPr>
                    <w:t>2</w:t>
                  </w:r>
                  <w:r>
                    <w:rPr>
                      <w:rFonts w:hint="eastAsia"/>
                      <w:color w:val="auto"/>
                      <w:lang w:val="en-US" w:eastAsia="zh-CN"/>
                    </w:rPr>
                    <w:t>，</w:t>
                  </w:r>
                  <w:r>
                    <w:rPr>
                      <w:rFonts w:hint="eastAsia"/>
                      <w:color w:val="auto"/>
                    </w:rPr>
                    <w:t>砂石</w:t>
                  </w:r>
                  <w:r>
                    <w:rPr>
                      <w:color w:val="auto"/>
                    </w:rPr>
                    <w:t>路面</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color w:val="auto"/>
                    </w:rPr>
                    <w:t>油罐区</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rPr>
                    <w:t>井场内设1个柴油罐，存储钻井用柴油，20m</w:t>
                  </w:r>
                  <w:r>
                    <w:rPr>
                      <w:color w:val="auto"/>
                      <w:vertAlign w:val="superscript"/>
                    </w:rPr>
                    <w:t>3</w:t>
                  </w:r>
                  <w:r>
                    <w:rPr>
                      <w:color w:val="auto"/>
                    </w:rPr>
                    <w:t>/个，最大储存量约16.7t，地坪基础防渗，设30cm高围堰</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color w:val="auto"/>
                    </w:rPr>
                    <w:t>泥浆储备罐区</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rPr>
                    <w:t>位于泥浆循环系统区域，用于储备压井泥浆。罐区周边设置围堰</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color w:val="auto"/>
                    </w:rPr>
                    <w:t>钻井、固井材料储存区</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rPr>
                    <w:t>井场内设置1处材料堆存区，堆场采用彩钢板顶棚防雨防风，地面防渗处理</w:t>
                  </w:r>
                  <w:r>
                    <w:rPr>
                      <w:rFonts w:hint="eastAsia"/>
                      <w:color w:val="auto"/>
                      <w:lang w:eastAsia="zh-CN"/>
                    </w:rPr>
                    <w:t>。</w:t>
                  </w:r>
                </w:p>
              </w:tc>
            </w:tr>
            <w:bookmarkEnd w:id="10"/>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原油临时储罐</w:t>
                  </w:r>
                </w:p>
              </w:tc>
              <w:tc>
                <w:tcPr>
                  <w:tcW w:w="5278" w:type="dxa"/>
                  <w:shd w:val="clear" w:color="auto" w:fill="auto"/>
                  <w:noWrap w:val="0"/>
                  <w:vAlign w:val="center"/>
                </w:tcPr>
                <w:p>
                  <w:pPr>
                    <w:pStyle w:val="28"/>
                    <w:ind w:left="-105" w:right="-105"/>
                    <w:rPr>
                      <w:color w:val="auto"/>
                      <w:vertAlign w:val="superscript"/>
                    </w:rPr>
                  </w:pPr>
                  <w:r>
                    <w:rPr>
                      <w:rFonts w:hint="eastAsia"/>
                      <w:color w:val="auto"/>
                    </w:rPr>
                    <w:t>1座，6</w:t>
                  </w:r>
                  <w:r>
                    <w:rPr>
                      <w:color w:val="auto"/>
                    </w:rPr>
                    <w:t>0m</w:t>
                  </w:r>
                  <w:r>
                    <w:rPr>
                      <w:color w:val="auto"/>
                      <w:vertAlign w:val="superscript"/>
                    </w:rPr>
                    <w:t>3</w:t>
                  </w:r>
                  <w:r>
                    <w:rPr>
                      <w:rFonts w:hint="eastAsia"/>
                      <w:color w:val="auto"/>
                      <w:lang w:eastAsia="zh-CN"/>
                    </w:rPr>
                    <w:t>。</w:t>
                  </w:r>
                </w:p>
              </w:tc>
            </w:tr>
            <w:bookmarkEnd w:id="11"/>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restart"/>
                  <w:shd w:val="clear" w:color="auto" w:fill="auto"/>
                  <w:noWrap w:val="0"/>
                  <w:vAlign w:val="center"/>
                </w:tcPr>
                <w:p>
                  <w:pPr>
                    <w:pStyle w:val="28"/>
                    <w:ind w:left="-105" w:right="-105"/>
                    <w:rPr>
                      <w:color w:val="auto"/>
                    </w:rPr>
                  </w:pPr>
                  <w:r>
                    <w:rPr>
                      <w:rFonts w:hint="eastAsia"/>
                      <w:color w:val="auto"/>
                    </w:rPr>
                    <w:t>公用工程</w:t>
                  </w:r>
                </w:p>
              </w:tc>
              <w:tc>
                <w:tcPr>
                  <w:tcW w:w="2161" w:type="dxa"/>
                  <w:gridSpan w:val="3"/>
                  <w:shd w:val="clear" w:color="auto" w:fill="auto"/>
                  <w:noWrap w:val="0"/>
                  <w:vAlign w:val="center"/>
                </w:tcPr>
                <w:p>
                  <w:pPr>
                    <w:pStyle w:val="28"/>
                    <w:ind w:left="-105" w:right="-105"/>
                    <w:rPr>
                      <w:color w:val="auto"/>
                    </w:rPr>
                  </w:pPr>
                  <w:r>
                    <w:rPr>
                      <w:rFonts w:hint="eastAsia"/>
                      <w:color w:val="auto"/>
                    </w:rPr>
                    <w:t>供配电</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钻机、生活、办公等通过柴油机、发电机供电</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供水</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本项目施工和生活用水，由罐车</w:t>
                  </w:r>
                  <w:r>
                    <w:rPr>
                      <w:rFonts w:hint="eastAsia"/>
                      <w:color w:val="auto"/>
                      <w:lang w:val="en-US" w:eastAsia="zh-CN"/>
                    </w:rPr>
                    <w:t>从吉木萨尔县</w:t>
                  </w:r>
                  <w:r>
                    <w:rPr>
                      <w:rFonts w:hint="eastAsia"/>
                      <w:color w:val="auto"/>
                    </w:rPr>
                    <w:t>拉运至井场</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供热</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项目冬季不施工，不涉及供热</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restart"/>
                  <w:shd w:val="clear" w:color="auto" w:fill="auto"/>
                  <w:noWrap w:val="0"/>
                  <w:vAlign w:val="center"/>
                </w:tcPr>
                <w:p>
                  <w:pPr>
                    <w:pStyle w:val="28"/>
                    <w:ind w:left="-105" w:right="-105"/>
                    <w:rPr>
                      <w:color w:val="auto"/>
                    </w:rPr>
                  </w:pPr>
                  <w:r>
                    <w:rPr>
                      <w:rFonts w:hint="eastAsia"/>
                      <w:color w:val="auto"/>
                    </w:rPr>
                    <w:t>环保工程</w:t>
                  </w:r>
                </w:p>
              </w:tc>
              <w:tc>
                <w:tcPr>
                  <w:tcW w:w="678" w:type="dxa"/>
                  <w:vMerge w:val="restart"/>
                  <w:shd w:val="clear" w:color="auto" w:fill="auto"/>
                  <w:noWrap w:val="0"/>
                  <w:vAlign w:val="center"/>
                </w:tcPr>
                <w:p>
                  <w:pPr>
                    <w:pStyle w:val="28"/>
                    <w:ind w:left="-105" w:right="-105"/>
                    <w:rPr>
                      <w:color w:val="auto"/>
                    </w:rPr>
                  </w:pPr>
                  <w:r>
                    <w:rPr>
                      <w:rFonts w:hint="eastAsia"/>
                      <w:color w:val="auto"/>
                    </w:rPr>
                    <w:t>废气</w:t>
                  </w:r>
                </w:p>
              </w:tc>
              <w:tc>
                <w:tcPr>
                  <w:tcW w:w="1483" w:type="dxa"/>
                  <w:gridSpan w:val="2"/>
                  <w:shd w:val="clear" w:color="auto" w:fill="auto"/>
                  <w:noWrap w:val="0"/>
                  <w:vAlign w:val="center"/>
                </w:tcPr>
                <w:p>
                  <w:pPr>
                    <w:pStyle w:val="28"/>
                    <w:ind w:left="-105" w:right="-105"/>
                    <w:rPr>
                      <w:color w:val="auto"/>
                    </w:rPr>
                  </w:pPr>
                  <w:r>
                    <w:rPr>
                      <w:rFonts w:hint="eastAsia"/>
                      <w:color w:val="auto"/>
                    </w:rPr>
                    <w:t>柴油发电机废气</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废气产生量较少，属无组织排放</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color w:val="auto"/>
                    </w:rPr>
                  </w:pPr>
                  <w:r>
                    <w:rPr>
                      <w:rFonts w:hint="eastAsia"/>
                      <w:color w:val="auto"/>
                    </w:rPr>
                    <w:t>施工扬尘</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lang w:bidi="ar"/>
                    </w:rPr>
                    <w:t>扬尘产生量较少，属无组织排放，采取</w:t>
                  </w:r>
                  <w:r>
                    <w:rPr>
                      <w:color w:val="auto"/>
                      <w:lang w:bidi="ar"/>
                    </w:rPr>
                    <w:t>场区洒水抑尘</w:t>
                  </w:r>
                  <w:r>
                    <w:rPr>
                      <w:rFonts w:hint="eastAsia"/>
                      <w:color w:val="auto"/>
                      <w:lang w:bidi="ar"/>
                    </w:rPr>
                    <w:t>措施</w:t>
                  </w:r>
                  <w:r>
                    <w:rPr>
                      <w:rFonts w:hint="eastAsia"/>
                      <w:color w:val="auto"/>
                      <w:lang w:eastAsia="zh-CN" w:bidi="ar"/>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color w:val="auto"/>
                    </w:rPr>
                  </w:pPr>
                  <w:r>
                    <w:rPr>
                      <w:color w:val="auto"/>
                      <w:lang w:bidi="ar"/>
                    </w:rPr>
                    <w:t>天然气燃烧废气</w:t>
                  </w:r>
                </w:p>
              </w:tc>
              <w:tc>
                <w:tcPr>
                  <w:tcW w:w="5278" w:type="dxa"/>
                  <w:shd w:val="clear" w:color="auto" w:fill="auto"/>
                  <w:noWrap w:val="0"/>
                  <w:vAlign w:val="center"/>
                </w:tcPr>
                <w:p>
                  <w:pPr>
                    <w:pStyle w:val="28"/>
                    <w:ind w:left="-105" w:right="-105"/>
                    <w:rPr>
                      <w:rFonts w:hint="eastAsia" w:eastAsia="宋体"/>
                      <w:color w:val="auto"/>
                      <w:lang w:eastAsia="zh-CN"/>
                    </w:rPr>
                  </w:pPr>
                  <w:r>
                    <w:rPr>
                      <w:color w:val="auto"/>
                      <w:lang w:bidi="ar"/>
                    </w:rPr>
                    <w:t>试油期</w:t>
                  </w:r>
                  <w:r>
                    <w:rPr>
                      <w:rFonts w:hint="eastAsia"/>
                      <w:color w:val="auto"/>
                      <w:lang w:bidi="ar"/>
                    </w:rPr>
                    <w:t>若</w:t>
                  </w:r>
                  <w:r>
                    <w:rPr>
                      <w:color w:val="auto"/>
                      <w:lang w:bidi="ar"/>
                    </w:rPr>
                    <w:t>伴生气</w:t>
                  </w:r>
                  <w:r>
                    <w:rPr>
                      <w:rFonts w:hint="eastAsia"/>
                      <w:color w:val="auto"/>
                      <w:lang w:bidi="ar"/>
                    </w:rPr>
                    <w:t>量较小、不具备回收利用条件时，</w:t>
                  </w:r>
                  <w:r>
                    <w:rPr>
                      <w:color w:val="auto"/>
                      <w:lang w:bidi="ar"/>
                    </w:rPr>
                    <w:t>经过液气分离后通过放散管点火排放</w:t>
                  </w:r>
                  <w:r>
                    <w:rPr>
                      <w:rFonts w:hint="eastAsia"/>
                      <w:color w:val="auto"/>
                      <w:lang w:bidi="ar"/>
                    </w:rPr>
                    <w:t>。</w:t>
                  </w:r>
                  <w:r>
                    <w:rPr>
                      <w:rFonts w:hint="eastAsia" w:cs="宋体"/>
                      <w:color w:val="auto"/>
                      <w:szCs w:val="24"/>
                    </w:rPr>
                    <w:t>若伴生气量较大时，应采取撬装天然气回收装置进行回收</w:t>
                  </w:r>
                  <w:r>
                    <w:rPr>
                      <w:rFonts w:hint="eastAsia" w:cs="宋体"/>
                      <w:color w:val="auto"/>
                      <w:szCs w:val="24"/>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bookmarkStart w:id="12" w:name="_Hlk68137862"/>
                </w:p>
              </w:tc>
              <w:tc>
                <w:tcPr>
                  <w:tcW w:w="678" w:type="dxa"/>
                  <w:vMerge w:val="restart"/>
                  <w:shd w:val="clear" w:color="auto" w:fill="auto"/>
                  <w:noWrap w:val="0"/>
                  <w:vAlign w:val="center"/>
                </w:tcPr>
                <w:p>
                  <w:pPr>
                    <w:pStyle w:val="28"/>
                    <w:ind w:left="-105" w:right="-105"/>
                    <w:rPr>
                      <w:color w:val="auto"/>
                    </w:rPr>
                  </w:pPr>
                  <w:r>
                    <w:rPr>
                      <w:rFonts w:hint="eastAsia"/>
                      <w:color w:val="auto"/>
                    </w:rPr>
                    <w:t>废水</w:t>
                  </w:r>
                </w:p>
              </w:tc>
              <w:tc>
                <w:tcPr>
                  <w:tcW w:w="1483" w:type="dxa"/>
                  <w:gridSpan w:val="2"/>
                  <w:shd w:val="clear" w:color="auto" w:fill="auto"/>
                  <w:noWrap w:val="0"/>
                  <w:vAlign w:val="center"/>
                </w:tcPr>
                <w:p>
                  <w:pPr>
                    <w:pStyle w:val="28"/>
                    <w:ind w:left="-105" w:right="-105"/>
                    <w:rPr>
                      <w:color w:val="auto"/>
                    </w:rPr>
                  </w:pPr>
                  <w:r>
                    <w:rPr>
                      <w:color w:val="auto"/>
                      <w:lang w:bidi="ar"/>
                    </w:rPr>
                    <w:t>生活污水</w:t>
                  </w:r>
                </w:p>
              </w:tc>
              <w:tc>
                <w:tcPr>
                  <w:tcW w:w="5278" w:type="dxa"/>
                  <w:shd w:val="clear" w:color="auto" w:fill="auto"/>
                  <w:noWrap w:val="0"/>
                  <w:vAlign w:val="center"/>
                </w:tcPr>
                <w:p>
                  <w:pPr>
                    <w:pStyle w:val="28"/>
                    <w:ind w:left="-105" w:right="-105"/>
                    <w:jc w:val="left"/>
                    <w:rPr>
                      <w:color w:val="auto"/>
                    </w:rPr>
                  </w:pPr>
                  <w:r>
                    <w:rPr>
                      <w:color w:val="auto"/>
                    </w:rPr>
                    <w:t>生活营地设防渗污水收集</w:t>
                  </w:r>
                  <w:r>
                    <w:rPr>
                      <w:color w:val="auto"/>
                    </w:rPr>
                    <w:t>池</w:t>
                  </w:r>
                  <w:r>
                    <w:rPr>
                      <w:rFonts w:hint="eastAsia"/>
                      <w:color w:val="auto"/>
                    </w:rPr>
                    <w:t>，容积</w:t>
                  </w:r>
                  <w:r>
                    <w:rPr>
                      <w:rFonts w:hint="eastAsia"/>
                      <w:color w:val="auto"/>
                      <w:lang w:val="en-US" w:eastAsia="zh-CN"/>
                    </w:rPr>
                    <w:t>3</w:t>
                  </w:r>
                  <w:r>
                    <w:rPr>
                      <w:color w:val="auto"/>
                    </w:rPr>
                    <w:t>0m</w:t>
                  </w:r>
                  <w:r>
                    <w:rPr>
                      <w:color w:val="auto"/>
                      <w:vertAlign w:val="superscript"/>
                    </w:rPr>
                    <w:t>3</w:t>
                  </w:r>
                  <w:r>
                    <w:rPr>
                      <w:color w:val="auto"/>
                    </w:rPr>
                    <w:t>，</w:t>
                  </w:r>
                  <w:r>
                    <w:rPr>
                      <w:rFonts w:hint="default" w:ascii="Times New Roman" w:hAnsi="Times New Roman" w:cs="Times New Roman"/>
                      <w:color w:val="auto"/>
                      <w:szCs w:val="21"/>
                      <w:lang w:val="en-US" w:eastAsia="zh-CN"/>
                    </w:rPr>
                    <w:t>定期由吸污车拉运至</w:t>
                  </w:r>
                  <w:r>
                    <w:rPr>
                      <w:rFonts w:hint="eastAsia" w:cs="Times New Roman"/>
                      <w:color w:val="auto"/>
                      <w:szCs w:val="21"/>
                      <w:lang w:val="en-US" w:eastAsia="zh-CN"/>
                    </w:rPr>
                    <w:t>五彩湾生产服务区污水处理厂</w:t>
                  </w:r>
                  <w:r>
                    <w:rPr>
                      <w:rFonts w:hint="default" w:ascii="Times New Roman" w:hAnsi="Times New Roman" w:cs="Times New Roman"/>
                      <w:color w:val="auto"/>
                      <w:szCs w:val="21"/>
                      <w:lang w:val="en-US" w:eastAsia="zh-CN"/>
                    </w:rPr>
                    <w:t>处理</w:t>
                  </w:r>
                  <w:r>
                    <w:rPr>
                      <w:rFonts w:hint="eastAsia"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bookmarkStart w:id="13" w:name="_Hlk68137852"/>
                </w:p>
              </w:tc>
              <w:tc>
                <w:tcPr>
                  <w:tcW w:w="678" w:type="dxa"/>
                  <w:vMerge w:val="continue"/>
                  <w:shd w:val="clear" w:color="auto" w:fill="auto"/>
                  <w:noWrap w:val="0"/>
                  <w:vAlign w:val="center"/>
                </w:tcPr>
                <w:p>
                  <w:pPr>
                    <w:pStyle w:val="28"/>
                    <w:ind w:left="-105" w:right="-105"/>
                    <w:rPr>
                      <w:rFonts w:hint="eastAsia"/>
                      <w:color w:val="auto"/>
                    </w:rPr>
                  </w:pPr>
                </w:p>
              </w:tc>
              <w:tc>
                <w:tcPr>
                  <w:tcW w:w="1483" w:type="dxa"/>
                  <w:gridSpan w:val="2"/>
                  <w:shd w:val="clear" w:color="auto" w:fill="auto"/>
                  <w:noWrap w:val="0"/>
                  <w:vAlign w:val="center"/>
                </w:tcPr>
                <w:p>
                  <w:pPr>
                    <w:jc w:val="center"/>
                    <w:rPr>
                      <w:rFonts w:ascii="Times New Roman" w:hAnsi="Times New Roman" w:eastAsia="宋体" w:cs="Times New Roman"/>
                      <w:color w:val="auto"/>
                      <w:kern w:val="2"/>
                      <w:sz w:val="21"/>
                      <w:szCs w:val="21"/>
                      <w:lang w:val="en-US" w:eastAsia="zh-CN" w:bidi="ar-SA"/>
                    </w:rPr>
                  </w:pPr>
                  <w:r>
                    <w:rPr>
                      <w:color w:val="auto"/>
                      <w:sz w:val="21"/>
                      <w:szCs w:val="21"/>
                    </w:rPr>
                    <w:t>钻井废水</w:t>
                  </w:r>
                </w:p>
              </w:tc>
              <w:tc>
                <w:tcPr>
                  <w:tcW w:w="5278" w:type="dxa"/>
                  <w:shd w:val="clear" w:color="auto" w:fill="auto"/>
                  <w:noWrap w:val="0"/>
                  <w:vAlign w:val="center"/>
                </w:tcPr>
                <w:p>
                  <w:pPr>
                    <w:pStyle w:val="28"/>
                    <w:ind w:left="315" w:leftChars="0" w:right="-105" w:rightChars="0" w:hanging="420" w:firstLineChars="0"/>
                    <w:rPr>
                      <w:rFonts w:hint="eastAsia" w:ascii="Times New Roman" w:hAnsi="Times New Roman" w:eastAsia="宋体" w:cs="Times New Roman"/>
                      <w:color w:val="auto"/>
                      <w:kern w:val="0"/>
                      <w:sz w:val="21"/>
                      <w:szCs w:val="21"/>
                      <w:highlight w:val="yellow"/>
                      <w:lang w:val="en-US" w:eastAsia="zh-CN" w:bidi="ar-SA"/>
                    </w:rPr>
                  </w:pPr>
                  <w:r>
                    <w:rPr>
                      <w:rFonts w:ascii="Times New Roman" w:hAnsi="Times New Roman"/>
                      <w:color w:val="auto"/>
                      <w:sz w:val="21"/>
                      <w:szCs w:val="21"/>
                    </w:rPr>
                    <w:t>钻井废水与钻井泥浆、岩屑一同进入不落地处理系统处理，处理后的液相回用于配备钻井液</w:t>
                  </w:r>
                  <w:r>
                    <w:rPr>
                      <w:rFonts w:hint="eastAsia"/>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color w:val="auto"/>
                    </w:rPr>
                  </w:pPr>
                  <w:r>
                    <w:rPr>
                      <w:rFonts w:hint="eastAsia"/>
                      <w:color w:val="auto"/>
                      <w:lang w:bidi="ar"/>
                    </w:rPr>
                    <w:t>井下作业废水</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lang w:bidi="ar"/>
                    </w:rPr>
                    <w:t>井下作业</w:t>
                  </w:r>
                  <w:r>
                    <w:rPr>
                      <w:color w:val="auto"/>
                      <w:lang w:bidi="ar"/>
                    </w:rPr>
                    <w:t>采取带罐作业，</w:t>
                  </w:r>
                  <w:r>
                    <w:rPr>
                      <w:rFonts w:hint="eastAsia"/>
                      <w:color w:val="auto"/>
                      <w:lang w:bidi="ar"/>
                    </w:rPr>
                    <w:t>井下作业废水</w:t>
                  </w:r>
                  <w:r>
                    <w:rPr>
                      <w:color w:val="auto"/>
                      <w:lang w:bidi="ar"/>
                    </w:rPr>
                    <w:t>全部回收，采用专用废液收集罐收集后运至</w:t>
                  </w:r>
                  <w:r>
                    <w:rPr>
                      <w:rFonts w:hint="eastAsia"/>
                      <w:color w:val="auto"/>
                      <w:lang w:bidi="ar"/>
                    </w:rPr>
                    <w:t>吉祥</w:t>
                  </w:r>
                  <w:r>
                    <w:rPr>
                      <w:color w:val="auto"/>
                      <w:lang w:bidi="ar"/>
                    </w:rPr>
                    <w:t>联合处理站处理</w:t>
                  </w:r>
                  <w:r>
                    <w:rPr>
                      <w:rFonts w:hint="eastAsia"/>
                      <w:color w:val="auto"/>
                      <w:lang w:eastAsia="zh-CN" w:bidi="ar"/>
                    </w:rPr>
                    <w:t>。</w:t>
                  </w:r>
                </w:p>
              </w:tc>
            </w:tr>
            <w:bookmarkEnd w:id="12"/>
            <w:bookmarkEnd w:id="13"/>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restart"/>
                  <w:shd w:val="clear" w:color="auto" w:fill="auto"/>
                  <w:noWrap w:val="0"/>
                  <w:vAlign w:val="center"/>
                </w:tcPr>
                <w:p>
                  <w:pPr>
                    <w:pStyle w:val="28"/>
                    <w:ind w:left="-105" w:right="-105"/>
                    <w:rPr>
                      <w:color w:val="auto"/>
                    </w:rPr>
                  </w:pPr>
                  <w:r>
                    <w:rPr>
                      <w:rFonts w:hint="eastAsia"/>
                      <w:color w:val="auto"/>
                    </w:rPr>
                    <w:t>噪声</w:t>
                  </w:r>
                </w:p>
              </w:tc>
              <w:tc>
                <w:tcPr>
                  <w:tcW w:w="1483" w:type="dxa"/>
                  <w:gridSpan w:val="2"/>
                  <w:shd w:val="clear" w:color="auto" w:fill="auto"/>
                  <w:noWrap w:val="0"/>
                  <w:vAlign w:val="center"/>
                </w:tcPr>
                <w:p>
                  <w:pPr>
                    <w:pStyle w:val="28"/>
                    <w:ind w:left="-105" w:right="-105"/>
                    <w:rPr>
                      <w:color w:val="auto"/>
                    </w:rPr>
                  </w:pPr>
                  <w:r>
                    <w:rPr>
                      <w:rFonts w:hint="eastAsia"/>
                      <w:color w:val="auto"/>
                    </w:rPr>
                    <w:t>施工设备、钻井机械噪声</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减振、隔声降噪措施</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color w:val="auto"/>
                    </w:rPr>
                  </w:pPr>
                  <w:r>
                    <w:rPr>
                      <w:rFonts w:hint="eastAsia"/>
                      <w:color w:val="auto"/>
                    </w:rPr>
                    <w:t>试油期机械噪声</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选用低噪声设备，安装基础减振垫</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restart"/>
                  <w:shd w:val="clear" w:color="auto" w:fill="auto"/>
                  <w:noWrap w:val="0"/>
                  <w:vAlign w:val="center"/>
                </w:tcPr>
                <w:p>
                  <w:pPr>
                    <w:pStyle w:val="28"/>
                    <w:ind w:left="-105" w:right="-105"/>
                    <w:rPr>
                      <w:color w:val="auto"/>
                    </w:rPr>
                  </w:pPr>
                  <w:r>
                    <w:rPr>
                      <w:rFonts w:hint="eastAsia"/>
                      <w:color w:val="auto"/>
                    </w:rPr>
                    <w:t>固废</w:t>
                  </w:r>
                </w:p>
              </w:tc>
              <w:tc>
                <w:tcPr>
                  <w:tcW w:w="1483" w:type="dxa"/>
                  <w:gridSpan w:val="2"/>
                  <w:shd w:val="clear" w:color="auto" w:fill="auto"/>
                  <w:noWrap w:val="0"/>
                  <w:vAlign w:val="center"/>
                </w:tcPr>
                <w:p>
                  <w:pPr>
                    <w:pStyle w:val="28"/>
                    <w:ind w:left="-105" w:right="-105"/>
                    <w:rPr>
                      <w:color w:val="auto"/>
                    </w:rPr>
                  </w:pPr>
                  <w:r>
                    <w:rPr>
                      <w:rFonts w:hint="eastAsia"/>
                      <w:color w:val="auto"/>
                    </w:rPr>
                    <w:t>钻井岩屑、泥浆</w:t>
                  </w:r>
                </w:p>
              </w:tc>
              <w:tc>
                <w:tcPr>
                  <w:tcW w:w="5278" w:type="dxa"/>
                  <w:shd w:val="clear" w:color="auto" w:fill="auto"/>
                  <w:noWrap w:val="0"/>
                  <w:vAlign w:val="center"/>
                </w:tcPr>
                <w:p>
                  <w:pPr>
                    <w:pStyle w:val="28"/>
                    <w:ind w:left="-105" w:right="-105"/>
                    <w:rPr>
                      <w:color w:val="auto"/>
                    </w:rPr>
                  </w:pPr>
                  <w:r>
                    <w:rPr>
                      <w:rFonts w:hint="default" w:ascii="Times New Roman" w:hAnsi="Times New Roman" w:eastAsia="宋体" w:cs="Times New Roman"/>
                      <w:i w:val="0"/>
                      <w:color w:val="auto"/>
                      <w:kern w:val="2"/>
                      <w:sz w:val="21"/>
                      <w:szCs w:val="21"/>
                      <w:shd w:val="clear" w:color="auto" w:fill="auto"/>
                      <w:lang w:val="en-US" w:eastAsia="zh-CN" w:bidi="ar-SA"/>
                    </w:rPr>
                    <w:t>泥浆经“钻井泥浆不落地技术”处理后循环使用，剩余泥浆回收再利用；岩屑暂存于储罐内，经检测合格后用于修筑井场或铺垫油田道路。</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rFonts w:hint="eastAsia"/>
                      <w:color w:val="auto"/>
                    </w:rPr>
                  </w:pPr>
                </w:p>
              </w:tc>
              <w:tc>
                <w:tcPr>
                  <w:tcW w:w="1483" w:type="dxa"/>
                  <w:gridSpan w:val="2"/>
                  <w:shd w:val="clear" w:color="auto" w:fill="auto"/>
                  <w:noWrap w:val="0"/>
                  <w:vAlign w:val="center"/>
                </w:tcPr>
                <w:p>
                  <w:pPr>
                    <w:pStyle w:val="28"/>
                    <w:ind w:left="-105" w:right="-105"/>
                    <w:rPr>
                      <w:rFonts w:hint="eastAsia"/>
                      <w:color w:val="auto"/>
                    </w:rPr>
                  </w:pPr>
                  <w:r>
                    <w:rPr>
                      <w:rFonts w:hint="eastAsia"/>
                      <w:color w:val="auto"/>
                    </w:rPr>
                    <w:t>压裂返排液</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压裂返排液入方罐，拉运至吉祥联合站</w:t>
                  </w:r>
                  <w:r>
                    <w:rPr>
                      <w:rFonts w:hint="eastAsia"/>
                      <w:color w:val="auto"/>
                      <w:lang w:eastAsia="zh-CN"/>
                    </w:rPr>
                    <w:t>，上清液进入污水处理系统处理，</w:t>
                  </w:r>
                  <w:r>
                    <w:rPr>
                      <w:color w:val="auto"/>
                    </w:rPr>
                    <w:t>污水处理后达到《碎屑岩油藏注水水质推荐指标及分析方法》（SY/T5329-2012）中标准限值后回注</w:t>
                  </w:r>
                  <w:r>
                    <w:rPr>
                      <w:rFonts w:hint="eastAsia"/>
                      <w:color w:val="auto"/>
                      <w:lang w:eastAsia="zh-CN"/>
                    </w:rPr>
                    <w:t>油藏；油泥委托有资质单位</w:t>
                  </w:r>
                  <w:r>
                    <w:rPr>
                      <w:rFonts w:hint="eastAsia"/>
                      <w:color w:val="auto"/>
                    </w:rPr>
                    <w:t>合规处置</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color w:val="auto"/>
                    </w:rPr>
                  </w:pPr>
                  <w:r>
                    <w:rPr>
                      <w:rFonts w:hint="eastAsia"/>
                      <w:color w:val="auto"/>
                    </w:rPr>
                    <w:t>落地油</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本项目井下作业时带罐作业，落地油</w:t>
                  </w:r>
                  <w:r>
                    <w:rPr>
                      <w:color w:val="auto"/>
                    </w:rPr>
                    <w:t>100%</w:t>
                  </w:r>
                  <w:r>
                    <w:rPr>
                      <w:rFonts w:hint="eastAsia"/>
                      <w:color w:val="auto"/>
                    </w:rPr>
                    <w:t>回收，定期交由有相应危险废物处理资质的单位处置</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rFonts w:hint="eastAsia"/>
                      <w:color w:val="auto"/>
                    </w:rPr>
                  </w:pPr>
                  <w:r>
                    <w:rPr>
                      <w:rFonts w:hint="eastAsia"/>
                      <w:color w:val="auto"/>
                    </w:rPr>
                    <w:t>废弃防渗膜</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集中收集后委托有危废处置资质的单位处置</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678" w:type="dxa"/>
                  <w:vMerge w:val="continue"/>
                  <w:shd w:val="clear" w:color="auto" w:fill="auto"/>
                  <w:noWrap w:val="0"/>
                  <w:vAlign w:val="center"/>
                </w:tcPr>
                <w:p>
                  <w:pPr>
                    <w:pStyle w:val="28"/>
                    <w:ind w:left="-105" w:right="-105"/>
                    <w:rPr>
                      <w:color w:val="auto"/>
                    </w:rPr>
                  </w:pPr>
                </w:p>
              </w:tc>
              <w:tc>
                <w:tcPr>
                  <w:tcW w:w="1483" w:type="dxa"/>
                  <w:gridSpan w:val="2"/>
                  <w:shd w:val="clear" w:color="auto" w:fill="auto"/>
                  <w:noWrap w:val="0"/>
                  <w:vAlign w:val="center"/>
                </w:tcPr>
                <w:p>
                  <w:pPr>
                    <w:pStyle w:val="28"/>
                    <w:ind w:left="-105" w:right="-105"/>
                    <w:rPr>
                      <w:color w:val="auto"/>
                    </w:rPr>
                  </w:pPr>
                  <w:r>
                    <w:rPr>
                      <w:rFonts w:hint="eastAsia"/>
                      <w:color w:val="auto"/>
                    </w:rPr>
                    <w:t>生活垃圾</w:t>
                  </w:r>
                </w:p>
              </w:tc>
              <w:tc>
                <w:tcPr>
                  <w:tcW w:w="5278" w:type="dxa"/>
                  <w:shd w:val="clear" w:color="auto" w:fill="auto"/>
                  <w:noWrap w:val="0"/>
                  <w:vAlign w:val="center"/>
                </w:tcPr>
                <w:p>
                  <w:pPr>
                    <w:pStyle w:val="28"/>
                    <w:ind w:left="0" w:lef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lang w:val="en-US" w:eastAsia="zh-CN"/>
                    </w:rPr>
                    <w:t>集中收集后统一拉运至</w:t>
                  </w:r>
                  <w:r>
                    <w:rPr>
                      <w:rFonts w:hint="default" w:ascii="Times New Roman" w:hAnsi="Times New Roman" w:cs="Times New Roman"/>
                      <w:color w:val="auto"/>
                      <w:szCs w:val="21"/>
                      <w:lang w:eastAsia="zh-CN"/>
                    </w:rPr>
                    <w:t>吉木萨尔县生活垃圾</w:t>
                  </w:r>
                  <w:r>
                    <w:rPr>
                      <w:rFonts w:hint="default" w:ascii="Times New Roman" w:hAnsi="Times New Roman" w:cs="Times New Roman"/>
                      <w:color w:val="auto"/>
                      <w:szCs w:val="21"/>
                      <w:lang w:val="en-US" w:eastAsia="zh-CN"/>
                    </w:rPr>
                    <w:t>填埋场处理</w:t>
                  </w:r>
                  <w:r>
                    <w:rPr>
                      <w:rFonts w:hint="eastAsia"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地下水分区防渗</w:t>
                  </w:r>
                </w:p>
              </w:tc>
              <w:tc>
                <w:tcPr>
                  <w:tcW w:w="5278" w:type="dxa"/>
                  <w:shd w:val="clear" w:color="auto" w:fill="auto"/>
                  <w:noWrap w:val="0"/>
                  <w:vAlign w:val="center"/>
                </w:tcPr>
                <w:p>
                  <w:pPr>
                    <w:pStyle w:val="28"/>
                    <w:ind w:left="-105" w:right="-105"/>
                    <w:rPr>
                      <w:color w:val="auto"/>
                    </w:rPr>
                  </w:pPr>
                  <w:r>
                    <w:rPr>
                      <w:color w:val="auto"/>
                    </w:rPr>
                    <w:t>对柴油发电机房、柴油罐、岩屑堆放区、各类罐体罐基础和放喷池等采取分区防渗处理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color w:val="auto"/>
                    </w:rPr>
                  </w:pPr>
                </w:p>
              </w:tc>
              <w:tc>
                <w:tcPr>
                  <w:tcW w:w="2161" w:type="dxa"/>
                  <w:gridSpan w:val="3"/>
                  <w:shd w:val="clear" w:color="auto" w:fill="auto"/>
                  <w:noWrap w:val="0"/>
                  <w:vAlign w:val="center"/>
                </w:tcPr>
                <w:p>
                  <w:pPr>
                    <w:pStyle w:val="28"/>
                    <w:ind w:left="-105" w:right="-105"/>
                    <w:rPr>
                      <w:color w:val="auto"/>
                    </w:rPr>
                  </w:pPr>
                  <w:r>
                    <w:rPr>
                      <w:rFonts w:hint="eastAsia"/>
                      <w:color w:val="auto"/>
                    </w:rPr>
                    <w:t>生态恢复</w:t>
                  </w:r>
                </w:p>
              </w:tc>
              <w:tc>
                <w:tcPr>
                  <w:tcW w:w="5278" w:type="dxa"/>
                  <w:shd w:val="clear" w:color="auto" w:fill="auto"/>
                  <w:noWrap w:val="0"/>
                  <w:vAlign w:val="center"/>
                </w:tcPr>
                <w:p>
                  <w:pPr>
                    <w:pStyle w:val="28"/>
                    <w:ind w:left="-105" w:right="-105"/>
                    <w:rPr>
                      <w:rFonts w:hint="eastAsia" w:eastAsia="宋体"/>
                      <w:color w:val="auto"/>
                      <w:lang w:eastAsia="zh-CN"/>
                    </w:rPr>
                  </w:pPr>
                  <w:r>
                    <w:rPr>
                      <w:rFonts w:hint="eastAsia"/>
                      <w:color w:val="auto"/>
                    </w:rPr>
                    <w:t>施工结束后临时占地清理、平整，自然恢复</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restart"/>
                  <w:shd w:val="clear" w:color="auto" w:fill="auto"/>
                  <w:noWrap w:val="0"/>
                  <w:vAlign w:val="center"/>
                </w:tcPr>
                <w:p>
                  <w:pPr>
                    <w:pStyle w:val="28"/>
                    <w:ind w:left="-105" w:right="-105"/>
                    <w:rPr>
                      <w:color w:val="auto"/>
                    </w:rPr>
                  </w:pPr>
                  <w:bookmarkStart w:id="14" w:name="_Hlk47471369"/>
                  <w:r>
                    <w:rPr>
                      <w:rFonts w:hint="eastAsia"/>
                      <w:color w:val="auto"/>
                    </w:rPr>
                    <w:t>依托工程</w:t>
                  </w:r>
                </w:p>
              </w:tc>
              <w:tc>
                <w:tcPr>
                  <w:tcW w:w="2161" w:type="dxa"/>
                  <w:gridSpan w:val="3"/>
                  <w:shd w:val="clear" w:color="auto" w:fill="auto"/>
                  <w:noWrap w:val="0"/>
                  <w:vAlign w:val="center"/>
                </w:tcPr>
                <w:p>
                  <w:pPr>
                    <w:pStyle w:val="28"/>
                    <w:ind w:left="-105" w:right="-105"/>
                    <w:rPr>
                      <w:snapToGrid w:val="0"/>
                      <w:color w:val="auto"/>
                      <w:lang w:val="zh-CN"/>
                    </w:rPr>
                  </w:pPr>
                  <w:r>
                    <w:rPr>
                      <w:rFonts w:hint="eastAsia"/>
                      <w:snapToGrid w:val="0"/>
                      <w:color w:val="auto"/>
                      <w:lang w:val="zh-CN"/>
                    </w:rPr>
                    <w:t>吉祥联合站</w:t>
                  </w:r>
                </w:p>
              </w:tc>
              <w:tc>
                <w:tcPr>
                  <w:tcW w:w="5278" w:type="dxa"/>
                  <w:shd w:val="clear" w:color="auto" w:fill="auto"/>
                  <w:noWrap w:val="0"/>
                  <w:vAlign w:val="center"/>
                </w:tcPr>
                <w:p>
                  <w:pPr>
                    <w:pStyle w:val="28"/>
                    <w:ind w:left="-105" w:right="-105"/>
                    <w:rPr>
                      <w:rFonts w:hint="eastAsia" w:eastAsia="宋体"/>
                      <w:snapToGrid w:val="0"/>
                      <w:color w:val="auto"/>
                      <w:lang w:val="zh-CN" w:eastAsia="zh-CN"/>
                    </w:rPr>
                  </w:pPr>
                  <w:r>
                    <w:rPr>
                      <w:color w:val="auto"/>
                      <w:lang w:bidi="ar"/>
                    </w:rPr>
                    <w:t>本项目试油期带罐作业，井下作业废水收集后拉运至吉祥联合站处理后用于油田注水。吉祥联合站原油处理、伴生气处理、废水处理及注水规模分别为45×10</w:t>
                  </w:r>
                  <w:r>
                    <w:rPr>
                      <w:color w:val="auto"/>
                      <w:vertAlign w:val="superscript"/>
                      <w:lang w:bidi="ar"/>
                    </w:rPr>
                    <w:t>4</w:t>
                  </w:r>
                  <w:r>
                    <w:rPr>
                      <w:color w:val="auto"/>
                      <w:lang w:bidi="ar"/>
                    </w:rPr>
                    <w:t>t/a、2.5×10</w:t>
                  </w:r>
                  <w:r>
                    <w:rPr>
                      <w:color w:val="auto"/>
                      <w:vertAlign w:val="superscript"/>
                      <w:lang w:bidi="ar"/>
                    </w:rPr>
                    <w:t>4</w:t>
                  </w:r>
                  <w:r>
                    <w:rPr>
                      <w:color w:val="auto"/>
                      <w:lang w:bidi="ar"/>
                    </w:rPr>
                    <w:t>m</w:t>
                  </w:r>
                  <w:r>
                    <w:rPr>
                      <w:color w:val="auto"/>
                      <w:vertAlign w:val="superscript"/>
                      <w:lang w:bidi="ar"/>
                    </w:rPr>
                    <w:t>3</w:t>
                  </w:r>
                  <w:r>
                    <w:rPr>
                      <w:color w:val="auto"/>
                      <w:lang w:bidi="ar"/>
                    </w:rPr>
                    <w:t>/d、1800m</w:t>
                  </w:r>
                  <w:r>
                    <w:rPr>
                      <w:color w:val="auto"/>
                      <w:vertAlign w:val="superscript"/>
                      <w:lang w:bidi="ar"/>
                    </w:rPr>
                    <w:t>3</w:t>
                  </w:r>
                  <w:r>
                    <w:rPr>
                      <w:color w:val="auto"/>
                      <w:lang w:bidi="ar"/>
                    </w:rPr>
                    <w:t>/d和2592m</w:t>
                  </w:r>
                  <w:r>
                    <w:rPr>
                      <w:color w:val="auto"/>
                      <w:vertAlign w:val="superscript"/>
                      <w:lang w:bidi="ar"/>
                    </w:rPr>
                    <w:t>3</w:t>
                  </w:r>
                  <w:r>
                    <w:rPr>
                      <w:color w:val="auto"/>
                      <w:lang w:bidi="ar"/>
                    </w:rPr>
                    <w:t>/d</w:t>
                  </w:r>
                  <w:r>
                    <w:rPr>
                      <w:rFonts w:hint="eastAsia"/>
                      <w:color w:val="auto"/>
                      <w:lang w:bidi="ar"/>
                    </w:rPr>
                    <w:t>。目前实际处理原油量4</w:t>
                  </w:r>
                  <w:r>
                    <w:rPr>
                      <w:color w:val="auto"/>
                      <w:lang w:bidi="ar"/>
                    </w:rPr>
                    <w:t>3.8×10</w:t>
                  </w:r>
                  <w:r>
                    <w:rPr>
                      <w:color w:val="auto"/>
                      <w:vertAlign w:val="superscript"/>
                      <w:lang w:bidi="ar"/>
                    </w:rPr>
                    <w:t>4</w:t>
                  </w:r>
                  <w:r>
                    <w:rPr>
                      <w:color w:val="auto"/>
                      <w:lang w:bidi="ar"/>
                    </w:rPr>
                    <w:t>t/a</w:t>
                  </w:r>
                  <w:r>
                    <w:rPr>
                      <w:rFonts w:hint="eastAsia"/>
                      <w:color w:val="auto"/>
                      <w:lang w:bidi="ar"/>
                    </w:rPr>
                    <w:t>，废水处理量8</w:t>
                  </w:r>
                  <w:r>
                    <w:rPr>
                      <w:color w:val="auto"/>
                      <w:lang w:bidi="ar"/>
                    </w:rPr>
                    <w:t>00m</w:t>
                  </w:r>
                  <w:r>
                    <w:rPr>
                      <w:color w:val="auto"/>
                      <w:vertAlign w:val="superscript"/>
                      <w:lang w:bidi="ar"/>
                    </w:rPr>
                    <w:t>3</w:t>
                  </w:r>
                  <w:r>
                    <w:rPr>
                      <w:rFonts w:hint="eastAsia"/>
                      <w:color w:val="auto"/>
                      <w:lang w:bidi="ar"/>
                    </w:rPr>
                    <w:t>/d。</w:t>
                  </w:r>
                  <w:r>
                    <w:rPr>
                      <w:rFonts w:hint="eastAsia"/>
                      <w:color w:val="auto"/>
                      <w:highlight w:val="none"/>
                      <w:lang w:bidi="ar"/>
                    </w:rPr>
                    <w:t>本项目试油期井下作业废水</w:t>
                  </w:r>
                  <w:r>
                    <w:rPr>
                      <w:rFonts w:hint="eastAsia"/>
                      <w:color w:val="auto"/>
                      <w:highlight w:val="none"/>
                      <w:lang w:val="en-US" w:eastAsia="zh-CN"/>
                    </w:rPr>
                    <w:t>27.13</w:t>
                  </w:r>
                  <w:r>
                    <w:rPr>
                      <w:color w:val="auto"/>
                      <w:highlight w:val="none"/>
                    </w:rPr>
                    <w:t>m</w:t>
                  </w:r>
                  <w:r>
                    <w:rPr>
                      <w:color w:val="auto"/>
                      <w:highlight w:val="none"/>
                      <w:vertAlign w:val="superscript"/>
                    </w:rPr>
                    <w:t>3</w:t>
                  </w:r>
                  <w:r>
                    <w:rPr>
                      <w:rFonts w:hint="eastAsia"/>
                      <w:color w:val="auto"/>
                      <w:highlight w:val="none"/>
                    </w:rPr>
                    <w:t>，</w:t>
                  </w:r>
                  <w:r>
                    <w:rPr>
                      <w:rFonts w:hint="eastAsia"/>
                      <w:color w:val="auto"/>
                    </w:rPr>
                    <w:t>吉祥联合站</w:t>
                  </w:r>
                  <w:r>
                    <w:rPr>
                      <w:rFonts w:hint="eastAsia"/>
                      <w:color w:val="auto"/>
                      <w:lang w:bidi="ar"/>
                    </w:rPr>
                    <w:t>剩余废水处理</w:t>
                  </w:r>
                  <w:r>
                    <w:rPr>
                      <w:rFonts w:hint="eastAsia"/>
                      <w:color w:val="auto"/>
                      <w:lang w:val="en-US" w:eastAsia="zh-CN" w:bidi="ar"/>
                    </w:rPr>
                    <w:t>量</w:t>
                  </w:r>
                  <w:r>
                    <w:rPr>
                      <w:rFonts w:hint="eastAsia"/>
                      <w:color w:val="auto"/>
                      <w:lang w:bidi="ar"/>
                    </w:rPr>
                    <w:t>1</w:t>
                  </w:r>
                  <w:r>
                    <w:rPr>
                      <w:color w:val="auto"/>
                      <w:lang w:bidi="ar"/>
                    </w:rPr>
                    <w:t>000m</w:t>
                  </w:r>
                  <w:r>
                    <w:rPr>
                      <w:color w:val="auto"/>
                      <w:vertAlign w:val="superscript"/>
                      <w:lang w:bidi="ar"/>
                    </w:rPr>
                    <w:t>3</w:t>
                  </w:r>
                  <w:r>
                    <w:rPr>
                      <w:rFonts w:hint="eastAsia"/>
                      <w:color w:val="auto"/>
                      <w:lang w:bidi="ar"/>
                    </w:rPr>
                    <w:t>/</w:t>
                  </w:r>
                  <w:r>
                    <w:rPr>
                      <w:color w:val="auto"/>
                      <w:lang w:bidi="ar"/>
                    </w:rPr>
                    <w:t>d</w:t>
                  </w:r>
                  <w:r>
                    <w:rPr>
                      <w:rFonts w:hint="eastAsia"/>
                      <w:color w:val="auto"/>
                      <w:lang w:bidi="ar"/>
                    </w:rPr>
                    <w:t>，可满足本工程废水处理需求</w:t>
                  </w:r>
                  <w:r>
                    <w:rPr>
                      <w:rFonts w:hint="eastAsia"/>
                      <w:color w:val="auto"/>
                      <w:lang w:eastAsia="zh-CN" w:bidi="ar"/>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rFonts w:hint="eastAsia"/>
                      <w:color w:val="auto"/>
                    </w:rPr>
                  </w:pPr>
                </w:p>
              </w:tc>
              <w:tc>
                <w:tcPr>
                  <w:tcW w:w="2161" w:type="dxa"/>
                  <w:gridSpan w:val="3"/>
                  <w:shd w:val="clear" w:color="auto" w:fill="auto"/>
                  <w:noWrap w:val="0"/>
                  <w:vAlign w:val="center"/>
                </w:tcPr>
                <w:p>
                  <w:pPr>
                    <w:pStyle w:val="28"/>
                    <w:ind w:left="0" w:leftChars="0" w:firstLine="0" w:firstLineChars="0"/>
                    <w:rPr>
                      <w:rFonts w:hint="eastAsia"/>
                      <w:snapToGrid w:val="0"/>
                      <w:color w:val="auto"/>
                      <w:lang w:val="zh-CN"/>
                    </w:rPr>
                  </w:pPr>
                  <w:r>
                    <w:rPr>
                      <w:rFonts w:hint="eastAsia" w:cs="Times New Roman"/>
                      <w:color w:val="auto"/>
                      <w:lang w:val="zh-CN"/>
                    </w:rPr>
                    <w:t>五彩湾生产服务区污水处理厂</w:t>
                  </w:r>
                </w:p>
              </w:tc>
              <w:tc>
                <w:tcPr>
                  <w:tcW w:w="5278" w:type="dxa"/>
                  <w:shd w:val="clear" w:color="auto" w:fill="auto"/>
                  <w:noWrap w:val="0"/>
                  <w:vAlign w:val="center"/>
                </w:tcPr>
                <w:p>
                  <w:pPr>
                    <w:pStyle w:val="28"/>
                    <w:ind w:left="0" w:leftChars="0" w:firstLine="0" w:firstLineChars="0"/>
                    <w:rPr>
                      <w:rFonts w:hint="eastAsia" w:eastAsia="宋体"/>
                      <w:color w:val="auto"/>
                      <w:lang w:eastAsia="zh-CN" w:bidi="ar"/>
                    </w:rPr>
                  </w:pPr>
                  <w:r>
                    <w:rPr>
                      <w:rFonts w:hint="default" w:ascii="Times New Roman" w:hAnsi="Times New Roman" w:cs="Times New Roman"/>
                      <w:color w:val="auto"/>
                    </w:rPr>
                    <w:t>钻井期生活污水定期拉运至</w:t>
                  </w:r>
                  <w:r>
                    <w:rPr>
                      <w:rFonts w:hint="eastAsia" w:cs="Times New Roman"/>
                      <w:color w:val="auto"/>
                      <w:lang w:eastAsia="zh-CN"/>
                    </w:rPr>
                    <w:t>五彩湾生产服务区污水处理厂</w:t>
                  </w:r>
                  <w:r>
                    <w:rPr>
                      <w:rFonts w:hint="default" w:ascii="Times New Roman" w:hAnsi="Times New Roman" w:cs="Times New Roman"/>
                      <w:color w:val="auto"/>
                    </w:rPr>
                    <w:t>，污水处理厂设计规模为</w:t>
                  </w:r>
                  <w:r>
                    <w:rPr>
                      <w:rFonts w:hint="eastAsia" w:cs="Times New Roman"/>
                      <w:color w:val="auto"/>
                      <w:lang w:val="en-US" w:eastAsia="zh-CN"/>
                    </w:rPr>
                    <w:t>1</w:t>
                  </w:r>
                  <w:r>
                    <w:rPr>
                      <w:rFonts w:hint="default" w:ascii="Times New Roman" w:hAnsi="Times New Roman" w:cs="Times New Roman"/>
                      <w:color w:val="auto"/>
                    </w:rPr>
                    <w:t>万m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eastAsia"/>
                      <w:color w:val="auto"/>
                    </w:rPr>
                    <w:t>。</w:t>
                  </w:r>
                  <w:r>
                    <w:rPr>
                      <w:rFonts w:hint="default" w:ascii="Times New Roman" w:hAnsi="Times New Roman" w:cs="Times New Roman"/>
                      <w:color w:val="auto"/>
                    </w:rPr>
                    <w:t>本项目生活污水产生量为</w:t>
                  </w:r>
                  <w:r>
                    <w:rPr>
                      <w:rFonts w:hint="eastAsia"/>
                      <w:color w:val="auto"/>
                      <w:lang w:val="en-US" w:eastAsia="zh-CN"/>
                    </w:rPr>
                    <w:t>3.2</w:t>
                  </w:r>
                  <w:r>
                    <w:rPr>
                      <w:color w:val="auto"/>
                    </w:rPr>
                    <w:t>m</w:t>
                  </w:r>
                  <w:r>
                    <w:rPr>
                      <w:color w:val="auto"/>
                      <w:vertAlign w:val="superscript"/>
                    </w:rPr>
                    <w:t>3</w:t>
                  </w:r>
                  <w:r>
                    <w:rPr>
                      <w:rFonts w:hint="eastAsia"/>
                      <w:color w:val="auto"/>
                      <w:lang w:val="en-US" w:eastAsia="zh-CN"/>
                    </w:rPr>
                    <w:t>/d</w:t>
                  </w:r>
                  <w:r>
                    <w:rPr>
                      <w:rFonts w:hint="default" w:ascii="Times New Roman" w:hAnsi="Times New Roman" w:cs="Times New Roman"/>
                      <w:color w:val="auto"/>
                    </w:rPr>
                    <w:t>，可接收本项目钻井期生活污水，依托可行</w:t>
                  </w:r>
                  <w:r>
                    <w:rPr>
                      <w:rFonts w:hint="eastAsia" w:cs="Times New Roman"/>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39" w:type="dxa"/>
                  <w:vMerge w:val="continue"/>
                  <w:shd w:val="clear" w:color="auto" w:fill="auto"/>
                  <w:noWrap w:val="0"/>
                  <w:vAlign w:val="center"/>
                </w:tcPr>
                <w:p>
                  <w:pPr>
                    <w:pStyle w:val="28"/>
                    <w:ind w:left="-105" w:right="-105"/>
                    <w:rPr>
                      <w:rFonts w:hint="eastAsia"/>
                      <w:color w:val="auto"/>
                    </w:rPr>
                  </w:pPr>
                </w:p>
              </w:tc>
              <w:tc>
                <w:tcPr>
                  <w:tcW w:w="2161" w:type="dxa"/>
                  <w:gridSpan w:val="3"/>
                  <w:shd w:val="clear" w:color="auto" w:fill="auto"/>
                  <w:noWrap w:val="0"/>
                  <w:vAlign w:val="center"/>
                </w:tcPr>
                <w:p>
                  <w:pPr>
                    <w:pStyle w:val="28"/>
                    <w:ind w:left="0" w:leftChars="0" w:firstLine="0" w:firstLineChars="0"/>
                    <w:rPr>
                      <w:rFonts w:hint="eastAsia"/>
                      <w:snapToGrid w:val="0"/>
                      <w:color w:val="auto"/>
                      <w:lang w:val="zh-CN"/>
                    </w:rPr>
                  </w:pPr>
                  <w:r>
                    <w:rPr>
                      <w:rFonts w:hint="default" w:ascii="Times New Roman" w:hAnsi="Times New Roman" w:cs="Times New Roman"/>
                      <w:color w:val="auto"/>
                      <w:lang w:val="zh-CN"/>
                    </w:rPr>
                    <w:t>吉木萨尔县生活垃圾填埋场</w:t>
                  </w:r>
                </w:p>
              </w:tc>
              <w:tc>
                <w:tcPr>
                  <w:tcW w:w="5278" w:type="dxa"/>
                  <w:shd w:val="clear" w:color="auto" w:fill="auto"/>
                  <w:noWrap w:val="0"/>
                  <w:vAlign w:val="center"/>
                </w:tcPr>
                <w:p>
                  <w:pPr>
                    <w:pStyle w:val="28"/>
                    <w:ind w:left="0" w:leftChars="0" w:firstLine="0" w:firstLineChars="0"/>
                    <w:rPr>
                      <w:rFonts w:hint="eastAsia" w:eastAsia="宋体"/>
                      <w:color w:val="auto"/>
                      <w:lang w:eastAsia="zh-CN" w:bidi="ar"/>
                    </w:rPr>
                  </w:pPr>
                  <w:r>
                    <w:rPr>
                      <w:rFonts w:hint="default" w:ascii="Times New Roman" w:hAnsi="Times New Roman" w:cs="Times New Roman"/>
                      <w:color w:val="auto"/>
                    </w:rPr>
                    <w:t>占地面积约21.94万m</w:t>
                  </w:r>
                  <w:r>
                    <w:rPr>
                      <w:rFonts w:hint="default" w:ascii="Times New Roman" w:hAnsi="Times New Roman" w:cs="Times New Roman"/>
                      <w:color w:val="auto"/>
                      <w:vertAlign w:val="superscript"/>
                    </w:rPr>
                    <w:t>2</w:t>
                  </w:r>
                  <w:r>
                    <w:rPr>
                      <w:rFonts w:hint="default" w:ascii="Times New Roman" w:hAnsi="Times New Roman" w:cs="Times New Roman"/>
                      <w:color w:val="auto"/>
                    </w:rPr>
                    <w:t>，其中近期填埋场面积为7.0万m</w:t>
                  </w:r>
                  <w:r>
                    <w:rPr>
                      <w:rFonts w:hint="default" w:ascii="Times New Roman" w:hAnsi="Times New Roman" w:cs="Times New Roman"/>
                      <w:color w:val="auto"/>
                      <w:vertAlign w:val="superscript"/>
                    </w:rPr>
                    <w:t>2</w:t>
                  </w:r>
                  <w:r>
                    <w:rPr>
                      <w:rFonts w:hint="default" w:ascii="Times New Roman" w:hAnsi="Times New Roman" w:cs="Times New Roman"/>
                      <w:color w:val="auto"/>
                    </w:rPr>
                    <w:t>，远期填埋场面积约10.5万m</w:t>
                  </w:r>
                  <w:r>
                    <w:rPr>
                      <w:rFonts w:hint="default" w:ascii="Times New Roman" w:hAnsi="Times New Roman" w:cs="Times New Roman"/>
                      <w:color w:val="auto"/>
                      <w:vertAlign w:val="superscript"/>
                    </w:rPr>
                    <w:t>2</w:t>
                  </w:r>
                  <w:r>
                    <w:rPr>
                      <w:rFonts w:hint="default" w:ascii="Times New Roman" w:hAnsi="Times New Roman" w:cs="Times New Roman"/>
                      <w:color w:val="auto"/>
                    </w:rPr>
                    <w:t>。生活垃圾清运处理量100t/d，服务年限11年。本项目生活垃圾产生量为</w:t>
                  </w:r>
                  <w:r>
                    <w:rPr>
                      <w:rFonts w:hint="eastAsia" w:cs="Times New Roman"/>
                      <w:color w:val="auto"/>
                      <w:lang w:eastAsia="zh-CN"/>
                    </w:rPr>
                    <w:t>0.84</w:t>
                  </w:r>
                  <w:r>
                    <w:rPr>
                      <w:rFonts w:hint="default" w:ascii="Times New Roman" w:hAnsi="Times New Roman" w:cs="Times New Roman"/>
                      <w:color w:val="auto"/>
                    </w:rPr>
                    <w:t>t，占比很小，故依托可行</w:t>
                  </w:r>
                  <w:r>
                    <w:rPr>
                      <w:rFonts w:hint="eastAsia" w:cs="Times New Roman"/>
                      <w:color w:val="auto"/>
                      <w:lang w:eastAsia="zh-CN"/>
                    </w:rPr>
                    <w:t>。</w:t>
                  </w:r>
                </w:p>
              </w:tc>
            </w:tr>
            <w:bookmarkEnd w:id="9"/>
            <w:bookmarkEnd w:id="14"/>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bookmarkStart w:id="15" w:name="_Hlk68140034"/>
            <w:r>
              <w:rPr>
                <w:rFonts w:hint="default" w:ascii="Times New Roman" w:hAnsi="Times New Roman" w:eastAsia="宋体" w:cs="Times New Roman"/>
                <w:b/>
                <w:bCs/>
                <w:color w:val="auto"/>
                <w:sz w:val="28"/>
                <w:szCs w:val="28"/>
              </w:rPr>
              <w:t>2</w:t>
            </w:r>
            <w:r>
              <w:rPr>
                <w:rFonts w:hint="eastAsia"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rPr>
              <w:t>储层性质</w:t>
            </w:r>
          </w:p>
          <w:p>
            <w:pPr>
              <w:pStyle w:val="4"/>
              <w:rPr>
                <w:color w:val="auto"/>
              </w:rPr>
            </w:pPr>
            <w:bookmarkStart w:id="16" w:name="_Hlk68099854"/>
            <w:r>
              <w:rPr>
                <w:rFonts w:hint="eastAsia"/>
                <w:color w:val="auto"/>
              </w:rPr>
              <w:t>根据钻井工程设计，</w:t>
            </w:r>
            <w:r>
              <w:rPr>
                <w:rFonts w:hint="eastAsia"/>
                <w:color w:val="auto"/>
                <w:lang w:val="en-US" w:eastAsia="zh-CN"/>
              </w:rPr>
              <w:t>本次钻井</w:t>
            </w:r>
            <w:r>
              <w:rPr>
                <w:rFonts w:hint="eastAsia"/>
                <w:color w:val="auto"/>
              </w:rPr>
              <w:t>储层性质详见表2-</w:t>
            </w:r>
            <w:r>
              <w:rPr>
                <w:color w:val="auto"/>
              </w:rPr>
              <w:t>3</w:t>
            </w:r>
            <w:r>
              <w:rPr>
                <w:rFonts w:hint="eastAsia"/>
                <w:color w:val="auto"/>
              </w:rPr>
              <w:t>。</w:t>
            </w:r>
          </w:p>
          <w:p>
            <w:pPr>
              <w:pStyle w:val="27"/>
              <w:rPr>
                <w:rFonts w:hint="eastAsia"/>
                <w:color w:val="auto"/>
                <w:lang w:bidi="ar"/>
              </w:rPr>
            </w:pPr>
            <w:r>
              <w:rPr>
                <w:color w:val="auto"/>
                <w:lang w:bidi="ar"/>
              </w:rPr>
              <w:t>表2</w:t>
            </w:r>
            <w:r>
              <w:rPr>
                <w:rFonts w:hint="eastAsia"/>
                <w:color w:val="auto"/>
                <w:lang w:bidi="ar"/>
              </w:rPr>
              <w:t>-</w:t>
            </w:r>
            <w:r>
              <w:rPr>
                <w:color w:val="auto"/>
                <w:lang w:bidi="ar"/>
              </w:rPr>
              <w:t xml:space="preserve">3  </w:t>
            </w:r>
            <w:r>
              <w:rPr>
                <w:rFonts w:hint="eastAsia"/>
                <w:color w:val="auto"/>
                <w:lang w:bidi="ar"/>
              </w:rPr>
              <w:t>储层性质</w:t>
            </w:r>
          </w:p>
          <w:tbl>
            <w:tblPr>
              <w:tblStyle w:val="17"/>
              <w:tblpPr w:leftFromText="180" w:rightFromText="180" w:vertAnchor="text" w:horzAnchor="margin" w:tblpXSpec="center" w:tblpY="4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62"/>
              <w:gridCol w:w="859"/>
              <w:gridCol w:w="3577"/>
              <w:gridCol w:w="1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pct"/>
                  <w:shd w:val="clear" w:color="auto" w:fill="auto"/>
                  <w:noWrap w:val="0"/>
                  <w:vAlign w:val="center"/>
                </w:tcPr>
                <w:p>
                  <w:pPr>
                    <w:pStyle w:val="28"/>
                    <w:spacing w:line="240" w:lineRule="auto"/>
                    <w:rPr>
                      <w:b w:val="0"/>
                      <w:bCs w:val="0"/>
                      <w:color w:val="auto"/>
                    </w:rPr>
                  </w:pPr>
                  <w:r>
                    <w:rPr>
                      <w:rFonts w:hint="eastAsia"/>
                      <w:b w:val="0"/>
                      <w:bCs w:val="0"/>
                      <w:color w:val="auto"/>
                    </w:rPr>
                    <w:t>层位</w:t>
                  </w:r>
                </w:p>
              </w:tc>
              <w:tc>
                <w:tcPr>
                  <w:tcW w:w="779" w:type="pct"/>
                  <w:shd w:val="clear" w:color="auto" w:fill="auto"/>
                  <w:noWrap w:val="0"/>
                  <w:vAlign w:val="center"/>
                </w:tcPr>
                <w:p>
                  <w:pPr>
                    <w:pStyle w:val="28"/>
                    <w:spacing w:line="240" w:lineRule="auto"/>
                    <w:rPr>
                      <w:b w:val="0"/>
                      <w:bCs w:val="0"/>
                      <w:color w:val="auto"/>
                    </w:rPr>
                  </w:pPr>
                  <w:r>
                    <w:rPr>
                      <w:rFonts w:hint="eastAsia"/>
                      <w:b w:val="0"/>
                      <w:bCs w:val="0"/>
                      <w:color w:val="auto"/>
                    </w:rPr>
                    <w:t>井段垂深(m)</w:t>
                  </w:r>
                </w:p>
              </w:tc>
              <w:tc>
                <w:tcPr>
                  <w:tcW w:w="530" w:type="pct"/>
                  <w:shd w:val="clear" w:color="auto" w:fill="auto"/>
                  <w:noWrap w:val="0"/>
                  <w:vAlign w:val="center"/>
                </w:tcPr>
                <w:p>
                  <w:pPr>
                    <w:pStyle w:val="28"/>
                    <w:spacing w:line="240" w:lineRule="auto"/>
                    <w:rPr>
                      <w:rFonts w:hint="eastAsia"/>
                      <w:b w:val="0"/>
                      <w:bCs w:val="0"/>
                      <w:color w:val="auto"/>
                    </w:rPr>
                  </w:pPr>
                  <w:r>
                    <w:rPr>
                      <w:rFonts w:hint="eastAsia"/>
                      <w:b w:val="0"/>
                      <w:bCs w:val="0"/>
                      <w:color w:val="auto"/>
                    </w:rPr>
                    <w:t>显示</w:t>
                  </w:r>
                </w:p>
                <w:p>
                  <w:pPr>
                    <w:pStyle w:val="28"/>
                    <w:spacing w:line="240" w:lineRule="auto"/>
                    <w:rPr>
                      <w:b w:val="0"/>
                      <w:bCs w:val="0"/>
                      <w:color w:val="auto"/>
                    </w:rPr>
                  </w:pPr>
                  <w:r>
                    <w:rPr>
                      <w:rFonts w:hint="eastAsia"/>
                      <w:b w:val="0"/>
                      <w:bCs w:val="0"/>
                      <w:color w:val="auto"/>
                    </w:rPr>
                    <w:t>类别</w:t>
                  </w:r>
                </w:p>
              </w:tc>
              <w:tc>
                <w:tcPr>
                  <w:tcW w:w="2208" w:type="pct"/>
                  <w:shd w:val="clear" w:color="auto" w:fill="auto"/>
                  <w:noWrap w:val="0"/>
                  <w:vAlign w:val="center"/>
                </w:tcPr>
                <w:p>
                  <w:pPr>
                    <w:pStyle w:val="28"/>
                    <w:spacing w:line="240" w:lineRule="auto"/>
                    <w:rPr>
                      <w:b w:val="0"/>
                      <w:bCs w:val="0"/>
                      <w:color w:val="auto"/>
                    </w:rPr>
                  </w:pPr>
                  <w:r>
                    <w:rPr>
                      <w:rFonts w:hint="eastAsia"/>
                      <w:b w:val="0"/>
                      <w:bCs w:val="0"/>
                      <w:color w:val="auto"/>
                    </w:rPr>
                    <w:t>邻井显示（简述及地层）</w:t>
                  </w:r>
                </w:p>
              </w:tc>
              <w:tc>
                <w:tcPr>
                  <w:tcW w:w="1016" w:type="pct"/>
                  <w:shd w:val="clear" w:color="auto" w:fill="auto"/>
                  <w:noWrap w:val="0"/>
                  <w:vAlign w:val="center"/>
                </w:tcPr>
                <w:p>
                  <w:pPr>
                    <w:pStyle w:val="28"/>
                    <w:spacing w:line="240" w:lineRule="auto"/>
                    <w:rPr>
                      <w:b w:val="0"/>
                      <w:bCs w:val="0"/>
                      <w:color w:val="auto"/>
                    </w:rPr>
                  </w:pPr>
                  <w:r>
                    <w:rPr>
                      <w:rFonts w:hint="eastAsia"/>
                      <w:b w:val="0"/>
                      <w:bCs w:val="0"/>
                      <w:color w:val="auto"/>
                      <w:lang w:val="en-US" w:eastAsia="zh-CN"/>
                    </w:rPr>
                    <w:t>原油</w:t>
                  </w:r>
                  <w:r>
                    <w:rPr>
                      <w:rFonts w:hint="eastAsia"/>
                      <w:b w:val="0"/>
                      <w:bCs w:val="0"/>
                      <w:color w:val="auto"/>
                    </w:rPr>
                    <w:t>密度（g/</w:t>
                  </w:r>
                  <w:r>
                    <w:rPr>
                      <w:rFonts w:hint="eastAsia"/>
                      <w:b w:val="0"/>
                      <w:bCs w:val="0"/>
                      <w:color w:val="auto"/>
                      <w:lang w:val="en-US" w:eastAsia="zh-CN"/>
                    </w:rPr>
                    <w:t>c</w:t>
                  </w:r>
                  <w:r>
                    <w:rPr>
                      <w:rFonts w:hint="eastAsia"/>
                      <w:b w:val="0"/>
                      <w:bCs w:val="0"/>
                      <w:color w:val="auto"/>
                    </w:rPr>
                    <w:t>m</w:t>
                  </w:r>
                  <w:r>
                    <w:rPr>
                      <w:rFonts w:hint="eastAsia"/>
                      <w:b w:val="0"/>
                      <w:bCs w:val="0"/>
                      <w:color w:val="auto"/>
                      <w:vertAlign w:val="superscript"/>
                    </w:rPr>
                    <w:t>3</w:t>
                  </w:r>
                  <w:r>
                    <w:rPr>
                      <w:rFonts w:hint="eastAsia"/>
                      <w:b w:val="0"/>
                      <w:bCs w:val="0"/>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pPr>
                    <w:adjustRightInd w:val="0"/>
                    <w:snapToGrid w:val="0"/>
                    <w:spacing w:line="240"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P</w:t>
                  </w:r>
                  <w:r>
                    <w:rPr>
                      <w:rFonts w:hint="default" w:ascii="Times New Roman" w:hAnsi="Times New Roman" w:cs="Times New Roman" w:eastAsiaTheme="minorEastAsia"/>
                      <w:color w:val="auto"/>
                      <w:kern w:val="0"/>
                      <w:sz w:val="21"/>
                      <w:szCs w:val="21"/>
                      <w:vertAlign w:val="subscript"/>
                    </w:rPr>
                    <w:t>2</w:t>
                  </w:r>
                  <w:r>
                    <w:rPr>
                      <w:rFonts w:hint="default" w:ascii="Times New Roman" w:hAnsi="Times New Roman" w:cs="Times New Roman" w:eastAsiaTheme="minorEastAsia"/>
                      <w:color w:val="auto"/>
                      <w:kern w:val="0"/>
                      <w:sz w:val="21"/>
                      <w:szCs w:val="21"/>
                    </w:rPr>
                    <w:t>p</w:t>
                  </w:r>
                </w:p>
              </w:tc>
              <w:tc>
                <w:tcPr>
                  <w:tcW w:w="1262" w:type="dxa"/>
                  <w:shd w:val="clear" w:color="auto" w:fill="auto"/>
                  <w:noWrap w:val="0"/>
                  <w:vAlign w:val="center"/>
                </w:tcPr>
                <w:p>
                  <w:pPr>
                    <w:adjustRightInd w:val="0"/>
                    <w:snapToGrid w:val="0"/>
                    <w:spacing w:line="240"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1855～1865</w:t>
                  </w:r>
                </w:p>
              </w:tc>
              <w:tc>
                <w:tcPr>
                  <w:tcW w:w="859" w:type="dxa"/>
                  <w:shd w:val="clear" w:color="auto" w:fill="auto"/>
                  <w:noWrap w:val="0"/>
                  <w:vAlign w:val="center"/>
                </w:tcPr>
                <w:p>
                  <w:pPr>
                    <w:adjustRightInd w:val="0"/>
                    <w:spacing w:line="312" w:lineRule="atLeast"/>
                    <w:jc w:val="center"/>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荧光～油浸</w:t>
                  </w:r>
                </w:p>
              </w:tc>
              <w:tc>
                <w:tcPr>
                  <w:tcW w:w="3577" w:type="dxa"/>
                  <w:shd w:val="clear" w:color="auto" w:fill="auto"/>
                  <w:noWrap w:val="0"/>
                  <w:vAlign w:val="center"/>
                </w:tcPr>
                <w:p>
                  <w:pPr>
                    <w:adjustRightInd w:val="0"/>
                    <w:snapToGrid w:val="0"/>
                    <w:spacing w:line="240" w:lineRule="atLeast"/>
                    <w:jc w:val="left"/>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火东1井2418-2436m井段，荧光，抽汲求产，用清水15.14m</w:t>
                  </w:r>
                  <w:r>
                    <w:rPr>
                      <w:rFonts w:hint="default" w:ascii="Times New Roman" w:hAnsi="Times New Roman" w:cs="Times New Roman" w:eastAsiaTheme="minorEastAsia"/>
                      <w:color w:val="auto"/>
                      <w:kern w:val="0"/>
                      <w:sz w:val="21"/>
                      <w:szCs w:val="21"/>
                      <w:vertAlign w:val="superscript"/>
                    </w:rPr>
                    <w:t>3</w:t>
                  </w:r>
                  <w:r>
                    <w:rPr>
                      <w:rFonts w:hint="default" w:ascii="Times New Roman" w:hAnsi="Times New Roman" w:cs="Times New Roman" w:eastAsiaTheme="minorEastAsia"/>
                      <w:color w:val="auto"/>
                      <w:kern w:val="0"/>
                      <w:sz w:val="21"/>
                      <w:szCs w:val="21"/>
                    </w:rPr>
                    <w:t>正替，返出原油0.05m</w:t>
                  </w:r>
                  <w:r>
                    <w:rPr>
                      <w:rFonts w:hint="default" w:ascii="Times New Roman" w:hAnsi="Times New Roman" w:cs="Times New Roman" w:eastAsiaTheme="minorEastAsia"/>
                      <w:color w:val="auto"/>
                      <w:kern w:val="0"/>
                      <w:sz w:val="21"/>
                      <w:szCs w:val="21"/>
                      <w:vertAlign w:val="superscript"/>
                    </w:rPr>
                    <w:t>3</w:t>
                  </w:r>
                  <w:r>
                    <w:rPr>
                      <w:rFonts w:hint="default" w:ascii="Times New Roman" w:hAnsi="Times New Roman" w:cs="Times New Roman" w:eastAsiaTheme="minorEastAsia"/>
                      <w:color w:val="auto"/>
                      <w:kern w:val="0"/>
                      <w:sz w:val="21"/>
                      <w:szCs w:val="21"/>
                    </w:rPr>
                    <w:t>，累产油0.05m</w:t>
                  </w:r>
                  <w:r>
                    <w:rPr>
                      <w:rFonts w:hint="default" w:ascii="Times New Roman" w:hAnsi="Times New Roman" w:cs="Times New Roman" w:eastAsiaTheme="minorEastAsia"/>
                      <w:color w:val="auto"/>
                      <w:kern w:val="0"/>
                      <w:sz w:val="21"/>
                      <w:szCs w:val="21"/>
                      <w:vertAlign w:val="superscript"/>
                    </w:rPr>
                    <w:t>3</w:t>
                  </w:r>
                </w:p>
              </w:tc>
              <w:tc>
                <w:tcPr>
                  <w:tcW w:w="1646" w:type="dxa"/>
                  <w:shd w:val="clear" w:color="auto" w:fill="auto"/>
                  <w:noWrap w:val="0"/>
                  <w:vAlign w:val="center"/>
                </w:tcPr>
                <w:p>
                  <w:pPr>
                    <w:adjustRightInd w:val="0"/>
                    <w:snapToGrid w:val="0"/>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0.8588（火东1）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pPr>
                    <w:adjustRightInd w:val="0"/>
                    <w:snapToGrid w:val="0"/>
                    <w:spacing w:line="240"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P</w:t>
                  </w:r>
                  <w:r>
                    <w:rPr>
                      <w:rFonts w:hint="default" w:ascii="Times New Roman" w:hAnsi="Times New Roman" w:cs="Times New Roman" w:eastAsiaTheme="minorEastAsia"/>
                      <w:color w:val="auto"/>
                      <w:kern w:val="0"/>
                      <w:sz w:val="21"/>
                      <w:szCs w:val="21"/>
                      <w:vertAlign w:val="subscript"/>
                    </w:rPr>
                    <w:t>2</w:t>
                  </w:r>
                  <w:r>
                    <w:rPr>
                      <w:rFonts w:hint="default" w:ascii="Times New Roman" w:hAnsi="Times New Roman" w:cs="Times New Roman" w:eastAsiaTheme="minorEastAsia"/>
                      <w:color w:val="auto"/>
                      <w:kern w:val="0"/>
                      <w:sz w:val="21"/>
                      <w:szCs w:val="21"/>
                    </w:rPr>
                    <w:t>j</w:t>
                  </w:r>
                </w:p>
              </w:tc>
              <w:tc>
                <w:tcPr>
                  <w:tcW w:w="1262" w:type="dxa"/>
                  <w:shd w:val="clear" w:color="auto" w:fill="auto"/>
                  <w:noWrap w:val="0"/>
                  <w:vAlign w:val="center"/>
                </w:tcPr>
                <w:p>
                  <w:pPr>
                    <w:adjustRightInd w:val="0"/>
                    <w:snapToGrid w:val="0"/>
                    <w:spacing w:line="240"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2260～2270</w:t>
                  </w:r>
                </w:p>
              </w:tc>
              <w:tc>
                <w:tcPr>
                  <w:tcW w:w="859" w:type="dxa"/>
                  <w:shd w:val="clear" w:color="auto" w:fill="auto"/>
                  <w:noWrap w:val="0"/>
                  <w:vAlign w:val="center"/>
                </w:tcPr>
                <w:p>
                  <w:pPr>
                    <w:adjustRightInd w:val="0"/>
                    <w:spacing w:line="312" w:lineRule="atLeast"/>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rPr>
                    <w:t>荧光～油浸</w:t>
                  </w:r>
                </w:p>
              </w:tc>
              <w:tc>
                <w:tcPr>
                  <w:tcW w:w="3577" w:type="dxa"/>
                  <w:shd w:val="clear" w:color="auto" w:fill="auto"/>
                  <w:noWrap w:val="0"/>
                  <w:vAlign w:val="center"/>
                </w:tcPr>
                <w:p>
                  <w:pPr>
                    <w:adjustRightInd w:val="0"/>
                    <w:snapToGrid w:val="0"/>
                    <w:spacing w:line="240" w:lineRule="atLeast"/>
                    <w:jc w:val="left"/>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沙东201井1893-1901.5m井段，荧光，抽汲求产，日产油5.07m</w:t>
                  </w:r>
                  <w:r>
                    <w:rPr>
                      <w:rFonts w:hint="default" w:ascii="Times New Roman" w:hAnsi="Times New Roman" w:cs="Times New Roman" w:eastAsiaTheme="minorEastAsia"/>
                      <w:color w:val="auto"/>
                      <w:kern w:val="0"/>
                      <w:sz w:val="21"/>
                      <w:szCs w:val="21"/>
                      <w:vertAlign w:val="superscript"/>
                    </w:rPr>
                    <w:t>3</w:t>
                  </w:r>
                  <w:r>
                    <w:rPr>
                      <w:rFonts w:hint="default" w:ascii="Times New Roman" w:hAnsi="Times New Roman" w:cs="Times New Roman" w:eastAsiaTheme="minorEastAsia"/>
                      <w:color w:val="auto"/>
                      <w:kern w:val="0"/>
                      <w:sz w:val="21"/>
                      <w:szCs w:val="21"/>
                    </w:rPr>
                    <w:t>，累产油53.36m</w:t>
                  </w:r>
                  <w:r>
                    <w:rPr>
                      <w:rFonts w:hint="default" w:ascii="Times New Roman" w:hAnsi="Times New Roman" w:cs="Times New Roman" w:eastAsiaTheme="minorEastAsia"/>
                      <w:color w:val="auto"/>
                      <w:kern w:val="0"/>
                      <w:sz w:val="21"/>
                      <w:szCs w:val="21"/>
                      <w:vertAlign w:val="superscript"/>
                    </w:rPr>
                    <w:t>3</w:t>
                  </w:r>
                </w:p>
              </w:tc>
              <w:tc>
                <w:tcPr>
                  <w:tcW w:w="1646" w:type="dxa"/>
                  <w:shd w:val="clear" w:color="auto" w:fill="auto"/>
                  <w:noWrap w:val="0"/>
                  <w:vAlign w:val="center"/>
                </w:tcPr>
                <w:p>
                  <w:pPr>
                    <w:adjustRightInd w:val="0"/>
                    <w:snapToGrid w:val="0"/>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0.9085（沙东201）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5" w:type="dxa"/>
                  <w:shd w:val="clear" w:color="auto" w:fill="auto"/>
                  <w:noWrap w:val="0"/>
                  <w:vAlign w:val="center"/>
                </w:tcPr>
                <w:p>
                  <w:pPr>
                    <w:adjustRightInd w:val="0"/>
                    <w:snapToGrid w:val="0"/>
                    <w:spacing w:line="240"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bookmarkStart w:id="17" w:name="_Hlk85639681"/>
                  <w:r>
                    <w:rPr>
                      <w:rFonts w:hint="default" w:ascii="Times New Roman" w:hAnsi="Times New Roman" w:cs="Times New Roman" w:eastAsiaTheme="minorEastAsia"/>
                      <w:color w:val="auto"/>
                      <w:kern w:val="0"/>
                      <w:sz w:val="21"/>
                      <w:szCs w:val="21"/>
                    </w:rPr>
                    <w:t>C</w:t>
                  </w:r>
                  <w:r>
                    <w:rPr>
                      <w:rFonts w:hint="default" w:ascii="Times New Roman" w:hAnsi="Times New Roman" w:cs="Times New Roman" w:eastAsiaTheme="minorEastAsia"/>
                      <w:color w:val="auto"/>
                      <w:kern w:val="0"/>
                      <w:sz w:val="21"/>
                      <w:szCs w:val="21"/>
                      <w:vertAlign w:val="subscript"/>
                    </w:rPr>
                    <w:t>2</w:t>
                  </w:r>
                  <w:r>
                    <w:rPr>
                      <w:rFonts w:hint="default" w:ascii="Times New Roman" w:hAnsi="Times New Roman" w:cs="Times New Roman" w:eastAsiaTheme="minorEastAsia"/>
                      <w:color w:val="auto"/>
                      <w:kern w:val="0"/>
                      <w:sz w:val="21"/>
                      <w:szCs w:val="21"/>
                    </w:rPr>
                    <w:t>b</w:t>
                  </w:r>
                </w:p>
              </w:tc>
              <w:tc>
                <w:tcPr>
                  <w:tcW w:w="1262" w:type="dxa"/>
                  <w:shd w:val="clear" w:color="auto" w:fill="auto"/>
                  <w:noWrap w:val="0"/>
                  <w:vAlign w:val="center"/>
                </w:tcPr>
                <w:p>
                  <w:pPr>
                    <w:adjustRightInd w:val="0"/>
                    <w:snapToGrid w:val="0"/>
                    <w:spacing w:line="240"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2430～2450</w:t>
                  </w:r>
                </w:p>
              </w:tc>
              <w:tc>
                <w:tcPr>
                  <w:tcW w:w="859" w:type="dxa"/>
                  <w:shd w:val="clear" w:color="auto" w:fill="auto"/>
                  <w:noWrap w:val="0"/>
                  <w:vAlign w:val="center"/>
                </w:tcPr>
                <w:p>
                  <w:pPr>
                    <w:adjustRightInd w:val="0"/>
                    <w:spacing w:line="312" w:lineRule="atLeast"/>
                    <w:jc w:val="center"/>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荧光</w:t>
                  </w:r>
                </w:p>
              </w:tc>
              <w:tc>
                <w:tcPr>
                  <w:tcW w:w="3577" w:type="dxa"/>
                  <w:shd w:val="clear" w:color="auto" w:fill="auto"/>
                  <w:noWrap w:val="0"/>
                  <w:vAlign w:val="center"/>
                </w:tcPr>
                <w:p>
                  <w:pPr>
                    <w:adjustRightInd w:val="0"/>
                    <w:snapToGrid w:val="0"/>
                    <w:spacing w:line="240" w:lineRule="atLeast"/>
                    <w:jc w:val="left"/>
                    <w:textAlignment w:val="baseline"/>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rPr>
                    <w:t>火东1井3206～3208m井段，荧光</w:t>
                  </w:r>
                </w:p>
              </w:tc>
              <w:tc>
                <w:tcPr>
                  <w:tcW w:w="1646" w:type="dxa"/>
                  <w:shd w:val="clear" w:color="auto" w:fill="auto"/>
                  <w:noWrap w:val="0"/>
                  <w:vAlign w:val="center"/>
                </w:tcPr>
                <w:p>
                  <w:pPr>
                    <w:adjustRightInd w:val="0"/>
                    <w:snapToGrid w:val="0"/>
                    <w:jc w:val="center"/>
                    <w:textAlignment w:val="baseline"/>
                    <w:rPr>
                      <w:rFonts w:hint="default" w:ascii="Times New Roman" w:hAnsi="Times New Roman" w:cs="Times New Roman" w:eastAsiaTheme="minorEastAsia"/>
                      <w:color w:val="auto"/>
                      <w:kern w:val="0"/>
                      <w:sz w:val="21"/>
                      <w:szCs w:val="21"/>
                      <w:lang w:val="en-US" w:eastAsia="zh-CN" w:bidi="ar-SA"/>
                    </w:rPr>
                  </w:pP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3</w:t>
            </w:r>
            <w:r>
              <w:rPr>
                <w:rFonts w:hint="eastAsia"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地质分层及油气水层</w:t>
            </w:r>
          </w:p>
          <w:p>
            <w:pPr>
              <w:pStyle w:val="4"/>
              <w:rPr>
                <w:rFonts w:hint="eastAsia"/>
                <w:color w:val="auto"/>
              </w:rPr>
            </w:pPr>
            <w:r>
              <w:rPr>
                <w:rFonts w:hint="eastAsia"/>
                <w:color w:val="auto"/>
              </w:rPr>
              <w:t>根据钻井工程设计，本次拟钻井</w:t>
            </w:r>
            <w:r>
              <w:rPr>
                <w:rFonts w:hint="eastAsia"/>
                <w:color w:val="auto"/>
                <w:lang w:val="en-US" w:eastAsia="zh-CN"/>
              </w:rPr>
              <w:t>地质分层及油气水层</w:t>
            </w:r>
            <w:r>
              <w:rPr>
                <w:rFonts w:hint="eastAsia"/>
                <w:color w:val="auto"/>
              </w:rPr>
              <w:t>见表2-</w:t>
            </w:r>
            <w:r>
              <w:rPr>
                <w:rFonts w:hint="eastAsia"/>
                <w:color w:val="auto"/>
                <w:lang w:val="en-US" w:eastAsia="zh-CN"/>
              </w:rPr>
              <w:t>4</w:t>
            </w:r>
            <w:r>
              <w:rPr>
                <w:rFonts w:hint="eastAsia"/>
                <w:color w:val="auto"/>
              </w:rPr>
              <w:t>。</w:t>
            </w:r>
          </w:p>
          <w:p>
            <w:pPr>
              <w:pStyle w:val="27"/>
              <w:rPr>
                <w:rFonts w:hint="eastAsia" w:ascii="Times New Roman" w:hAnsi="Times New Roman"/>
                <w:color w:val="auto"/>
                <w:lang w:val="en-US" w:eastAsia="zh-CN" w:bidi="ar"/>
              </w:rPr>
            </w:pPr>
            <w:r>
              <w:rPr>
                <w:rFonts w:hint="eastAsia" w:ascii="Times New Roman" w:hAnsi="Times New Roman"/>
                <w:color w:val="auto"/>
                <w:lang w:bidi="ar"/>
              </w:rPr>
              <w:t>表2-</w:t>
            </w:r>
            <w:r>
              <w:rPr>
                <w:rFonts w:hint="eastAsia" w:ascii="Times New Roman" w:hAnsi="Times New Roman"/>
                <w:color w:val="auto"/>
                <w:lang w:val="en-US" w:eastAsia="zh-CN" w:bidi="ar"/>
              </w:rPr>
              <w:t>4  地质分层及油气水层</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69"/>
              <w:gridCol w:w="454"/>
              <w:gridCol w:w="454"/>
              <w:gridCol w:w="729"/>
              <w:gridCol w:w="557"/>
              <w:gridCol w:w="3801"/>
              <w:gridCol w:w="16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 w:hRule="atLeast"/>
                <w:jc w:val="center"/>
              </w:trPr>
              <w:tc>
                <w:tcPr>
                  <w:tcW w:w="1300"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  质  分  层</w:t>
                  </w:r>
                </w:p>
              </w:tc>
              <w:tc>
                <w:tcPr>
                  <w:tcW w:w="344"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底界深度</w:t>
                  </w:r>
                </w:p>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w:t>
                  </w:r>
                </w:p>
              </w:tc>
              <w:tc>
                <w:tcPr>
                  <w:tcW w:w="234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岩性描述</w:t>
                  </w:r>
                </w:p>
              </w:tc>
              <w:tc>
                <w:tcPr>
                  <w:tcW w:w="1007"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故障提示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 w:hRule="atLeast"/>
                <w:jc w:val="center"/>
              </w:trPr>
              <w:tc>
                <w:tcPr>
                  <w:tcW w:w="2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界</w:t>
                  </w: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w:t>
                  </w: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w:t>
                  </w:r>
                </w:p>
              </w:tc>
              <w:tc>
                <w:tcPr>
                  <w:tcW w:w="3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34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100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29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中生界</w:t>
                  </w:r>
                </w:p>
              </w:tc>
              <w:tc>
                <w:tcPr>
                  <w:tcW w:w="2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侏罗系</w:t>
                  </w: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J</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x</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610</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00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2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J</w:t>
                  </w:r>
                  <w:r>
                    <w:rPr>
                      <w:rFonts w:hint="default" w:ascii="Times New Roman" w:hAnsi="Times New Roman" w:eastAsia="宋体" w:cs="Times New Roman"/>
                      <w:color w:val="auto"/>
                      <w:sz w:val="21"/>
                      <w:szCs w:val="21"/>
                      <w:vertAlign w:val="subscript"/>
                    </w:rPr>
                    <w:t>1</w:t>
                  </w:r>
                  <w:r>
                    <w:rPr>
                      <w:rFonts w:hint="default" w:ascii="Times New Roman" w:hAnsi="Times New Roman" w:eastAsia="宋体" w:cs="Times New Roman"/>
                      <w:color w:val="auto"/>
                      <w:sz w:val="21"/>
                      <w:szCs w:val="21"/>
                    </w:rPr>
                    <w:t>b</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945</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中上部为深灰色泥岩、砂质泥岩与灰色泥质粉砂岩、细砂岩互层夹煤层；地步为砂、砾岩。</w:t>
                  </w:r>
                </w:p>
              </w:tc>
              <w:tc>
                <w:tcPr>
                  <w:tcW w:w="100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储层发育段防漏；防卡防斜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2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三叠系</w:t>
                  </w: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vertAlign w:val="subscript"/>
                    </w:rPr>
                    <w:t>1</w:t>
                  </w:r>
                  <w:r>
                    <w:rPr>
                      <w:rFonts w:hint="default" w:ascii="Times New Roman" w:hAnsi="Times New Roman" w:eastAsia="宋体" w:cs="Times New Roman"/>
                      <w:color w:val="auto"/>
                      <w:sz w:val="21"/>
                      <w:szCs w:val="21"/>
                    </w:rPr>
                    <w:t>j</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1535</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泥岩为主夹色含砾不等粒砾岩，底部粉砂岩、细砂岩。</w:t>
                  </w:r>
                </w:p>
              </w:tc>
              <w:tc>
                <w:tcPr>
                  <w:tcW w:w="100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泥岩易吸水造浆；防卡防斜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29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古生界</w:t>
                  </w:r>
                </w:p>
              </w:tc>
              <w:tc>
                <w:tcPr>
                  <w:tcW w:w="2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二叠系</w:t>
                  </w: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wt</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1795</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红褐色、褐色、棕色泥岩、棕色粉砂质泥岩、含砾泥岩为主，夹灰色、棕色、灰褐色泥质粉砂岩、泥质细砂岩；底部为巨厚层灰色泥质粉砂岩。</w:t>
                  </w:r>
                </w:p>
              </w:tc>
              <w:tc>
                <w:tcPr>
                  <w:tcW w:w="1007"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泥岩易垮塌，储层发育段防漏；防卡防斜；防喷防井涌防高压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2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p</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2100</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上部为灰绿色砂质泥岩和深灰色泥岩为主，偶夹粉细砂岩；中部为灰色、深灰色泥岩、灰白色白云质泥岩夹灰色粉、细砂岩；下部为灰色、深灰色泥岩、白云质泥岩、泥质白云岩夹灰白色灰色粉、细砂岩。</w:t>
                  </w:r>
                </w:p>
              </w:tc>
              <w:tc>
                <w:tcPr>
                  <w:tcW w:w="100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j</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2380</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棕色泥岩、褐色粉砂岩。</w:t>
                  </w:r>
                </w:p>
              </w:tc>
              <w:tc>
                <w:tcPr>
                  <w:tcW w:w="1007"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石炭系</w:t>
                  </w:r>
                </w:p>
              </w:tc>
              <w:tc>
                <w:tcPr>
                  <w:tcW w:w="2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上统</w:t>
                  </w:r>
                </w:p>
              </w:tc>
              <w:tc>
                <w:tcPr>
                  <w:tcW w:w="4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b</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2625▲</w:t>
                  </w:r>
                </w:p>
              </w:tc>
              <w:tc>
                <w:tcPr>
                  <w:tcW w:w="234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上部以深灰色玄武岩为主；下部为灰色、紫红色安山岩、玄武岩和火山碎屑岩夹泥岩、砂岩、砾岩及煤线。</w:t>
                  </w:r>
                </w:p>
              </w:tc>
              <w:tc>
                <w:tcPr>
                  <w:tcW w:w="100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储层发育段防漏；防卡防斜；防喷防井涌防高压</w:t>
                  </w:r>
                </w:p>
              </w:tc>
            </w:tr>
            <w:bookmarkEnd w:id="15"/>
            <w:bookmarkEnd w:id="16"/>
            <w:bookmarkEnd w:id="17"/>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rPr>
              <w:t xml:space="preserve"> 钻井工程</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sz w:val="24"/>
                <w:szCs w:val="24"/>
              </w:rPr>
            </w:pPr>
            <w:r>
              <w:rPr>
                <w:rFonts w:hint="eastAsia"/>
                <w:color w:val="auto"/>
                <w:sz w:val="24"/>
                <w:szCs w:val="24"/>
                <w:lang w:val="en-US" w:eastAsia="zh-CN"/>
              </w:rPr>
              <w:t>4</w:t>
            </w:r>
            <w:r>
              <w:rPr>
                <w:color w:val="auto"/>
                <w:sz w:val="24"/>
                <w:szCs w:val="24"/>
              </w:rPr>
              <w:t xml:space="preserve">.1 </w:t>
            </w:r>
            <w:r>
              <w:rPr>
                <w:rFonts w:hint="eastAsia"/>
                <w:color w:val="auto"/>
                <w:sz w:val="24"/>
                <w:szCs w:val="24"/>
              </w:rPr>
              <w:t>钻井基本参数</w:t>
            </w:r>
          </w:p>
          <w:p>
            <w:pPr>
              <w:pStyle w:val="4"/>
              <w:rPr>
                <w:rFonts w:hint="eastAsia"/>
                <w:color w:val="auto"/>
              </w:rPr>
            </w:pPr>
            <w:r>
              <w:rPr>
                <w:color w:val="auto"/>
              </w:rPr>
              <w:t>本次拟钻井主要技术参数见表2</w:t>
            </w:r>
            <w:r>
              <w:rPr>
                <w:rFonts w:hint="eastAsia"/>
                <w:color w:val="auto"/>
              </w:rPr>
              <w:t>-</w:t>
            </w:r>
            <w:r>
              <w:rPr>
                <w:color w:val="auto"/>
              </w:rPr>
              <w:t>5。</w:t>
            </w:r>
          </w:p>
          <w:p>
            <w:pPr>
              <w:pStyle w:val="27"/>
              <w:rPr>
                <w:color w:val="auto"/>
                <w:lang w:bidi="ar"/>
              </w:rPr>
            </w:pPr>
            <w:r>
              <w:rPr>
                <w:color w:val="auto"/>
                <w:lang w:bidi="ar"/>
              </w:rPr>
              <w:t>表2</w:t>
            </w:r>
            <w:r>
              <w:rPr>
                <w:rFonts w:hint="eastAsia"/>
                <w:color w:val="auto"/>
                <w:lang w:bidi="ar"/>
              </w:rPr>
              <w:t>-</w:t>
            </w:r>
            <w:r>
              <w:rPr>
                <w:color w:val="auto"/>
                <w:lang w:bidi="ar"/>
              </w:rPr>
              <w:t>5  钻井基本参数</w:t>
            </w:r>
          </w:p>
          <w:tbl>
            <w:tblPr>
              <w:tblStyle w:val="17"/>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599"/>
              <w:gridCol w:w="1088"/>
              <w:gridCol w:w="1144"/>
              <w:gridCol w:w="1179"/>
              <w:gridCol w:w="1328"/>
              <w:gridCol w:w="13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1" w:type="dxa"/>
                  <w:shd w:val="clear" w:color="auto" w:fill="auto"/>
                  <w:noWrap w:val="0"/>
                  <w:vAlign w:val="center"/>
                </w:tcPr>
                <w:p>
                  <w:pPr>
                    <w:pStyle w:val="28"/>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序号</w:t>
                  </w:r>
                </w:p>
              </w:tc>
              <w:tc>
                <w:tcPr>
                  <w:tcW w:w="1675" w:type="dxa"/>
                  <w:shd w:val="clear" w:color="auto" w:fill="auto"/>
                  <w:noWrap w:val="0"/>
                  <w:vAlign w:val="center"/>
                </w:tcPr>
                <w:p>
                  <w:pPr>
                    <w:pStyle w:val="28"/>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井号</w:t>
                  </w:r>
                </w:p>
              </w:tc>
              <w:tc>
                <w:tcPr>
                  <w:tcW w:w="1136" w:type="dxa"/>
                  <w:shd w:val="clear" w:color="auto" w:fill="auto"/>
                  <w:noWrap w:val="0"/>
                  <w:vAlign w:val="center"/>
                </w:tcPr>
                <w:p>
                  <w:pPr>
                    <w:pStyle w:val="28"/>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井别</w:t>
                  </w:r>
                </w:p>
              </w:tc>
              <w:tc>
                <w:tcPr>
                  <w:tcW w:w="1195" w:type="dxa"/>
                  <w:shd w:val="clear" w:color="auto" w:fill="auto"/>
                  <w:noWrap w:val="0"/>
                  <w:vAlign w:val="center"/>
                </w:tcPr>
                <w:p>
                  <w:pPr>
                    <w:pStyle w:val="28"/>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井型</w:t>
                  </w:r>
                </w:p>
              </w:tc>
              <w:tc>
                <w:tcPr>
                  <w:tcW w:w="1232" w:type="dxa"/>
                  <w:shd w:val="clear" w:color="auto" w:fill="auto"/>
                  <w:noWrap w:val="0"/>
                  <w:vAlign w:val="center"/>
                </w:tcPr>
                <w:p>
                  <w:pPr>
                    <w:pStyle w:val="28"/>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井身结构</w:t>
                  </w:r>
                </w:p>
              </w:tc>
              <w:tc>
                <w:tcPr>
                  <w:tcW w:w="1389" w:type="dxa"/>
                  <w:shd w:val="clear" w:color="auto" w:fill="auto"/>
                  <w:noWrap w:val="0"/>
                  <w:vAlign w:val="center"/>
                </w:tcPr>
                <w:p>
                  <w:pPr>
                    <w:pStyle w:val="28"/>
                    <w:rPr>
                      <w:rFonts w:hint="eastAsia"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rPr>
                    <w:t>设计井深</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m</w:t>
                  </w:r>
                  <w:r>
                    <w:rPr>
                      <w:rFonts w:hint="eastAsia" w:ascii="Times New Roman" w:hAnsi="Times New Roman" w:cs="Times New Roman"/>
                      <w:b w:val="0"/>
                      <w:bCs w:val="0"/>
                      <w:color w:val="auto"/>
                      <w:sz w:val="21"/>
                      <w:szCs w:val="21"/>
                      <w:lang w:eastAsia="zh-CN"/>
                    </w:rPr>
                    <w:t>）</w:t>
                  </w:r>
                </w:p>
              </w:tc>
              <w:tc>
                <w:tcPr>
                  <w:tcW w:w="1366" w:type="dxa"/>
                  <w:shd w:val="clear" w:color="auto" w:fill="auto"/>
                  <w:noWrap w:val="0"/>
                  <w:vAlign w:val="center"/>
                </w:tcPr>
                <w:p>
                  <w:pPr>
                    <w:pStyle w:val="28"/>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钻井周期（d）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1" w:type="dxa"/>
                  <w:shd w:val="clear" w:color="auto" w:fill="auto"/>
                  <w:noWrap w:val="0"/>
                  <w:vAlign w:val="center"/>
                </w:tcPr>
                <w:p>
                  <w:pPr>
                    <w:pStyle w:val="28"/>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75" w:type="dxa"/>
                  <w:shd w:val="clear" w:color="auto" w:fill="auto"/>
                  <w:noWrap w:val="0"/>
                  <w:vAlign w:val="center"/>
                </w:tcPr>
                <w:p>
                  <w:pPr>
                    <w:pStyle w:val="28"/>
                    <w:rPr>
                      <w:rFonts w:hint="default" w:ascii="Times New Roman" w:hAnsi="Times New Roman" w:cs="Times New Roman"/>
                      <w:color w:val="auto"/>
                      <w:sz w:val="21"/>
                      <w:szCs w:val="21"/>
                    </w:rPr>
                  </w:pPr>
                  <w:r>
                    <w:rPr>
                      <w:rFonts w:hint="eastAsia" w:cs="Times New Roman"/>
                      <w:color w:val="auto"/>
                      <w:sz w:val="21"/>
                      <w:szCs w:val="21"/>
                      <w:lang w:val="en-US" w:eastAsia="zh-CN"/>
                    </w:rPr>
                    <w:t>沙帐1</w:t>
                  </w:r>
                  <w:r>
                    <w:rPr>
                      <w:rFonts w:hint="default" w:ascii="Times New Roman" w:hAnsi="Times New Roman" w:cs="Times New Roman"/>
                      <w:color w:val="auto"/>
                      <w:sz w:val="21"/>
                      <w:szCs w:val="21"/>
                    </w:rPr>
                    <w:t>井</w:t>
                  </w:r>
                </w:p>
              </w:tc>
              <w:tc>
                <w:tcPr>
                  <w:tcW w:w="1136" w:type="dxa"/>
                  <w:shd w:val="clear" w:color="auto" w:fill="auto"/>
                  <w:noWrap w:val="0"/>
                  <w:vAlign w:val="center"/>
                </w:tcPr>
                <w:p>
                  <w:pPr>
                    <w:pStyle w:val="28"/>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预探</w:t>
                  </w:r>
                  <w:r>
                    <w:rPr>
                      <w:rFonts w:hint="eastAsia" w:ascii="Times New Roman" w:hAnsi="Times New Roman" w:cs="Times New Roman"/>
                      <w:color w:val="auto"/>
                      <w:sz w:val="21"/>
                      <w:szCs w:val="21"/>
                      <w:lang w:val="en-US" w:eastAsia="zh-CN"/>
                    </w:rPr>
                    <w:t>井</w:t>
                  </w:r>
                </w:p>
              </w:tc>
              <w:tc>
                <w:tcPr>
                  <w:tcW w:w="1195" w:type="dxa"/>
                  <w:shd w:val="clear" w:color="auto" w:fill="auto"/>
                  <w:noWrap w:val="0"/>
                  <w:vAlign w:val="center"/>
                </w:tcPr>
                <w:p>
                  <w:pPr>
                    <w:pStyle w:val="28"/>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直</w:t>
                  </w:r>
                  <w:r>
                    <w:rPr>
                      <w:rFonts w:hint="eastAsia" w:ascii="Times New Roman" w:hAnsi="Times New Roman" w:cs="Times New Roman"/>
                      <w:color w:val="auto"/>
                      <w:sz w:val="21"/>
                      <w:szCs w:val="21"/>
                      <w:lang w:val="en-US" w:eastAsia="zh-CN"/>
                    </w:rPr>
                    <w:t>井</w:t>
                  </w:r>
                </w:p>
              </w:tc>
              <w:tc>
                <w:tcPr>
                  <w:tcW w:w="1232" w:type="dxa"/>
                  <w:shd w:val="clear" w:color="auto" w:fill="auto"/>
                  <w:noWrap w:val="0"/>
                  <w:vAlign w:val="center"/>
                </w:tcPr>
                <w:p>
                  <w:pPr>
                    <w:pStyle w:val="28"/>
                    <w:rPr>
                      <w:rFonts w:hint="default" w:ascii="Times New Roman" w:hAnsi="Times New Roman" w:cs="Times New Roman"/>
                      <w:color w:val="auto"/>
                      <w:sz w:val="21"/>
                      <w:szCs w:val="21"/>
                    </w:rPr>
                  </w:pPr>
                  <w:r>
                    <w:rPr>
                      <w:rFonts w:hint="eastAsia" w:cs="Times New Roman"/>
                      <w:color w:val="auto"/>
                      <w:sz w:val="21"/>
                      <w:szCs w:val="21"/>
                      <w:lang w:val="en-US" w:eastAsia="zh-CN"/>
                    </w:rPr>
                    <w:t>二</w:t>
                  </w:r>
                  <w:r>
                    <w:rPr>
                      <w:rFonts w:hint="default" w:ascii="Times New Roman" w:hAnsi="Times New Roman" w:cs="Times New Roman"/>
                      <w:color w:val="auto"/>
                      <w:sz w:val="21"/>
                      <w:szCs w:val="21"/>
                    </w:rPr>
                    <w:t>开</w:t>
                  </w:r>
                </w:p>
              </w:tc>
              <w:tc>
                <w:tcPr>
                  <w:tcW w:w="1389" w:type="dxa"/>
                  <w:shd w:val="clear" w:color="auto" w:fill="auto"/>
                  <w:noWrap w:val="0"/>
                  <w:vAlign w:val="center"/>
                </w:tcPr>
                <w:p>
                  <w:pPr>
                    <w:pStyle w:val="28"/>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2625</w:t>
                  </w:r>
                </w:p>
              </w:tc>
              <w:tc>
                <w:tcPr>
                  <w:tcW w:w="1366" w:type="dxa"/>
                  <w:shd w:val="clear" w:color="auto" w:fill="auto"/>
                  <w:noWrap w:val="0"/>
                  <w:vAlign w:val="center"/>
                </w:tcPr>
                <w:p>
                  <w:pPr>
                    <w:pStyle w:val="28"/>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42</w:t>
                  </w:r>
                </w:p>
              </w:tc>
            </w:tr>
          </w:tbl>
          <w:p>
            <w:pPr>
              <w:pStyle w:val="4"/>
              <w:rPr>
                <w:rFonts w:ascii="Times New Roman" w:hAnsi="Times New Roman"/>
                <w:color w:val="auto"/>
                <w:sz w:val="24"/>
              </w:rPr>
            </w:pPr>
            <w:r>
              <w:rPr>
                <w:rFonts w:ascii="Times New Roman" w:hAnsi="Times New Roman"/>
                <w:color w:val="auto"/>
                <w:sz w:val="24"/>
              </w:rPr>
              <w:t>固井质量要求见表2-</w:t>
            </w:r>
            <w:r>
              <w:rPr>
                <w:rFonts w:hint="eastAsia" w:ascii="Times New Roman" w:hAnsi="Times New Roman"/>
                <w:color w:val="auto"/>
                <w:sz w:val="24"/>
              </w:rPr>
              <w:t>6</w:t>
            </w:r>
            <w:r>
              <w:rPr>
                <w:rFonts w:ascii="Times New Roman" w:hAnsi="Times New Roman"/>
                <w:color w:val="auto"/>
                <w:sz w:val="24"/>
              </w:rPr>
              <w:t>。</w:t>
            </w:r>
          </w:p>
          <w:p>
            <w:pPr>
              <w:pStyle w:val="27"/>
              <w:ind w:firstLine="422"/>
              <w:jc w:val="center"/>
              <w:rPr>
                <w:rFonts w:ascii="Times New Roman" w:hAnsi="Times New Roman"/>
                <w:color w:val="auto"/>
                <w:sz w:val="24"/>
              </w:rPr>
            </w:pPr>
            <w:r>
              <w:rPr>
                <w:rFonts w:ascii="Times New Roman" w:hAnsi="Times New Roman"/>
                <w:color w:val="auto"/>
                <w:szCs w:val="21"/>
              </w:rPr>
              <w:t>表2-</w:t>
            </w:r>
            <w:r>
              <w:rPr>
                <w:rFonts w:hint="eastAsia" w:ascii="Times New Roman" w:hAnsi="Times New Roman"/>
                <w:color w:val="auto"/>
                <w:szCs w:val="21"/>
              </w:rPr>
              <w:t>6</w:t>
            </w:r>
            <w:r>
              <w:rPr>
                <w:rFonts w:ascii="Times New Roman" w:hAnsi="Times New Roman"/>
                <w:color w:val="auto"/>
                <w:szCs w:val="21"/>
              </w:rPr>
              <w:t xml:space="preserve">  固井质量要求一览表</w:t>
            </w:r>
          </w:p>
          <w:tbl>
            <w:tblPr>
              <w:tblStyle w:val="18"/>
              <w:tblW w:w="4998" w:type="pct"/>
              <w:tblInd w:w="5"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514"/>
              <w:gridCol w:w="664"/>
              <w:gridCol w:w="950"/>
              <w:gridCol w:w="916"/>
              <w:gridCol w:w="997"/>
              <w:gridCol w:w="869"/>
              <w:gridCol w:w="1402"/>
              <w:gridCol w:w="881"/>
              <w:gridCol w:w="90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318" w:type="pct"/>
                  <w:vAlign w:val="center"/>
                </w:tcPr>
                <w:p>
                  <w:pPr>
                    <w:spacing w:line="240" w:lineRule="auto"/>
                    <w:jc w:val="center"/>
                    <w:textAlignment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井号</w:t>
                  </w:r>
                </w:p>
              </w:tc>
              <w:tc>
                <w:tcPr>
                  <w:tcW w:w="410" w:type="pct"/>
                  <w:vAlign w:val="center"/>
                </w:tcPr>
                <w:p>
                  <w:pPr>
                    <w:spacing w:line="240" w:lineRule="auto"/>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开钻</w:t>
                  </w:r>
                </w:p>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次数</w:t>
                  </w:r>
                </w:p>
              </w:tc>
              <w:tc>
                <w:tcPr>
                  <w:tcW w:w="586" w:type="pct"/>
                  <w:vAlign w:val="center"/>
                </w:tcPr>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钻头尺寸</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mm</w:t>
                  </w:r>
                  <w:r>
                    <w:rPr>
                      <w:rFonts w:hint="eastAsia" w:ascii="Times New Roman" w:hAnsi="Times New Roman" w:cs="Times New Roman"/>
                      <w:b w:val="0"/>
                      <w:bCs w:val="0"/>
                      <w:color w:val="auto"/>
                      <w:sz w:val="21"/>
                      <w:szCs w:val="21"/>
                      <w:lang w:val="en-US" w:eastAsia="zh-CN"/>
                    </w:rPr>
                    <w:t>)</w:t>
                  </w:r>
                </w:p>
              </w:tc>
              <w:tc>
                <w:tcPr>
                  <w:tcW w:w="565" w:type="pct"/>
                  <w:vAlign w:val="center"/>
                </w:tcPr>
                <w:p>
                  <w:pPr>
                    <w:spacing w:line="240" w:lineRule="auto"/>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井段</w:t>
                  </w:r>
                </w:p>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m</w:t>
                  </w:r>
                  <w:r>
                    <w:rPr>
                      <w:rFonts w:hint="eastAsia" w:ascii="Times New Roman" w:hAnsi="Times New Roman" w:cs="Times New Roman"/>
                      <w:b w:val="0"/>
                      <w:bCs w:val="0"/>
                      <w:color w:val="auto"/>
                      <w:sz w:val="21"/>
                      <w:szCs w:val="21"/>
                      <w:lang w:val="en-US" w:eastAsia="zh-CN"/>
                    </w:rPr>
                    <w:t>)</w:t>
                  </w:r>
                </w:p>
              </w:tc>
              <w:tc>
                <w:tcPr>
                  <w:tcW w:w="615" w:type="pct"/>
                  <w:vAlign w:val="center"/>
                </w:tcPr>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套管尺寸(mm)</w:t>
                  </w:r>
                </w:p>
              </w:tc>
              <w:tc>
                <w:tcPr>
                  <w:tcW w:w="536" w:type="pct"/>
                  <w:vAlign w:val="center"/>
                </w:tcPr>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套管下深(m)</w:t>
                  </w:r>
                </w:p>
              </w:tc>
              <w:tc>
                <w:tcPr>
                  <w:tcW w:w="865" w:type="pct"/>
                  <w:vAlign w:val="center"/>
                </w:tcPr>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水泥封固井段</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m</w:t>
                  </w:r>
                  <w:r>
                    <w:rPr>
                      <w:rFonts w:hint="eastAsia" w:ascii="Times New Roman" w:hAnsi="Times New Roman" w:cs="Times New Roman"/>
                      <w:b w:val="0"/>
                      <w:bCs w:val="0"/>
                      <w:color w:val="auto"/>
                      <w:sz w:val="21"/>
                      <w:szCs w:val="21"/>
                      <w:lang w:val="en-US" w:eastAsia="zh-CN"/>
                    </w:rPr>
                    <w:t>)</w:t>
                  </w:r>
                </w:p>
              </w:tc>
              <w:tc>
                <w:tcPr>
                  <w:tcW w:w="544" w:type="pct"/>
                  <w:vAlign w:val="center"/>
                </w:tcPr>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封固段长</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m</w:t>
                  </w:r>
                  <w:r>
                    <w:rPr>
                      <w:rFonts w:hint="eastAsia" w:ascii="Times New Roman" w:hAnsi="Times New Roman" w:cs="Times New Roman"/>
                      <w:b w:val="0"/>
                      <w:bCs w:val="0"/>
                      <w:color w:val="auto"/>
                      <w:sz w:val="21"/>
                      <w:szCs w:val="21"/>
                      <w:lang w:val="en-US" w:eastAsia="zh-CN"/>
                    </w:rPr>
                    <w:t>)</w:t>
                  </w:r>
                </w:p>
              </w:tc>
              <w:tc>
                <w:tcPr>
                  <w:tcW w:w="557" w:type="pct"/>
                  <w:vAlign w:val="center"/>
                </w:tcPr>
                <w:p>
                  <w:pPr>
                    <w:spacing w:line="240" w:lineRule="auto"/>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固井质</w:t>
                  </w:r>
                </w:p>
                <w:p>
                  <w:pPr>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量要求</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318" w:type="pct"/>
                  <w:vMerge w:val="restart"/>
                  <w:vAlign w:val="center"/>
                </w:tcPr>
                <w:p>
                  <w:pPr>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沙帐1</w:t>
                  </w:r>
                  <w:r>
                    <w:rPr>
                      <w:rFonts w:hint="eastAsia" w:ascii="Times New Roman" w:hAnsi="Times New Roman" w:cs="Times New Roman"/>
                      <w:color w:val="auto"/>
                      <w:sz w:val="21"/>
                      <w:szCs w:val="21"/>
                      <w:lang w:val="en-US" w:eastAsia="zh-CN"/>
                    </w:rPr>
                    <w:t>井</w:t>
                  </w:r>
                </w:p>
              </w:tc>
              <w:tc>
                <w:tcPr>
                  <w:tcW w:w="410" w:type="pct"/>
                  <w:vAlign w:val="center"/>
                </w:tcPr>
                <w:p>
                  <w:pPr>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导眼</w:t>
                  </w:r>
                </w:p>
              </w:tc>
              <w:tc>
                <w:tcPr>
                  <w:tcW w:w="586" w:type="pct"/>
                  <w:vAlign w:val="center"/>
                </w:tcPr>
                <w:p>
                  <w:pPr>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Φ660</w:t>
                  </w:r>
                </w:p>
              </w:tc>
              <w:tc>
                <w:tcPr>
                  <w:tcW w:w="956"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0-30</w:t>
                  </w:r>
                </w:p>
              </w:tc>
              <w:tc>
                <w:tcPr>
                  <w:tcW w:w="1040"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Φ508</w:t>
                  </w:r>
                </w:p>
              </w:tc>
              <w:tc>
                <w:tcPr>
                  <w:tcW w:w="906"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30</w:t>
                  </w:r>
                </w:p>
              </w:tc>
              <w:tc>
                <w:tcPr>
                  <w:tcW w:w="1463"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0-30</w:t>
                  </w:r>
                </w:p>
              </w:tc>
              <w:tc>
                <w:tcPr>
                  <w:tcW w:w="920"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w:t>
                  </w:r>
                </w:p>
              </w:tc>
              <w:tc>
                <w:tcPr>
                  <w:tcW w:w="943"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318" w:type="pct"/>
                  <w:vMerge w:val="continue"/>
                  <w:vAlign w:val="center"/>
                </w:tcPr>
                <w:p>
                  <w:pPr>
                    <w:spacing w:line="240" w:lineRule="auto"/>
                    <w:jc w:val="center"/>
                    <w:textAlignment w:val="center"/>
                    <w:rPr>
                      <w:rFonts w:hint="default" w:ascii="Times New Roman" w:hAnsi="Times New Roman" w:cs="Times New Roman"/>
                      <w:color w:val="auto"/>
                      <w:sz w:val="21"/>
                      <w:szCs w:val="21"/>
                    </w:rPr>
                  </w:pPr>
                </w:p>
              </w:tc>
              <w:tc>
                <w:tcPr>
                  <w:tcW w:w="410" w:type="pct"/>
                  <w:vAlign w:val="center"/>
                </w:tcPr>
                <w:p>
                  <w:pPr>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一开</w:t>
                  </w:r>
                </w:p>
              </w:tc>
              <w:tc>
                <w:tcPr>
                  <w:tcW w:w="586" w:type="pct"/>
                  <w:vAlign w:val="center"/>
                </w:tcPr>
                <w:p>
                  <w:pPr>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Φ375</w:t>
                  </w:r>
                </w:p>
              </w:tc>
              <w:tc>
                <w:tcPr>
                  <w:tcW w:w="956"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30-700</w:t>
                  </w:r>
                </w:p>
              </w:tc>
              <w:tc>
                <w:tcPr>
                  <w:tcW w:w="1040"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Φ273</w:t>
                  </w:r>
                </w:p>
              </w:tc>
              <w:tc>
                <w:tcPr>
                  <w:tcW w:w="906"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700</w:t>
                  </w:r>
                </w:p>
              </w:tc>
              <w:tc>
                <w:tcPr>
                  <w:tcW w:w="1463"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0-700</w:t>
                  </w:r>
                </w:p>
              </w:tc>
              <w:tc>
                <w:tcPr>
                  <w:tcW w:w="920"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w:t>
                  </w:r>
                </w:p>
              </w:tc>
              <w:tc>
                <w:tcPr>
                  <w:tcW w:w="943"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合格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318" w:type="pct"/>
                  <w:vMerge w:val="continue"/>
                  <w:vAlign w:val="center"/>
                </w:tcPr>
                <w:p>
                  <w:pPr>
                    <w:spacing w:line="240" w:lineRule="auto"/>
                    <w:jc w:val="center"/>
                    <w:textAlignment w:val="center"/>
                    <w:rPr>
                      <w:rFonts w:hint="default" w:ascii="Times New Roman" w:hAnsi="Times New Roman" w:cs="Times New Roman"/>
                      <w:color w:val="auto"/>
                      <w:sz w:val="21"/>
                      <w:szCs w:val="21"/>
                    </w:rPr>
                  </w:pPr>
                </w:p>
              </w:tc>
              <w:tc>
                <w:tcPr>
                  <w:tcW w:w="410" w:type="pct"/>
                  <w:vAlign w:val="center"/>
                </w:tcPr>
                <w:p>
                  <w:pPr>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二开</w:t>
                  </w:r>
                </w:p>
              </w:tc>
              <w:tc>
                <w:tcPr>
                  <w:tcW w:w="586" w:type="pct"/>
                  <w:vAlign w:val="center"/>
                </w:tcPr>
                <w:p>
                  <w:pPr>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Φ2</w:t>
                  </w:r>
                  <w:r>
                    <w:rPr>
                      <w:rFonts w:hint="eastAsia" w:cs="Times New Roman"/>
                      <w:color w:val="auto"/>
                      <w:sz w:val="21"/>
                      <w:szCs w:val="21"/>
                      <w:lang w:val="en-US" w:eastAsia="zh-CN"/>
                    </w:rPr>
                    <w:t>16</w:t>
                  </w:r>
                </w:p>
              </w:tc>
              <w:tc>
                <w:tcPr>
                  <w:tcW w:w="956"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700-2625</w:t>
                  </w:r>
                </w:p>
              </w:tc>
              <w:tc>
                <w:tcPr>
                  <w:tcW w:w="1040"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Φ139.7</w:t>
                  </w:r>
                </w:p>
              </w:tc>
              <w:tc>
                <w:tcPr>
                  <w:tcW w:w="906"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2625</w:t>
                  </w:r>
                </w:p>
              </w:tc>
              <w:tc>
                <w:tcPr>
                  <w:tcW w:w="1463"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抗盐常规1600-2625</w:t>
                  </w:r>
                </w:p>
              </w:tc>
              <w:tc>
                <w:tcPr>
                  <w:tcW w:w="920" w:type="dxa"/>
                  <w:vAlign w:val="center"/>
                </w:tcPr>
                <w:p>
                  <w:pPr>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声幅</w:t>
                  </w:r>
                </w:p>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变密度</w:t>
                  </w:r>
                </w:p>
              </w:tc>
              <w:tc>
                <w:tcPr>
                  <w:tcW w:w="943" w:type="dxa"/>
                  <w:vAlign w:val="center"/>
                </w:tcPr>
                <w:p>
                  <w:pPr>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合格</w:t>
                  </w:r>
                </w:p>
              </w:tc>
            </w:tr>
          </w:tbl>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.2 井身结构</w:t>
            </w:r>
          </w:p>
          <w:p>
            <w:pPr>
              <w:pStyle w:val="4"/>
              <w:rPr>
                <w:bCs/>
                <w:color w:val="auto"/>
              </w:rPr>
            </w:pPr>
            <w:r>
              <w:rPr>
                <w:rFonts w:hint="eastAsia"/>
                <w:color w:val="auto"/>
                <w:lang w:val="en-US" w:eastAsia="zh-CN"/>
              </w:rPr>
              <w:t>本次拟钻井井身结构设计说明见表2-7，</w:t>
            </w:r>
            <w:r>
              <w:rPr>
                <w:rFonts w:hint="eastAsia"/>
                <w:bCs/>
                <w:color w:val="auto"/>
              </w:rPr>
              <w:t>井身结构图见图2-</w:t>
            </w:r>
            <w:r>
              <w:rPr>
                <w:bCs/>
                <w:color w:val="auto"/>
              </w:rPr>
              <w:t>4</w:t>
            </w:r>
            <w:r>
              <w:rPr>
                <w:rFonts w:hint="eastAsia"/>
                <w:bCs/>
                <w:color w:val="auto"/>
              </w:rPr>
              <w:t>。</w:t>
            </w:r>
          </w:p>
          <w:p>
            <w:pPr>
              <w:pStyle w:val="27"/>
              <w:ind w:firstLine="422"/>
              <w:jc w:val="center"/>
              <w:rPr>
                <w:rFonts w:ascii="Times New Roman" w:hAnsi="Times New Roman"/>
                <w:color w:val="auto"/>
                <w:sz w:val="24"/>
              </w:rPr>
            </w:pPr>
            <w:r>
              <w:rPr>
                <w:rFonts w:ascii="Times New Roman" w:hAnsi="Times New Roman"/>
                <w:color w:val="auto"/>
                <w:szCs w:val="21"/>
              </w:rPr>
              <w:t>表2-</w:t>
            </w:r>
            <w:r>
              <w:rPr>
                <w:rFonts w:hint="eastAsia" w:ascii="Times New Roman" w:hAnsi="Times New Roman"/>
                <w:color w:val="auto"/>
                <w:szCs w:val="21"/>
                <w:lang w:val="en-US" w:eastAsia="zh-CN"/>
              </w:rPr>
              <w:t>7</w:t>
            </w:r>
            <w:r>
              <w:rPr>
                <w:rFonts w:ascii="Times New Roman" w:hAnsi="Times New Roman"/>
                <w:color w:val="auto"/>
                <w:szCs w:val="21"/>
              </w:rPr>
              <w:t xml:space="preserve">  </w:t>
            </w:r>
            <w:r>
              <w:rPr>
                <w:rFonts w:hint="eastAsia" w:ascii="Times New Roman" w:hAnsi="Times New Roman"/>
                <w:color w:val="auto"/>
                <w:szCs w:val="21"/>
                <w:lang w:val="en-US" w:eastAsia="zh-CN"/>
              </w:rPr>
              <w:t>井身结构设计</w:t>
            </w:r>
            <w:r>
              <w:rPr>
                <w:rFonts w:ascii="Times New Roman" w:hAnsi="Times New Roman"/>
                <w:color w:val="auto"/>
                <w:szCs w:val="21"/>
              </w:rPr>
              <w:t>一览表</w:t>
            </w:r>
          </w:p>
          <w:tbl>
            <w:tblPr>
              <w:tblStyle w:val="18"/>
              <w:tblW w:w="4998" w:type="pct"/>
              <w:tblInd w:w="5"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08"/>
              <w:gridCol w:w="719"/>
              <w:gridCol w:w="952"/>
              <w:gridCol w:w="6017"/>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52" w:type="pct"/>
                  <w:vMerge w:val="restart"/>
                  <w:vAlign w:val="center"/>
                </w:tcPr>
                <w:p>
                  <w:pPr>
                    <w:spacing w:line="240" w:lineRule="auto"/>
                    <w:jc w:val="center"/>
                    <w:textAlignment w:val="center"/>
                    <w:rPr>
                      <w:rFonts w:hint="default" w:ascii="Times New Roman" w:hAnsi="Times New Roman" w:eastAsia="宋体"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沙帐1</w:t>
                  </w:r>
                  <w:r>
                    <w:rPr>
                      <w:rFonts w:hint="eastAsia" w:ascii="Times New Roman" w:hAnsi="Times New Roman" w:eastAsia="宋体" w:cs="Times New Roman"/>
                      <w:bCs/>
                      <w:color w:val="auto"/>
                      <w:sz w:val="21"/>
                      <w:szCs w:val="21"/>
                      <w:vertAlign w:val="baseline"/>
                      <w:lang w:val="en-US" w:eastAsia="zh-CN"/>
                    </w:rPr>
                    <w:t>井</w:t>
                  </w:r>
                </w:p>
              </w:tc>
              <w:tc>
                <w:tcPr>
                  <w:tcW w:w="444" w:type="pct"/>
                  <w:vAlign w:val="center"/>
                </w:tcPr>
                <w:p>
                  <w:pPr>
                    <w:spacing w:line="240" w:lineRule="auto"/>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开钻次序</w:t>
                  </w:r>
                </w:p>
              </w:tc>
              <w:tc>
                <w:tcPr>
                  <w:tcW w:w="588" w:type="pct"/>
                  <w:vAlign w:val="center"/>
                </w:tcPr>
                <w:p>
                  <w:pPr>
                    <w:spacing w:line="240" w:lineRule="auto"/>
                    <w:jc w:val="center"/>
                    <w:textAlignment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套管尺寸mm</w:t>
                  </w:r>
                </w:p>
              </w:tc>
              <w:tc>
                <w:tcPr>
                  <w:tcW w:w="3714" w:type="pct"/>
                  <w:vAlign w:val="center"/>
                </w:tcPr>
                <w:p>
                  <w:pPr>
                    <w:spacing w:line="240" w:lineRule="auto"/>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设    计    说    明</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52" w:type="pct"/>
                  <w:vMerge w:val="continue"/>
                  <w:vAlign w:val="center"/>
                </w:tcPr>
                <w:p>
                  <w:pPr>
                    <w:spacing w:line="240" w:lineRule="auto"/>
                    <w:jc w:val="center"/>
                    <w:textAlignment w:val="center"/>
                    <w:rPr>
                      <w:rFonts w:hint="default" w:ascii="Times New Roman" w:hAnsi="Times New Roman" w:eastAsia="宋体" w:cs="Times New Roman"/>
                      <w:bCs/>
                      <w:color w:val="auto"/>
                      <w:sz w:val="21"/>
                      <w:szCs w:val="21"/>
                      <w:vertAlign w:val="baseline"/>
                      <w:lang w:val="en-US" w:eastAsia="zh-CN"/>
                    </w:rPr>
                  </w:pPr>
                </w:p>
              </w:tc>
              <w:tc>
                <w:tcPr>
                  <w:tcW w:w="4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导眼</w:t>
                  </w:r>
                </w:p>
              </w:tc>
              <w:tc>
                <w:tcPr>
                  <w:tcW w:w="588" w:type="pct"/>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Φ508</w:t>
                  </w:r>
                </w:p>
              </w:tc>
              <w:tc>
                <w:tcPr>
                  <w:tcW w:w="6279" w:type="dxa"/>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用Φ660mm钻头打导眼30m，下入Φ508mm的导管固井，水泥返至地面。</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52" w:type="pct"/>
                  <w:vMerge w:val="continue"/>
                  <w:vAlign w:val="center"/>
                </w:tcPr>
                <w:p>
                  <w:pPr>
                    <w:spacing w:line="240" w:lineRule="auto"/>
                    <w:jc w:val="center"/>
                    <w:rPr>
                      <w:rFonts w:hint="default" w:ascii="Times New Roman" w:hAnsi="Times New Roman" w:eastAsia="宋体" w:cs="Times New Roman"/>
                      <w:bCs/>
                      <w:color w:val="auto"/>
                      <w:sz w:val="21"/>
                      <w:szCs w:val="21"/>
                      <w:vertAlign w:val="baseline"/>
                      <w:lang w:val="en-US" w:eastAsia="zh-CN"/>
                    </w:rPr>
                  </w:pPr>
                </w:p>
              </w:tc>
              <w:tc>
                <w:tcPr>
                  <w:tcW w:w="4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一开</w:t>
                  </w:r>
                </w:p>
              </w:tc>
              <w:tc>
                <w:tcPr>
                  <w:tcW w:w="588" w:type="pct"/>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Φ273</w:t>
                  </w:r>
                </w:p>
              </w:tc>
              <w:tc>
                <w:tcPr>
                  <w:tcW w:w="6279" w:type="dxa"/>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用Φ375mm钻头一开，钻穿砾石层至少20m，钻至井深700m，下入Φ273mm表层套管固井，水泥返至地面。</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c>
                <w:tcPr>
                  <w:tcW w:w="252" w:type="pct"/>
                  <w:vMerge w:val="continue"/>
                  <w:vAlign w:val="center"/>
                </w:tcPr>
                <w:p>
                  <w:pPr>
                    <w:spacing w:line="240" w:lineRule="auto"/>
                    <w:jc w:val="center"/>
                    <w:rPr>
                      <w:rFonts w:hint="default" w:ascii="Times New Roman" w:hAnsi="Times New Roman" w:eastAsia="宋体" w:cs="Times New Roman"/>
                      <w:bCs/>
                      <w:color w:val="auto"/>
                      <w:sz w:val="21"/>
                      <w:szCs w:val="21"/>
                      <w:vertAlign w:val="baseline"/>
                      <w:lang w:val="en-US" w:eastAsia="zh-CN"/>
                    </w:rPr>
                  </w:pPr>
                </w:p>
              </w:tc>
              <w:tc>
                <w:tcPr>
                  <w:tcW w:w="444"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二开</w:t>
                  </w:r>
                </w:p>
              </w:tc>
              <w:tc>
                <w:tcPr>
                  <w:tcW w:w="588"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Φ</w:t>
                  </w:r>
                  <w:r>
                    <w:rPr>
                      <w:rFonts w:hint="eastAsia" w:ascii="Times New Roman" w:hAnsi="Times New Roman" w:eastAsia="宋体" w:cs="Times New Roman"/>
                      <w:color w:val="auto"/>
                      <w:sz w:val="21"/>
                      <w:szCs w:val="21"/>
                    </w:rPr>
                    <w:t>1</w:t>
                  </w:r>
                  <w:r>
                    <w:rPr>
                      <w:rFonts w:hint="eastAsia" w:cs="Times New Roman"/>
                      <w:color w:val="auto"/>
                      <w:sz w:val="21"/>
                      <w:szCs w:val="21"/>
                      <w:lang w:val="en-US" w:eastAsia="zh-CN"/>
                    </w:rPr>
                    <w:t>39.7</w:t>
                  </w:r>
                </w:p>
              </w:tc>
              <w:tc>
                <w:tcPr>
                  <w:tcW w:w="6279" w:type="dxa"/>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用Φ216mm钻头二开，钻至井深2625m完钻，下入Φ139.7mm油层套管固井，抗盐水泥上返至1600m，封固段长1025m。</w:t>
                  </w:r>
                </w:p>
              </w:tc>
            </w:tr>
          </w:tbl>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pStyle w:val="4"/>
              <w:ind w:left="0" w:leftChars="0" w:firstLine="0" w:firstLineChars="0"/>
              <w:rPr>
                <w:bCs/>
                <w:color w:val="auto"/>
              </w:rPr>
            </w:pPr>
          </w:p>
          <w:p>
            <w:pPr>
              <w:rPr>
                <w:rFonts w:hint="eastAsia"/>
                <w:color w:val="auto"/>
              </w:rPr>
            </w:pPr>
          </w:p>
          <w:tbl>
            <w:tblPr>
              <w:tblStyle w:val="18"/>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55"/>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地层分层</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napToGrid w:val="0"/>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垂深（m）</w:t>
                  </w:r>
                </w:p>
              </w:tc>
              <w:tc>
                <w:tcPr>
                  <w:tcW w:w="5780"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井身结构示意图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J</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vertAlign w:val="baseline"/>
                      <w:lang w:val="en-US" w:eastAsia="zh-CN"/>
                    </w:rPr>
                    <w:t>x</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610</w:t>
                  </w:r>
                </w:p>
              </w:tc>
              <w:tc>
                <w:tcPr>
                  <w:tcW w:w="5780" w:type="dxa"/>
                  <w:vMerge w:val="restart"/>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mc:AlternateContent>
                      <mc:Choice Requires="wpg">
                        <w:drawing>
                          <wp:anchor distT="0" distB="0" distL="114300" distR="114300" simplePos="0" relativeHeight="251660288" behindDoc="0" locked="0" layoutInCell="1" allowOverlap="1">
                            <wp:simplePos x="0" y="0"/>
                            <wp:positionH relativeFrom="column">
                              <wp:posOffset>240030</wp:posOffset>
                            </wp:positionH>
                            <wp:positionV relativeFrom="paragraph">
                              <wp:posOffset>98425</wp:posOffset>
                            </wp:positionV>
                            <wp:extent cx="3113405" cy="6678930"/>
                            <wp:effectExtent l="0" t="0" r="0" b="7620"/>
                            <wp:wrapNone/>
                            <wp:docPr id="54" name="组合 54"/>
                            <wp:cNvGraphicFramePr/>
                            <a:graphic xmlns:a="http://schemas.openxmlformats.org/drawingml/2006/main">
                              <a:graphicData uri="http://schemas.microsoft.com/office/word/2010/wordprocessingGroup">
                                <wpg:wgp>
                                  <wpg:cNvGrpSpPr/>
                                  <wpg:grpSpPr>
                                    <a:xfrm>
                                      <a:off x="0" y="0"/>
                                      <a:ext cx="3113405" cy="6678930"/>
                                      <a:chOff x="12519" y="228083"/>
                                      <a:chExt cx="4903" cy="10518"/>
                                    </a:xfrm>
                                  </wpg:grpSpPr>
                                  <wps:wsp>
                                    <wps:cNvPr id="43" name="文本框 43"/>
                                    <wps:cNvSpPr txBox="1"/>
                                    <wps:spPr>
                                      <a:xfrm>
                                        <a:off x="14398" y="233589"/>
                                        <a:ext cx="2847" cy="543"/>
                                      </a:xfrm>
                                      <a:prstGeom prst="rect">
                                        <a:avLst/>
                                      </a:prstGeom>
                                      <a:noFill/>
                                      <a:ln>
                                        <a:noFill/>
                                      </a:ln>
                                    </wps:spPr>
                                    <wps:txbx>
                                      <w:txbxContent>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抗盐水泥返至1600m</w:t>
                                          </w:r>
                                        </w:p>
                                      </w:txbxContent>
                                    </wps:txbx>
                                    <wps:bodyPr lIns="0" tIns="0" rIns="0" bIns="0" upright="1"/>
                                  </wps:wsp>
                                  <wps:wsp>
                                    <wps:cNvPr id="44" name="矩形 44" descr="花岗岩"/>
                                    <wps:cNvSpPr/>
                                    <wps:spPr>
                                      <a:xfrm>
                                        <a:off x="13788" y="233930"/>
                                        <a:ext cx="427" cy="4441"/>
                                      </a:xfrm>
                                      <a:prstGeom prst="rect">
                                        <a:avLst/>
                                      </a:prstGeom>
                                      <a:blipFill rotWithShape="0">
                                        <a:blip r:embed="rId7"/>
                                      </a:blipFill>
                                      <a:ln w="19050">
                                        <a:noFill/>
                                      </a:ln>
                                    </wps:spPr>
                                    <wps:bodyPr upright="1"/>
                                  </wps:wsp>
                                  <wps:wsp>
                                    <wps:cNvPr id="46" name="文本框 46"/>
                                    <wps:cNvSpPr txBox="1"/>
                                    <wps:spPr>
                                      <a:xfrm>
                                        <a:off x="14884" y="229511"/>
                                        <a:ext cx="2256" cy="648"/>
                                      </a:xfrm>
                                      <a:prstGeom prst="rect">
                                        <a:avLst/>
                                      </a:prstGeom>
                                      <a:noFill/>
                                      <a:ln>
                                        <a:noFill/>
                                      </a:ln>
                                    </wps:spPr>
                                    <wps:txbx>
                                      <w:txbxContent>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Φ375mm钻头×700m</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Φ273mm套管×700m</w:t>
                                          </w:r>
                                        </w:p>
                                      </w:txbxContent>
                                    </wps:txbx>
                                    <wps:bodyPr lIns="0" tIns="0" rIns="0" bIns="0" upright="1"/>
                                  </wps:wsp>
                                  <wps:wsp>
                                    <wps:cNvPr id="45" name="文本框 45"/>
                                    <wps:cNvSpPr txBox="1"/>
                                    <wps:spPr>
                                      <a:xfrm>
                                        <a:off x="14538" y="237582"/>
                                        <a:ext cx="2841" cy="642"/>
                                      </a:xfrm>
                                      <a:prstGeom prst="rect">
                                        <a:avLst/>
                                      </a:prstGeom>
                                      <a:noFill/>
                                      <a:ln>
                                        <a:noFill/>
                                      </a:ln>
                                    </wps:spPr>
                                    <wps:txbx>
                                      <w:txbxContent>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Φ216mm钻头×2625m</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Φ139.7mm套管×2625m</w:t>
                                          </w:r>
                                        </w:p>
                                      </w:txbxContent>
                                    </wps:txbx>
                                    <wps:bodyPr lIns="0" tIns="0" rIns="0" bIns="0" upright="1"/>
                                  </wps:wsp>
                                  <wps:wsp>
                                    <wps:cNvPr id="53" name="矩形 53" descr="花岗岩"/>
                                    <wps:cNvSpPr/>
                                    <wps:spPr>
                                      <a:xfrm>
                                        <a:off x="14215" y="228293"/>
                                        <a:ext cx="479" cy="1709"/>
                                      </a:xfrm>
                                      <a:prstGeom prst="rect">
                                        <a:avLst/>
                                      </a:prstGeom>
                                      <a:blipFill rotWithShape="0">
                                        <a:blip r:embed="rId7"/>
                                      </a:blipFill>
                                      <a:ln w="19050" cap="flat" cmpd="sng">
                                        <a:solidFill>
                                          <a:srgbClr val="000000"/>
                                        </a:solidFill>
                                        <a:prstDash val="solid"/>
                                        <a:miter/>
                                        <a:headEnd type="none" w="med" len="med"/>
                                        <a:tailEnd type="none" w="med" len="med"/>
                                      </a:ln>
                                    </wps:spPr>
                                    <wps:bodyPr upright="1"/>
                                  </wps:wsp>
                                  <wps:wsp>
                                    <wps:cNvPr id="47" name="直接连接符 47"/>
                                    <wps:cNvCnPr/>
                                    <wps:spPr>
                                      <a:xfrm flipH="1">
                                        <a:off x="13152" y="228083"/>
                                        <a:ext cx="1" cy="10519"/>
                                      </a:xfrm>
                                      <a:prstGeom prst="line">
                                        <a:avLst/>
                                      </a:prstGeom>
                                      <a:ln w="3175" cap="flat" cmpd="sng">
                                        <a:solidFill>
                                          <a:srgbClr val="000000"/>
                                        </a:solidFill>
                                        <a:prstDash val="lgDashDot"/>
                                        <a:headEnd type="none" w="med" len="med"/>
                                        <a:tailEnd type="none" w="med" len="med"/>
                                      </a:ln>
                                    </wps:spPr>
                                    <wps:bodyPr upright="1"/>
                                  </wps:wsp>
                                  <wps:wsp>
                                    <wps:cNvPr id="40" name="直接连接符 40"/>
                                    <wps:cNvCnPr/>
                                    <wps:spPr>
                                      <a:xfrm>
                                        <a:off x="12519" y="228307"/>
                                        <a:ext cx="3453" cy="1"/>
                                      </a:xfrm>
                                      <a:prstGeom prst="line">
                                        <a:avLst/>
                                      </a:prstGeom>
                                      <a:ln w="38100" cap="flat" cmpd="sng">
                                        <a:solidFill>
                                          <a:srgbClr val="000000"/>
                                        </a:solidFill>
                                        <a:prstDash val="solid"/>
                                        <a:headEnd type="none" w="med" len="med"/>
                                        <a:tailEnd type="none" w="med" len="med"/>
                                      </a:ln>
                                    </wps:spPr>
                                    <wps:bodyPr upright="1"/>
                                  </wps:wsp>
                                  <wps:wsp>
                                    <wps:cNvPr id="41" name="直角三角形 41"/>
                                    <wps:cNvSpPr/>
                                    <wps:spPr>
                                      <a:xfrm>
                                        <a:off x="14239" y="229667"/>
                                        <a:ext cx="211" cy="314"/>
                                      </a:xfrm>
                                      <a:prstGeom prst="rtTriangle">
                                        <a:avLst/>
                                      </a:prstGeom>
                                      <a:solidFill>
                                        <a:srgbClr val="000000"/>
                                      </a:solidFill>
                                      <a:ln w="12700" cap="flat" cmpd="sng">
                                        <a:solidFill>
                                          <a:srgbClr val="000000"/>
                                        </a:solidFill>
                                        <a:prstDash val="solid"/>
                                        <a:miter/>
                                        <a:headEnd type="none" w="med" len="med"/>
                                        <a:tailEnd type="none" w="med" len="med"/>
                                      </a:ln>
                                    </wps:spPr>
                                    <wps:bodyPr upright="1"/>
                                  </wps:wsp>
                                  <wps:wsp>
                                    <wps:cNvPr id="52" name="直接连接符 52"/>
                                    <wps:cNvCnPr/>
                                    <wps:spPr>
                                      <a:xfrm flipH="1">
                                        <a:off x="14717" y="229766"/>
                                        <a:ext cx="2154" cy="0"/>
                                      </a:xfrm>
                                      <a:prstGeom prst="line">
                                        <a:avLst/>
                                      </a:prstGeom>
                                      <a:ln w="12700" cap="flat" cmpd="sng">
                                        <a:solidFill>
                                          <a:srgbClr val="000000"/>
                                        </a:solidFill>
                                        <a:prstDash val="solid"/>
                                        <a:headEnd type="none" w="med" len="med"/>
                                        <a:tailEnd type="triangle" w="med" len="med"/>
                                      </a:ln>
                                    </wps:spPr>
                                    <wps:bodyPr upright="1"/>
                                  </wps:wsp>
                                  <wps:wsp>
                                    <wps:cNvPr id="37" name="直接连接符 37"/>
                                    <wps:cNvCnPr/>
                                    <wps:spPr>
                                      <a:xfrm>
                                        <a:off x="13785" y="234514"/>
                                        <a:ext cx="1" cy="1"/>
                                      </a:xfrm>
                                      <a:prstGeom prst="line">
                                        <a:avLst/>
                                      </a:prstGeom>
                                      <a:ln w="12700" cap="flat" cmpd="sng">
                                        <a:solidFill>
                                          <a:srgbClr val="000000"/>
                                        </a:solidFill>
                                        <a:prstDash val="solid"/>
                                        <a:headEnd type="none" w="med" len="med"/>
                                        <a:tailEnd type="none" w="med" len="med"/>
                                      </a:ln>
                                    </wps:spPr>
                                    <wps:bodyPr upright="1"/>
                                  </wps:wsp>
                                  <wps:wsp>
                                    <wps:cNvPr id="49" name="直接连接符 49"/>
                                    <wps:cNvCnPr/>
                                    <wps:spPr>
                                      <a:xfrm flipH="1">
                                        <a:off x="14267" y="237852"/>
                                        <a:ext cx="2743" cy="1"/>
                                      </a:xfrm>
                                      <a:prstGeom prst="line">
                                        <a:avLst/>
                                      </a:prstGeom>
                                      <a:ln w="12700" cap="flat" cmpd="sng">
                                        <a:solidFill>
                                          <a:srgbClr val="000000"/>
                                        </a:solidFill>
                                        <a:prstDash val="solid"/>
                                        <a:headEnd type="none" w="med" len="med"/>
                                        <a:tailEnd type="triangle" w="med" len="med"/>
                                      </a:ln>
                                    </wps:spPr>
                                    <wps:bodyPr upright="1"/>
                                  </wps:wsp>
                                  <wps:wsp>
                                    <wps:cNvPr id="48" name="直角三角形 48"/>
                                    <wps:cNvSpPr/>
                                    <wps:spPr>
                                      <a:xfrm>
                                        <a:off x="13806" y="238020"/>
                                        <a:ext cx="211" cy="314"/>
                                      </a:xfrm>
                                      <a:prstGeom prst="rtTriangle">
                                        <a:avLst/>
                                      </a:prstGeom>
                                      <a:solidFill>
                                        <a:srgbClr val="000000"/>
                                      </a:solidFill>
                                      <a:ln w="12700" cap="flat" cmpd="sng">
                                        <a:solidFill>
                                          <a:srgbClr val="000000"/>
                                        </a:solidFill>
                                        <a:prstDash val="solid"/>
                                        <a:miter/>
                                        <a:headEnd type="none" w="med" len="med"/>
                                        <a:tailEnd type="none" w="med" len="med"/>
                                      </a:ln>
                                    </wps:spPr>
                                    <wps:bodyPr upright="1"/>
                                  </wps:wsp>
                                  <wps:wsp>
                                    <wps:cNvPr id="38" name="矩形 38"/>
                                    <wps:cNvSpPr/>
                                    <wps:spPr>
                                      <a:xfrm>
                                        <a:off x="13786" y="228294"/>
                                        <a:ext cx="427" cy="10069"/>
                                      </a:xfrm>
                                      <a:prstGeom prst="rect">
                                        <a:avLst/>
                                      </a:prstGeom>
                                      <a:noFill/>
                                      <a:ln w="19050" cap="flat" cmpd="sng">
                                        <a:solidFill>
                                          <a:srgbClr val="000000"/>
                                        </a:solidFill>
                                        <a:prstDash val="solid"/>
                                        <a:miter/>
                                        <a:headEnd type="none" w="med" len="med"/>
                                        <a:tailEnd type="none" w="med" len="med"/>
                                      </a:ln>
                                    </wps:spPr>
                                    <wps:bodyPr upright="1"/>
                                  </wps:wsp>
                                  <wps:wsp>
                                    <wps:cNvPr id="50" name="任意多边形 50"/>
                                    <wps:cNvSpPr/>
                                    <wps:spPr>
                                      <a:xfrm>
                                        <a:off x="12821" y="238365"/>
                                        <a:ext cx="1394" cy="3"/>
                                      </a:xfrm>
                                      <a:custGeom>
                                        <a:avLst/>
                                        <a:gdLst/>
                                        <a:ahLst/>
                                        <a:cxnLst/>
                                        <a:pathLst>
                                          <a:path w="1394" h="3">
                                            <a:moveTo>
                                              <a:pt x="0" y="0"/>
                                            </a:moveTo>
                                            <a:lnTo>
                                              <a:pt x="1394" y="3"/>
                                            </a:lnTo>
                                          </a:path>
                                        </a:pathLst>
                                      </a:custGeom>
                                      <a:noFill/>
                                      <a:ln w="28575" cap="flat" cmpd="sng">
                                        <a:solidFill>
                                          <a:srgbClr val="000000"/>
                                        </a:solidFill>
                                        <a:prstDash val="solid"/>
                                        <a:headEnd type="none" w="med" len="med"/>
                                        <a:tailEnd type="none" w="med" len="med"/>
                                      </a:ln>
                                    </wps:spPr>
                                    <wps:bodyPr upright="1"/>
                                  </wps:wsp>
                                  <wps:wsp>
                                    <wps:cNvPr id="42" name="直接连接符 42"/>
                                    <wps:cNvCnPr/>
                                    <wps:spPr>
                                      <a:xfrm flipH="1" flipV="1">
                                        <a:off x="14267" y="233929"/>
                                        <a:ext cx="2578" cy="1"/>
                                      </a:xfrm>
                                      <a:prstGeom prst="line">
                                        <a:avLst/>
                                      </a:prstGeom>
                                      <a:ln w="12700" cap="flat" cmpd="sng">
                                        <a:solidFill>
                                          <a:srgbClr val="000000"/>
                                        </a:solidFill>
                                        <a:prstDash val="solid"/>
                                        <a:headEnd type="none" w="med" len="med"/>
                                        <a:tailEnd type="triangle" w="med" len="med"/>
                                      </a:ln>
                                    </wps:spPr>
                                    <wps:bodyPr upright="1"/>
                                  </wps:wsp>
                                  <wps:wsp>
                                    <wps:cNvPr id="39" name="直接连接符 39"/>
                                    <wps:cNvCnPr/>
                                    <wps:spPr>
                                      <a:xfrm flipH="1" flipV="1">
                                        <a:off x="15226" y="228619"/>
                                        <a:ext cx="1984" cy="1"/>
                                      </a:xfrm>
                                      <a:prstGeom prst="line">
                                        <a:avLst/>
                                      </a:prstGeom>
                                      <a:ln w="9525" cap="flat" cmpd="sng">
                                        <a:solidFill>
                                          <a:srgbClr val="000000"/>
                                        </a:solidFill>
                                        <a:prstDash val="solid"/>
                                        <a:headEnd type="none" w="med" len="med"/>
                                        <a:tailEnd type="triangle" w="med" len="med"/>
                                      </a:ln>
                                    </wps:spPr>
                                    <wps:bodyPr upright="1"/>
                                  </wps:wsp>
                                  <wps:wsp>
                                    <wps:cNvPr id="36" name="矩形 36"/>
                                    <wps:cNvSpPr/>
                                    <wps:spPr>
                                      <a:xfrm>
                                        <a:off x="14717" y="228337"/>
                                        <a:ext cx="464" cy="285"/>
                                      </a:xfrm>
                                      <a:prstGeom prst="rect">
                                        <a:avLst/>
                                      </a:prstGeom>
                                      <a:pattFill prst="sphere">
                                        <a:fgClr>
                                          <a:srgbClr val="333333"/>
                                        </a:fgClr>
                                        <a:bgClr>
                                          <a:srgbClr val="FFFFFF"/>
                                        </a:bgClr>
                                      </a:pattFill>
                                      <a:ln w="15875" cap="flat" cmpd="sng">
                                        <a:solidFill>
                                          <a:srgbClr val="000000"/>
                                        </a:solidFill>
                                        <a:prstDash val="solid"/>
                                        <a:miter/>
                                        <a:headEnd type="none" w="med" len="med"/>
                                        <a:tailEnd type="none" w="med" len="med"/>
                                      </a:ln>
                                    </wps:spPr>
                                    <wps:bodyPr upright="1"/>
                                  </wps:wsp>
                                  <wps:wsp>
                                    <wps:cNvPr id="51" name="文本框 51"/>
                                    <wps:cNvSpPr txBox="1"/>
                                    <wps:spPr>
                                      <a:xfrm>
                                        <a:off x="15316" y="228322"/>
                                        <a:ext cx="2107" cy="628"/>
                                      </a:xfrm>
                                      <a:prstGeom prst="rect">
                                        <a:avLst/>
                                      </a:prstGeom>
                                      <a:noFill/>
                                      <a:ln>
                                        <a:noFill/>
                                      </a:ln>
                                    </wps:spPr>
                                    <wps:txbx>
                                      <w:txbxContent>
                                        <w:p>
                                          <w:pPr>
                                            <w:autoSpaceDE w:val="0"/>
                                            <w:autoSpaceDN w:val="0"/>
                                            <w:adjustRightIn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Φ660mm钻头×30m</w:t>
                                          </w:r>
                                        </w:p>
                                        <w:p>
                                          <w:pPr>
                                            <w:autoSpaceDE w:val="0"/>
                                            <w:autoSpaceDN w:val="0"/>
                                            <w:adjustRightIn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Φ508mm导管×30m</w:t>
                                          </w:r>
                                        </w:p>
                                      </w:txbxContent>
                                    </wps:txbx>
                                    <wps:bodyPr lIns="0" tIns="0" rIns="0" bIns="0" upright="1"/>
                                  </wps:wsp>
                                </wpg:wgp>
                              </a:graphicData>
                            </a:graphic>
                          </wp:anchor>
                        </w:drawing>
                      </mc:Choice>
                      <mc:Fallback>
                        <w:pict>
                          <v:group id="_x0000_s1026" o:spid="_x0000_s1026" o:spt="203" style="position:absolute;left:0pt;margin-left:18.9pt;margin-top:7.75pt;height:525.9pt;width:245.15pt;z-index:251660288;mso-width-relative:page;mso-height-relative:page;" coordorigin="12519,228083" coordsize="4903,10518" o:gfxdata="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">
                            <o:lock v:ext="edit" aspectratio="f"/>
                            <v:shape id="_x0000_s1026" o:spid="_x0000_s1026" o:spt="202" type="#_x0000_t202" style="position:absolute;left:14398;top:233589;height:543;width:2847;"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抗盐水泥返至1600m</w:t>
                                    </w:r>
                                  </w:p>
                                </w:txbxContent>
                              </v:textbox>
                            </v:shape>
                            <v:rect id="_x0000_s1026" o:spid="_x0000_s1026" o:spt="1" alt="花岗岩" style="position:absolute;left:13788;top:233930;height:4441;width:427;" filled="t" stroked="f" coordsize="21600,21600" o:gfxdata="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OezrvQAA&#10;ANsAAAAPAAAAAAAAAAEAIAAAACIAAABkcnMvZG93bnJldi54bWxQSwECFAAUAAAACACHTuJAMy8F&#10;njsAAAA5AAAAEAAAAAAAAAABACAAAAAMAQAAZHJzL3NoYXBleG1sLnhtbFBLBQYAAAAABgAGAFsB&#10;AAC2AwAAAAA=&#10;">
                              <v:fill type="tile" on="t" o:title="花岗岩" focussize="0,0" recolor="t" r:id="rId7"/>
                              <v:stroke on="f" weight="1.5pt"/>
                              <v:imagedata o:title=""/>
                              <o:lock v:ext="edit" aspectratio="f"/>
                            </v:rect>
                            <v:shape id="_x0000_s1026" o:spid="_x0000_s1026" o:spt="202" type="#_x0000_t202" style="position:absolute;left:14884;top:229511;height:648;width:2256;"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Φ375mm钻头×700m</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Φ273mm套管×700m</w:t>
                                    </w:r>
                                  </w:p>
                                </w:txbxContent>
                              </v:textbox>
                            </v:shape>
                            <v:shape id="_x0000_s1026" o:spid="_x0000_s1026" o:spt="202" type="#_x0000_t202" style="position:absolute;left:14538;top:237582;height:642;width:2841;"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Φ216mm钻头×2625m</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Φ139.7mm套管×2625m</w:t>
                                    </w:r>
                                  </w:p>
                                </w:txbxContent>
                              </v:textbox>
                            </v:shape>
                            <v:rect id="_x0000_s1026" o:spid="_x0000_s1026" o:spt="1" alt="花岗岩" style="position:absolute;left:14215;top:228293;height:1709;width:479;" filled="t" stroked="t" coordsize="21600,21600" o:gfxdata="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tPyvQAA&#10;ANsAAAAPAAAAAAAAAAEAIAAAACIAAABkcnMvZG93bnJldi54bWxQSwECFAAUAAAACACHTuJAMy8F&#10;njsAAAA5AAAAEAAAAAAAAAABACAAAAAMAQAAZHJzL3NoYXBleG1sLnhtbFBLBQYAAAAABgAGAFsB&#10;AAC2AwAAAAA=&#10;">
                              <v:fill type="tile" on="t" o:title="花岗岩" focussize="0,0" recolor="t" r:id="rId7"/>
                              <v:stroke weight="1.5pt" color="#000000" joinstyle="miter"/>
                              <v:imagedata o:title=""/>
                              <o:lock v:ext="edit" aspectratio="f"/>
                            </v:rect>
                            <v:line id="_x0000_s1026" o:spid="_x0000_s1026" o:spt="20" style="position:absolute;left:13152;top:228083;flip:x;height:10519;width:1;" filled="f" stroked="t" coordsize="21600,21600" o:gfxdata="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Qvo74A&#10;AADbAAAADwAAAAAAAAABACAAAAAiAAAAZHJzL2Rvd25yZXYueG1sUEsBAhQAFAAAAAgAh07iQDMv&#10;BZ47AAAAOQAAABAAAAAAAAAAAQAgAAAADQEAAGRycy9zaGFwZXhtbC54bWxQSwUGAAAAAAYABgBb&#10;AQAAtwMAAAAA&#10;">
                              <v:fill on="f" focussize="0,0"/>
                              <v:stroke weight="0.25pt" color="#000000" joinstyle="round" dashstyle="longDashDot"/>
                              <v:imagedata o:title=""/>
                              <o:lock v:ext="edit" aspectratio="f"/>
                            </v:line>
                            <v:line id="_x0000_s1026" o:spid="_x0000_s1026" o:spt="20" style="position:absolute;left:12519;top:228307;height:1;width:3453;" filled="f" stroked="t" coordsize="21600,21600" o:gfxdata="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7YYAG5AAAA2w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shape id="_x0000_s1026" o:spid="_x0000_s1026" o:spt="6" type="#_x0000_t6" style="position:absolute;left:14239;top:229667;height:314;width:211;" fillcolor="#000000" filled="t" stroked="t" coordsize="21600,21600" o:gfxdata="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SDT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shape>
                            <v:line id="_x0000_s1026" o:spid="_x0000_s1026" o:spt="20" style="position:absolute;left:14717;top:229766;flip:x;height:0;width:2154;" filled="f" stroked="t" coordsize="21600,21600" o:gfxdata="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BVq9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3785;top:234514;height:1;width:1;" filled="f" stroked="t" coordsize="21600,21600" o:gfxdata="UEsDBAoAAAAAAIdO4kAAAAAAAAAAAAAAAAAEAAAAZHJzL1BLAwQUAAAACACHTuJAGy0/vL4AAADb&#10;AAAADwAAAGRycy9kb3ducmV2LnhtbEWPQWvCQBSE74X+h+UVvDUbF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0/v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4267;top:237852;flip:x;height:1;width:2743;" filled="f" stroked="t" coordsize="21600,21600" o:gfxdata="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heE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6" type="#_x0000_t6" style="position:absolute;left:13806;top:238020;height:314;width:211;" fillcolor="#000000" filled="t" stroked="t" coordsize="21600,21600" o:gfxdata="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JuJTr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shape>
                            <v:rect id="_x0000_s1026" o:spid="_x0000_s1026" o:spt="1" style="position:absolute;left:13786;top:228294;height:10069;width:427;" filled="f" stroked="t" coordsize="21600,21600" o:gfxdata="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73+XrsAAADb&#10;AAAADwAAAAAAAAABACAAAAAiAAAAZHJzL2Rvd25yZXYueG1sUEsBAhQAFAAAAAgAh07iQDMvBZ47&#10;AAAAOQAAABAAAAAAAAAAAQAgAAAACgEAAGRycy9zaGFwZXhtbC54bWxQSwUGAAAAAAYABgBbAQAA&#10;tAMAAAAA&#10;">
                              <v:fill on="f" focussize="0,0"/>
                              <v:stroke weight="1.5pt" color="#000000" joinstyle="miter"/>
                              <v:imagedata o:title=""/>
                              <o:lock v:ext="edit" aspectratio="f"/>
                            </v:rect>
                            <v:shape id="_x0000_s1026" o:spid="_x0000_s1026" o:spt="100" style="position:absolute;left:12821;top:238365;height:3;width:1394;" filled="f" stroked="t" coordsize="1394,3" o:gfxdata="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VRTy5AAAA2wAA&#10;AA8AAAAAAAAAAQAgAAAAIgAAAGRycy9kb3ducmV2LnhtbFBLAQIUABQAAAAIAIdO4kAzLwWeOwAA&#10;ADkAAAAQAAAAAAAAAAEAIAAAAAgBAABkcnMvc2hhcGV4bWwueG1sUEsFBgAAAAAGAAYAWwEAALID&#10;AAAAAA==&#10;" path="m0,0l1394,3e">
                              <v:fill on="f" focussize="0,0"/>
                              <v:stroke weight="2.25pt" color="#000000" joinstyle="round"/>
                              <v:imagedata o:title=""/>
                              <o:lock v:ext="edit" aspectratio="f"/>
                            </v:shape>
                            <v:line id="_x0000_s1026" o:spid="_x0000_s1026" o:spt="20" style="position:absolute;left:14267;top:233929;flip:x y;height:1;width:2578;" filled="f" stroked="t" coordsize="21600,21600" o:gfxdata="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3Dq2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line id="_x0000_s1026" o:spid="_x0000_s1026" o:spt="20" style="position:absolute;left:15226;top:228619;flip:x y;height:1;width:1984;" filled="f" stroked="t" coordsize="21600,21600" o:gfxdata="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VV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4717;top:228337;height:285;width:464;" fillcolor="#333333" filled="t" stroked="t" coordsize="21600,21600" o:gfxdata="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R8HAugAAANsA&#10;AAAPAAAAAAAAAAEAIAAAACIAAABkcnMvZG93bnJldi54bWxQSwECFAAUAAAACACHTuJAMy8FnjsA&#10;AAA5AAAAEAAAAAAAAAABACAAAAAJAQAAZHJzL3NoYXBleG1sLnhtbFBLBQYAAAAABgAGAFsBAACz&#10;AwAAAAA=&#10;">
                              <v:fill type="pattern" on="t" color2="#FFFFFF" o:title="球体" focussize="0,0" r:id="rId8"/>
                              <v:stroke weight="1.25pt" color="#000000" joinstyle="miter"/>
                              <v:imagedata o:title=""/>
                              <o:lock v:ext="edit" aspectratio="f"/>
                            </v:rect>
                            <v:shape id="_x0000_s1026" o:spid="_x0000_s1026" o:spt="202" type="#_x0000_t202" style="position:absolute;left:15316;top:228322;height:628;width:2107;"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Φ660mm钻头×30m</w:t>
                                    </w:r>
                                  </w:p>
                                  <w:p>
                                    <w:pPr>
                                      <w:autoSpaceDE w:val="0"/>
                                      <w:autoSpaceDN w:val="0"/>
                                      <w:adjustRightIn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Φ508mm导管×30m</w:t>
                                    </w:r>
                                  </w:p>
                                </w:txbxContent>
                              </v:textbox>
                            </v:shape>
                          </v:group>
                        </w:pict>
                      </mc:Fallback>
                    </mc:AlternateContent>
                  </w: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p>
                  <w:pPr>
                    <w:pStyle w:val="26"/>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J</w:t>
                  </w:r>
                  <w:r>
                    <w:rPr>
                      <w:rFonts w:hint="eastAsia" w:eastAsia="宋体" w:cs="Times New Roman"/>
                      <w:color w:val="auto"/>
                      <w:sz w:val="21"/>
                      <w:szCs w:val="21"/>
                      <w:vertAlign w:val="subscript"/>
                      <w:lang w:val="en-US" w:eastAsia="zh-CN"/>
                    </w:rPr>
                    <w:t>1</w:t>
                  </w:r>
                  <w:r>
                    <w:rPr>
                      <w:rFonts w:hint="eastAsia" w:eastAsia="宋体" w:cs="Times New Roman"/>
                      <w:color w:val="auto"/>
                      <w:sz w:val="21"/>
                      <w:szCs w:val="21"/>
                      <w:vertAlign w:val="baseline"/>
                      <w:lang w:val="en-US" w:eastAsia="zh-CN"/>
                    </w:rPr>
                    <w:t>b</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945</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T</w:t>
                  </w:r>
                  <w:r>
                    <w:rPr>
                      <w:rFonts w:hint="eastAsia" w:eastAsia="宋体" w:cs="Times New Roman"/>
                      <w:color w:val="auto"/>
                      <w:sz w:val="21"/>
                      <w:szCs w:val="21"/>
                      <w:vertAlign w:val="subscript"/>
                      <w:lang w:val="en-US" w:eastAsia="zh-CN"/>
                    </w:rPr>
                    <w:t>1</w:t>
                  </w:r>
                  <w:r>
                    <w:rPr>
                      <w:rFonts w:hint="eastAsia" w:eastAsia="宋体" w:cs="Times New Roman"/>
                      <w:color w:val="auto"/>
                      <w:sz w:val="21"/>
                      <w:szCs w:val="21"/>
                      <w:vertAlign w:val="baseline"/>
                      <w:lang w:val="en-US" w:eastAsia="zh-CN"/>
                    </w:rPr>
                    <w:t>j</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1535</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vertAlign w:val="baseline"/>
                      <w:lang w:val="en-US" w:eastAsia="zh-CN"/>
                    </w:rPr>
                    <w:t>wt</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1795</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p</w:t>
                  </w:r>
                  <w:r>
                    <w:rPr>
                      <w:rFonts w:hint="eastAsia" w:ascii="Times New Roman" w:hAnsi="Times New Roman" w:eastAsia="宋体" w:cs="Times New Roman"/>
                      <w:color w:val="auto"/>
                      <w:sz w:val="21"/>
                      <w:szCs w:val="21"/>
                      <w:vertAlign w:val="baseline"/>
                      <w:lang w:val="en-US" w:eastAsia="zh-CN"/>
                    </w:rPr>
                    <w:t>油层顶</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1855</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p</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2100</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vertAlign w:val="baseline"/>
                      <w:lang w:val="en-US" w:eastAsia="zh-CN"/>
                    </w:rPr>
                    <w:t>j砂顶</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2260</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vertAlign w:val="baseline"/>
                      <w:lang w:val="en-US" w:eastAsia="zh-CN"/>
                    </w:rPr>
                    <w:t>j</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2380</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b风化壳顶</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2430</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43"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b</w:t>
                  </w:r>
                </w:p>
              </w:tc>
              <w:tc>
                <w:tcPr>
                  <w:tcW w:w="1155" w:type="dxa"/>
                  <w:vAlign w:val="center"/>
                </w:tcPr>
                <w:p>
                  <w:pPr>
                    <w:pStyle w:val="26"/>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2625</w:t>
                  </w:r>
                </w:p>
              </w:tc>
              <w:tc>
                <w:tcPr>
                  <w:tcW w:w="5780" w:type="dxa"/>
                  <w:vMerge w:val="continue"/>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rPr>
                  </w:pPr>
                </w:p>
              </w:tc>
            </w:tr>
          </w:tbl>
          <w:p>
            <w:pPr>
              <w:rPr>
                <w:b/>
                <w:color w:val="auto"/>
                <w:sz w:val="21"/>
                <w:szCs w:val="21"/>
              </w:rPr>
            </w:pPr>
            <w:r>
              <w:rPr>
                <w:rFonts w:hint="eastAsia"/>
                <w:b/>
                <w:color w:val="auto"/>
                <w:sz w:val="21"/>
                <w:szCs w:val="21"/>
              </w:rPr>
              <w:t>图2-</w:t>
            </w:r>
            <w:r>
              <w:rPr>
                <w:rFonts w:hint="eastAsia"/>
                <w:b/>
                <w:color w:val="auto"/>
                <w:sz w:val="21"/>
                <w:szCs w:val="21"/>
                <w:lang w:val="en-US" w:eastAsia="zh-CN"/>
              </w:rPr>
              <w:t>4</w:t>
            </w:r>
            <w:r>
              <w:rPr>
                <w:rFonts w:hint="eastAsia"/>
                <w:b/>
                <w:color w:val="auto"/>
                <w:sz w:val="21"/>
                <w:szCs w:val="21"/>
              </w:rPr>
              <w:t xml:space="preserve">  </w:t>
            </w:r>
            <w:r>
              <w:rPr>
                <w:rFonts w:hint="eastAsia"/>
                <w:b/>
                <w:color w:val="auto"/>
                <w:sz w:val="21"/>
                <w:szCs w:val="21"/>
                <w:lang w:val="en-US" w:eastAsia="zh-CN"/>
              </w:rPr>
              <w:t>沙帐1井</w:t>
            </w:r>
            <w:r>
              <w:rPr>
                <w:rFonts w:hint="eastAsia"/>
                <w:b/>
                <w:color w:val="auto"/>
                <w:sz w:val="21"/>
                <w:szCs w:val="21"/>
              </w:rPr>
              <w:t>井身结构图</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sz w:val="24"/>
                <w:szCs w:val="24"/>
              </w:rPr>
            </w:pPr>
            <w:r>
              <w:rPr>
                <w:rFonts w:hint="eastAsia"/>
                <w:color w:val="auto"/>
                <w:sz w:val="24"/>
                <w:szCs w:val="24"/>
                <w:lang w:val="en-US" w:eastAsia="zh-CN"/>
              </w:rPr>
              <w:t>4</w:t>
            </w:r>
            <w:r>
              <w:rPr>
                <w:color w:val="auto"/>
                <w:sz w:val="24"/>
                <w:szCs w:val="24"/>
              </w:rPr>
              <w:t>.3 主要设备</w:t>
            </w:r>
          </w:p>
          <w:p>
            <w:pPr>
              <w:pStyle w:val="4"/>
              <w:rPr>
                <w:color w:val="auto"/>
              </w:rPr>
            </w:pPr>
            <w:r>
              <w:rPr>
                <w:rFonts w:hint="eastAsia"/>
                <w:color w:val="auto"/>
              </w:rPr>
              <w:t>本项目钻井主要设备见表</w:t>
            </w:r>
            <w:r>
              <w:rPr>
                <w:color w:val="auto"/>
              </w:rPr>
              <w:t>2</w:t>
            </w:r>
            <w:r>
              <w:rPr>
                <w:rFonts w:hint="eastAsia"/>
                <w:color w:val="auto"/>
              </w:rPr>
              <w:t>-</w:t>
            </w:r>
            <w:r>
              <w:rPr>
                <w:rFonts w:hint="eastAsia"/>
                <w:color w:val="auto"/>
                <w:lang w:val="en-US" w:eastAsia="zh-CN"/>
              </w:rPr>
              <w:t>8</w:t>
            </w:r>
            <w:r>
              <w:rPr>
                <w:rFonts w:hint="eastAsia"/>
                <w:color w:val="auto"/>
              </w:rPr>
              <w:t>。</w:t>
            </w:r>
          </w:p>
          <w:p>
            <w:pPr>
              <w:pStyle w:val="27"/>
              <w:rPr>
                <w:color w:val="auto"/>
              </w:rPr>
            </w:pPr>
            <w:bookmarkStart w:id="18" w:name="_Hlk47473670"/>
            <w:r>
              <w:rPr>
                <w:color w:val="auto"/>
              </w:rPr>
              <w:t>表2</w:t>
            </w:r>
            <w:r>
              <w:rPr>
                <w:rFonts w:hint="eastAsia"/>
                <w:color w:val="auto"/>
              </w:rPr>
              <w:t>-</w:t>
            </w:r>
            <w:r>
              <w:rPr>
                <w:rFonts w:hint="eastAsia"/>
                <w:color w:val="auto"/>
                <w:lang w:val="en-US" w:eastAsia="zh-CN"/>
              </w:rPr>
              <w:t>8</w:t>
            </w:r>
            <w:r>
              <w:rPr>
                <w:rFonts w:hint="eastAsia"/>
                <w:color w:val="auto"/>
              </w:rPr>
              <w:t xml:space="preserve">  钻井主要</w:t>
            </w:r>
            <w:r>
              <w:rPr>
                <w:color w:val="auto"/>
              </w:rPr>
              <w:t>设备配置</w:t>
            </w:r>
          </w:p>
          <w:bookmarkEnd w:id="18"/>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924"/>
              <w:gridCol w:w="891"/>
              <w:gridCol w:w="1631"/>
              <w:gridCol w:w="891"/>
              <w:gridCol w:w="892"/>
              <w:gridCol w:w="958"/>
              <w:gridCol w:w="11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r>
                    <w:rPr>
                      <w:color w:val="auto"/>
                    </w:rPr>
                    <w:t>序号</w:t>
                  </w:r>
                </w:p>
              </w:tc>
              <w:tc>
                <w:tcPr>
                  <w:tcW w:w="2022" w:type="dxa"/>
                  <w:gridSpan w:val="2"/>
                  <w:shd w:val="clear" w:color="auto" w:fill="auto"/>
                  <w:noWrap w:val="0"/>
                  <w:vAlign w:val="center"/>
                </w:tcPr>
                <w:p>
                  <w:pPr>
                    <w:pStyle w:val="28"/>
                    <w:ind w:left="-105" w:right="-105"/>
                    <w:rPr>
                      <w:color w:val="auto"/>
                    </w:rPr>
                  </w:pPr>
                  <w:r>
                    <w:rPr>
                      <w:color w:val="auto"/>
                    </w:rPr>
                    <w:t>名称</w:t>
                  </w:r>
                </w:p>
              </w:tc>
              <w:tc>
                <w:tcPr>
                  <w:tcW w:w="1843" w:type="dxa"/>
                  <w:shd w:val="clear" w:color="auto" w:fill="auto"/>
                  <w:noWrap w:val="0"/>
                  <w:vAlign w:val="center"/>
                </w:tcPr>
                <w:p>
                  <w:pPr>
                    <w:pStyle w:val="28"/>
                    <w:ind w:left="-105" w:right="-105"/>
                    <w:rPr>
                      <w:color w:val="auto"/>
                    </w:rPr>
                  </w:pPr>
                  <w:r>
                    <w:rPr>
                      <w:color w:val="auto"/>
                    </w:rPr>
                    <w:t>型号</w:t>
                  </w:r>
                </w:p>
              </w:tc>
              <w:tc>
                <w:tcPr>
                  <w:tcW w:w="992" w:type="dxa"/>
                  <w:shd w:val="clear" w:color="auto" w:fill="auto"/>
                  <w:noWrap w:val="0"/>
                  <w:vAlign w:val="center"/>
                </w:tcPr>
                <w:p>
                  <w:pPr>
                    <w:pStyle w:val="28"/>
                    <w:ind w:left="-105" w:right="-105"/>
                    <w:rPr>
                      <w:color w:val="auto"/>
                    </w:rPr>
                  </w:pPr>
                  <w:r>
                    <w:rPr>
                      <w:color w:val="auto"/>
                    </w:rPr>
                    <w:t>载荷</w:t>
                  </w:r>
                </w:p>
              </w:tc>
              <w:tc>
                <w:tcPr>
                  <w:tcW w:w="993" w:type="dxa"/>
                  <w:shd w:val="clear" w:color="auto" w:fill="auto"/>
                  <w:noWrap w:val="0"/>
                  <w:vAlign w:val="center"/>
                </w:tcPr>
                <w:p>
                  <w:pPr>
                    <w:pStyle w:val="28"/>
                    <w:ind w:left="-105" w:right="-105"/>
                    <w:rPr>
                      <w:color w:val="auto"/>
                    </w:rPr>
                  </w:pPr>
                  <w:r>
                    <w:rPr>
                      <w:color w:val="auto"/>
                    </w:rPr>
                    <w:t>功率KW</w:t>
                  </w:r>
                </w:p>
              </w:tc>
              <w:tc>
                <w:tcPr>
                  <w:tcW w:w="1069" w:type="dxa"/>
                  <w:shd w:val="clear" w:color="auto" w:fill="auto"/>
                  <w:noWrap w:val="0"/>
                  <w:vAlign w:val="center"/>
                </w:tcPr>
                <w:p>
                  <w:pPr>
                    <w:pStyle w:val="28"/>
                    <w:ind w:left="-105" w:right="-105"/>
                    <w:rPr>
                      <w:color w:val="auto"/>
                    </w:rPr>
                  </w:pPr>
                  <w:r>
                    <w:rPr>
                      <w:color w:val="auto"/>
                    </w:rPr>
                    <w:t>单位</w:t>
                  </w:r>
                </w:p>
              </w:tc>
              <w:tc>
                <w:tcPr>
                  <w:tcW w:w="1327" w:type="dxa"/>
                  <w:shd w:val="clear" w:color="auto" w:fill="auto"/>
                  <w:noWrap w:val="0"/>
                  <w:vAlign w:val="center"/>
                </w:tcPr>
                <w:p>
                  <w:pPr>
                    <w:pStyle w:val="28"/>
                    <w:ind w:left="-105" w:right="-105"/>
                    <w:rPr>
                      <w:color w:val="auto"/>
                    </w:rPr>
                  </w:pPr>
                  <w:r>
                    <w:rPr>
                      <w:rFonts w:hint="eastAsia"/>
                      <w:color w:val="auto"/>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r>
                    <w:rPr>
                      <w:color w:val="auto"/>
                    </w:rPr>
                    <w:t>1</w:t>
                  </w:r>
                </w:p>
              </w:tc>
              <w:tc>
                <w:tcPr>
                  <w:tcW w:w="2022" w:type="dxa"/>
                  <w:gridSpan w:val="2"/>
                  <w:shd w:val="clear" w:color="auto" w:fill="auto"/>
                  <w:noWrap w:val="0"/>
                  <w:vAlign w:val="center"/>
                </w:tcPr>
                <w:p>
                  <w:pPr>
                    <w:pStyle w:val="28"/>
                    <w:ind w:left="-105" w:right="-105"/>
                    <w:rPr>
                      <w:color w:val="auto"/>
                    </w:rPr>
                  </w:pPr>
                  <w:r>
                    <w:rPr>
                      <w:color w:val="auto"/>
                    </w:rPr>
                    <w:t>钻机</w:t>
                  </w:r>
                </w:p>
              </w:tc>
              <w:tc>
                <w:tcPr>
                  <w:tcW w:w="1843" w:type="dxa"/>
                  <w:shd w:val="clear" w:color="auto" w:fill="auto"/>
                  <w:noWrap w:val="0"/>
                  <w:vAlign w:val="center"/>
                </w:tcPr>
                <w:p>
                  <w:pPr>
                    <w:pStyle w:val="28"/>
                    <w:ind w:left="-105" w:right="-105"/>
                    <w:rPr>
                      <w:color w:val="auto"/>
                    </w:rPr>
                  </w:pPr>
                  <w:r>
                    <w:rPr>
                      <w:color w:val="auto"/>
                    </w:rPr>
                    <w:t>ZJ-50</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部</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r>
                    <w:rPr>
                      <w:color w:val="auto"/>
                    </w:rPr>
                    <w:t>2</w:t>
                  </w:r>
                </w:p>
              </w:tc>
              <w:tc>
                <w:tcPr>
                  <w:tcW w:w="2022" w:type="dxa"/>
                  <w:gridSpan w:val="2"/>
                  <w:shd w:val="clear" w:color="auto" w:fill="auto"/>
                  <w:noWrap w:val="0"/>
                  <w:vAlign w:val="center"/>
                </w:tcPr>
                <w:p>
                  <w:pPr>
                    <w:pStyle w:val="28"/>
                    <w:ind w:left="-105" w:right="-105"/>
                    <w:rPr>
                      <w:color w:val="auto"/>
                    </w:rPr>
                  </w:pPr>
                  <w:r>
                    <w:rPr>
                      <w:color w:val="auto"/>
                    </w:rPr>
                    <w:t>井架</w:t>
                  </w:r>
                </w:p>
              </w:tc>
              <w:tc>
                <w:tcPr>
                  <w:tcW w:w="1843" w:type="dxa"/>
                  <w:shd w:val="clear" w:color="auto" w:fill="auto"/>
                  <w:noWrap w:val="0"/>
                  <w:vAlign w:val="center"/>
                </w:tcPr>
                <w:p>
                  <w:pPr>
                    <w:pStyle w:val="28"/>
                    <w:ind w:left="-105" w:right="-105"/>
                    <w:rPr>
                      <w:color w:val="auto"/>
                    </w:rPr>
                  </w:pPr>
                  <w:r>
                    <w:rPr>
                      <w:color w:val="auto"/>
                    </w:rPr>
                    <w:t>ZJ-50</w:t>
                  </w:r>
                </w:p>
              </w:tc>
              <w:tc>
                <w:tcPr>
                  <w:tcW w:w="992" w:type="dxa"/>
                  <w:shd w:val="clear" w:color="auto" w:fill="auto"/>
                  <w:noWrap w:val="0"/>
                  <w:vAlign w:val="center"/>
                </w:tcPr>
                <w:p>
                  <w:pPr>
                    <w:pStyle w:val="28"/>
                    <w:ind w:left="-105" w:right="-105"/>
                    <w:rPr>
                      <w:color w:val="auto"/>
                    </w:rPr>
                  </w:pPr>
                  <w:r>
                    <w:rPr>
                      <w:color w:val="auto"/>
                    </w:rPr>
                    <w:t>3500KN</w:t>
                  </w: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部</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shd w:val="clear" w:color="auto" w:fill="auto"/>
                  <w:noWrap w:val="0"/>
                  <w:vAlign w:val="center"/>
                </w:tcPr>
                <w:p>
                  <w:pPr>
                    <w:pStyle w:val="28"/>
                    <w:ind w:left="-105" w:right="-105"/>
                    <w:rPr>
                      <w:color w:val="auto"/>
                    </w:rPr>
                  </w:pPr>
                  <w:r>
                    <w:rPr>
                      <w:color w:val="auto"/>
                    </w:rPr>
                    <w:t>3</w:t>
                  </w:r>
                </w:p>
              </w:tc>
              <w:tc>
                <w:tcPr>
                  <w:tcW w:w="2022" w:type="dxa"/>
                  <w:gridSpan w:val="2"/>
                  <w:shd w:val="clear" w:color="auto" w:fill="auto"/>
                  <w:noWrap w:val="0"/>
                  <w:vAlign w:val="center"/>
                </w:tcPr>
                <w:p>
                  <w:pPr>
                    <w:pStyle w:val="28"/>
                    <w:ind w:left="-105" w:right="-105"/>
                    <w:rPr>
                      <w:color w:val="auto"/>
                    </w:rPr>
                  </w:pPr>
                  <w:r>
                    <w:rPr>
                      <w:color w:val="auto"/>
                    </w:rPr>
                    <w:t>天车</w:t>
                  </w:r>
                </w:p>
              </w:tc>
              <w:tc>
                <w:tcPr>
                  <w:tcW w:w="1843" w:type="dxa"/>
                  <w:shd w:val="clear" w:color="auto" w:fill="auto"/>
                  <w:noWrap w:val="0"/>
                  <w:vAlign w:val="center"/>
                </w:tcPr>
                <w:p>
                  <w:pPr>
                    <w:pStyle w:val="28"/>
                    <w:ind w:left="-105" w:right="-105"/>
                    <w:rPr>
                      <w:color w:val="auto"/>
                    </w:rPr>
                  </w:pPr>
                  <w:r>
                    <w:rPr>
                      <w:color w:val="auto"/>
                    </w:rPr>
                    <w:t>TC-350</w:t>
                  </w:r>
                </w:p>
              </w:tc>
              <w:tc>
                <w:tcPr>
                  <w:tcW w:w="992" w:type="dxa"/>
                  <w:shd w:val="clear" w:color="auto" w:fill="auto"/>
                  <w:noWrap w:val="0"/>
                  <w:vAlign w:val="center"/>
                </w:tcPr>
                <w:p>
                  <w:pPr>
                    <w:pStyle w:val="28"/>
                    <w:ind w:left="-105" w:right="-105"/>
                    <w:rPr>
                      <w:color w:val="auto"/>
                    </w:rPr>
                  </w:pPr>
                  <w:r>
                    <w:rPr>
                      <w:color w:val="auto"/>
                    </w:rPr>
                    <w:t>3500KN</w:t>
                  </w: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shd w:val="clear" w:color="auto" w:fill="auto"/>
                  <w:noWrap w:val="0"/>
                  <w:vAlign w:val="center"/>
                </w:tcPr>
                <w:p>
                  <w:pPr>
                    <w:pStyle w:val="28"/>
                    <w:ind w:left="-105" w:right="-105"/>
                    <w:rPr>
                      <w:color w:val="auto"/>
                    </w:rPr>
                  </w:pPr>
                  <w:r>
                    <w:rPr>
                      <w:color w:val="auto"/>
                    </w:rPr>
                    <w:t>4</w:t>
                  </w:r>
                </w:p>
              </w:tc>
              <w:tc>
                <w:tcPr>
                  <w:tcW w:w="2022" w:type="dxa"/>
                  <w:gridSpan w:val="2"/>
                  <w:shd w:val="clear" w:color="auto" w:fill="auto"/>
                  <w:noWrap w:val="0"/>
                  <w:vAlign w:val="center"/>
                </w:tcPr>
                <w:p>
                  <w:pPr>
                    <w:pStyle w:val="28"/>
                    <w:ind w:left="-105" w:right="-105"/>
                    <w:rPr>
                      <w:color w:val="auto"/>
                    </w:rPr>
                  </w:pPr>
                  <w:r>
                    <w:rPr>
                      <w:color w:val="auto"/>
                    </w:rPr>
                    <w:t>游动滑车</w:t>
                  </w:r>
                </w:p>
              </w:tc>
              <w:tc>
                <w:tcPr>
                  <w:tcW w:w="1843" w:type="dxa"/>
                  <w:shd w:val="clear" w:color="auto" w:fill="auto"/>
                  <w:noWrap w:val="0"/>
                  <w:vAlign w:val="center"/>
                </w:tcPr>
                <w:p>
                  <w:pPr>
                    <w:pStyle w:val="28"/>
                    <w:ind w:left="-105" w:right="-105"/>
                    <w:rPr>
                      <w:color w:val="auto"/>
                    </w:rPr>
                  </w:pPr>
                  <w:r>
                    <w:rPr>
                      <w:color w:val="auto"/>
                    </w:rPr>
                    <w:t>YC-350</w:t>
                  </w:r>
                </w:p>
              </w:tc>
              <w:tc>
                <w:tcPr>
                  <w:tcW w:w="992" w:type="dxa"/>
                  <w:shd w:val="clear" w:color="auto" w:fill="auto"/>
                  <w:noWrap w:val="0"/>
                  <w:vAlign w:val="center"/>
                </w:tcPr>
                <w:p>
                  <w:pPr>
                    <w:pStyle w:val="28"/>
                    <w:ind w:left="-105" w:right="-105"/>
                    <w:rPr>
                      <w:color w:val="auto"/>
                    </w:rPr>
                  </w:pPr>
                  <w:r>
                    <w:rPr>
                      <w:color w:val="auto"/>
                    </w:rPr>
                    <w:t>3500KN</w:t>
                  </w: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r>
                    <w:rPr>
                      <w:color w:val="auto"/>
                    </w:rPr>
                    <w:t>5</w:t>
                  </w:r>
                </w:p>
              </w:tc>
              <w:tc>
                <w:tcPr>
                  <w:tcW w:w="2022" w:type="dxa"/>
                  <w:gridSpan w:val="2"/>
                  <w:shd w:val="clear" w:color="auto" w:fill="auto"/>
                  <w:noWrap w:val="0"/>
                  <w:vAlign w:val="center"/>
                </w:tcPr>
                <w:p>
                  <w:pPr>
                    <w:pStyle w:val="28"/>
                    <w:ind w:left="-105" w:right="-105"/>
                    <w:rPr>
                      <w:color w:val="auto"/>
                    </w:rPr>
                  </w:pPr>
                  <w:r>
                    <w:rPr>
                      <w:color w:val="auto"/>
                    </w:rPr>
                    <w:t>大钩</w:t>
                  </w:r>
                </w:p>
              </w:tc>
              <w:tc>
                <w:tcPr>
                  <w:tcW w:w="1843" w:type="dxa"/>
                  <w:shd w:val="clear" w:color="auto" w:fill="auto"/>
                  <w:noWrap w:val="0"/>
                  <w:vAlign w:val="center"/>
                </w:tcPr>
                <w:p>
                  <w:pPr>
                    <w:pStyle w:val="28"/>
                    <w:ind w:left="-105" w:right="-105"/>
                    <w:rPr>
                      <w:color w:val="auto"/>
                    </w:rPr>
                  </w:pPr>
                  <w:r>
                    <w:rPr>
                      <w:color w:val="auto"/>
                    </w:rPr>
                    <w:t>DG-350</w:t>
                  </w:r>
                </w:p>
              </w:tc>
              <w:tc>
                <w:tcPr>
                  <w:tcW w:w="992" w:type="dxa"/>
                  <w:shd w:val="clear" w:color="auto" w:fill="auto"/>
                  <w:noWrap w:val="0"/>
                  <w:vAlign w:val="center"/>
                </w:tcPr>
                <w:p>
                  <w:pPr>
                    <w:pStyle w:val="28"/>
                    <w:ind w:left="-105" w:right="-105"/>
                    <w:rPr>
                      <w:color w:val="auto"/>
                    </w:rPr>
                  </w:pPr>
                  <w:r>
                    <w:rPr>
                      <w:color w:val="auto"/>
                    </w:rPr>
                    <w:t>3500KN</w:t>
                  </w: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shd w:val="clear" w:color="auto" w:fill="auto"/>
                  <w:noWrap w:val="0"/>
                  <w:vAlign w:val="center"/>
                </w:tcPr>
                <w:p>
                  <w:pPr>
                    <w:pStyle w:val="28"/>
                    <w:ind w:left="-105" w:right="-105"/>
                    <w:rPr>
                      <w:color w:val="auto"/>
                    </w:rPr>
                  </w:pPr>
                  <w:r>
                    <w:rPr>
                      <w:color w:val="auto"/>
                    </w:rPr>
                    <w:t>6</w:t>
                  </w:r>
                </w:p>
              </w:tc>
              <w:tc>
                <w:tcPr>
                  <w:tcW w:w="2022" w:type="dxa"/>
                  <w:gridSpan w:val="2"/>
                  <w:shd w:val="clear" w:color="auto" w:fill="auto"/>
                  <w:noWrap w:val="0"/>
                  <w:vAlign w:val="center"/>
                </w:tcPr>
                <w:p>
                  <w:pPr>
                    <w:pStyle w:val="28"/>
                    <w:ind w:left="-105" w:right="-105"/>
                    <w:rPr>
                      <w:color w:val="auto"/>
                    </w:rPr>
                  </w:pPr>
                  <w:r>
                    <w:rPr>
                      <w:color w:val="auto"/>
                    </w:rPr>
                    <w:t>水龙头</w:t>
                  </w:r>
                </w:p>
              </w:tc>
              <w:tc>
                <w:tcPr>
                  <w:tcW w:w="1843" w:type="dxa"/>
                  <w:shd w:val="clear" w:color="auto" w:fill="auto"/>
                  <w:noWrap w:val="0"/>
                  <w:vAlign w:val="center"/>
                </w:tcPr>
                <w:p>
                  <w:pPr>
                    <w:pStyle w:val="28"/>
                    <w:ind w:left="-105" w:right="-105"/>
                    <w:rPr>
                      <w:color w:val="auto"/>
                    </w:rPr>
                  </w:pPr>
                  <w:r>
                    <w:rPr>
                      <w:color w:val="auto"/>
                    </w:rPr>
                    <w:t>SL-350</w:t>
                  </w:r>
                </w:p>
              </w:tc>
              <w:tc>
                <w:tcPr>
                  <w:tcW w:w="992" w:type="dxa"/>
                  <w:shd w:val="clear" w:color="auto" w:fill="auto"/>
                  <w:noWrap w:val="0"/>
                  <w:vAlign w:val="center"/>
                </w:tcPr>
                <w:p>
                  <w:pPr>
                    <w:pStyle w:val="28"/>
                    <w:ind w:left="-105" w:right="-105"/>
                    <w:rPr>
                      <w:color w:val="auto"/>
                    </w:rPr>
                  </w:pPr>
                  <w:r>
                    <w:rPr>
                      <w:color w:val="auto"/>
                    </w:rPr>
                    <w:t>3500KN</w:t>
                  </w: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r>
                    <w:rPr>
                      <w:color w:val="auto"/>
                    </w:rPr>
                    <w:t>7</w:t>
                  </w:r>
                </w:p>
              </w:tc>
              <w:tc>
                <w:tcPr>
                  <w:tcW w:w="2022" w:type="dxa"/>
                  <w:gridSpan w:val="2"/>
                  <w:shd w:val="clear" w:color="auto" w:fill="auto"/>
                  <w:noWrap w:val="0"/>
                  <w:vAlign w:val="center"/>
                </w:tcPr>
                <w:p>
                  <w:pPr>
                    <w:pStyle w:val="28"/>
                    <w:ind w:left="-105" w:right="-105"/>
                    <w:rPr>
                      <w:color w:val="auto"/>
                    </w:rPr>
                  </w:pPr>
                  <w:r>
                    <w:rPr>
                      <w:color w:val="auto"/>
                    </w:rPr>
                    <w:t>转盘</w:t>
                  </w:r>
                </w:p>
              </w:tc>
              <w:tc>
                <w:tcPr>
                  <w:tcW w:w="1843" w:type="dxa"/>
                  <w:shd w:val="clear" w:color="auto" w:fill="auto"/>
                  <w:noWrap w:val="0"/>
                  <w:vAlign w:val="center"/>
                </w:tcPr>
                <w:p>
                  <w:pPr>
                    <w:pStyle w:val="28"/>
                    <w:ind w:left="-105" w:right="-105"/>
                    <w:rPr>
                      <w:color w:val="auto"/>
                    </w:rPr>
                  </w:pPr>
                  <w:r>
                    <w:rPr>
                      <w:color w:val="auto"/>
                    </w:rPr>
                    <w:t>ZP-520A/ ZP-205</w:t>
                  </w:r>
                </w:p>
              </w:tc>
              <w:tc>
                <w:tcPr>
                  <w:tcW w:w="992" w:type="dxa"/>
                  <w:shd w:val="clear" w:color="auto" w:fill="auto"/>
                  <w:noWrap w:val="0"/>
                  <w:vAlign w:val="center"/>
                </w:tcPr>
                <w:p>
                  <w:pPr>
                    <w:pStyle w:val="28"/>
                    <w:ind w:left="-105" w:right="-105"/>
                    <w:rPr>
                      <w:color w:val="auto"/>
                    </w:rPr>
                  </w:pPr>
                  <w:r>
                    <w:rPr>
                      <w:color w:val="auto"/>
                    </w:rPr>
                    <w:t>200T</w:t>
                  </w: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shd w:val="clear" w:color="auto" w:fill="auto"/>
                  <w:noWrap w:val="0"/>
                  <w:vAlign w:val="center"/>
                </w:tcPr>
                <w:p>
                  <w:pPr>
                    <w:pStyle w:val="28"/>
                    <w:ind w:left="-105" w:right="-105"/>
                    <w:rPr>
                      <w:color w:val="auto"/>
                    </w:rPr>
                  </w:pPr>
                  <w:r>
                    <w:rPr>
                      <w:color w:val="auto"/>
                    </w:rPr>
                    <w:t>8</w:t>
                  </w:r>
                </w:p>
              </w:tc>
              <w:tc>
                <w:tcPr>
                  <w:tcW w:w="2022" w:type="dxa"/>
                  <w:gridSpan w:val="2"/>
                  <w:shd w:val="clear" w:color="auto" w:fill="auto"/>
                  <w:noWrap w:val="0"/>
                  <w:vAlign w:val="center"/>
                </w:tcPr>
                <w:p>
                  <w:pPr>
                    <w:pStyle w:val="28"/>
                    <w:ind w:left="-105" w:right="-105"/>
                    <w:rPr>
                      <w:color w:val="auto"/>
                    </w:rPr>
                  </w:pPr>
                  <w:r>
                    <w:rPr>
                      <w:color w:val="auto"/>
                    </w:rPr>
                    <w:t>绞车</w:t>
                  </w:r>
                </w:p>
              </w:tc>
              <w:tc>
                <w:tcPr>
                  <w:tcW w:w="1843" w:type="dxa"/>
                  <w:shd w:val="clear" w:color="auto" w:fill="auto"/>
                  <w:noWrap w:val="0"/>
                  <w:vAlign w:val="center"/>
                </w:tcPr>
                <w:p>
                  <w:pPr>
                    <w:pStyle w:val="28"/>
                    <w:ind w:left="-105" w:right="-105"/>
                    <w:rPr>
                      <w:color w:val="auto"/>
                    </w:rPr>
                  </w:pPr>
                  <w:r>
                    <w:rPr>
                      <w:color w:val="auto"/>
                    </w:rPr>
                    <w:t>JC-200</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shd w:val="clear" w:color="auto" w:fill="auto"/>
                  <w:noWrap w:val="0"/>
                  <w:vAlign w:val="center"/>
                </w:tcPr>
                <w:p>
                  <w:pPr>
                    <w:pStyle w:val="28"/>
                    <w:ind w:left="-105" w:right="-105"/>
                    <w:rPr>
                      <w:color w:val="auto"/>
                    </w:rPr>
                  </w:pPr>
                  <w:r>
                    <w:rPr>
                      <w:color w:val="auto"/>
                    </w:rPr>
                    <w:t>9</w:t>
                  </w:r>
                </w:p>
              </w:tc>
              <w:tc>
                <w:tcPr>
                  <w:tcW w:w="1030" w:type="dxa"/>
                  <w:vMerge w:val="restart"/>
                  <w:shd w:val="clear" w:color="auto" w:fill="auto"/>
                  <w:noWrap w:val="0"/>
                  <w:vAlign w:val="center"/>
                </w:tcPr>
                <w:p>
                  <w:pPr>
                    <w:pStyle w:val="28"/>
                    <w:ind w:left="-105" w:right="-105"/>
                    <w:rPr>
                      <w:color w:val="auto"/>
                    </w:rPr>
                  </w:pPr>
                  <w:r>
                    <w:rPr>
                      <w:color w:val="auto"/>
                    </w:rPr>
                    <w:t>泥浆泵</w:t>
                  </w:r>
                </w:p>
              </w:tc>
              <w:tc>
                <w:tcPr>
                  <w:tcW w:w="992" w:type="dxa"/>
                  <w:shd w:val="clear" w:color="auto" w:fill="auto"/>
                  <w:noWrap w:val="0"/>
                  <w:vAlign w:val="center"/>
                </w:tcPr>
                <w:p>
                  <w:pPr>
                    <w:pStyle w:val="28"/>
                    <w:ind w:left="-105" w:right="-105"/>
                    <w:rPr>
                      <w:color w:val="auto"/>
                    </w:rPr>
                  </w:pPr>
                  <w:r>
                    <w:rPr>
                      <w:color w:val="auto"/>
                    </w:rPr>
                    <w:t>#1</w:t>
                  </w:r>
                </w:p>
              </w:tc>
              <w:tc>
                <w:tcPr>
                  <w:tcW w:w="1843" w:type="dxa"/>
                  <w:shd w:val="clear" w:color="auto" w:fill="auto"/>
                  <w:noWrap w:val="0"/>
                  <w:vAlign w:val="center"/>
                </w:tcPr>
                <w:p>
                  <w:pPr>
                    <w:pStyle w:val="28"/>
                    <w:ind w:left="-105" w:right="-105"/>
                    <w:rPr>
                      <w:color w:val="auto"/>
                    </w:rPr>
                  </w:pPr>
                  <w:r>
                    <w:rPr>
                      <w:color w:val="auto"/>
                    </w:rPr>
                    <w:t>3NB-1300</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color w:val="auto"/>
                    </w:rPr>
                    <w:t>956</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#2</w:t>
                  </w:r>
                </w:p>
              </w:tc>
              <w:tc>
                <w:tcPr>
                  <w:tcW w:w="1843" w:type="dxa"/>
                  <w:shd w:val="clear" w:color="auto" w:fill="auto"/>
                  <w:noWrap w:val="0"/>
                  <w:vAlign w:val="center"/>
                </w:tcPr>
                <w:p>
                  <w:pPr>
                    <w:pStyle w:val="28"/>
                    <w:ind w:left="-105" w:right="-105"/>
                    <w:rPr>
                      <w:color w:val="auto"/>
                    </w:rPr>
                  </w:pPr>
                  <w:r>
                    <w:rPr>
                      <w:color w:val="auto"/>
                    </w:rPr>
                    <w:t>3NB-1300</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color w:val="auto"/>
                    </w:rPr>
                    <w:t>956</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shd w:val="clear" w:color="auto" w:fill="auto"/>
                  <w:noWrap w:val="0"/>
                  <w:vAlign w:val="center"/>
                </w:tcPr>
                <w:p>
                  <w:pPr>
                    <w:pStyle w:val="28"/>
                    <w:ind w:left="-105" w:right="-105"/>
                    <w:rPr>
                      <w:color w:val="auto"/>
                    </w:rPr>
                  </w:pPr>
                  <w:r>
                    <w:rPr>
                      <w:color w:val="auto"/>
                    </w:rPr>
                    <w:t>10</w:t>
                  </w:r>
                </w:p>
              </w:tc>
              <w:tc>
                <w:tcPr>
                  <w:tcW w:w="1030" w:type="dxa"/>
                  <w:vMerge w:val="restart"/>
                  <w:shd w:val="clear" w:color="auto" w:fill="auto"/>
                  <w:noWrap w:val="0"/>
                  <w:vAlign w:val="center"/>
                </w:tcPr>
                <w:p>
                  <w:pPr>
                    <w:pStyle w:val="28"/>
                    <w:ind w:left="-105" w:right="-105"/>
                    <w:rPr>
                      <w:color w:val="auto"/>
                    </w:rPr>
                  </w:pPr>
                  <w:r>
                    <w:rPr>
                      <w:color w:val="auto"/>
                    </w:rPr>
                    <w:t>柴油机</w:t>
                  </w:r>
                </w:p>
              </w:tc>
              <w:tc>
                <w:tcPr>
                  <w:tcW w:w="992" w:type="dxa"/>
                  <w:shd w:val="clear" w:color="auto" w:fill="auto"/>
                  <w:noWrap w:val="0"/>
                  <w:vAlign w:val="center"/>
                </w:tcPr>
                <w:p>
                  <w:pPr>
                    <w:pStyle w:val="28"/>
                    <w:ind w:left="-105" w:right="-105"/>
                    <w:rPr>
                      <w:color w:val="auto"/>
                    </w:rPr>
                  </w:pPr>
                  <w:r>
                    <w:rPr>
                      <w:color w:val="auto"/>
                    </w:rPr>
                    <w:t>#1</w:t>
                  </w:r>
                </w:p>
              </w:tc>
              <w:tc>
                <w:tcPr>
                  <w:tcW w:w="1843" w:type="dxa"/>
                  <w:shd w:val="clear" w:color="auto" w:fill="auto"/>
                  <w:noWrap w:val="0"/>
                  <w:vAlign w:val="center"/>
                </w:tcPr>
                <w:p>
                  <w:pPr>
                    <w:pStyle w:val="28"/>
                    <w:ind w:left="-105" w:right="-105"/>
                    <w:rPr>
                      <w:color w:val="auto"/>
                    </w:rPr>
                  </w:pPr>
                  <w:r>
                    <w:rPr>
                      <w:color w:val="auto"/>
                    </w:rPr>
                    <w:t>PZ12V190B</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color w:val="auto"/>
                    </w:rPr>
                    <w:t>796</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#2</w:t>
                  </w:r>
                </w:p>
              </w:tc>
              <w:tc>
                <w:tcPr>
                  <w:tcW w:w="1843" w:type="dxa"/>
                  <w:shd w:val="clear" w:color="auto" w:fill="auto"/>
                  <w:noWrap w:val="0"/>
                  <w:vAlign w:val="center"/>
                </w:tcPr>
                <w:p>
                  <w:pPr>
                    <w:pStyle w:val="28"/>
                    <w:ind w:left="-105" w:right="-105"/>
                    <w:rPr>
                      <w:color w:val="auto"/>
                    </w:rPr>
                  </w:pPr>
                  <w:r>
                    <w:rPr>
                      <w:color w:val="auto"/>
                    </w:rPr>
                    <w:t>PZ12V190B</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color w:val="auto"/>
                    </w:rPr>
                    <w:t>796</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#3</w:t>
                  </w:r>
                </w:p>
              </w:tc>
              <w:tc>
                <w:tcPr>
                  <w:tcW w:w="1843" w:type="dxa"/>
                  <w:shd w:val="clear" w:color="auto" w:fill="auto"/>
                  <w:noWrap w:val="0"/>
                  <w:vAlign w:val="center"/>
                </w:tcPr>
                <w:p>
                  <w:pPr>
                    <w:pStyle w:val="28"/>
                    <w:ind w:left="-105" w:right="-105"/>
                    <w:rPr>
                      <w:color w:val="auto"/>
                    </w:rPr>
                  </w:pPr>
                  <w:r>
                    <w:rPr>
                      <w:color w:val="auto"/>
                    </w:rPr>
                    <w:t>PZ12V190B</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color w:val="auto"/>
                    </w:rPr>
                    <w:t>796</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shd w:val="clear" w:color="auto" w:fill="auto"/>
                  <w:noWrap w:val="0"/>
                  <w:vAlign w:val="center"/>
                </w:tcPr>
                <w:p>
                  <w:pPr>
                    <w:pStyle w:val="28"/>
                    <w:ind w:left="-105" w:right="-105"/>
                    <w:rPr>
                      <w:color w:val="auto"/>
                    </w:rPr>
                  </w:pPr>
                  <w:r>
                    <w:rPr>
                      <w:color w:val="auto"/>
                    </w:rPr>
                    <w:t>12</w:t>
                  </w:r>
                </w:p>
              </w:tc>
              <w:tc>
                <w:tcPr>
                  <w:tcW w:w="1030" w:type="dxa"/>
                  <w:vMerge w:val="restart"/>
                  <w:shd w:val="clear" w:color="auto" w:fill="auto"/>
                  <w:noWrap w:val="0"/>
                  <w:vAlign w:val="center"/>
                </w:tcPr>
                <w:p>
                  <w:pPr>
                    <w:pStyle w:val="28"/>
                    <w:ind w:left="-105" w:right="-105"/>
                    <w:rPr>
                      <w:color w:val="auto"/>
                    </w:rPr>
                  </w:pPr>
                  <w:r>
                    <w:rPr>
                      <w:rFonts w:hint="eastAsia"/>
                      <w:color w:val="auto"/>
                      <w:lang w:val="en-US" w:eastAsia="zh-CN"/>
                    </w:rPr>
                    <w:t>四级</w:t>
                  </w:r>
                  <w:r>
                    <w:rPr>
                      <w:color w:val="auto"/>
                    </w:rPr>
                    <w:t>固控</w:t>
                  </w:r>
                </w:p>
                <w:p>
                  <w:pPr>
                    <w:pStyle w:val="28"/>
                    <w:ind w:left="-105" w:right="-105"/>
                    <w:rPr>
                      <w:color w:val="auto"/>
                    </w:rPr>
                  </w:pPr>
                  <w:r>
                    <w:rPr>
                      <w:color w:val="auto"/>
                    </w:rPr>
                    <w:t>装置</w:t>
                  </w:r>
                </w:p>
              </w:tc>
              <w:tc>
                <w:tcPr>
                  <w:tcW w:w="992" w:type="dxa"/>
                  <w:shd w:val="clear" w:color="auto" w:fill="auto"/>
                  <w:noWrap w:val="0"/>
                  <w:vAlign w:val="center"/>
                </w:tcPr>
                <w:p>
                  <w:pPr>
                    <w:pStyle w:val="28"/>
                    <w:ind w:left="-105" w:right="-105"/>
                    <w:rPr>
                      <w:color w:val="auto"/>
                    </w:rPr>
                  </w:pPr>
                  <w:r>
                    <w:rPr>
                      <w:color w:val="auto"/>
                    </w:rPr>
                    <w:t>振动筛×3</w:t>
                  </w:r>
                </w:p>
              </w:tc>
              <w:tc>
                <w:tcPr>
                  <w:tcW w:w="1843" w:type="dxa"/>
                  <w:shd w:val="clear" w:color="auto" w:fill="auto"/>
                  <w:noWrap w:val="0"/>
                  <w:vAlign w:val="center"/>
                </w:tcPr>
                <w:p>
                  <w:pPr>
                    <w:pStyle w:val="28"/>
                    <w:ind w:left="-105" w:right="-105"/>
                    <w:rPr>
                      <w:color w:val="auto"/>
                    </w:rPr>
                  </w:pPr>
                  <w:r>
                    <w:rPr>
                      <w:color w:val="auto"/>
                    </w:rPr>
                    <w:t>ZX-60×300</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color w:val="auto"/>
                    </w:rPr>
                    <w:t>组</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除砂器</w:t>
                  </w:r>
                </w:p>
              </w:tc>
              <w:tc>
                <w:tcPr>
                  <w:tcW w:w="1843" w:type="dxa"/>
                  <w:shd w:val="clear" w:color="auto" w:fill="auto"/>
                  <w:noWrap w:val="0"/>
                  <w:vAlign w:val="center"/>
                </w:tcPr>
                <w:p>
                  <w:pPr>
                    <w:pStyle w:val="28"/>
                    <w:ind w:left="-105" w:right="-105"/>
                    <w:rPr>
                      <w:color w:val="auto"/>
                    </w:rPr>
                  </w:pPr>
                  <w:r>
                    <w:rPr>
                      <w:color w:val="auto"/>
                    </w:rPr>
                    <w:t>NCS250×2</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除泥器</w:t>
                  </w:r>
                </w:p>
              </w:tc>
              <w:tc>
                <w:tcPr>
                  <w:tcW w:w="1843" w:type="dxa"/>
                  <w:shd w:val="clear" w:color="auto" w:fill="auto"/>
                  <w:noWrap w:val="0"/>
                  <w:vAlign w:val="center"/>
                </w:tcPr>
                <w:p>
                  <w:pPr>
                    <w:pStyle w:val="28"/>
                    <w:ind w:left="-105" w:right="-105"/>
                    <w:rPr>
                      <w:color w:val="auto"/>
                    </w:rPr>
                  </w:pPr>
                  <w:r>
                    <w:rPr>
                      <w:color w:val="auto"/>
                    </w:rPr>
                    <w:t>ZQJ125×8-1.3×0.6</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离心机</w:t>
                  </w:r>
                </w:p>
              </w:tc>
              <w:tc>
                <w:tcPr>
                  <w:tcW w:w="1843" w:type="dxa"/>
                  <w:shd w:val="clear" w:color="auto" w:fill="auto"/>
                  <w:noWrap w:val="0"/>
                  <w:vAlign w:val="center"/>
                </w:tcPr>
                <w:p>
                  <w:pPr>
                    <w:pStyle w:val="28"/>
                    <w:ind w:left="-105" w:right="-105"/>
                    <w:rPr>
                      <w:color w:val="auto"/>
                    </w:rPr>
                  </w:pPr>
                  <w:r>
                    <w:rPr>
                      <w:color w:val="auto"/>
                    </w:rPr>
                    <w:t>LW450-842N</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color w:val="auto"/>
                    </w:rPr>
                    <w:t>除气器</w:t>
                  </w:r>
                </w:p>
              </w:tc>
              <w:tc>
                <w:tcPr>
                  <w:tcW w:w="1843" w:type="dxa"/>
                  <w:shd w:val="clear" w:color="auto" w:fill="auto"/>
                  <w:noWrap w:val="0"/>
                  <w:vAlign w:val="center"/>
                </w:tcPr>
                <w:p>
                  <w:pPr>
                    <w:pStyle w:val="28"/>
                    <w:ind w:left="-105" w:right="-105"/>
                    <w:rPr>
                      <w:color w:val="auto"/>
                    </w:rPr>
                  </w:pPr>
                  <w:r>
                    <w:rPr>
                      <w:color w:val="auto"/>
                    </w:rPr>
                    <w:t>HZQ1/4</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vMerge w:val="restart"/>
                  <w:shd w:val="clear" w:color="auto" w:fill="auto"/>
                  <w:noWrap w:val="0"/>
                  <w:vAlign w:val="center"/>
                </w:tcPr>
                <w:p>
                  <w:pPr>
                    <w:pStyle w:val="28"/>
                    <w:ind w:left="-105" w:right="-105"/>
                    <w:rPr>
                      <w:color w:val="auto"/>
                    </w:rPr>
                  </w:pPr>
                  <w:r>
                    <w:rPr>
                      <w:rFonts w:hint="eastAsia"/>
                      <w:color w:val="auto"/>
                    </w:rPr>
                    <w:t>1</w:t>
                  </w:r>
                  <w:r>
                    <w:rPr>
                      <w:color w:val="auto"/>
                    </w:rPr>
                    <w:t>3</w:t>
                  </w:r>
                </w:p>
              </w:tc>
              <w:tc>
                <w:tcPr>
                  <w:tcW w:w="1030" w:type="dxa"/>
                  <w:vMerge w:val="restart"/>
                  <w:shd w:val="clear" w:color="auto" w:fill="auto"/>
                  <w:noWrap w:val="0"/>
                  <w:vAlign w:val="center"/>
                </w:tcPr>
                <w:p>
                  <w:pPr>
                    <w:pStyle w:val="28"/>
                    <w:ind w:left="-105" w:right="-105"/>
                    <w:rPr>
                      <w:color w:val="auto"/>
                    </w:rPr>
                  </w:pPr>
                  <w:r>
                    <w:rPr>
                      <w:rFonts w:hint="eastAsia"/>
                      <w:color w:val="auto"/>
                    </w:rPr>
                    <w:t>柴油发电机</w:t>
                  </w:r>
                </w:p>
              </w:tc>
              <w:tc>
                <w:tcPr>
                  <w:tcW w:w="992" w:type="dxa"/>
                  <w:shd w:val="clear" w:color="auto" w:fill="auto"/>
                  <w:noWrap w:val="0"/>
                  <w:vAlign w:val="center"/>
                </w:tcPr>
                <w:p>
                  <w:pPr>
                    <w:pStyle w:val="28"/>
                    <w:ind w:left="-105" w:right="-105"/>
                    <w:rPr>
                      <w:color w:val="auto"/>
                    </w:rPr>
                  </w:pPr>
                  <w:r>
                    <w:rPr>
                      <w:rFonts w:hint="eastAsia"/>
                      <w:color w:val="auto"/>
                    </w:rPr>
                    <w:t>#</w:t>
                  </w:r>
                  <w:r>
                    <w:rPr>
                      <w:color w:val="auto"/>
                    </w:rPr>
                    <w:t>1</w:t>
                  </w:r>
                </w:p>
              </w:tc>
              <w:tc>
                <w:tcPr>
                  <w:tcW w:w="1843" w:type="dxa"/>
                  <w:shd w:val="clear" w:color="auto" w:fill="auto"/>
                  <w:noWrap w:val="0"/>
                  <w:vAlign w:val="center"/>
                </w:tcPr>
                <w:p>
                  <w:pPr>
                    <w:pStyle w:val="28"/>
                    <w:ind w:left="-105" w:right="-105"/>
                    <w:rPr>
                      <w:color w:val="auto"/>
                    </w:rPr>
                  </w:pPr>
                  <w:r>
                    <w:rPr>
                      <w:color w:val="auto"/>
                      <w:spacing w:val="4"/>
                    </w:rPr>
                    <w:t>Vovol</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rFonts w:hint="eastAsia"/>
                      <w:color w:val="auto"/>
                    </w:rPr>
                    <w:t>4</w:t>
                  </w:r>
                  <w:r>
                    <w:rPr>
                      <w:color w:val="auto"/>
                    </w:rPr>
                    <w:t>00</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shd w:val="clear" w:color="auto" w:fill="auto"/>
                  <w:noWrap w:val="0"/>
                  <w:vAlign w:val="center"/>
                </w:tcPr>
                <w:p>
                  <w:pPr>
                    <w:pStyle w:val="28"/>
                    <w:ind w:left="-105" w:right="-105"/>
                    <w:rPr>
                      <w:color w:val="auto"/>
                    </w:rPr>
                  </w:pPr>
                </w:p>
              </w:tc>
              <w:tc>
                <w:tcPr>
                  <w:tcW w:w="1030" w:type="dxa"/>
                  <w:vMerge w:val="continue"/>
                  <w:shd w:val="clear" w:color="auto" w:fill="auto"/>
                  <w:noWrap w:val="0"/>
                  <w:vAlign w:val="center"/>
                </w:tcPr>
                <w:p>
                  <w:pPr>
                    <w:pStyle w:val="28"/>
                    <w:ind w:left="-105" w:right="-105"/>
                    <w:rPr>
                      <w:color w:val="auto"/>
                    </w:rPr>
                  </w:pPr>
                </w:p>
              </w:tc>
              <w:tc>
                <w:tcPr>
                  <w:tcW w:w="992" w:type="dxa"/>
                  <w:shd w:val="clear" w:color="auto" w:fill="auto"/>
                  <w:noWrap w:val="0"/>
                  <w:vAlign w:val="center"/>
                </w:tcPr>
                <w:p>
                  <w:pPr>
                    <w:pStyle w:val="28"/>
                    <w:ind w:left="-105" w:right="-105"/>
                    <w:rPr>
                      <w:color w:val="auto"/>
                    </w:rPr>
                  </w:pPr>
                  <w:r>
                    <w:rPr>
                      <w:rFonts w:hint="eastAsia"/>
                      <w:color w:val="auto"/>
                    </w:rPr>
                    <w:t>#</w:t>
                  </w:r>
                  <w:r>
                    <w:rPr>
                      <w:color w:val="auto"/>
                    </w:rPr>
                    <w:t>2</w:t>
                  </w:r>
                </w:p>
              </w:tc>
              <w:tc>
                <w:tcPr>
                  <w:tcW w:w="1843" w:type="dxa"/>
                  <w:shd w:val="clear" w:color="auto" w:fill="auto"/>
                  <w:noWrap w:val="0"/>
                  <w:vAlign w:val="center"/>
                </w:tcPr>
                <w:p>
                  <w:pPr>
                    <w:pStyle w:val="28"/>
                    <w:ind w:left="-105" w:right="-105"/>
                    <w:rPr>
                      <w:color w:val="auto"/>
                    </w:rPr>
                  </w:pPr>
                  <w:r>
                    <w:rPr>
                      <w:color w:val="auto"/>
                      <w:spacing w:val="4"/>
                    </w:rPr>
                    <w:t>Vovol</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r>
                    <w:rPr>
                      <w:rFonts w:hint="eastAsia"/>
                      <w:color w:val="auto"/>
                    </w:rPr>
                    <w:t>4</w:t>
                  </w:r>
                  <w:r>
                    <w:rPr>
                      <w:color w:val="auto"/>
                    </w:rPr>
                    <w:t>00</w:t>
                  </w:r>
                </w:p>
              </w:tc>
              <w:tc>
                <w:tcPr>
                  <w:tcW w:w="1069" w:type="dxa"/>
                  <w:shd w:val="clear" w:color="auto" w:fill="auto"/>
                  <w:noWrap w:val="0"/>
                  <w:vAlign w:val="center"/>
                </w:tcPr>
                <w:p>
                  <w:pPr>
                    <w:pStyle w:val="28"/>
                    <w:ind w:left="-105" w:right="-105"/>
                    <w:rPr>
                      <w:color w:val="auto"/>
                    </w:rPr>
                  </w:pPr>
                  <w:r>
                    <w:rPr>
                      <w:rFonts w:hint="eastAsia"/>
                      <w:color w:val="auto"/>
                    </w:rPr>
                    <w:t>台</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shd w:val="clear" w:color="auto" w:fill="auto"/>
                  <w:noWrap w:val="0"/>
                  <w:vAlign w:val="center"/>
                </w:tcPr>
                <w:p>
                  <w:pPr>
                    <w:pStyle w:val="28"/>
                    <w:ind w:left="-105" w:right="-105"/>
                    <w:rPr>
                      <w:color w:val="auto"/>
                    </w:rPr>
                  </w:pPr>
                  <w:r>
                    <w:rPr>
                      <w:rFonts w:hint="eastAsia"/>
                      <w:color w:val="auto"/>
                    </w:rPr>
                    <w:t>1</w:t>
                  </w:r>
                  <w:r>
                    <w:rPr>
                      <w:color w:val="auto"/>
                    </w:rPr>
                    <w:t>4</w:t>
                  </w:r>
                </w:p>
              </w:tc>
              <w:tc>
                <w:tcPr>
                  <w:tcW w:w="2022" w:type="dxa"/>
                  <w:gridSpan w:val="2"/>
                  <w:shd w:val="clear" w:color="auto" w:fill="auto"/>
                  <w:noWrap w:val="0"/>
                  <w:vAlign w:val="center"/>
                </w:tcPr>
                <w:p>
                  <w:pPr>
                    <w:pStyle w:val="28"/>
                    <w:ind w:left="-105" w:right="-105"/>
                    <w:rPr>
                      <w:color w:val="auto"/>
                    </w:rPr>
                  </w:pPr>
                  <w:r>
                    <w:rPr>
                      <w:rFonts w:hint="eastAsia"/>
                      <w:color w:val="auto"/>
                    </w:rPr>
                    <w:t>净化罐</w:t>
                  </w:r>
                </w:p>
              </w:tc>
              <w:tc>
                <w:tcPr>
                  <w:tcW w:w="1843" w:type="dxa"/>
                  <w:shd w:val="clear" w:color="auto" w:fill="auto"/>
                  <w:noWrap w:val="0"/>
                  <w:vAlign w:val="center"/>
                </w:tcPr>
                <w:p>
                  <w:pPr>
                    <w:pStyle w:val="28"/>
                    <w:ind w:left="-105" w:right="-105"/>
                    <w:rPr>
                      <w:color w:val="auto"/>
                      <w:spacing w:val="4"/>
                      <w:vertAlign w:val="superscript"/>
                    </w:rPr>
                  </w:pPr>
                  <w:r>
                    <w:rPr>
                      <w:color w:val="auto"/>
                      <w:spacing w:val="4"/>
                    </w:rPr>
                    <w:t>40m</w:t>
                  </w:r>
                  <w:r>
                    <w:rPr>
                      <w:color w:val="auto"/>
                      <w:spacing w:val="4"/>
                      <w:vertAlign w:val="superscript"/>
                    </w:rPr>
                    <w:t>3</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个</w:t>
                  </w:r>
                </w:p>
              </w:tc>
              <w:tc>
                <w:tcPr>
                  <w:tcW w:w="1327" w:type="dxa"/>
                  <w:shd w:val="clear" w:color="auto" w:fill="auto"/>
                  <w:noWrap w:val="0"/>
                  <w:vAlign w:val="center"/>
                </w:tcPr>
                <w:p>
                  <w:pPr>
                    <w:pStyle w:val="28"/>
                    <w:ind w:left="-105" w:right="-105"/>
                    <w:rPr>
                      <w:color w:val="auto"/>
                    </w:rPr>
                  </w:pPr>
                  <w:r>
                    <w:rPr>
                      <w:color w:val="auto"/>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5" w:type="dxa"/>
                  <w:shd w:val="clear" w:color="auto" w:fill="auto"/>
                  <w:noWrap w:val="0"/>
                  <w:vAlign w:val="center"/>
                </w:tcPr>
                <w:p>
                  <w:pPr>
                    <w:pStyle w:val="28"/>
                    <w:ind w:left="-105" w:right="-105"/>
                    <w:rPr>
                      <w:color w:val="auto"/>
                    </w:rPr>
                  </w:pPr>
                  <w:r>
                    <w:rPr>
                      <w:rFonts w:hint="eastAsia"/>
                      <w:color w:val="auto"/>
                    </w:rPr>
                    <w:t>1</w:t>
                  </w:r>
                  <w:r>
                    <w:rPr>
                      <w:color w:val="auto"/>
                    </w:rPr>
                    <w:t>5</w:t>
                  </w:r>
                </w:p>
              </w:tc>
              <w:tc>
                <w:tcPr>
                  <w:tcW w:w="2022" w:type="dxa"/>
                  <w:gridSpan w:val="2"/>
                  <w:shd w:val="clear" w:color="auto" w:fill="auto"/>
                  <w:noWrap w:val="0"/>
                  <w:vAlign w:val="center"/>
                </w:tcPr>
                <w:p>
                  <w:pPr>
                    <w:pStyle w:val="28"/>
                    <w:ind w:left="-105" w:right="-105"/>
                    <w:rPr>
                      <w:color w:val="auto"/>
                    </w:rPr>
                  </w:pPr>
                  <w:r>
                    <w:rPr>
                      <w:rFonts w:hint="eastAsia"/>
                      <w:color w:val="auto"/>
                    </w:rPr>
                    <w:t>套装水罐</w:t>
                  </w:r>
                </w:p>
              </w:tc>
              <w:tc>
                <w:tcPr>
                  <w:tcW w:w="1843" w:type="dxa"/>
                  <w:shd w:val="clear" w:color="auto" w:fill="auto"/>
                  <w:noWrap w:val="0"/>
                  <w:vAlign w:val="center"/>
                </w:tcPr>
                <w:p>
                  <w:pPr>
                    <w:pStyle w:val="28"/>
                    <w:ind w:left="-105" w:right="-105"/>
                    <w:rPr>
                      <w:color w:val="auto"/>
                      <w:spacing w:val="4"/>
                    </w:rPr>
                  </w:pPr>
                  <w:r>
                    <w:rPr>
                      <w:rFonts w:hint="eastAsia"/>
                      <w:color w:val="auto"/>
                      <w:spacing w:val="4"/>
                    </w:rPr>
                    <w:t>6</w:t>
                  </w:r>
                  <w:r>
                    <w:rPr>
                      <w:color w:val="auto"/>
                      <w:spacing w:val="4"/>
                    </w:rPr>
                    <w:t>0m</w:t>
                  </w:r>
                  <w:r>
                    <w:rPr>
                      <w:color w:val="auto"/>
                      <w:spacing w:val="4"/>
                      <w:vertAlign w:val="superscript"/>
                    </w:rPr>
                    <w:t>3</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个</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bookmarkStart w:id="19" w:name="_Hlk50713469"/>
                  <w:r>
                    <w:rPr>
                      <w:rFonts w:hint="eastAsia"/>
                      <w:color w:val="auto"/>
                    </w:rPr>
                    <w:t>1</w:t>
                  </w:r>
                  <w:r>
                    <w:rPr>
                      <w:color w:val="auto"/>
                    </w:rPr>
                    <w:t>6</w:t>
                  </w:r>
                </w:p>
              </w:tc>
              <w:tc>
                <w:tcPr>
                  <w:tcW w:w="2022" w:type="dxa"/>
                  <w:gridSpan w:val="2"/>
                  <w:shd w:val="clear" w:color="auto" w:fill="auto"/>
                  <w:noWrap w:val="0"/>
                  <w:vAlign w:val="center"/>
                </w:tcPr>
                <w:p>
                  <w:pPr>
                    <w:pStyle w:val="28"/>
                    <w:ind w:left="-105" w:right="-105"/>
                    <w:rPr>
                      <w:color w:val="auto"/>
                    </w:rPr>
                  </w:pPr>
                  <w:r>
                    <w:rPr>
                      <w:rFonts w:hint="eastAsia"/>
                      <w:color w:val="auto"/>
                    </w:rPr>
                    <w:t>油水罐</w:t>
                  </w:r>
                </w:p>
              </w:tc>
              <w:tc>
                <w:tcPr>
                  <w:tcW w:w="1843" w:type="dxa"/>
                  <w:shd w:val="clear" w:color="auto" w:fill="auto"/>
                  <w:noWrap w:val="0"/>
                  <w:vAlign w:val="center"/>
                </w:tcPr>
                <w:p>
                  <w:pPr>
                    <w:pStyle w:val="28"/>
                    <w:ind w:left="-105" w:right="-105"/>
                    <w:rPr>
                      <w:color w:val="auto"/>
                      <w:spacing w:val="4"/>
                    </w:rPr>
                  </w:pPr>
                  <w:r>
                    <w:rPr>
                      <w:color w:val="auto"/>
                      <w:spacing w:val="4"/>
                    </w:rPr>
                    <w:t>40m</w:t>
                  </w:r>
                  <w:r>
                    <w:rPr>
                      <w:color w:val="auto"/>
                      <w:spacing w:val="4"/>
                      <w:vertAlign w:val="superscript"/>
                    </w:rPr>
                    <w:t>3</w:t>
                  </w: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个</w:t>
                  </w:r>
                </w:p>
              </w:tc>
              <w:tc>
                <w:tcPr>
                  <w:tcW w:w="1327" w:type="dxa"/>
                  <w:shd w:val="clear" w:color="auto" w:fill="auto"/>
                  <w:noWrap w:val="0"/>
                  <w:vAlign w:val="center"/>
                </w:tcPr>
                <w:p>
                  <w:pPr>
                    <w:pStyle w:val="28"/>
                    <w:ind w:left="-105" w:right="-105"/>
                    <w:rPr>
                      <w:color w:val="auto"/>
                    </w:rPr>
                  </w:pPr>
                  <w:r>
                    <w:rPr>
                      <w:color w:val="auto"/>
                    </w:rPr>
                    <w:t>3</w:t>
                  </w:r>
                </w:p>
              </w:tc>
            </w:tr>
            <w:bookmarkEnd w:id="19"/>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color w:val="auto"/>
                    </w:rPr>
                  </w:pPr>
                  <w:r>
                    <w:rPr>
                      <w:rFonts w:hint="eastAsia"/>
                      <w:color w:val="auto"/>
                    </w:rPr>
                    <w:t>1</w:t>
                  </w:r>
                  <w:r>
                    <w:rPr>
                      <w:color w:val="auto"/>
                    </w:rPr>
                    <w:t>7</w:t>
                  </w:r>
                </w:p>
              </w:tc>
              <w:tc>
                <w:tcPr>
                  <w:tcW w:w="2022" w:type="dxa"/>
                  <w:gridSpan w:val="2"/>
                  <w:shd w:val="clear" w:color="auto" w:fill="auto"/>
                  <w:noWrap w:val="0"/>
                  <w:vAlign w:val="center"/>
                </w:tcPr>
                <w:p>
                  <w:pPr>
                    <w:pStyle w:val="28"/>
                    <w:ind w:left="-105" w:right="-105"/>
                    <w:rPr>
                      <w:color w:val="auto"/>
                    </w:rPr>
                  </w:pPr>
                  <w:r>
                    <w:rPr>
                      <w:rFonts w:hint="eastAsia"/>
                      <w:color w:val="auto"/>
                    </w:rPr>
                    <w:t>钻井液不落地设备</w:t>
                  </w:r>
                </w:p>
              </w:tc>
              <w:tc>
                <w:tcPr>
                  <w:tcW w:w="1843" w:type="dxa"/>
                  <w:shd w:val="clear" w:color="auto" w:fill="auto"/>
                  <w:noWrap w:val="0"/>
                  <w:vAlign w:val="center"/>
                </w:tcPr>
                <w:p>
                  <w:pPr>
                    <w:pStyle w:val="28"/>
                    <w:ind w:left="-105" w:right="-105"/>
                    <w:rPr>
                      <w:color w:val="auto"/>
                      <w:spacing w:val="4"/>
                    </w:rPr>
                  </w:pPr>
                </w:p>
              </w:tc>
              <w:tc>
                <w:tcPr>
                  <w:tcW w:w="992" w:type="dxa"/>
                  <w:shd w:val="clear" w:color="auto" w:fill="auto"/>
                  <w:noWrap w:val="0"/>
                  <w:vAlign w:val="center"/>
                </w:tcPr>
                <w:p>
                  <w:pPr>
                    <w:pStyle w:val="28"/>
                    <w:ind w:left="-105" w:right="-105"/>
                    <w:rPr>
                      <w:color w:val="auto"/>
                    </w:rPr>
                  </w:pPr>
                </w:p>
              </w:tc>
              <w:tc>
                <w:tcPr>
                  <w:tcW w:w="993" w:type="dxa"/>
                  <w:shd w:val="clear" w:color="auto" w:fill="auto"/>
                  <w:noWrap w:val="0"/>
                  <w:vAlign w:val="center"/>
                </w:tcPr>
                <w:p>
                  <w:pPr>
                    <w:pStyle w:val="28"/>
                    <w:ind w:left="-105" w:right="-105"/>
                    <w:rPr>
                      <w:color w:val="auto"/>
                    </w:rPr>
                  </w:pPr>
                </w:p>
              </w:tc>
              <w:tc>
                <w:tcPr>
                  <w:tcW w:w="1069" w:type="dxa"/>
                  <w:shd w:val="clear" w:color="auto" w:fill="auto"/>
                  <w:noWrap w:val="0"/>
                  <w:vAlign w:val="center"/>
                </w:tcPr>
                <w:p>
                  <w:pPr>
                    <w:pStyle w:val="28"/>
                    <w:ind w:left="-105" w:right="-105"/>
                    <w:rPr>
                      <w:color w:val="auto"/>
                    </w:rPr>
                  </w:pPr>
                  <w:r>
                    <w:rPr>
                      <w:rFonts w:hint="eastAsia"/>
                      <w:color w:val="auto"/>
                    </w:rPr>
                    <w:t>套</w:t>
                  </w:r>
                </w:p>
              </w:tc>
              <w:tc>
                <w:tcPr>
                  <w:tcW w:w="1327" w:type="dxa"/>
                  <w:shd w:val="clear" w:color="auto" w:fill="auto"/>
                  <w:noWrap w:val="0"/>
                  <w:vAlign w:val="center"/>
                </w:tcPr>
                <w:p>
                  <w:pPr>
                    <w:pStyle w:val="28"/>
                    <w:ind w:left="-105" w:right="-105"/>
                    <w:rPr>
                      <w:color w:val="auto"/>
                    </w:rPr>
                  </w:pPr>
                  <w:r>
                    <w:rPr>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noWrap w:val="0"/>
                  <w:vAlign w:val="center"/>
                </w:tcPr>
                <w:p>
                  <w:pPr>
                    <w:pStyle w:val="28"/>
                    <w:ind w:left="-105" w:right="-105"/>
                    <w:rPr>
                      <w:rFonts w:hint="default" w:eastAsia="宋体"/>
                      <w:color w:val="auto"/>
                      <w:lang w:val="en-US" w:eastAsia="zh-CN"/>
                    </w:rPr>
                  </w:pPr>
                  <w:r>
                    <w:rPr>
                      <w:rFonts w:hint="eastAsia"/>
                      <w:color w:val="auto"/>
                      <w:lang w:val="en-US" w:eastAsia="zh-CN"/>
                    </w:rPr>
                    <w:t>18</w:t>
                  </w:r>
                </w:p>
              </w:tc>
              <w:tc>
                <w:tcPr>
                  <w:tcW w:w="2022" w:type="dxa"/>
                  <w:gridSpan w:val="2"/>
                  <w:shd w:val="clear" w:color="auto" w:fill="auto"/>
                  <w:noWrap w:val="0"/>
                  <w:vAlign w:val="center"/>
                </w:tcPr>
                <w:p>
                  <w:pPr>
                    <w:pStyle w:val="28"/>
                    <w:ind w:left="-105" w:right="-105"/>
                    <w:rPr>
                      <w:rFonts w:hint="default" w:eastAsia="宋体"/>
                      <w:color w:val="auto"/>
                      <w:lang w:val="en-US" w:eastAsia="zh-CN"/>
                    </w:rPr>
                  </w:pPr>
                  <w:r>
                    <w:rPr>
                      <w:rFonts w:hint="eastAsia"/>
                      <w:color w:val="auto"/>
                      <w:lang w:val="en-US" w:eastAsia="zh-CN"/>
                    </w:rPr>
                    <w:t>柴油罐</w:t>
                  </w:r>
                </w:p>
              </w:tc>
              <w:tc>
                <w:tcPr>
                  <w:tcW w:w="1843" w:type="dxa"/>
                  <w:shd w:val="clear" w:color="auto" w:fill="auto"/>
                  <w:noWrap w:val="0"/>
                  <w:vAlign w:val="center"/>
                </w:tcPr>
                <w:p>
                  <w:pPr>
                    <w:pStyle w:val="28"/>
                    <w:ind w:left="-105" w:leftChars="0" w:right="-105" w:rightChars="0" w:firstLine="0" w:firstLineChars="0"/>
                    <w:rPr>
                      <w:color w:val="auto"/>
                      <w:spacing w:val="4"/>
                    </w:rPr>
                  </w:pPr>
                  <w:r>
                    <w:rPr>
                      <w:rFonts w:hint="eastAsia"/>
                      <w:color w:val="auto"/>
                      <w:spacing w:val="4"/>
                      <w:lang w:val="en-US" w:eastAsia="zh-CN"/>
                    </w:rPr>
                    <w:t>2</w:t>
                  </w:r>
                  <w:r>
                    <w:rPr>
                      <w:color w:val="auto"/>
                      <w:spacing w:val="4"/>
                    </w:rPr>
                    <w:t>0m</w:t>
                  </w:r>
                  <w:r>
                    <w:rPr>
                      <w:color w:val="auto"/>
                      <w:spacing w:val="4"/>
                      <w:vertAlign w:val="superscript"/>
                    </w:rPr>
                    <w:t>3</w:t>
                  </w:r>
                </w:p>
              </w:tc>
              <w:tc>
                <w:tcPr>
                  <w:tcW w:w="992" w:type="dxa"/>
                  <w:shd w:val="clear" w:color="auto" w:fill="auto"/>
                  <w:noWrap w:val="0"/>
                  <w:vAlign w:val="center"/>
                </w:tcPr>
                <w:p>
                  <w:pPr>
                    <w:pStyle w:val="28"/>
                    <w:ind w:left="-105" w:leftChars="0" w:right="-105" w:rightChars="0" w:firstLine="0" w:firstLineChars="0"/>
                    <w:rPr>
                      <w:color w:val="auto"/>
                    </w:rPr>
                  </w:pPr>
                </w:p>
              </w:tc>
              <w:tc>
                <w:tcPr>
                  <w:tcW w:w="993" w:type="dxa"/>
                  <w:shd w:val="clear" w:color="auto" w:fill="auto"/>
                  <w:noWrap w:val="0"/>
                  <w:vAlign w:val="center"/>
                </w:tcPr>
                <w:p>
                  <w:pPr>
                    <w:pStyle w:val="28"/>
                    <w:ind w:left="-105" w:leftChars="0" w:right="-105" w:rightChars="0" w:firstLine="0" w:firstLineChars="0"/>
                    <w:rPr>
                      <w:color w:val="auto"/>
                    </w:rPr>
                  </w:pPr>
                </w:p>
              </w:tc>
              <w:tc>
                <w:tcPr>
                  <w:tcW w:w="1069" w:type="dxa"/>
                  <w:shd w:val="clear" w:color="auto" w:fill="auto"/>
                  <w:noWrap w:val="0"/>
                  <w:vAlign w:val="center"/>
                </w:tcPr>
                <w:p>
                  <w:pPr>
                    <w:pStyle w:val="28"/>
                    <w:ind w:left="-105" w:leftChars="0" w:right="-105" w:rightChars="0" w:firstLine="0" w:firstLineChars="0"/>
                    <w:rPr>
                      <w:rFonts w:hint="eastAsia"/>
                      <w:color w:val="auto"/>
                    </w:rPr>
                  </w:pPr>
                  <w:r>
                    <w:rPr>
                      <w:rFonts w:hint="eastAsia"/>
                      <w:color w:val="auto"/>
                    </w:rPr>
                    <w:t>个</w:t>
                  </w:r>
                </w:p>
              </w:tc>
              <w:tc>
                <w:tcPr>
                  <w:tcW w:w="1327" w:type="dxa"/>
                  <w:shd w:val="clear" w:color="auto" w:fill="auto"/>
                  <w:noWrap w:val="0"/>
                  <w:vAlign w:val="center"/>
                </w:tcPr>
                <w:p>
                  <w:pPr>
                    <w:pStyle w:val="28"/>
                    <w:ind w:left="-105" w:leftChars="0" w:right="-105" w:rightChars="0" w:firstLine="0" w:firstLineChars="0"/>
                    <w:rPr>
                      <w:color w:val="auto"/>
                    </w:rPr>
                  </w:pPr>
                  <w:r>
                    <w:rPr>
                      <w:color w:val="auto"/>
                    </w:rPr>
                    <w:t>1</w:t>
                  </w:r>
                </w:p>
              </w:tc>
            </w:tr>
          </w:tbl>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sz w:val="24"/>
                <w:szCs w:val="24"/>
              </w:rPr>
            </w:pPr>
            <w:r>
              <w:rPr>
                <w:rFonts w:hint="eastAsia"/>
                <w:color w:val="auto"/>
                <w:sz w:val="24"/>
                <w:szCs w:val="24"/>
                <w:lang w:val="en-US" w:eastAsia="zh-CN"/>
              </w:rPr>
              <w:t>4</w:t>
            </w:r>
            <w:r>
              <w:rPr>
                <w:color w:val="auto"/>
                <w:sz w:val="24"/>
                <w:szCs w:val="24"/>
              </w:rPr>
              <w:t>.4 钻井液体系</w:t>
            </w:r>
          </w:p>
          <w:p>
            <w:pPr>
              <w:pStyle w:val="4"/>
              <w:rPr>
                <w:color w:val="auto"/>
              </w:rPr>
            </w:pPr>
            <w:bookmarkStart w:id="20" w:name="_Hlk50718512"/>
            <w:bookmarkStart w:id="21" w:name="_Hlk68137989"/>
            <w:bookmarkStart w:id="22" w:name="_Hlk44516520"/>
            <w:r>
              <w:rPr>
                <w:color w:val="auto"/>
              </w:rPr>
              <w:t>根据钻井</w:t>
            </w:r>
            <w:r>
              <w:rPr>
                <w:rFonts w:hint="eastAsia"/>
                <w:color w:val="auto"/>
              </w:rPr>
              <w:t>工程</w:t>
            </w:r>
            <w:r>
              <w:rPr>
                <w:color w:val="auto"/>
              </w:rPr>
              <w:t>设计，</w:t>
            </w:r>
            <w:r>
              <w:rPr>
                <w:rFonts w:hint="eastAsia"/>
                <w:color w:val="auto"/>
              </w:rPr>
              <w:t>本项目钻井液用量</w:t>
            </w:r>
            <w:r>
              <w:rPr>
                <w:rFonts w:hint="eastAsia"/>
                <w:color w:val="auto"/>
                <w:lang w:val="en-US" w:eastAsia="zh-CN"/>
              </w:rPr>
              <w:t>625</w:t>
            </w:r>
            <w:r>
              <w:rPr>
                <w:color w:val="auto"/>
              </w:rPr>
              <w:t>m</w:t>
            </w:r>
            <w:r>
              <w:rPr>
                <w:color w:val="auto"/>
                <w:vertAlign w:val="superscript"/>
              </w:rPr>
              <w:t>3</w:t>
            </w:r>
            <w:r>
              <w:rPr>
                <w:rFonts w:hint="eastAsia"/>
                <w:color w:val="auto"/>
                <w:lang w:eastAsia="zh-CN"/>
              </w:rPr>
              <w:t>。</w:t>
            </w:r>
            <w:r>
              <w:rPr>
                <w:rFonts w:hint="eastAsia"/>
                <w:color w:val="auto"/>
              </w:rPr>
              <w:t>钻井液类型及配方详见表</w:t>
            </w:r>
            <w:r>
              <w:rPr>
                <w:color w:val="auto"/>
              </w:rPr>
              <w:t>2</w:t>
            </w:r>
            <w:r>
              <w:rPr>
                <w:rFonts w:hint="eastAsia"/>
                <w:color w:val="auto"/>
              </w:rPr>
              <w:t>-</w:t>
            </w:r>
            <w:r>
              <w:rPr>
                <w:rFonts w:hint="eastAsia"/>
                <w:color w:val="auto"/>
                <w:lang w:val="en-US" w:eastAsia="zh-CN"/>
              </w:rPr>
              <w:t>9</w:t>
            </w:r>
            <w:r>
              <w:rPr>
                <w:color w:val="auto"/>
              </w:rPr>
              <w:t>。</w:t>
            </w:r>
          </w:p>
          <w:bookmarkEnd w:id="20"/>
          <w:p>
            <w:pPr>
              <w:pStyle w:val="27"/>
              <w:rPr>
                <w:color w:val="auto"/>
              </w:rPr>
            </w:pPr>
            <w:r>
              <w:rPr>
                <w:color w:val="auto"/>
              </w:rPr>
              <w:t>表2</w:t>
            </w:r>
            <w:r>
              <w:rPr>
                <w:rFonts w:hint="eastAsia"/>
                <w:color w:val="auto"/>
              </w:rPr>
              <w:t>-</w:t>
            </w:r>
            <w:r>
              <w:rPr>
                <w:rFonts w:hint="eastAsia"/>
                <w:color w:val="auto"/>
                <w:lang w:val="en-US" w:eastAsia="zh-CN"/>
              </w:rPr>
              <w:t>9</w:t>
            </w:r>
            <w:r>
              <w:rPr>
                <w:color w:val="auto"/>
              </w:rPr>
              <w:t xml:space="preserve">  钻井液性能指标</w:t>
            </w:r>
            <w:r>
              <w:rPr>
                <w:rFonts w:hint="eastAsia"/>
                <w:color w:val="auto"/>
              </w:rPr>
              <w:t>及用量</w:t>
            </w:r>
            <w:r>
              <w:rPr>
                <w:color w:val="auto"/>
              </w:rPr>
              <w:t>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2"/>
              <w:gridCol w:w="451"/>
              <w:gridCol w:w="635"/>
              <w:gridCol w:w="657"/>
              <w:gridCol w:w="565"/>
              <w:gridCol w:w="1073"/>
              <w:gridCol w:w="43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vMerge w:val="restart"/>
                  <w:shd w:val="clear" w:color="auto" w:fill="auto"/>
                  <w:noWrap w:val="0"/>
                  <w:vAlign w:val="center"/>
                </w:tcPr>
                <w:p>
                  <w:pPr>
                    <w:pStyle w:val="28"/>
                    <w:rPr>
                      <w:rFonts w:hint="default" w:eastAsia="宋体"/>
                      <w:color w:val="auto"/>
                      <w:lang w:val="en-US" w:eastAsia="zh-CN"/>
                    </w:rPr>
                  </w:pPr>
                  <w:r>
                    <w:rPr>
                      <w:rFonts w:hint="eastAsia"/>
                      <w:color w:val="auto"/>
                      <w:lang w:val="en-US" w:eastAsia="zh-CN"/>
                    </w:rPr>
                    <w:t>沙帐1井</w:t>
                  </w:r>
                </w:p>
              </w:tc>
              <w:tc>
                <w:tcPr>
                  <w:tcW w:w="278" w:type="pct"/>
                  <w:shd w:val="clear" w:color="auto" w:fill="auto"/>
                  <w:noWrap w:val="0"/>
                  <w:vAlign w:val="center"/>
                </w:tcPr>
                <w:p>
                  <w:pPr>
                    <w:pStyle w:val="28"/>
                    <w:rPr>
                      <w:color w:val="auto"/>
                    </w:rPr>
                  </w:pPr>
                  <w:r>
                    <w:rPr>
                      <w:color w:val="auto"/>
                    </w:rPr>
                    <w:t>开钻次序</w:t>
                  </w:r>
                </w:p>
              </w:tc>
              <w:tc>
                <w:tcPr>
                  <w:tcW w:w="392"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井段m</w:t>
                  </w:r>
                </w:p>
              </w:tc>
              <w:tc>
                <w:tcPr>
                  <w:tcW w:w="405" w:type="pct"/>
                  <w:shd w:val="clear" w:color="auto" w:fill="auto"/>
                  <w:noWrap w:val="0"/>
                  <w:vAlign w:val="center"/>
                </w:tcPr>
                <w:p>
                  <w:pPr>
                    <w:pStyle w:val="28"/>
                    <w:rPr>
                      <w:color w:val="auto"/>
                    </w:rPr>
                  </w:pPr>
                  <w:r>
                    <w:rPr>
                      <w:color w:val="auto"/>
                    </w:rPr>
                    <w:t>钻井液用量</w:t>
                  </w:r>
                </w:p>
              </w:tc>
              <w:tc>
                <w:tcPr>
                  <w:tcW w:w="348" w:type="pct"/>
                  <w:shd w:val="clear" w:color="auto" w:fill="auto"/>
                  <w:noWrap w:val="0"/>
                  <w:vAlign w:val="center"/>
                </w:tcPr>
                <w:p>
                  <w:pPr>
                    <w:pStyle w:val="28"/>
                    <w:rPr>
                      <w:color w:val="auto"/>
                    </w:rPr>
                  </w:pPr>
                  <w:r>
                    <w:rPr>
                      <w:color w:val="auto"/>
                    </w:rPr>
                    <w:t>密度g/cm</w:t>
                  </w:r>
                  <w:r>
                    <w:rPr>
                      <w:color w:val="auto"/>
                      <w:vertAlign w:val="superscript"/>
                    </w:rPr>
                    <w:t>3</w:t>
                  </w:r>
                </w:p>
              </w:tc>
              <w:tc>
                <w:tcPr>
                  <w:tcW w:w="662" w:type="pct"/>
                  <w:shd w:val="clear" w:color="auto" w:fill="auto"/>
                  <w:noWrap w:val="0"/>
                  <w:vAlign w:val="center"/>
                </w:tcPr>
                <w:p>
                  <w:pPr>
                    <w:pStyle w:val="28"/>
                    <w:rPr>
                      <w:color w:val="auto"/>
                    </w:rPr>
                  </w:pPr>
                  <w:r>
                    <w:rPr>
                      <w:color w:val="auto"/>
                    </w:rPr>
                    <w:t>钻井液类型</w:t>
                  </w:r>
                </w:p>
              </w:tc>
              <w:tc>
                <w:tcPr>
                  <w:tcW w:w="2707" w:type="pct"/>
                  <w:shd w:val="clear" w:color="auto" w:fill="auto"/>
                  <w:noWrap w:val="0"/>
                  <w:vAlign w:val="center"/>
                </w:tcPr>
                <w:p>
                  <w:pPr>
                    <w:pStyle w:val="28"/>
                    <w:kinsoku w:val="0"/>
                    <w:overflowPunct w:val="0"/>
                    <w:autoSpaceDE w:val="0"/>
                    <w:autoSpaceDN w:val="0"/>
                    <w:rPr>
                      <w:color w:val="auto"/>
                    </w:rPr>
                  </w:pPr>
                  <w:r>
                    <w:rPr>
                      <w:rFonts w:hint="eastAsia"/>
                      <w:color w:val="auto"/>
                    </w:rPr>
                    <w:t>配方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vMerge w:val="continue"/>
                  <w:shd w:val="clear" w:color="auto" w:fill="auto"/>
                  <w:noWrap w:val="0"/>
                  <w:vAlign w:val="center"/>
                </w:tcPr>
                <w:p>
                  <w:pPr>
                    <w:pStyle w:val="28"/>
                    <w:rPr>
                      <w:color w:val="auto"/>
                    </w:rPr>
                  </w:pPr>
                </w:p>
              </w:tc>
              <w:tc>
                <w:tcPr>
                  <w:tcW w:w="278" w:type="pct"/>
                  <w:shd w:val="clear" w:color="auto" w:fill="auto"/>
                  <w:noWrap w:val="0"/>
                  <w:vAlign w:val="center"/>
                </w:tcPr>
                <w:p>
                  <w:pPr>
                    <w:pStyle w:val="28"/>
                    <w:rPr>
                      <w:color w:val="auto"/>
                    </w:rPr>
                  </w:pPr>
                  <w:r>
                    <w:rPr>
                      <w:color w:val="auto"/>
                    </w:rPr>
                    <w:t>导眼</w:t>
                  </w:r>
                </w:p>
              </w:tc>
              <w:tc>
                <w:tcPr>
                  <w:tcW w:w="392"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0-30</w:t>
                  </w:r>
                </w:p>
              </w:tc>
              <w:tc>
                <w:tcPr>
                  <w:tcW w:w="405" w:type="pct"/>
                  <w:shd w:val="clear" w:color="auto" w:fill="auto"/>
                  <w:noWrap w:val="0"/>
                  <w:vAlign w:val="center"/>
                </w:tcPr>
                <w:p>
                  <w:pPr>
                    <w:pStyle w:val="28"/>
                    <w:rPr>
                      <w:rFonts w:hint="eastAsia" w:eastAsia="宋体"/>
                      <w:color w:val="auto"/>
                      <w:lang w:eastAsia="zh-CN"/>
                    </w:rPr>
                  </w:pPr>
                  <w:r>
                    <w:rPr>
                      <w:rFonts w:hint="eastAsia"/>
                      <w:color w:val="auto"/>
                    </w:rPr>
                    <w:t>1</w:t>
                  </w:r>
                  <w:r>
                    <w:rPr>
                      <w:color w:val="auto"/>
                    </w:rPr>
                    <w:t>4</w:t>
                  </w:r>
                  <w:r>
                    <w:rPr>
                      <w:rFonts w:hint="eastAsia"/>
                      <w:color w:val="auto"/>
                      <w:lang w:val="en-US" w:eastAsia="zh-CN"/>
                    </w:rPr>
                    <w:t>5</w:t>
                  </w:r>
                </w:p>
              </w:tc>
              <w:tc>
                <w:tcPr>
                  <w:tcW w:w="348" w:type="pct"/>
                  <w:vMerge w:val="restart"/>
                  <w:shd w:val="clear" w:color="auto" w:fill="auto"/>
                  <w:noWrap w:val="0"/>
                  <w:vAlign w:val="center"/>
                </w:tcPr>
                <w:p>
                  <w:pPr>
                    <w:pStyle w:val="28"/>
                    <w:rPr>
                      <w:rFonts w:hint="default" w:eastAsia="宋体"/>
                      <w:color w:val="auto"/>
                      <w:lang w:val="en-US" w:eastAsia="zh-CN"/>
                    </w:rPr>
                  </w:pPr>
                  <w:r>
                    <w:rPr>
                      <w:rFonts w:hint="eastAsia"/>
                      <w:color w:val="auto"/>
                      <w:lang w:val="en-US" w:eastAsia="zh-CN"/>
                    </w:rPr>
                    <w:t>1.10~1.25</w:t>
                  </w:r>
                </w:p>
              </w:tc>
              <w:tc>
                <w:tcPr>
                  <w:tcW w:w="662" w:type="pct"/>
                  <w:vMerge w:val="restart"/>
                  <w:shd w:val="clear" w:color="auto" w:fill="auto"/>
                  <w:noWrap w:val="0"/>
                  <w:vAlign w:val="center"/>
                </w:tcPr>
                <w:p>
                  <w:pPr>
                    <w:pStyle w:val="28"/>
                    <w:rPr>
                      <w:color w:val="auto"/>
                    </w:rPr>
                  </w:pPr>
                  <w:r>
                    <w:rPr>
                      <w:rFonts w:hint="eastAsia"/>
                      <w:color w:val="auto"/>
                      <w:lang w:val="en-US" w:eastAsia="zh-CN"/>
                    </w:rPr>
                    <w:t>膨润土</w:t>
                  </w:r>
                  <w:r>
                    <w:rPr>
                      <w:color w:val="auto"/>
                    </w:rPr>
                    <w:t>钻井液</w:t>
                  </w:r>
                </w:p>
              </w:tc>
              <w:tc>
                <w:tcPr>
                  <w:tcW w:w="2707" w:type="pct"/>
                  <w:vMerge w:val="restart"/>
                  <w:shd w:val="clear" w:color="auto" w:fill="auto"/>
                  <w:noWrap w:val="0"/>
                  <w:vAlign w:val="center"/>
                </w:tcPr>
                <w:p>
                  <w:pPr>
                    <w:pStyle w:val="28"/>
                    <w:kinsoku w:val="0"/>
                    <w:wordWrap w:val="0"/>
                    <w:overflowPunct w:val="0"/>
                    <w:autoSpaceDE w:val="0"/>
                    <w:autoSpaceDN w:val="0"/>
                    <w:rPr>
                      <w:rFonts w:hint="eastAsia"/>
                      <w:color w:val="auto"/>
                    </w:rPr>
                  </w:pPr>
                  <w:r>
                    <w:rPr>
                      <w:rFonts w:hint="eastAsia" w:ascii="Times New Roman" w:hAnsi="Times New Roman" w:cs="Times New Roman"/>
                      <w:color w:val="auto"/>
                      <w:lang w:val="en-US" w:eastAsia="zh-CN"/>
                    </w:rPr>
                    <w:t>6-10%坂土+0.2-0.3%Na</w:t>
                  </w:r>
                  <w:r>
                    <w:rPr>
                      <w:rFonts w:hint="eastAsia" w:ascii="Times New Roman" w:hAnsi="Times New Roman" w:cs="Times New Roman"/>
                      <w:color w:val="auto"/>
                      <w:vertAlign w:val="subscript"/>
                      <w:lang w:val="en-US" w:eastAsia="zh-CN"/>
                    </w:rPr>
                    <w:t>2</w:t>
                  </w:r>
                  <w:r>
                    <w:rPr>
                      <w:rFonts w:hint="eastAsia" w:ascii="Times New Roman" w:hAnsi="Times New Roman" w:cs="Times New Roman"/>
                      <w:color w:val="auto"/>
                      <w:lang w:val="en-US" w:eastAsia="zh-CN"/>
                    </w:rPr>
                    <w:t>CO</w:t>
                  </w:r>
                  <w:r>
                    <w:rPr>
                      <w:rFonts w:hint="eastAsia" w:ascii="Times New Roman" w:hAnsi="Times New Roman" w:cs="Times New Roman"/>
                      <w:color w:val="auto"/>
                      <w:vertAlign w:val="sub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vMerge w:val="continue"/>
                  <w:shd w:val="clear" w:color="auto" w:fill="auto"/>
                  <w:noWrap w:val="0"/>
                  <w:vAlign w:val="center"/>
                </w:tcPr>
                <w:p>
                  <w:pPr>
                    <w:pStyle w:val="28"/>
                    <w:rPr>
                      <w:color w:val="auto"/>
                    </w:rPr>
                  </w:pPr>
                </w:p>
              </w:tc>
              <w:tc>
                <w:tcPr>
                  <w:tcW w:w="278" w:type="pct"/>
                  <w:shd w:val="clear" w:color="auto" w:fill="auto"/>
                  <w:noWrap w:val="0"/>
                  <w:vAlign w:val="center"/>
                </w:tcPr>
                <w:p>
                  <w:pPr>
                    <w:pStyle w:val="28"/>
                    <w:rPr>
                      <w:color w:val="auto"/>
                    </w:rPr>
                  </w:pPr>
                  <w:r>
                    <w:rPr>
                      <w:color w:val="auto"/>
                    </w:rPr>
                    <w:t>一开</w:t>
                  </w:r>
                </w:p>
              </w:tc>
              <w:tc>
                <w:tcPr>
                  <w:tcW w:w="392"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30-700</w:t>
                  </w:r>
                </w:p>
              </w:tc>
              <w:tc>
                <w:tcPr>
                  <w:tcW w:w="405"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200</w:t>
                  </w:r>
                </w:p>
              </w:tc>
              <w:tc>
                <w:tcPr>
                  <w:tcW w:w="348" w:type="pct"/>
                  <w:vMerge w:val="continue"/>
                  <w:shd w:val="clear" w:color="auto" w:fill="auto"/>
                  <w:noWrap w:val="0"/>
                  <w:vAlign w:val="center"/>
                </w:tcPr>
                <w:p>
                  <w:pPr>
                    <w:pStyle w:val="28"/>
                    <w:rPr>
                      <w:color w:val="auto"/>
                    </w:rPr>
                  </w:pPr>
                </w:p>
              </w:tc>
              <w:tc>
                <w:tcPr>
                  <w:tcW w:w="662" w:type="pct"/>
                  <w:vMerge w:val="continue"/>
                  <w:shd w:val="clear" w:color="auto" w:fill="auto"/>
                  <w:noWrap w:val="0"/>
                  <w:vAlign w:val="center"/>
                </w:tcPr>
                <w:p>
                  <w:pPr>
                    <w:pStyle w:val="28"/>
                    <w:rPr>
                      <w:color w:val="auto"/>
                    </w:rPr>
                  </w:pPr>
                </w:p>
              </w:tc>
              <w:tc>
                <w:tcPr>
                  <w:tcW w:w="2707" w:type="pct"/>
                  <w:vMerge w:val="continue"/>
                  <w:shd w:val="clear" w:color="auto" w:fill="auto"/>
                  <w:noWrap w:val="0"/>
                  <w:vAlign w:val="center"/>
                </w:tcPr>
                <w:p>
                  <w:pPr>
                    <w:pStyle w:val="28"/>
                    <w:kinsoku w:val="0"/>
                    <w:overflowPunct w:val="0"/>
                    <w:autoSpaceDE w:val="0"/>
                    <w:autoSpaceDN w:val="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vMerge w:val="continue"/>
                  <w:shd w:val="clear" w:color="auto" w:fill="auto"/>
                  <w:noWrap w:val="0"/>
                  <w:vAlign w:val="center"/>
                </w:tcPr>
                <w:p>
                  <w:pPr>
                    <w:pStyle w:val="28"/>
                    <w:rPr>
                      <w:color w:val="auto"/>
                    </w:rPr>
                  </w:pPr>
                </w:p>
              </w:tc>
              <w:tc>
                <w:tcPr>
                  <w:tcW w:w="278" w:type="pct"/>
                  <w:shd w:val="clear" w:color="auto" w:fill="auto"/>
                  <w:noWrap w:val="0"/>
                  <w:vAlign w:val="center"/>
                </w:tcPr>
                <w:p>
                  <w:pPr>
                    <w:pStyle w:val="28"/>
                    <w:rPr>
                      <w:color w:val="auto"/>
                    </w:rPr>
                  </w:pPr>
                  <w:r>
                    <w:rPr>
                      <w:color w:val="auto"/>
                    </w:rPr>
                    <w:t>二开</w:t>
                  </w:r>
                </w:p>
              </w:tc>
              <w:tc>
                <w:tcPr>
                  <w:tcW w:w="392"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700-2380</w:t>
                  </w:r>
                </w:p>
              </w:tc>
              <w:tc>
                <w:tcPr>
                  <w:tcW w:w="405" w:type="pct"/>
                  <w:vMerge w:val="restart"/>
                  <w:shd w:val="clear" w:color="auto" w:fill="auto"/>
                  <w:noWrap w:val="0"/>
                  <w:vAlign w:val="center"/>
                </w:tcPr>
                <w:p>
                  <w:pPr>
                    <w:pStyle w:val="28"/>
                    <w:rPr>
                      <w:rFonts w:hint="default" w:eastAsia="宋体"/>
                      <w:color w:val="auto"/>
                      <w:lang w:val="en-US" w:eastAsia="zh-CN"/>
                    </w:rPr>
                  </w:pPr>
                  <w:r>
                    <w:rPr>
                      <w:rFonts w:hint="eastAsia"/>
                      <w:color w:val="auto"/>
                      <w:lang w:val="en-US" w:eastAsia="zh-CN"/>
                    </w:rPr>
                    <w:t>280</w:t>
                  </w:r>
                </w:p>
              </w:tc>
              <w:tc>
                <w:tcPr>
                  <w:tcW w:w="348"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1.10~1.25</w:t>
                  </w:r>
                </w:p>
              </w:tc>
              <w:tc>
                <w:tcPr>
                  <w:tcW w:w="662" w:type="pct"/>
                  <w:shd w:val="clear" w:color="auto" w:fill="auto"/>
                  <w:noWrap w:val="0"/>
                  <w:vAlign w:val="center"/>
                </w:tcPr>
                <w:p>
                  <w:pPr>
                    <w:pStyle w:val="28"/>
                    <w:rPr>
                      <w:color w:val="auto"/>
                    </w:rPr>
                  </w:pPr>
                  <w:r>
                    <w:rPr>
                      <w:rFonts w:hint="eastAsia"/>
                      <w:color w:val="auto"/>
                    </w:rPr>
                    <w:t>聚胺半透膜钻井液</w:t>
                  </w:r>
                </w:p>
              </w:tc>
              <w:tc>
                <w:tcPr>
                  <w:tcW w:w="2707" w:type="pct"/>
                  <w:shd w:val="clear" w:color="auto" w:fill="auto"/>
                  <w:noWrap w:val="0"/>
                  <w:vAlign w:val="center"/>
                </w:tcPr>
                <w:p>
                  <w:pPr>
                    <w:pStyle w:val="28"/>
                    <w:kinsoku w:val="0"/>
                    <w:overflowPunct w:val="0"/>
                    <w:autoSpaceDE w:val="0"/>
                    <w:autoSpaceDN w:val="0"/>
                    <w:rPr>
                      <w:color w:val="auto"/>
                    </w:rPr>
                  </w:pPr>
                  <w:r>
                    <w:rPr>
                      <w:rFonts w:hint="eastAsia"/>
                      <w:color w:val="auto"/>
                    </w:rPr>
                    <w:t>井浆+0.2-0.3%ZNP-1/IND10+0.5-1%SP-8/HS-1+0.5-1%LV-CMC+0.8-1%BTM-2+0.5-1%聚胺抑制剂+0.1-0.3%NaOH+2-4%NFA-25+1-2%乳化沥青+1-3%QCX+石粉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vMerge w:val="continue"/>
                  <w:shd w:val="clear" w:color="auto" w:fill="auto"/>
                  <w:noWrap w:val="0"/>
                  <w:vAlign w:val="center"/>
                </w:tcPr>
                <w:p>
                  <w:pPr>
                    <w:pStyle w:val="28"/>
                    <w:rPr>
                      <w:color w:val="auto"/>
                    </w:rPr>
                  </w:pPr>
                </w:p>
              </w:tc>
              <w:tc>
                <w:tcPr>
                  <w:tcW w:w="278" w:type="pct"/>
                  <w:shd w:val="clear" w:color="auto" w:fill="auto"/>
                  <w:noWrap w:val="0"/>
                  <w:vAlign w:val="center"/>
                </w:tcPr>
                <w:p>
                  <w:pPr>
                    <w:pStyle w:val="28"/>
                    <w:rPr>
                      <w:color w:val="auto"/>
                    </w:rPr>
                  </w:pPr>
                  <w:r>
                    <w:rPr>
                      <w:rFonts w:hint="eastAsia"/>
                      <w:color w:val="auto"/>
                      <w:lang w:val="en-US" w:eastAsia="zh-CN"/>
                    </w:rPr>
                    <w:t>二</w:t>
                  </w:r>
                  <w:r>
                    <w:rPr>
                      <w:color w:val="auto"/>
                    </w:rPr>
                    <w:t>开</w:t>
                  </w:r>
                </w:p>
              </w:tc>
              <w:tc>
                <w:tcPr>
                  <w:tcW w:w="392"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2380-2625</w:t>
                  </w:r>
                </w:p>
              </w:tc>
              <w:tc>
                <w:tcPr>
                  <w:tcW w:w="405" w:type="pct"/>
                  <w:vMerge w:val="continue"/>
                  <w:shd w:val="clear" w:color="auto" w:fill="auto"/>
                  <w:noWrap w:val="0"/>
                  <w:vAlign w:val="center"/>
                </w:tcPr>
                <w:p>
                  <w:pPr>
                    <w:pStyle w:val="28"/>
                    <w:rPr>
                      <w:rFonts w:hint="default" w:eastAsia="宋体"/>
                      <w:color w:val="auto"/>
                      <w:lang w:val="en-US" w:eastAsia="zh-CN"/>
                    </w:rPr>
                  </w:pPr>
                </w:p>
              </w:tc>
              <w:tc>
                <w:tcPr>
                  <w:tcW w:w="348"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1.10~1.25</w:t>
                  </w:r>
                </w:p>
              </w:tc>
              <w:tc>
                <w:tcPr>
                  <w:tcW w:w="662" w:type="pct"/>
                  <w:shd w:val="clear" w:color="auto" w:fill="auto"/>
                  <w:noWrap w:val="0"/>
                  <w:vAlign w:val="center"/>
                </w:tcPr>
                <w:p>
                  <w:pPr>
                    <w:pStyle w:val="28"/>
                    <w:rPr>
                      <w:color w:val="auto"/>
                    </w:rPr>
                  </w:pPr>
                  <w:r>
                    <w:rPr>
                      <w:rFonts w:hint="eastAsia"/>
                      <w:color w:val="auto"/>
                    </w:rPr>
                    <w:t>聚胺半透膜钻井液</w:t>
                  </w:r>
                </w:p>
              </w:tc>
              <w:tc>
                <w:tcPr>
                  <w:tcW w:w="2707" w:type="pct"/>
                  <w:shd w:val="clear" w:color="auto" w:fill="auto"/>
                  <w:noWrap w:val="0"/>
                  <w:vAlign w:val="center"/>
                </w:tcPr>
                <w:p>
                  <w:pPr>
                    <w:pStyle w:val="28"/>
                    <w:kinsoku w:val="0"/>
                    <w:overflowPunct w:val="0"/>
                    <w:autoSpaceDE w:val="0"/>
                    <w:autoSpaceDN w:val="0"/>
                    <w:rPr>
                      <w:color w:val="auto"/>
                    </w:rPr>
                  </w:pPr>
                  <w:r>
                    <w:rPr>
                      <w:rFonts w:hint="eastAsia"/>
                      <w:color w:val="auto"/>
                    </w:rPr>
                    <w:t>井浆+0.5%NaOH+0.5%ZNP-1/IND10+0.5-1%SP-8/HS-1+1.5-2%Redu1+0.5-1%CMC+1-1.5%BTM-2 +1-2%聚胺抑制剂+2-3%乳化沥青+3-5%NFA-25/天然沥青+1.5-3%QCX+石粉</w:t>
                  </w:r>
                </w:p>
              </w:tc>
            </w:tr>
            <w:bookmarkEnd w:id="21"/>
            <w:bookmarkEnd w:id="22"/>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5</w:t>
            </w:r>
            <w:r>
              <w:rPr>
                <w:rFonts w:hint="default" w:ascii="Times New Roman" w:hAnsi="Times New Roman" w:eastAsia="宋体" w:cs="Times New Roman"/>
                <w:b/>
                <w:bCs/>
                <w:color w:val="auto"/>
                <w:sz w:val="28"/>
                <w:szCs w:val="28"/>
              </w:rPr>
              <w:t xml:space="preserve"> 试油工程</w:t>
            </w:r>
          </w:p>
          <w:p>
            <w:pPr>
              <w:pStyle w:val="4"/>
              <w:rPr>
                <w:color w:val="auto"/>
              </w:rPr>
            </w:pPr>
            <w:r>
              <w:rPr>
                <w:color w:val="auto"/>
              </w:rPr>
              <w:t>本工程对完钻后新井进行试油，试油主要包括测井、油气测试、完井等工序组成，</w:t>
            </w:r>
            <w:r>
              <w:rPr>
                <w:rFonts w:hint="eastAsia"/>
                <w:color w:val="auto"/>
              </w:rPr>
              <w:t>试油期主要设备见表</w:t>
            </w:r>
            <w:r>
              <w:rPr>
                <w:color w:val="auto"/>
              </w:rPr>
              <w:t>2</w:t>
            </w:r>
            <w:r>
              <w:rPr>
                <w:rFonts w:hint="eastAsia"/>
                <w:color w:val="auto"/>
              </w:rPr>
              <w:t>-</w:t>
            </w:r>
            <w:r>
              <w:rPr>
                <w:rFonts w:hint="eastAsia"/>
                <w:color w:val="auto"/>
                <w:lang w:val="en-US" w:eastAsia="zh-CN"/>
              </w:rPr>
              <w:t>10</w:t>
            </w:r>
            <w:r>
              <w:rPr>
                <w:rFonts w:hint="eastAsia"/>
                <w:color w:val="auto"/>
              </w:rPr>
              <w:t>。</w:t>
            </w:r>
          </w:p>
          <w:p>
            <w:pPr>
              <w:pStyle w:val="27"/>
              <w:rPr>
                <w:color w:val="auto"/>
                <w:sz w:val="24"/>
              </w:rPr>
            </w:pPr>
            <w:r>
              <w:rPr>
                <w:color w:val="auto"/>
              </w:rPr>
              <w:t>表2</w:t>
            </w:r>
            <w:r>
              <w:rPr>
                <w:rFonts w:hint="eastAsia"/>
                <w:color w:val="auto"/>
              </w:rPr>
              <w:t>-</w:t>
            </w:r>
            <w:r>
              <w:rPr>
                <w:rFonts w:hint="eastAsia"/>
                <w:color w:val="auto"/>
                <w:lang w:val="en-US" w:eastAsia="zh-CN"/>
              </w:rPr>
              <w:t>10</w:t>
            </w:r>
            <w:r>
              <w:rPr>
                <w:color w:val="auto"/>
              </w:rPr>
              <w:t xml:space="preserve">  试油期主要设备</w:t>
            </w:r>
          </w:p>
          <w:tbl>
            <w:tblPr>
              <w:tblStyle w:val="17"/>
              <w:tblW w:w="5000" w:type="pct"/>
              <w:tblInd w:w="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35"/>
              <w:gridCol w:w="1856"/>
              <w:gridCol w:w="732"/>
              <w:gridCol w:w="731"/>
              <w:gridCol w:w="26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bookmarkStart w:id="23" w:name="_Hlk2508898"/>
                  <w:r>
                    <w:rPr>
                      <w:color w:val="auto"/>
                      <w:lang w:val="zh-CN"/>
                    </w:rPr>
                    <w:t>序号</w:t>
                  </w:r>
                </w:p>
              </w:tc>
              <w:tc>
                <w:tcPr>
                  <w:tcW w:w="1607" w:type="dxa"/>
                  <w:shd w:val="clear" w:color="auto" w:fill="auto"/>
                  <w:noWrap w:val="0"/>
                  <w:vAlign w:val="center"/>
                </w:tcPr>
                <w:p>
                  <w:pPr>
                    <w:pStyle w:val="28"/>
                    <w:ind w:left="-105" w:right="-105"/>
                    <w:rPr>
                      <w:color w:val="auto"/>
                      <w:lang w:val="zh-CN"/>
                    </w:rPr>
                  </w:pPr>
                  <w:r>
                    <w:rPr>
                      <w:color w:val="auto"/>
                      <w:lang w:val="zh-CN"/>
                    </w:rPr>
                    <w:t>设备名称</w:t>
                  </w:r>
                </w:p>
              </w:tc>
              <w:tc>
                <w:tcPr>
                  <w:tcW w:w="2088" w:type="dxa"/>
                  <w:shd w:val="clear" w:color="auto" w:fill="auto"/>
                  <w:noWrap w:val="0"/>
                  <w:vAlign w:val="center"/>
                </w:tcPr>
                <w:p>
                  <w:pPr>
                    <w:pStyle w:val="28"/>
                    <w:ind w:left="-105" w:right="-105"/>
                    <w:rPr>
                      <w:color w:val="auto"/>
                      <w:lang w:val="zh-CN"/>
                    </w:rPr>
                  </w:pPr>
                  <w:r>
                    <w:rPr>
                      <w:color w:val="auto"/>
                      <w:lang w:val="zh-CN"/>
                    </w:rPr>
                    <w:t>型号及规格</w:t>
                  </w:r>
                </w:p>
              </w:tc>
              <w:tc>
                <w:tcPr>
                  <w:tcW w:w="804" w:type="dxa"/>
                  <w:shd w:val="clear" w:color="auto" w:fill="auto"/>
                  <w:noWrap w:val="0"/>
                  <w:vAlign w:val="center"/>
                </w:tcPr>
                <w:p>
                  <w:pPr>
                    <w:pStyle w:val="28"/>
                    <w:ind w:left="-105" w:right="-105"/>
                    <w:rPr>
                      <w:color w:val="auto"/>
                      <w:lang w:val="zh-CN"/>
                    </w:rPr>
                  </w:pPr>
                  <w:r>
                    <w:rPr>
                      <w:color w:val="auto"/>
                      <w:lang w:val="zh-CN"/>
                    </w:rPr>
                    <w:t>单位</w:t>
                  </w:r>
                </w:p>
              </w:tc>
              <w:tc>
                <w:tcPr>
                  <w:tcW w:w="803" w:type="dxa"/>
                  <w:shd w:val="clear" w:color="auto" w:fill="auto"/>
                  <w:noWrap w:val="0"/>
                  <w:vAlign w:val="center"/>
                </w:tcPr>
                <w:p>
                  <w:pPr>
                    <w:pStyle w:val="28"/>
                    <w:ind w:left="-105" w:right="-105"/>
                    <w:rPr>
                      <w:color w:val="auto"/>
                      <w:lang w:val="zh-CN"/>
                    </w:rPr>
                  </w:pPr>
                  <w:r>
                    <w:rPr>
                      <w:color w:val="auto"/>
                      <w:lang w:val="zh-CN"/>
                    </w:rPr>
                    <w:t>数量</w:t>
                  </w:r>
                </w:p>
              </w:tc>
              <w:tc>
                <w:tcPr>
                  <w:tcW w:w="2976" w:type="dxa"/>
                  <w:shd w:val="clear" w:color="auto" w:fill="auto"/>
                  <w:noWrap w:val="0"/>
                  <w:vAlign w:val="center"/>
                </w:tcPr>
                <w:p>
                  <w:pPr>
                    <w:pStyle w:val="28"/>
                    <w:ind w:left="-105" w:right="-105"/>
                    <w:rPr>
                      <w:color w:val="auto"/>
                      <w:lang w:val="zh-CN"/>
                    </w:rPr>
                  </w:pPr>
                  <w:r>
                    <w:rPr>
                      <w:color w:val="auto"/>
                      <w:lang w:val="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1</w:t>
                  </w:r>
                </w:p>
              </w:tc>
              <w:tc>
                <w:tcPr>
                  <w:tcW w:w="1607" w:type="dxa"/>
                  <w:shd w:val="clear" w:color="auto" w:fill="auto"/>
                  <w:noWrap w:val="0"/>
                  <w:vAlign w:val="center"/>
                </w:tcPr>
                <w:p>
                  <w:pPr>
                    <w:pStyle w:val="28"/>
                    <w:ind w:left="-105" w:right="-105"/>
                    <w:rPr>
                      <w:color w:val="auto"/>
                      <w:lang w:val="zh-CN"/>
                    </w:rPr>
                  </w:pPr>
                  <w:r>
                    <w:rPr>
                      <w:color w:val="auto"/>
                      <w:lang w:val="zh-CN"/>
                    </w:rPr>
                    <w:t>试油作业机</w:t>
                  </w:r>
                </w:p>
              </w:tc>
              <w:tc>
                <w:tcPr>
                  <w:tcW w:w="2088" w:type="dxa"/>
                  <w:shd w:val="clear" w:color="auto" w:fill="auto"/>
                  <w:noWrap w:val="0"/>
                  <w:vAlign w:val="center"/>
                </w:tcPr>
                <w:p>
                  <w:pPr>
                    <w:pStyle w:val="28"/>
                    <w:ind w:left="-105" w:right="-105"/>
                    <w:rPr>
                      <w:color w:val="auto"/>
                      <w:lang w:val="zh-CN"/>
                    </w:rPr>
                  </w:pPr>
                  <w:r>
                    <w:rPr>
                      <w:color w:val="auto"/>
                      <w:lang w:val="zh-CN"/>
                    </w:rPr>
                    <w:t>110t</w:t>
                  </w:r>
                </w:p>
              </w:tc>
              <w:tc>
                <w:tcPr>
                  <w:tcW w:w="804" w:type="dxa"/>
                  <w:shd w:val="clear" w:color="auto" w:fill="auto"/>
                  <w:noWrap w:val="0"/>
                  <w:vAlign w:val="center"/>
                </w:tcPr>
                <w:p>
                  <w:pPr>
                    <w:pStyle w:val="28"/>
                    <w:ind w:left="-105" w:right="-105"/>
                    <w:rPr>
                      <w:color w:val="auto"/>
                      <w:lang w:val="zh-CN"/>
                    </w:rPr>
                  </w:pPr>
                  <w:r>
                    <w:rPr>
                      <w:color w:val="auto"/>
                      <w:lang w:val="zh-CN"/>
                    </w:rPr>
                    <w:t>部</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2</w:t>
                  </w:r>
                </w:p>
              </w:tc>
              <w:tc>
                <w:tcPr>
                  <w:tcW w:w="1607" w:type="dxa"/>
                  <w:shd w:val="clear" w:color="auto" w:fill="auto"/>
                  <w:noWrap w:val="0"/>
                  <w:vAlign w:val="center"/>
                </w:tcPr>
                <w:p>
                  <w:pPr>
                    <w:pStyle w:val="28"/>
                    <w:ind w:left="-105" w:right="-105"/>
                    <w:rPr>
                      <w:color w:val="auto"/>
                      <w:lang w:val="zh-CN"/>
                    </w:rPr>
                  </w:pPr>
                  <w:r>
                    <w:rPr>
                      <w:color w:val="auto"/>
                      <w:lang w:val="zh-CN"/>
                    </w:rPr>
                    <w:t>试油井架</w:t>
                  </w:r>
                </w:p>
              </w:tc>
              <w:tc>
                <w:tcPr>
                  <w:tcW w:w="2088" w:type="dxa"/>
                  <w:shd w:val="clear" w:color="auto" w:fill="auto"/>
                  <w:noWrap w:val="0"/>
                  <w:vAlign w:val="center"/>
                </w:tcPr>
                <w:p>
                  <w:pPr>
                    <w:pStyle w:val="28"/>
                    <w:ind w:left="-105" w:right="-105"/>
                    <w:rPr>
                      <w:color w:val="auto"/>
                      <w:lang w:val="zh-CN"/>
                    </w:rPr>
                  </w:pPr>
                  <w:r>
                    <w:rPr>
                      <w:color w:val="auto"/>
                      <w:lang w:val="zh-CN"/>
                    </w:rPr>
                    <w:t>-</w:t>
                  </w:r>
                </w:p>
              </w:tc>
              <w:tc>
                <w:tcPr>
                  <w:tcW w:w="804" w:type="dxa"/>
                  <w:shd w:val="clear" w:color="auto" w:fill="auto"/>
                  <w:noWrap w:val="0"/>
                  <w:vAlign w:val="center"/>
                </w:tcPr>
                <w:p>
                  <w:pPr>
                    <w:pStyle w:val="28"/>
                    <w:ind w:left="-105" w:right="-105"/>
                    <w:rPr>
                      <w:color w:val="auto"/>
                      <w:lang w:val="zh-CN"/>
                    </w:rPr>
                  </w:pPr>
                  <w:r>
                    <w:rPr>
                      <w:color w:val="auto"/>
                      <w:lang w:val="zh-CN"/>
                    </w:rPr>
                    <w:t>部</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3</w:t>
                  </w:r>
                </w:p>
              </w:tc>
              <w:tc>
                <w:tcPr>
                  <w:tcW w:w="1607" w:type="dxa"/>
                  <w:shd w:val="clear" w:color="auto" w:fill="auto"/>
                  <w:noWrap w:val="0"/>
                  <w:vAlign w:val="center"/>
                </w:tcPr>
                <w:p>
                  <w:pPr>
                    <w:pStyle w:val="28"/>
                    <w:ind w:left="-105" w:right="-105"/>
                    <w:rPr>
                      <w:color w:val="auto"/>
                      <w:lang w:val="zh-CN"/>
                    </w:rPr>
                  </w:pPr>
                  <w:r>
                    <w:rPr>
                      <w:color w:val="auto"/>
                      <w:lang w:val="zh-CN"/>
                    </w:rPr>
                    <w:t>液压钳</w:t>
                  </w:r>
                </w:p>
              </w:tc>
              <w:tc>
                <w:tcPr>
                  <w:tcW w:w="2088" w:type="dxa"/>
                  <w:shd w:val="clear" w:color="auto" w:fill="auto"/>
                  <w:noWrap w:val="0"/>
                  <w:vAlign w:val="center"/>
                </w:tcPr>
                <w:p>
                  <w:pPr>
                    <w:pStyle w:val="28"/>
                    <w:ind w:left="-105" w:right="-105"/>
                    <w:rPr>
                      <w:color w:val="auto"/>
                      <w:lang w:val="zh-CN"/>
                    </w:rPr>
                  </w:pPr>
                  <w:r>
                    <w:rPr>
                      <w:color w:val="auto"/>
                      <w:lang w:val="zh-CN"/>
                    </w:rPr>
                    <w:t>600型或300型</w:t>
                  </w:r>
                </w:p>
              </w:tc>
              <w:tc>
                <w:tcPr>
                  <w:tcW w:w="804" w:type="dxa"/>
                  <w:shd w:val="clear" w:color="auto" w:fill="auto"/>
                  <w:noWrap w:val="0"/>
                  <w:vAlign w:val="center"/>
                </w:tcPr>
                <w:p>
                  <w:pPr>
                    <w:pStyle w:val="28"/>
                    <w:ind w:left="-105" w:right="-105"/>
                    <w:rPr>
                      <w:color w:val="auto"/>
                      <w:lang w:val="zh-CN"/>
                    </w:rPr>
                  </w:pPr>
                  <w:r>
                    <w:rPr>
                      <w:color w:val="auto"/>
                      <w:lang w:val="zh-CN"/>
                    </w:rPr>
                    <w:t>台</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足够长的配套管线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4</w:t>
                  </w:r>
                </w:p>
              </w:tc>
              <w:tc>
                <w:tcPr>
                  <w:tcW w:w="1607" w:type="dxa"/>
                  <w:shd w:val="clear" w:color="auto" w:fill="auto"/>
                  <w:noWrap w:val="0"/>
                  <w:vAlign w:val="center"/>
                </w:tcPr>
                <w:p>
                  <w:pPr>
                    <w:pStyle w:val="28"/>
                    <w:ind w:left="-105" w:right="-105"/>
                    <w:rPr>
                      <w:color w:val="auto"/>
                      <w:lang w:val="zh-CN"/>
                    </w:rPr>
                  </w:pPr>
                  <w:r>
                    <w:rPr>
                      <w:color w:val="auto"/>
                      <w:lang w:val="zh-CN"/>
                    </w:rPr>
                    <w:t>方罐</w:t>
                  </w:r>
                </w:p>
              </w:tc>
              <w:tc>
                <w:tcPr>
                  <w:tcW w:w="2088" w:type="dxa"/>
                  <w:shd w:val="clear" w:color="auto" w:fill="auto"/>
                  <w:noWrap w:val="0"/>
                  <w:vAlign w:val="center"/>
                </w:tcPr>
                <w:p>
                  <w:pPr>
                    <w:pStyle w:val="28"/>
                    <w:ind w:left="-105" w:right="-105"/>
                    <w:rPr>
                      <w:color w:val="auto"/>
                      <w:lang w:val="zh-CN"/>
                    </w:rPr>
                  </w:pPr>
                  <w:r>
                    <w:rPr>
                      <w:color w:val="auto"/>
                      <w:lang w:val="zh-CN"/>
                    </w:rPr>
                    <w:t>21m</w:t>
                  </w:r>
                  <w:r>
                    <w:rPr>
                      <w:color w:val="auto"/>
                      <w:vertAlign w:val="superscript"/>
                      <w:lang w:val="zh-CN"/>
                    </w:rPr>
                    <w:t>3</w:t>
                  </w:r>
                </w:p>
              </w:tc>
              <w:tc>
                <w:tcPr>
                  <w:tcW w:w="804" w:type="dxa"/>
                  <w:shd w:val="clear" w:color="auto" w:fill="auto"/>
                  <w:noWrap w:val="0"/>
                  <w:vAlign w:val="center"/>
                </w:tcPr>
                <w:p>
                  <w:pPr>
                    <w:pStyle w:val="28"/>
                    <w:ind w:left="-105" w:right="-105"/>
                    <w:rPr>
                      <w:color w:val="auto"/>
                      <w:lang w:val="zh-CN"/>
                    </w:rPr>
                  </w:pPr>
                  <w:r>
                    <w:rPr>
                      <w:color w:val="auto"/>
                      <w:lang w:val="zh-CN"/>
                    </w:rPr>
                    <w:t>个</w:t>
                  </w:r>
                </w:p>
              </w:tc>
              <w:tc>
                <w:tcPr>
                  <w:tcW w:w="803" w:type="dxa"/>
                  <w:shd w:val="clear" w:color="auto" w:fill="auto"/>
                  <w:noWrap w:val="0"/>
                  <w:vAlign w:val="center"/>
                </w:tcPr>
                <w:p>
                  <w:pPr>
                    <w:pStyle w:val="28"/>
                    <w:ind w:left="-105" w:right="-105"/>
                    <w:rPr>
                      <w:color w:val="auto"/>
                      <w:lang w:val="zh-CN"/>
                    </w:rPr>
                  </w:pPr>
                  <w:r>
                    <w:rPr>
                      <w:color w:val="auto"/>
                    </w:rPr>
                    <w:t>4</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5</w:t>
                  </w:r>
                </w:p>
              </w:tc>
              <w:tc>
                <w:tcPr>
                  <w:tcW w:w="1607" w:type="dxa"/>
                  <w:shd w:val="clear" w:color="auto" w:fill="auto"/>
                  <w:noWrap w:val="0"/>
                  <w:vAlign w:val="center"/>
                </w:tcPr>
                <w:p>
                  <w:pPr>
                    <w:pStyle w:val="28"/>
                    <w:ind w:left="-105" w:right="-105"/>
                    <w:rPr>
                      <w:color w:val="auto"/>
                      <w:lang w:val="zh-CN"/>
                    </w:rPr>
                  </w:pPr>
                  <w:r>
                    <w:rPr>
                      <w:color w:val="auto"/>
                      <w:lang w:val="zh-CN"/>
                    </w:rPr>
                    <w:t>吊卡</w:t>
                  </w:r>
                </w:p>
              </w:tc>
              <w:tc>
                <w:tcPr>
                  <w:tcW w:w="2088" w:type="dxa"/>
                  <w:shd w:val="clear" w:color="auto" w:fill="auto"/>
                  <w:noWrap w:val="0"/>
                  <w:vAlign w:val="center"/>
                </w:tcPr>
                <w:p>
                  <w:pPr>
                    <w:pStyle w:val="28"/>
                    <w:ind w:left="-105" w:right="-105"/>
                    <w:rPr>
                      <w:color w:val="auto"/>
                      <w:lang w:val="zh-CN"/>
                    </w:rPr>
                  </w:pPr>
                  <w:r>
                    <w:rPr>
                      <w:color w:val="auto"/>
                      <w:lang w:val="zh-CN"/>
                    </w:rPr>
                    <w:t>Φ73.0mm/Φ88.9mm</w:t>
                  </w:r>
                </w:p>
              </w:tc>
              <w:tc>
                <w:tcPr>
                  <w:tcW w:w="804" w:type="dxa"/>
                  <w:shd w:val="clear" w:color="auto" w:fill="auto"/>
                  <w:noWrap w:val="0"/>
                  <w:vAlign w:val="center"/>
                </w:tcPr>
                <w:p>
                  <w:pPr>
                    <w:pStyle w:val="28"/>
                    <w:ind w:left="-105" w:right="-105"/>
                    <w:rPr>
                      <w:color w:val="auto"/>
                      <w:lang w:val="zh-CN"/>
                    </w:rPr>
                  </w:pPr>
                  <w:r>
                    <w:rPr>
                      <w:color w:val="auto"/>
                      <w:lang w:val="zh-CN"/>
                    </w:rPr>
                    <w:t>只</w:t>
                  </w:r>
                </w:p>
              </w:tc>
              <w:tc>
                <w:tcPr>
                  <w:tcW w:w="803" w:type="dxa"/>
                  <w:shd w:val="clear" w:color="auto" w:fill="auto"/>
                  <w:noWrap w:val="0"/>
                  <w:vAlign w:val="center"/>
                </w:tcPr>
                <w:p>
                  <w:pPr>
                    <w:pStyle w:val="28"/>
                    <w:ind w:left="-105" w:right="-105"/>
                    <w:rPr>
                      <w:color w:val="auto"/>
                      <w:lang w:val="zh-CN"/>
                    </w:rPr>
                  </w:pPr>
                  <w:r>
                    <w:rPr>
                      <w:color w:val="auto"/>
                      <w:lang w:val="zh-CN"/>
                    </w:rPr>
                    <w:t>2/2</w:t>
                  </w:r>
                </w:p>
              </w:tc>
              <w:tc>
                <w:tcPr>
                  <w:tcW w:w="2976" w:type="dxa"/>
                  <w:shd w:val="clear" w:color="auto" w:fill="auto"/>
                  <w:noWrap w:val="0"/>
                  <w:vAlign w:val="center"/>
                </w:tcPr>
                <w:p>
                  <w:pPr>
                    <w:pStyle w:val="28"/>
                    <w:ind w:left="-105" w:right="-105"/>
                    <w:rPr>
                      <w:color w:val="auto"/>
                      <w:lang w:val="zh-CN"/>
                    </w:rPr>
                  </w:pPr>
                  <w:r>
                    <w:rPr>
                      <w:color w:val="auto"/>
                      <w:lang w:val="zh-CN"/>
                    </w:rPr>
                    <w:t>50t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6</w:t>
                  </w:r>
                </w:p>
              </w:tc>
              <w:tc>
                <w:tcPr>
                  <w:tcW w:w="1607" w:type="dxa"/>
                  <w:shd w:val="clear" w:color="auto" w:fill="auto"/>
                  <w:noWrap w:val="0"/>
                  <w:vAlign w:val="center"/>
                </w:tcPr>
                <w:p>
                  <w:pPr>
                    <w:pStyle w:val="28"/>
                    <w:ind w:left="-105" w:right="-105"/>
                    <w:rPr>
                      <w:color w:val="auto"/>
                      <w:lang w:val="zh-CN"/>
                    </w:rPr>
                  </w:pPr>
                  <w:r>
                    <w:rPr>
                      <w:color w:val="auto"/>
                      <w:lang w:val="zh-CN"/>
                    </w:rPr>
                    <w:t>吊环</w:t>
                  </w:r>
                </w:p>
              </w:tc>
              <w:tc>
                <w:tcPr>
                  <w:tcW w:w="2088" w:type="dxa"/>
                  <w:shd w:val="clear" w:color="auto" w:fill="auto"/>
                  <w:noWrap w:val="0"/>
                  <w:vAlign w:val="center"/>
                </w:tcPr>
                <w:p>
                  <w:pPr>
                    <w:pStyle w:val="28"/>
                    <w:ind w:left="-105" w:right="-105"/>
                    <w:rPr>
                      <w:color w:val="auto"/>
                      <w:lang w:val="zh-CN"/>
                    </w:rPr>
                  </w:pPr>
                  <w:r>
                    <w:rPr>
                      <w:color w:val="auto"/>
                      <w:lang w:val="zh-CN"/>
                    </w:rPr>
                    <w:t>SH-80</w:t>
                  </w:r>
                </w:p>
              </w:tc>
              <w:tc>
                <w:tcPr>
                  <w:tcW w:w="804" w:type="dxa"/>
                  <w:shd w:val="clear" w:color="auto" w:fill="auto"/>
                  <w:noWrap w:val="0"/>
                  <w:vAlign w:val="center"/>
                </w:tcPr>
                <w:p>
                  <w:pPr>
                    <w:pStyle w:val="28"/>
                    <w:ind w:left="-105" w:right="-105"/>
                    <w:rPr>
                      <w:color w:val="auto"/>
                      <w:lang w:val="zh-CN"/>
                    </w:rPr>
                  </w:pPr>
                  <w:r>
                    <w:rPr>
                      <w:color w:val="auto"/>
                      <w:lang w:val="zh-CN"/>
                    </w:rPr>
                    <w:t>副</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7</w:t>
                  </w:r>
                </w:p>
              </w:tc>
              <w:tc>
                <w:tcPr>
                  <w:tcW w:w="1607" w:type="dxa"/>
                  <w:shd w:val="clear" w:color="auto" w:fill="auto"/>
                  <w:noWrap w:val="0"/>
                  <w:vAlign w:val="center"/>
                </w:tcPr>
                <w:p>
                  <w:pPr>
                    <w:pStyle w:val="28"/>
                    <w:ind w:left="-105" w:right="-105"/>
                    <w:rPr>
                      <w:color w:val="auto"/>
                      <w:lang w:val="zh-CN"/>
                    </w:rPr>
                  </w:pPr>
                  <w:r>
                    <w:rPr>
                      <w:color w:val="auto"/>
                      <w:lang w:val="zh-CN"/>
                    </w:rPr>
                    <w:t>通管规</w:t>
                  </w:r>
                </w:p>
              </w:tc>
              <w:tc>
                <w:tcPr>
                  <w:tcW w:w="2088" w:type="dxa"/>
                  <w:shd w:val="clear" w:color="auto" w:fill="auto"/>
                  <w:noWrap w:val="0"/>
                  <w:vAlign w:val="center"/>
                </w:tcPr>
                <w:p>
                  <w:pPr>
                    <w:pStyle w:val="28"/>
                    <w:ind w:left="-105" w:right="-105"/>
                    <w:rPr>
                      <w:color w:val="auto"/>
                      <w:lang w:val="zh-CN"/>
                    </w:rPr>
                  </w:pPr>
                  <w:r>
                    <w:rPr>
                      <w:color w:val="auto"/>
                      <w:lang w:val="zh-CN"/>
                    </w:rPr>
                    <w:t>Φ73.0mm/58.0mm</w:t>
                  </w:r>
                </w:p>
              </w:tc>
              <w:tc>
                <w:tcPr>
                  <w:tcW w:w="804" w:type="dxa"/>
                  <w:shd w:val="clear" w:color="auto" w:fill="auto"/>
                  <w:noWrap w:val="0"/>
                  <w:vAlign w:val="center"/>
                </w:tcPr>
                <w:p>
                  <w:pPr>
                    <w:pStyle w:val="28"/>
                    <w:ind w:left="-105" w:right="-105"/>
                    <w:rPr>
                      <w:color w:val="auto"/>
                      <w:lang w:val="zh-CN"/>
                    </w:rPr>
                  </w:pPr>
                  <w:r>
                    <w:rPr>
                      <w:color w:val="auto"/>
                      <w:lang w:val="zh-CN"/>
                    </w:rPr>
                    <w:t>个</w:t>
                  </w:r>
                </w:p>
              </w:tc>
              <w:tc>
                <w:tcPr>
                  <w:tcW w:w="803" w:type="dxa"/>
                  <w:shd w:val="clear" w:color="auto" w:fill="auto"/>
                  <w:noWrap w:val="0"/>
                  <w:vAlign w:val="center"/>
                </w:tcPr>
                <w:p>
                  <w:pPr>
                    <w:pStyle w:val="28"/>
                    <w:ind w:left="-105" w:right="-105"/>
                    <w:rPr>
                      <w:color w:val="auto"/>
                      <w:lang w:val="zh-CN"/>
                    </w:rPr>
                  </w:pPr>
                  <w:r>
                    <w:rPr>
                      <w:color w:val="auto"/>
                      <w:lang w:val="zh-CN"/>
                    </w:rPr>
                    <w:t>各2</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83" w:type="dxa"/>
                  <w:shd w:val="clear" w:color="auto" w:fill="auto"/>
                  <w:noWrap w:val="0"/>
                  <w:vAlign w:val="center"/>
                </w:tcPr>
                <w:p>
                  <w:pPr>
                    <w:pStyle w:val="28"/>
                    <w:ind w:left="-105" w:right="-105"/>
                    <w:rPr>
                      <w:color w:val="auto"/>
                      <w:lang w:val="zh-CN"/>
                    </w:rPr>
                  </w:pPr>
                  <w:r>
                    <w:rPr>
                      <w:color w:val="auto"/>
                      <w:lang w:val="zh-CN"/>
                    </w:rPr>
                    <w:t>8</w:t>
                  </w:r>
                </w:p>
              </w:tc>
              <w:tc>
                <w:tcPr>
                  <w:tcW w:w="1607" w:type="dxa"/>
                  <w:shd w:val="clear" w:color="auto" w:fill="auto"/>
                  <w:noWrap w:val="0"/>
                  <w:vAlign w:val="center"/>
                </w:tcPr>
                <w:p>
                  <w:pPr>
                    <w:pStyle w:val="28"/>
                    <w:ind w:left="-105" w:right="-105"/>
                    <w:rPr>
                      <w:color w:val="auto"/>
                      <w:lang w:val="zh-CN"/>
                    </w:rPr>
                  </w:pPr>
                  <w:r>
                    <w:rPr>
                      <w:color w:val="auto"/>
                      <w:lang w:val="zh-CN"/>
                    </w:rPr>
                    <w:t>提升短节</w:t>
                  </w:r>
                </w:p>
              </w:tc>
              <w:tc>
                <w:tcPr>
                  <w:tcW w:w="2088" w:type="dxa"/>
                  <w:shd w:val="clear" w:color="auto" w:fill="auto"/>
                  <w:noWrap w:val="0"/>
                  <w:vAlign w:val="center"/>
                </w:tcPr>
                <w:p>
                  <w:pPr>
                    <w:pStyle w:val="28"/>
                    <w:ind w:left="-105" w:right="-105"/>
                    <w:rPr>
                      <w:color w:val="auto"/>
                      <w:lang w:val="zh-CN"/>
                    </w:rPr>
                  </w:pPr>
                  <w:r>
                    <w:rPr>
                      <w:color w:val="auto"/>
                      <w:lang w:val="zh-CN"/>
                    </w:rPr>
                    <w:t>Φ88.9mm</w:t>
                  </w:r>
                </w:p>
              </w:tc>
              <w:tc>
                <w:tcPr>
                  <w:tcW w:w="804" w:type="dxa"/>
                  <w:shd w:val="clear" w:color="auto" w:fill="auto"/>
                  <w:noWrap w:val="0"/>
                  <w:vAlign w:val="center"/>
                </w:tcPr>
                <w:p>
                  <w:pPr>
                    <w:pStyle w:val="28"/>
                    <w:ind w:left="-105" w:right="-105"/>
                    <w:rPr>
                      <w:color w:val="auto"/>
                      <w:lang w:val="zh-CN"/>
                    </w:rPr>
                  </w:pPr>
                  <w:r>
                    <w:rPr>
                      <w:color w:val="auto"/>
                      <w:lang w:val="zh-CN"/>
                    </w:rPr>
                    <w:t>套</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9</w:t>
                  </w:r>
                </w:p>
              </w:tc>
              <w:tc>
                <w:tcPr>
                  <w:tcW w:w="1607" w:type="dxa"/>
                  <w:shd w:val="clear" w:color="auto" w:fill="auto"/>
                  <w:noWrap w:val="0"/>
                  <w:vAlign w:val="center"/>
                </w:tcPr>
                <w:p>
                  <w:pPr>
                    <w:pStyle w:val="28"/>
                    <w:ind w:left="-105" w:right="-105"/>
                    <w:rPr>
                      <w:color w:val="auto"/>
                      <w:lang w:val="zh-CN"/>
                    </w:rPr>
                  </w:pPr>
                  <w:r>
                    <w:rPr>
                      <w:color w:val="auto"/>
                      <w:lang w:val="zh-CN"/>
                    </w:rPr>
                    <w:t>调整短节</w:t>
                  </w:r>
                </w:p>
              </w:tc>
              <w:tc>
                <w:tcPr>
                  <w:tcW w:w="2088" w:type="dxa"/>
                  <w:shd w:val="clear" w:color="auto" w:fill="auto"/>
                  <w:noWrap w:val="0"/>
                  <w:vAlign w:val="center"/>
                </w:tcPr>
                <w:p>
                  <w:pPr>
                    <w:pStyle w:val="28"/>
                    <w:ind w:left="-105" w:right="-105"/>
                    <w:rPr>
                      <w:color w:val="auto"/>
                      <w:lang w:val="zh-CN"/>
                    </w:rPr>
                  </w:pPr>
                  <w:r>
                    <w:rPr>
                      <w:color w:val="auto"/>
                      <w:lang w:val="zh-CN"/>
                    </w:rPr>
                    <w:t>Φ73.0mm</w:t>
                  </w:r>
                </w:p>
              </w:tc>
              <w:tc>
                <w:tcPr>
                  <w:tcW w:w="804" w:type="dxa"/>
                  <w:shd w:val="clear" w:color="auto" w:fill="auto"/>
                  <w:noWrap w:val="0"/>
                  <w:vAlign w:val="center"/>
                </w:tcPr>
                <w:p>
                  <w:pPr>
                    <w:pStyle w:val="28"/>
                    <w:ind w:left="-105" w:right="-105"/>
                    <w:rPr>
                      <w:color w:val="auto"/>
                      <w:lang w:val="zh-CN"/>
                    </w:rPr>
                  </w:pPr>
                  <w:r>
                    <w:rPr>
                      <w:color w:val="auto"/>
                      <w:lang w:val="zh-CN"/>
                    </w:rPr>
                    <w:t>m</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（0.3m、0.5m、1.0m、1.5m、2.0m）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10</w:t>
                  </w:r>
                </w:p>
              </w:tc>
              <w:tc>
                <w:tcPr>
                  <w:tcW w:w="1607" w:type="dxa"/>
                  <w:shd w:val="clear" w:color="auto" w:fill="auto"/>
                  <w:noWrap w:val="0"/>
                  <w:vAlign w:val="center"/>
                </w:tcPr>
                <w:p>
                  <w:pPr>
                    <w:pStyle w:val="28"/>
                    <w:ind w:left="-105" w:right="-105"/>
                    <w:rPr>
                      <w:color w:val="auto"/>
                      <w:lang w:val="zh-CN"/>
                    </w:rPr>
                  </w:pPr>
                  <w:r>
                    <w:rPr>
                      <w:color w:val="auto"/>
                      <w:lang w:val="zh-CN"/>
                    </w:rPr>
                    <w:t>值班房</w:t>
                  </w:r>
                </w:p>
              </w:tc>
              <w:tc>
                <w:tcPr>
                  <w:tcW w:w="2088" w:type="dxa"/>
                  <w:shd w:val="clear" w:color="auto" w:fill="auto"/>
                  <w:noWrap w:val="0"/>
                  <w:vAlign w:val="center"/>
                </w:tcPr>
                <w:p>
                  <w:pPr>
                    <w:pStyle w:val="28"/>
                    <w:ind w:left="-105" w:right="-105"/>
                    <w:rPr>
                      <w:color w:val="auto"/>
                      <w:lang w:val="zh-CN"/>
                    </w:rPr>
                  </w:pPr>
                  <w:r>
                    <w:rPr>
                      <w:color w:val="auto"/>
                      <w:lang w:val="zh-CN"/>
                    </w:rPr>
                    <w:t>-</w:t>
                  </w:r>
                </w:p>
              </w:tc>
              <w:tc>
                <w:tcPr>
                  <w:tcW w:w="804" w:type="dxa"/>
                  <w:shd w:val="clear" w:color="auto" w:fill="auto"/>
                  <w:noWrap w:val="0"/>
                  <w:vAlign w:val="center"/>
                </w:tcPr>
                <w:p>
                  <w:pPr>
                    <w:pStyle w:val="28"/>
                    <w:ind w:left="-105" w:right="-105"/>
                    <w:rPr>
                      <w:color w:val="auto"/>
                      <w:lang w:val="zh-CN"/>
                    </w:rPr>
                  </w:pPr>
                  <w:r>
                    <w:rPr>
                      <w:color w:val="auto"/>
                      <w:lang w:val="zh-CN"/>
                    </w:rPr>
                    <w:t>套</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11</w:t>
                  </w:r>
                </w:p>
              </w:tc>
              <w:tc>
                <w:tcPr>
                  <w:tcW w:w="1607" w:type="dxa"/>
                  <w:shd w:val="clear" w:color="auto" w:fill="auto"/>
                  <w:noWrap w:val="0"/>
                  <w:vAlign w:val="center"/>
                </w:tcPr>
                <w:p>
                  <w:pPr>
                    <w:pStyle w:val="28"/>
                    <w:ind w:left="-105" w:right="-105"/>
                    <w:rPr>
                      <w:color w:val="auto"/>
                      <w:lang w:val="zh-CN"/>
                    </w:rPr>
                  </w:pPr>
                  <w:r>
                    <w:rPr>
                      <w:color w:val="auto"/>
                      <w:lang w:val="zh-CN"/>
                    </w:rPr>
                    <w:t>发电房</w:t>
                  </w:r>
                </w:p>
              </w:tc>
              <w:tc>
                <w:tcPr>
                  <w:tcW w:w="2088" w:type="dxa"/>
                  <w:shd w:val="clear" w:color="auto" w:fill="auto"/>
                  <w:noWrap w:val="0"/>
                  <w:vAlign w:val="center"/>
                </w:tcPr>
                <w:p>
                  <w:pPr>
                    <w:pStyle w:val="28"/>
                    <w:ind w:left="-105" w:right="-105"/>
                    <w:rPr>
                      <w:color w:val="auto"/>
                      <w:lang w:val="zh-CN"/>
                    </w:rPr>
                  </w:pPr>
                  <w:r>
                    <w:rPr>
                      <w:color w:val="auto"/>
                      <w:lang w:val="zh-CN"/>
                    </w:rPr>
                    <w:t>-</w:t>
                  </w:r>
                </w:p>
              </w:tc>
              <w:tc>
                <w:tcPr>
                  <w:tcW w:w="804" w:type="dxa"/>
                  <w:shd w:val="clear" w:color="auto" w:fill="auto"/>
                  <w:noWrap w:val="0"/>
                  <w:vAlign w:val="center"/>
                </w:tcPr>
                <w:p>
                  <w:pPr>
                    <w:pStyle w:val="28"/>
                    <w:ind w:left="-105" w:right="-105"/>
                    <w:rPr>
                      <w:color w:val="auto"/>
                      <w:lang w:val="zh-CN"/>
                    </w:rPr>
                  </w:pPr>
                  <w:r>
                    <w:rPr>
                      <w:color w:val="auto"/>
                      <w:lang w:val="zh-CN"/>
                    </w:rPr>
                    <w:t>套</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12</w:t>
                  </w:r>
                </w:p>
              </w:tc>
              <w:tc>
                <w:tcPr>
                  <w:tcW w:w="1607" w:type="dxa"/>
                  <w:shd w:val="clear" w:color="auto" w:fill="auto"/>
                  <w:noWrap w:val="0"/>
                  <w:vAlign w:val="center"/>
                </w:tcPr>
                <w:p>
                  <w:pPr>
                    <w:pStyle w:val="28"/>
                    <w:ind w:left="-105" w:right="-105"/>
                    <w:rPr>
                      <w:color w:val="auto"/>
                      <w:lang w:val="zh-CN"/>
                    </w:rPr>
                  </w:pPr>
                  <w:r>
                    <w:rPr>
                      <w:color w:val="auto"/>
                      <w:lang w:val="zh-CN"/>
                    </w:rPr>
                    <w:t>柴油发电机</w:t>
                  </w:r>
                </w:p>
              </w:tc>
              <w:tc>
                <w:tcPr>
                  <w:tcW w:w="2088" w:type="dxa"/>
                  <w:shd w:val="clear" w:color="auto" w:fill="auto"/>
                  <w:noWrap w:val="0"/>
                  <w:vAlign w:val="center"/>
                </w:tcPr>
                <w:p>
                  <w:pPr>
                    <w:pStyle w:val="28"/>
                    <w:ind w:left="-105" w:right="-105"/>
                    <w:rPr>
                      <w:color w:val="auto"/>
                      <w:lang w:val="zh-CN"/>
                    </w:rPr>
                  </w:pPr>
                </w:p>
              </w:tc>
              <w:tc>
                <w:tcPr>
                  <w:tcW w:w="804" w:type="dxa"/>
                  <w:shd w:val="clear" w:color="auto" w:fill="auto"/>
                  <w:noWrap w:val="0"/>
                  <w:vAlign w:val="center"/>
                </w:tcPr>
                <w:p>
                  <w:pPr>
                    <w:pStyle w:val="28"/>
                    <w:ind w:left="-105" w:right="-105"/>
                    <w:rPr>
                      <w:color w:val="auto"/>
                      <w:lang w:val="zh-CN"/>
                    </w:rPr>
                  </w:pPr>
                  <w:r>
                    <w:rPr>
                      <w:color w:val="auto"/>
                      <w:lang w:val="zh-CN"/>
                    </w:rPr>
                    <w:t>台</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color w:val="auto"/>
                      <w:lang w:val="zh-CN"/>
                    </w:rPr>
                    <w:t>13</w:t>
                  </w:r>
                </w:p>
              </w:tc>
              <w:tc>
                <w:tcPr>
                  <w:tcW w:w="1607" w:type="dxa"/>
                  <w:shd w:val="clear" w:color="auto" w:fill="auto"/>
                  <w:noWrap w:val="0"/>
                  <w:vAlign w:val="center"/>
                </w:tcPr>
                <w:p>
                  <w:pPr>
                    <w:pStyle w:val="28"/>
                    <w:ind w:left="-105" w:right="-105"/>
                    <w:rPr>
                      <w:color w:val="auto"/>
                      <w:lang w:val="zh-CN"/>
                    </w:rPr>
                  </w:pPr>
                  <w:r>
                    <w:rPr>
                      <w:color w:val="auto"/>
                      <w:lang w:val="zh-CN"/>
                    </w:rPr>
                    <w:t>泵车</w:t>
                  </w:r>
                </w:p>
              </w:tc>
              <w:tc>
                <w:tcPr>
                  <w:tcW w:w="2088" w:type="dxa"/>
                  <w:shd w:val="clear" w:color="auto" w:fill="auto"/>
                  <w:noWrap w:val="0"/>
                  <w:vAlign w:val="center"/>
                </w:tcPr>
                <w:p>
                  <w:pPr>
                    <w:pStyle w:val="28"/>
                    <w:ind w:left="-105" w:right="-105"/>
                    <w:rPr>
                      <w:color w:val="auto"/>
                      <w:lang w:val="zh-CN"/>
                    </w:rPr>
                  </w:pPr>
                  <w:r>
                    <w:rPr>
                      <w:color w:val="auto"/>
                      <w:lang w:val="zh-CN"/>
                    </w:rPr>
                    <w:t>700型</w:t>
                  </w:r>
                </w:p>
              </w:tc>
              <w:tc>
                <w:tcPr>
                  <w:tcW w:w="804" w:type="dxa"/>
                  <w:shd w:val="clear" w:color="auto" w:fill="auto"/>
                  <w:noWrap w:val="0"/>
                  <w:vAlign w:val="center"/>
                </w:tcPr>
                <w:p>
                  <w:pPr>
                    <w:pStyle w:val="28"/>
                    <w:ind w:left="-105" w:right="-105"/>
                    <w:rPr>
                      <w:color w:val="auto"/>
                      <w:lang w:val="zh-CN"/>
                    </w:rPr>
                  </w:pPr>
                  <w:r>
                    <w:rPr>
                      <w:color w:val="auto"/>
                      <w:lang w:val="zh-CN"/>
                    </w:rPr>
                    <w:t>台</w:t>
                  </w:r>
                </w:p>
              </w:tc>
              <w:tc>
                <w:tcPr>
                  <w:tcW w:w="803" w:type="dxa"/>
                  <w:shd w:val="clear" w:color="auto" w:fill="auto"/>
                  <w:noWrap w:val="0"/>
                  <w:vAlign w:val="center"/>
                </w:tcPr>
                <w:p>
                  <w:pPr>
                    <w:pStyle w:val="28"/>
                    <w:ind w:left="-105" w:right="-105"/>
                    <w:rPr>
                      <w:color w:val="auto"/>
                      <w:lang w:val="zh-CN"/>
                    </w:rPr>
                  </w:pPr>
                  <w:r>
                    <w:rPr>
                      <w:color w:val="auto"/>
                      <w:lang w:val="zh-CN"/>
                    </w:rPr>
                    <w:t>1</w:t>
                  </w:r>
                </w:p>
              </w:tc>
              <w:tc>
                <w:tcPr>
                  <w:tcW w:w="2976" w:type="dxa"/>
                  <w:shd w:val="clear" w:color="auto" w:fill="auto"/>
                  <w:noWrap w:val="0"/>
                  <w:vAlign w:val="center"/>
                </w:tcPr>
                <w:p>
                  <w:pPr>
                    <w:pStyle w:val="28"/>
                    <w:ind w:left="-105" w:right="-105"/>
                    <w:rPr>
                      <w:color w:val="auto"/>
                      <w:lang w:val="zh-CN"/>
                    </w:rPr>
                  </w:pPr>
                  <w:r>
                    <w:rPr>
                      <w:color w:val="auto"/>
                      <w:lang w:val="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auto"/>
                  <w:noWrap w:val="0"/>
                  <w:vAlign w:val="center"/>
                </w:tcPr>
                <w:p>
                  <w:pPr>
                    <w:pStyle w:val="28"/>
                    <w:ind w:left="-105" w:right="-105"/>
                    <w:rPr>
                      <w:color w:val="auto"/>
                      <w:lang w:val="zh-CN"/>
                    </w:rPr>
                  </w:pPr>
                  <w:r>
                    <w:rPr>
                      <w:rFonts w:hint="eastAsia"/>
                      <w:color w:val="auto"/>
                      <w:lang w:val="zh-CN"/>
                    </w:rPr>
                    <w:t>1</w:t>
                  </w:r>
                  <w:r>
                    <w:rPr>
                      <w:color w:val="auto"/>
                      <w:lang w:val="zh-CN"/>
                    </w:rPr>
                    <w:t>4</w:t>
                  </w:r>
                </w:p>
              </w:tc>
              <w:tc>
                <w:tcPr>
                  <w:tcW w:w="1607" w:type="dxa"/>
                  <w:shd w:val="clear" w:color="auto" w:fill="auto"/>
                  <w:noWrap w:val="0"/>
                  <w:vAlign w:val="center"/>
                </w:tcPr>
                <w:p>
                  <w:pPr>
                    <w:pStyle w:val="28"/>
                    <w:ind w:left="-105" w:right="-105"/>
                    <w:rPr>
                      <w:color w:val="auto"/>
                      <w:lang w:val="zh-CN"/>
                    </w:rPr>
                  </w:pPr>
                  <w:r>
                    <w:rPr>
                      <w:rFonts w:hint="eastAsia"/>
                      <w:color w:val="auto"/>
                      <w:lang w:val="zh-CN"/>
                    </w:rPr>
                    <w:t>原油临时储罐</w:t>
                  </w:r>
                </w:p>
              </w:tc>
              <w:tc>
                <w:tcPr>
                  <w:tcW w:w="2088" w:type="dxa"/>
                  <w:shd w:val="clear" w:color="auto" w:fill="auto"/>
                  <w:noWrap w:val="0"/>
                  <w:vAlign w:val="center"/>
                </w:tcPr>
                <w:p>
                  <w:pPr>
                    <w:pStyle w:val="28"/>
                    <w:ind w:left="-105" w:right="-105"/>
                    <w:rPr>
                      <w:color w:val="auto"/>
                      <w:vertAlign w:val="superscript"/>
                      <w:lang w:val="zh-CN"/>
                    </w:rPr>
                  </w:pPr>
                  <w:r>
                    <w:rPr>
                      <w:rFonts w:hint="eastAsia"/>
                      <w:color w:val="auto"/>
                      <w:lang w:val="zh-CN"/>
                    </w:rPr>
                    <w:t>6</w:t>
                  </w:r>
                  <w:r>
                    <w:rPr>
                      <w:color w:val="auto"/>
                      <w:lang w:val="zh-CN"/>
                    </w:rPr>
                    <w:t>0m</w:t>
                  </w:r>
                  <w:r>
                    <w:rPr>
                      <w:color w:val="auto"/>
                      <w:vertAlign w:val="superscript"/>
                      <w:lang w:val="zh-CN"/>
                    </w:rPr>
                    <w:t>3</w:t>
                  </w:r>
                </w:p>
              </w:tc>
              <w:tc>
                <w:tcPr>
                  <w:tcW w:w="804" w:type="dxa"/>
                  <w:shd w:val="clear" w:color="auto" w:fill="auto"/>
                  <w:noWrap w:val="0"/>
                  <w:vAlign w:val="center"/>
                </w:tcPr>
                <w:p>
                  <w:pPr>
                    <w:pStyle w:val="28"/>
                    <w:ind w:left="-105" w:right="-105"/>
                    <w:rPr>
                      <w:color w:val="auto"/>
                      <w:lang w:val="zh-CN"/>
                    </w:rPr>
                  </w:pPr>
                  <w:r>
                    <w:rPr>
                      <w:rFonts w:hint="eastAsia"/>
                      <w:color w:val="auto"/>
                      <w:lang w:val="zh-CN"/>
                    </w:rPr>
                    <w:t>座</w:t>
                  </w:r>
                </w:p>
              </w:tc>
              <w:tc>
                <w:tcPr>
                  <w:tcW w:w="803" w:type="dxa"/>
                  <w:shd w:val="clear" w:color="auto" w:fill="auto"/>
                  <w:noWrap w:val="0"/>
                  <w:vAlign w:val="center"/>
                </w:tcPr>
                <w:p>
                  <w:pPr>
                    <w:pStyle w:val="28"/>
                    <w:ind w:left="-105" w:right="-105"/>
                    <w:rPr>
                      <w:color w:val="auto"/>
                      <w:lang w:val="zh-CN"/>
                    </w:rPr>
                  </w:pPr>
                  <w:r>
                    <w:rPr>
                      <w:rFonts w:hint="eastAsia"/>
                      <w:color w:val="auto"/>
                      <w:lang w:val="zh-CN"/>
                    </w:rPr>
                    <w:t>1</w:t>
                  </w:r>
                </w:p>
              </w:tc>
              <w:tc>
                <w:tcPr>
                  <w:tcW w:w="2976" w:type="dxa"/>
                  <w:shd w:val="clear" w:color="auto" w:fill="auto"/>
                  <w:noWrap w:val="0"/>
                  <w:vAlign w:val="center"/>
                </w:tcPr>
                <w:p>
                  <w:pPr>
                    <w:pStyle w:val="28"/>
                    <w:ind w:left="-105" w:right="-105"/>
                    <w:rPr>
                      <w:color w:val="auto"/>
                      <w:lang w:val="zh-CN"/>
                    </w:rPr>
                  </w:pP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6 公用工程</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sz w:val="24"/>
                <w:szCs w:val="24"/>
              </w:rPr>
            </w:pPr>
            <w:r>
              <w:rPr>
                <w:rFonts w:hint="eastAsia"/>
                <w:color w:val="auto"/>
                <w:sz w:val="24"/>
                <w:szCs w:val="24"/>
                <w:lang w:val="en-US" w:eastAsia="zh-CN"/>
              </w:rPr>
              <w:t>6</w:t>
            </w:r>
            <w:r>
              <w:rPr>
                <w:color w:val="auto"/>
                <w:sz w:val="24"/>
                <w:szCs w:val="24"/>
              </w:rPr>
              <w:t>.1 给水</w:t>
            </w:r>
          </w:p>
          <w:p>
            <w:pPr>
              <w:pStyle w:val="4"/>
              <w:adjustRightInd/>
              <w:snapToGrid/>
              <w:rPr>
                <w:color w:val="auto"/>
              </w:rPr>
            </w:pPr>
            <w:bookmarkStart w:id="24" w:name="_Hlk47367473"/>
            <w:bookmarkStart w:id="25" w:name="_Hlk2809316"/>
            <w:r>
              <w:rPr>
                <w:color w:val="auto"/>
              </w:rPr>
              <w:t>本项目在钻井过程中用水主要为</w:t>
            </w:r>
            <w:r>
              <w:rPr>
                <w:rFonts w:hint="eastAsia"/>
                <w:color w:val="auto"/>
              </w:rPr>
              <w:t>钻井液配比用水及</w:t>
            </w:r>
            <w:r>
              <w:rPr>
                <w:color w:val="auto"/>
              </w:rPr>
              <w:t>施工营地生活用水。根据建设单位提供的资料，泥浆配比用水约为泥浆用量的90%，则钻井期</w:t>
            </w:r>
            <w:r>
              <w:rPr>
                <w:rFonts w:hint="eastAsia"/>
                <w:color w:val="auto"/>
              </w:rPr>
              <w:t>泥浆配比</w:t>
            </w:r>
            <w:r>
              <w:rPr>
                <w:color w:val="auto"/>
              </w:rPr>
              <w:t>用水</w:t>
            </w:r>
            <w:r>
              <w:rPr>
                <w:rFonts w:hint="eastAsia"/>
                <w:color w:val="auto"/>
                <w:lang w:val="en-US" w:eastAsia="zh-CN"/>
              </w:rPr>
              <w:t>562.5</w:t>
            </w:r>
            <w:r>
              <w:rPr>
                <w:color w:val="auto"/>
              </w:rPr>
              <w:t>m</w:t>
            </w:r>
            <w:r>
              <w:rPr>
                <w:color w:val="auto"/>
                <w:vertAlign w:val="superscript"/>
              </w:rPr>
              <w:t>3</w:t>
            </w:r>
            <w:r>
              <w:rPr>
                <w:rFonts w:hint="eastAsia"/>
                <w:color w:val="auto"/>
              </w:rPr>
              <w:t>。</w:t>
            </w:r>
            <w:r>
              <w:rPr>
                <w:color w:val="auto"/>
              </w:rPr>
              <w:t>钻井期钻井人数40人/井，钻井期</w:t>
            </w:r>
            <w:r>
              <w:rPr>
                <w:rFonts w:hint="eastAsia"/>
                <w:color w:val="auto"/>
                <w:lang w:val="en-US" w:eastAsia="zh-CN"/>
              </w:rPr>
              <w:t>42</w:t>
            </w:r>
            <w:r>
              <w:rPr>
                <w:color w:val="auto"/>
              </w:rPr>
              <w:t>天，按每人每天用水80L计算，</w:t>
            </w:r>
            <w:r>
              <w:rPr>
                <w:rFonts w:hint="eastAsia"/>
                <w:color w:val="auto"/>
                <w:lang w:val="en-US" w:eastAsia="zh-CN"/>
              </w:rPr>
              <w:t>每天用水量为3.2</w:t>
            </w:r>
            <w:r>
              <w:rPr>
                <w:color w:val="auto"/>
              </w:rPr>
              <w:t>m</w:t>
            </w:r>
            <w:r>
              <w:rPr>
                <w:color w:val="auto"/>
                <w:vertAlign w:val="superscript"/>
              </w:rPr>
              <w:t>3</w:t>
            </w:r>
            <w:r>
              <w:rPr>
                <w:rFonts w:hint="eastAsia"/>
                <w:color w:val="auto"/>
                <w:lang w:val="en-US" w:eastAsia="zh-CN"/>
              </w:rPr>
              <w:t>/d，</w:t>
            </w:r>
            <w:r>
              <w:rPr>
                <w:color w:val="auto"/>
              </w:rPr>
              <w:t>钻井期生活用水</w:t>
            </w:r>
            <w:r>
              <w:rPr>
                <w:rFonts w:hint="eastAsia"/>
                <w:color w:val="auto"/>
                <w:lang w:val="en-US" w:eastAsia="zh-CN"/>
              </w:rPr>
              <w:t>共计134.4</w:t>
            </w:r>
            <w:r>
              <w:rPr>
                <w:color w:val="auto"/>
              </w:rPr>
              <w:t>m</w:t>
            </w:r>
            <w:r>
              <w:rPr>
                <w:color w:val="auto"/>
                <w:vertAlign w:val="superscript"/>
              </w:rPr>
              <w:t>3</w:t>
            </w:r>
            <w:r>
              <w:rPr>
                <w:color w:val="auto"/>
              </w:rPr>
              <w:t>。</w:t>
            </w:r>
            <w:r>
              <w:rPr>
                <w:rFonts w:hint="eastAsia"/>
                <w:color w:val="auto"/>
              </w:rPr>
              <w:t>试油期，设2人巡井，不在井场食宿</w:t>
            </w:r>
            <w:r>
              <w:rPr>
                <w:color w:val="auto"/>
              </w:rPr>
              <w:t>。</w:t>
            </w:r>
          </w:p>
          <w:bookmarkEnd w:id="24"/>
          <w:p>
            <w:pPr>
              <w:pStyle w:val="4"/>
              <w:adjustRightInd/>
              <w:snapToGrid/>
              <w:rPr>
                <w:color w:val="auto"/>
              </w:rPr>
            </w:pPr>
            <w:r>
              <w:rPr>
                <w:color w:val="auto"/>
              </w:rPr>
              <w:t>本项目用水</w:t>
            </w:r>
            <w:r>
              <w:rPr>
                <w:rFonts w:hint="eastAsia"/>
                <w:color w:val="auto"/>
                <w:lang w:val="en-US" w:eastAsia="zh-CN"/>
              </w:rPr>
              <w:t>从吉木萨尔县</w:t>
            </w:r>
            <w:r>
              <w:rPr>
                <w:rFonts w:hint="eastAsia"/>
                <w:color w:val="auto"/>
              </w:rPr>
              <w:t>拉</w:t>
            </w:r>
            <w:r>
              <w:rPr>
                <w:color w:val="auto"/>
              </w:rPr>
              <w:t>运至井场；因本项目钻井期用水量较小，供水可满足其需求量。</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bookmarkStart w:id="26" w:name="_Hlk27231025"/>
            <w:r>
              <w:rPr>
                <w:rFonts w:hint="eastAsia" w:ascii="Times New Roman" w:hAnsi="Times New Roman" w:eastAsia="宋体" w:cs="Times New Roman"/>
                <w:color w:val="auto"/>
                <w:sz w:val="24"/>
                <w:szCs w:val="24"/>
                <w:lang w:val="en-US" w:eastAsia="zh-CN"/>
              </w:rPr>
              <w:t>6.2 排水</w:t>
            </w:r>
          </w:p>
          <w:p>
            <w:pPr>
              <w:pStyle w:val="4"/>
              <w:rPr>
                <w:color w:val="auto"/>
              </w:rPr>
            </w:pPr>
            <w:r>
              <w:rPr>
                <w:rFonts w:hint="eastAsia"/>
                <w:color w:val="auto"/>
              </w:rPr>
              <w:t>本项目在钻井过程中采用“钻井泥浆不落地技术”，分离出的液相循环使用，无钻井废水产生。本项目废水主要为</w:t>
            </w:r>
            <w:r>
              <w:rPr>
                <w:color w:val="auto"/>
              </w:rPr>
              <w:t>钻井期生活污水和试油期井下作业废水。</w:t>
            </w:r>
          </w:p>
          <w:p>
            <w:pPr>
              <w:pStyle w:val="4"/>
              <w:adjustRightInd/>
              <w:snapToGrid/>
              <w:jc w:val="both"/>
              <w:rPr>
                <w:color w:val="auto"/>
              </w:rPr>
            </w:pPr>
            <w:bookmarkStart w:id="27" w:name="_Hlk43444607"/>
            <w:r>
              <w:rPr>
                <w:color w:val="auto"/>
              </w:rPr>
              <w:t>本项目施工期生活污水产生量为用水量的80%，预计</w:t>
            </w:r>
            <w:r>
              <w:rPr>
                <w:rFonts w:hint="eastAsia"/>
                <w:color w:val="auto"/>
              </w:rPr>
              <w:t>施工期</w:t>
            </w:r>
            <w:r>
              <w:rPr>
                <w:color w:val="auto"/>
              </w:rPr>
              <w:t>生活污水产生量为</w:t>
            </w:r>
            <w:r>
              <w:rPr>
                <w:rFonts w:hint="eastAsia"/>
                <w:color w:val="auto"/>
                <w:lang w:val="en-US" w:eastAsia="zh-CN"/>
              </w:rPr>
              <w:t>3.2</w:t>
            </w:r>
            <w:r>
              <w:rPr>
                <w:color w:val="auto"/>
              </w:rPr>
              <w:t>m</w:t>
            </w:r>
            <w:r>
              <w:rPr>
                <w:color w:val="auto"/>
                <w:vertAlign w:val="superscript"/>
              </w:rPr>
              <w:t>3</w:t>
            </w:r>
            <w:r>
              <w:rPr>
                <w:rFonts w:hint="eastAsia"/>
                <w:color w:val="auto"/>
                <w:lang w:val="en-US" w:eastAsia="zh-CN"/>
              </w:rPr>
              <w:t>/d，生活污水排放量共计</w:t>
            </w:r>
            <w:r>
              <w:rPr>
                <w:rFonts w:hint="eastAsia"/>
                <w:color w:val="auto"/>
                <w:lang w:val="en-US" w:eastAsia="zh-CN"/>
              </w:rPr>
              <w:t>107.52</w:t>
            </w:r>
            <w:r>
              <w:rPr>
                <w:color w:val="auto"/>
                <w:szCs w:val="20"/>
              </w:rPr>
              <w:t>m</w:t>
            </w:r>
            <w:r>
              <w:rPr>
                <w:color w:val="auto"/>
                <w:szCs w:val="20"/>
                <w:vertAlign w:val="superscript"/>
              </w:rPr>
              <w:t>3</w:t>
            </w:r>
            <w:r>
              <w:rPr>
                <w:color w:val="auto"/>
                <w:szCs w:val="20"/>
              </w:rPr>
              <w:t>。</w:t>
            </w:r>
            <w:r>
              <w:rPr>
                <w:color w:val="auto"/>
                <w:szCs w:val="20"/>
              </w:rPr>
              <w:t>施工期</w:t>
            </w:r>
            <w:r>
              <w:rPr>
                <w:rFonts w:hint="eastAsia"/>
                <w:color w:val="auto"/>
                <w:szCs w:val="20"/>
              </w:rPr>
              <w:t>生活营地</w:t>
            </w:r>
            <w:r>
              <w:rPr>
                <w:color w:val="auto"/>
                <w:szCs w:val="20"/>
              </w:rPr>
              <w:t>设置</w:t>
            </w:r>
            <w:r>
              <w:rPr>
                <w:color w:val="auto"/>
              </w:rPr>
              <w:t>防渗污水收集池，</w:t>
            </w:r>
            <w:r>
              <w:rPr>
                <w:rFonts w:hint="eastAsia"/>
                <w:color w:val="auto"/>
                <w:lang w:val="en-US" w:eastAsia="zh-CN"/>
              </w:rPr>
              <w:t>收集池</w:t>
            </w:r>
            <w:r>
              <w:rPr>
                <w:rFonts w:hint="eastAsia"/>
                <w:color w:val="auto"/>
              </w:rPr>
              <w:t>容积</w:t>
            </w:r>
            <w:r>
              <w:rPr>
                <w:rFonts w:hint="eastAsia"/>
                <w:color w:val="auto"/>
                <w:lang w:val="en-US" w:eastAsia="zh-CN"/>
              </w:rPr>
              <w:t>为3</w:t>
            </w:r>
            <w:r>
              <w:rPr>
                <w:color w:val="auto"/>
              </w:rPr>
              <w:t>0m</w:t>
            </w:r>
            <w:r>
              <w:rPr>
                <w:color w:val="auto"/>
                <w:vertAlign w:val="superscript"/>
              </w:rPr>
              <w:t>3</w:t>
            </w:r>
            <w:r>
              <w:rPr>
                <w:color w:val="auto"/>
              </w:rPr>
              <w:t>，</w:t>
            </w:r>
            <w:r>
              <w:rPr>
                <w:rFonts w:hint="eastAsia"/>
                <w:color w:val="auto"/>
              </w:rPr>
              <w:t>生活污水</w:t>
            </w:r>
            <w:r>
              <w:rPr>
                <w:rFonts w:hint="eastAsia"/>
                <w:color w:val="auto"/>
                <w:lang w:val="en-US" w:eastAsia="zh-CN"/>
              </w:rPr>
              <w:t>集中收集</w:t>
            </w:r>
            <w:r>
              <w:rPr>
                <w:rFonts w:hint="eastAsia"/>
                <w:color w:val="auto"/>
                <w:lang w:val="en-US" w:eastAsia="zh-CN"/>
              </w:rPr>
              <w:t>后</w:t>
            </w:r>
            <w:r>
              <w:rPr>
                <w:rFonts w:hint="eastAsia"/>
                <w:color w:val="auto"/>
              </w:rPr>
              <w:t>定期</w:t>
            </w:r>
            <w:r>
              <w:rPr>
                <w:color w:val="auto"/>
              </w:rPr>
              <w:t>清运至</w:t>
            </w:r>
            <w:r>
              <w:rPr>
                <w:rFonts w:hint="eastAsia"/>
                <w:color w:val="auto"/>
                <w:lang w:val="en-US" w:eastAsia="zh-CN"/>
              </w:rPr>
              <w:t>五彩湾生产服务区污水处理厂处理</w:t>
            </w:r>
            <w:r>
              <w:rPr>
                <w:color w:val="auto"/>
              </w:rPr>
              <w:t>。</w:t>
            </w:r>
          </w:p>
          <w:bookmarkEnd w:id="27"/>
          <w:p>
            <w:pPr>
              <w:pStyle w:val="4"/>
              <w:adjustRightInd/>
              <w:snapToGrid/>
              <w:rPr>
                <w:color w:val="auto"/>
              </w:rPr>
            </w:pPr>
            <w:r>
              <w:rPr>
                <w:color w:val="auto"/>
              </w:rPr>
              <w:t>试油期间井下作业废水为洗井废水，收集后拉运至</w:t>
            </w:r>
            <w:r>
              <w:rPr>
                <w:rFonts w:hint="eastAsia"/>
                <w:color w:val="auto"/>
              </w:rPr>
              <w:t>吉祥联合站</w:t>
            </w:r>
            <w:r>
              <w:rPr>
                <w:color w:val="auto"/>
              </w:rPr>
              <w:t>处理。</w:t>
            </w:r>
          </w:p>
          <w:bookmarkEnd w:id="25"/>
          <w:bookmarkEnd w:id="26"/>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6.3</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供电</w:t>
            </w:r>
          </w:p>
          <w:p>
            <w:pPr>
              <w:pStyle w:val="4"/>
              <w:adjustRightInd/>
              <w:snapToGrid/>
              <w:rPr>
                <w:color w:val="auto"/>
              </w:rPr>
            </w:pPr>
            <w:r>
              <w:rPr>
                <w:color w:val="auto"/>
              </w:rPr>
              <w:t>钻井作业过程中需要使用柴油机和柴油发电机，要消耗一定量的柴油</w:t>
            </w:r>
            <w:r>
              <w:rPr>
                <w:rFonts w:hint="eastAsia"/>
                <w:color w:val="auto"/>
              </w:rPr>
              <w:t>（</w:t>
            </w:r>
            <w:r>
              <w:rPr>
                <w:color w:val="auto"/>
              </w:rPr>
              <w:t>符合国家标准的合格柴油</w:t>
            </w:r>
            <w:r>
              <w:rPr>
                <w:rFonts w:hint="eastAsia"/>
                <w:color w:val="auto"/>
              </w:rPr>
              <w:t>）</w:t>
            </w:r>
            <w:r>
              <w:rPr>
                <w:color w:val="auto"/>
              </w:rPr>
              <w:t>。</w:t>
            </w:r>
          </w:p>
          <w:p>
            <w:pPr>
              <w:pStyle w:val="4"/>
              <w:adjustRightInd/>
              <w:snapToGrid/>
              <w:rPr>
                <w:color w:val="auto"/>
              </w:rPr>
            </w:pPr>
            <w:r>
              <w:rPr>
                <w:color w:val="auto"/>
              </w:rPr>
              <w:t>钻井队配备柴油机3台、柴油发电机2台，试油队配备柴油发电机1台</w:t>
            </w:r>
            <w:r>
              <w:rPr>
                <w:rFonts w:hint="eastAsia"/>
                <w:color w:val="auto"/>
              </w:rPr>
              <w:t>，共</w:t>
            </w:r>
            <w:r>
              <w:rPr>
                <w:color w:val="auto"/>
              </w:rPr>
              <w:t>消耗柴油量</w:t>
            </w:r>
            <w:r>
              <w:rPr>
                <w:rFonts w:hint="eastAsia"/>
                <w:color w:val="auto"/>
                <w:lang w:val="en-US" w:eastAsia="zh-CN"/>
              </w:rPr>
              <w:t>91.8</w:t>
            </w:r>
            <w:r>
              <w:rPr>
                <w:color w:val="auto"/>
              </w:rPr>
              <w:t>t。电力供应有充分保障。</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6.4</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供暖</w:t>
            </w:r>
          </w:p>
          <w:p>
            <w:pPr>
              <w:pStyle w:val="4"/>
              <w:rPr>
                <w:color w:val="auto"/>
              </w:rPr>
            </w:pPr>
            <w:r>
              <w:rPr>
                <w:rFonts w:hint="eastAsia"/>
                <w:color w:val="auto"/>
              </w:rPr>
              <w:t>本项目钻井期不在冬季，无需供暖。</w:t>
            </w:r>
          </w:p>
          <w:bookmarkEnd w:id="23"/>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7 依托工程</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.1 吉祥联合站</w:t>
            </w:r>
          </w:p>
          <w:p>
            <w:pPr>
              <w:pStyle w:val="4"/>
              <w:rPr>
                <w:color w:val="auto"/>
              </w:rPr>
            </w:pPr>
            <w:r>
              <w:rPr>
                <w:color w:val="auto"/>
              </w:rPr>
              <w:t>（1）吉祥联合站概况</w:t>
            </w:r>
          </w:p>
          <w:p>
            <w:pPr>
              <w:pStyle w:val="4"/>
              <w:rPr>
                <w:color w:val="auto"/>
              </w:rPr>
            </w:pPr>
            <w:r>
              <w:rPr>
                <w:color w:val="auto"/>
              </w:rPr>
              <w:t>本项目</w:t>
            </w:r>
            <w:r>
              <w:rPr>
                <w:rFonts w:hint="eastAsia"/>
                <w:color w:val="auto"/>
              </w:rPr>
              <w:t>井下作业废水</w:t>
            </w:r>
            <w:r>
              <w:rPr>
                <w:color w:val="auto"/>
              </w:rPr>
              <w:t>依托吉祥联合站污水处理系统。</w:t>
            </w:r>
          </w:p>
          <w:p>
            <w:pPr>
              <w:pStyle w:val="4"/>
              <w:rPr>
                <w:color w:val="auto"/>
              </w:rPr>
            </w:pPr>
            <w:r>
              <w:rPr>
                <w:color w:val="auto"/>
              </w:rPr>
              <w:t>吉祥联合站主要处理工艺有原油处理、伴生气处理、废水处理及注水，各系统处理规模分别为45×10</w:t>
            </w:r>
            <w:r>
              <w:rPr>
                <w:color w:val="auto"/>
                <w:vertAlign w:val="superscript"/>
              </w:rPr>
              <w:t>4</w:t>
            </w:r>
            <w:r>
              <w:rPr>
                <w:color w:val="auto"/>
              </w:rPr>
              <w:t>t/</w:t>
            </w:r>
            <w:r>
              <w:rPr>
                <w:rFonts w:hint="eastAsia"/>
                <w:color w:val="auto"/>
              </w:rPr>
              <w:t>a</w:t>
            </w:r>
            <w:r>
              <w:rPr>
                <w:color w:val="auto"/>
              </w:rPr>
              <w:t>、2.5×10</w:t>
            </w:r>
            <w:r>
              <w:rPr>
                <w:color w:val="auto"/>
                <w:vertAlign w:val="superscript"/>
              </w:rPr>
              <w:t>4</w:t>
            </w:r>
            <w:r>
              <w:rPr>
                <w:color w:val="auto"/>
              </w:rPr>
              <w:t>m</w:t>
            </w:r>
            <w:r>
              <w:rPr>
                <w:color w:val="auto"/>
                <w:vertAlign w:val="superscript"/>
              </w:rPr>
              <w:t>3</w:t>
            </w:r>
            <w:r>
              <w:rPr>
                <w:color w:val="auto"/>
              </w:rPr>
              <w:t>/d、1800m</w:t>
            </w:r>
            <w:r>
              <w:rPr>
                <w:color w:val="auto"/>
                <w:vertAlign w:val="superscript"/>
              </w:rPr>
              <w:t>3</w:t>
            </w:r>
            <w:r>
              <w:rPr>
                <w:color w:val="auto"/>
              </w:rPr>
              <w:t>/d和2592m</w:t>
            </w:r>
            <w:r>
              <w:rPr>
                <w:color w:val="auto"/>
                <w:vertAlign w:val="superscript"/>
              </w:rPr>
              <w:t>3</w:t>
            </w:r>
            <w:r>
              <w:rPr>
                <w:color w:val="auto"/>
              </w:rPr>
              <w:t>/d</w:t>
            </w:r>
            <w:r>
              <w:rPr>
                <w:rFonts w:hint="eastAsia"/>
                <w:color w:val="auto"/>
              </w:rPr>
              <w:t>。</w:t>
            </w:r>
          </w:p>
          <w:p>
            <w:pPr>
              <w:pStyle w:val="4"/>
              <w:rPr>
                <w:color w:val="auto"/>
              </w:rPr>
            </w:pPr>
            <w:r>
              <w:rPr>
                <w:color w:val="auto"/>
              </w:rPr>
              <w:t>原油处理工艺：油区来液首先进入气液两相分离器，分离出的伴生气经除油、过滤、加热后作为站内燃料气气源为相变加热炉供气；分离出的含水原油进入相变炉的油-汽换热器与蒸汽换热，出口油温升至70℃。换热后的原油进入沉降罐内，沉降12h后，底水自压进入储水罐，一部分经掺水泵回掺至采油井口，另一部分去污水处理系统。沉降脱水后的低含水原油自压进入站内拉油罐，最终通过装车泵装车输送至北三台油库。</w:t>
            </w:r>
          </w:p>
          <w:p>
            <w:pPr>
              <w:pStyle w:val="4"/>
              <w:rPr>
                <w:color w:val="auto"/>
              </w:rPr>
            </w:pPr>
            <w:r>
              <w:rPr>
                <w:color w:val="auto"/>
              </w:rPr>
              <w:t>伴生气处理工艺：集中拉油注水站生产分离来气进入到精细分离器，分离出因集输温降析出的液烃和杂质，然后去电加热器，加热到40℃左右，保证去相变加热炉及采暖炉作为燃料气使用时无游离水和液烃析出。精细分离器分离出的液烃进入到集中拉油注水站排污系统。</w:t>
            </w:r>
          </w:p>
          <w:p>
            <w:pPr>
              <w:pStyle w:val="4"/>
              <w:rPr>
                <w:color w:val="auto"/>
              </w:rPr>
            </w:pPr>
            <w:r>
              <w:rPr>
                <w:color w:val="auto"/>
              </w:rPr>
              <w:t>废水处理工艺：污水进入调储罐，串联运行，实现对污水处理系统来水的水质水量调节和初步除油功能，经重力沉降除油物理过程，调储罐出水含油</w:t>
            </w:r>
            <w:r>
              <w:rPr>
                <w:rFonts w:hint="eastAsia"/>
                <w:color w:val="auto"/>
              </w:rPr>
              <w:t>≤</w:t>
            </w:r>
            <w:r>
              <w:rPr>
                <w:color w:val="auto"/>
              </w:rPr>
              <w:t>150mg/L、悬浮物</w:t>
            </w:r>
            <w:r>
              <w:rPr>
                <w:rFonts w:hint="eastAsia"/>
                <w:color w:val="auto"/>
              </w:rPr>
              <w:t>≤</w:t>
            </w:r>
            <w:r>
              <w:rPr>
                <w:color w:val="auto"/>
              </w:rPr>
              <w:t>150mg/L，经污水反应提升泵提升进入聚结除油装置（包括2座卧式微涡旋絮凝反应沉降罐及配套管汇），同时投加药剂，在装置进水管线上加入净水剂、在装置内加入助凝剂，在污水反应提升泵进口加助沉剂。随后处理污水进入多介质过滤器、纤维束过滤器，最终到达净化水罐，由喂水泵打入注水系统。污水处理后达到《碎屑岩油藏注水水质推荐指标及分析方法》（SY/T5329-2012）中标准限值要求后回注。</w:t>
            </w:r>
          </w:p>
          <w:p>
            <w:pPr>
              <w:pStyle w:val="4"/>
              <w:adjustRightInd/>
              <w:snapToGrid/>
              <w:ind w:firstLine="0" w:firstLineChars="0"/>
              <w:rPr>
                <w:color w:val="auto"/>
              </w:rPr>
            </w:pPr>
            <w:r>
              <w:rPr>
                <w:color w:val="auto"/>
              </w:rPr>
              <w:drawing>
                <wp:inline distT="0" distB="0" distL="114300" distR="114300">
                  <wp:extent cx="5208270" cy="1637665"/>
                  <wp:effectExtent l="0" t="0" r="1143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08270" cy="1637665"/>
                          </a:xfrm>
                          <a:prstGeom prst="rect">
                            <a:avLst/>
                          </a:prstGeom>
                          <a:noFill/>
                          <a:ln>
                            <a:noFill/>
                          </a:ln>
                        </pic:spPr>
                      </pic:pic>
                    </a:graphicData>
                  </a:graphic>
                </wp:inline>
              </w:drawing>
            </w:r>
          </w:p>
          <w:p>
            <w:pPr>
              <w:pStyle w:val="27"/>
              <w:keepNext w:val="0"/>
              <w:keepLines w:val="0"/>
              <w:pageBreakBefore w:val="0"/>
              <w:widowControl w:val="0"/>
              <w:kinsoku/>
              <w:wordWrap/>
              <w:overflowPunct w:val="0"/>
              <w:topLinePunct w:val="0"/>
              <w:autoSpaceDE/>
              <w:autoSpaceDN/>
              <w:bidi w:val="0"/>
              <w:adjustRightInd w:val="0"/>
              <w:snapToGrid w:val="0"/>
              <w:spacing w:after="157" w:afterLines="50"/>
              <w:textAlignment w:val="auto"/>
              <w:rPr>
                <w:color w:val="auto"/>
              </w:rPr>
            </w:pPr>
            <w:r>
              <w:rPr>
                <w:color w:val="auto"/>
              </w:rPr>
              <w:t>图</w:t>
            </w:r>
            <w:r>
              <w:rPr>
                <w:rFonts w:hint="eastAsia"/>
                <w:color w:val="auto"/>
              </w:rPr>
              <w:t>2-</w:t>
            </w:r>
            <w:r>
              <w:rPr>
                <w:rFonts w:hint="eastAsia"/>
                <w:color w:val="auto"/>
                <w:lang w:val="en-US" w:eastAsia="zh-CN"/>
              </w:rPr>
              <w:t>5</w:t>
            </w:r>
            <w:r>
              <w:rPr>
                <w:color w:val="auto"/>
              </w:rPr>
              <w:t xml:space="preserve">  污水处理工艺流程图</w:t>
            </w:r>
          </w:p>
          <w:p>
            <w:pPr>
              <w:pStyle w:val="4"/>
              <w:rPr>
                <w:color w:val="auto"/>
              </w:rPr>
            </w:pPr>
            <w:bookmarkStart w:id="28" w:name="_Hlk44518285"/>
            <w:r>
              <w:rPr>
                <w:color w:val="auto"/>
              </w:rPr>
              <w:t>（2）吉祥联合站环保手续</w:t>
            </w:r>
          </w:p>
          <w:p>
            <w:pPr>
              <w:pStyle w:val="4"/>
              <w:rPr>
                <w:color w:val="auto"/>
              </w:rPr>
            </w:pPr>
            <w:r>
              <w:rPr>
                <w:color w:val="auto"/>
              </w:rPr>
              <w:t>新疆油田公司于2014年1月29日取得《吉7井区吉006井断块梧桐沟组油藏建设工程环境影响报告书》批复（新环函[2014]134号），该环评审批在吉7井区建设1座拉油注水站。2014年7月23日，新疆油田公司取得《昌吉油田吉7井区梧桐沟组中深层稠油油藏常规水驱开发建设项目环境影响报告书》批复（新环函[2014]918号），该环评审批对吉7集中拉油注水站进行扩建。2018年8月19日吉7集中拉油站通过自主验收，该站污水处理规模为1800m</w:t>
            </w:r>
            <w:r>
              <w:rPr>
                <w:color w:val="auto"/>
                <w:vertAlign w:val="superscript"/>
              </w:rPr>
              <w:t>3</w:t>
            </w:r>
            <w:r>
              <w:rPr>
                <w:color w:val="auto"/>
              </w:rPr>
              <w:t>/d。</w:t>
            </w:r>
          </w:p>
          <w:p>
            <w:pPr>
              <w:pStyle w:val="4"/>
              <w:rPr>
                <w:color w:val="auto"/>
              </w:rPr>
            </w:pPr>
            <w:r>
              <w:rPr>
                <w:color w:val="auto"/>
              </w:rPr>
              <w:t>2018年12月24日，昌吉州生态环境局出具环评批复（昌州环评[2018]76号），将吉7井区集中拉油注水站改扩建为原油处理联合站，并更名为吉祥联合站。</w:t>
            </w:r>
            <w:r>
              <w:rPr>
                <w:rFonts w:hint="eastAsia"/>
                <w:color w:val="auto"/>
              </w:rPr>
              <w:t>2</w:t>
            </w:r>
            <w:r>
              <w:rPr>
                <w:color w:val="auto"/>
              </w:rPr>
              <w:t>019</w:t>
            </w:r>
            <w:r>
              <w:rPr>
                <w:rFonts w:hint="eastAsia"/>
                <w:color w:val="auto"/>
              </w:rPr>
              <w:t>年1</w:t>
            </w:r>
            <w:r>
              <w:rPr>
                <w:color w:val="auto"/>
              </w:rPr>
              <w:t>1</w:t>
            </w:r>
            <w:r>
              <w:rPr>
                <w:rFonts w:hint="eastAsia"/>
                <w:color w:val="auto"/>
              </w:rPr>
              <w:t>月1</w:t>
            </w:r>
            <w:r>
              <w:rPr>
                <w:color w:val="auto"/>
              </w:rPr>
              <w:t>4</w:t>
            </w:r>
            <w:r>
              <w:rPr>
                <w:rFonts w:hint="eastAsia"/>
                <w:color w:val="auto"/>
              </w:rPr>
              <w:t>日通过自主验收</w:t>
            </w:r>
            <w:r>
              <w:rPr>
                <w:color w:val="auto"/>
              </w:rPr>
              <w:t>。</w:t>
            </w:r>
          </w:p>
          <w:p>
            <w:pPr>
              <w:pStyle w:val="4"/>
              <w:rPr>
                <w:color w:val="auto"/>
              </w:rPr>
            </w:pPr>
            <w:bookmarkStart w:id="29" w:name="_Hlk44518380"/>
            <w:r>
              <w:rPr>
                <w:rFonts w:hint="eastAsia"/>
                <w:color w:val="auto"/>
              </w:rPr>
              <w:t>（3）依托可行性</w:t>
            </w:r>
          </w:p>
          <w:p>
            <w:pPr>
              <w:pStyle w:val="4"/>
              <w:rPr>
                <w:color w:val="auto"/>
              </w:rPr>
            </w:pPr>
            <w:r>
              <w:rPr>
                <w:color w:val="auto"/>
              </w:rPr>
              <w:t>根据《新疆准葛尔盆地准东地区油气勘查区块内部流转协议》，吐哈油田分公司在准东流转区块内所产油、气、水统一进入新疆油田公司处理系统，处理费用由吐哈油田分公司承担。本工程</w:t>
            </w:r>
            <w:r>
              <w:rPr>
                <w:rFonts w:hint="eastAsia"/>
                <w:color w:val="auto"/>
              </w:rPr>
              <w:t>井下作业废水</w:t>
            </w:r>
            <w:r>
              <w:rPr>
                <w:color w:val="auto"/>
              </w:rPr>
              <w:t>采用专用废液收集罐收集后运至吉祥联合站</w:t>
            </w:r>
            <w:r>
              <w:rPr>
                <w:rFonts w:hint="eastAsia"/>
                <w:color w:val="auto"/>
              </w:rPr>
              <w:t>处理</w:t>
            </w:r>
            <w:r>
              <w:rPr>
                <w:color w:val="auto"/>
              </w:rPr>
              <w:t>。</w:t>
            </w:r>
            <w:r>
              <w:rPr>
                <w:rFonts w:hint="eastAsia"/>
                <w:color w:val="auto"/>
              </w:rPr>
              <w:t>吉祥联合站</w:t>
            </w:r>
            <w:r>
              <w:rPr>
                <w:rFonts w:hint="eastAsia"/>
                <w:color w:val="auto"/>
                <w:lang w:bidi="ar"/>
              </w:rPr>
              <w:t>目前实际处理原油量4</w:t>
            </w:r>
            <w:r>
              <w:rPr>
                <w:color w:val="auto"/>
                <w:lang w:bidi="ar"/>
              </w:rPr>
              <w:t>3.8×10</w:t>
            </w:r>
            <w:r>
              <w:rPr>
                <w:color w:val="auto"/>
                <w:vertAlign w:val="superscript"/>
                <w:lang w:bidi="ar"/>
              </w:rPr>
              <w:t>4</w:t>
            </w:r>
            <w:r>
              <w:rPr>
                <w:color w:val="auto"/>
                <w:lang w:bidi="ar"/>
              </w:rPr>
              <w:t>t/a</w:t>
            </w:r>
            <w:r>
              <w:rPr>
                <w:rFonts w:hint="eastAsia"/>
                <w:color w:val="auto"/>
                <w:lang w:bidi="ar"/>
              </w:rPr>
              <w:t>，废水处理量8</w:t>
            </w:r>
            <w:r>
              <w:rPr>
                <w:color w:val="auto"/>
                <w:lang w:bidi="ar"/>
              </w:rPr>
              <w:t>00m</w:t>
            </w:r>
            <w:r>
              <w:rPr>
                <w:color w:val="auto"/>
                <w:vertAlign w:val="superscript"/>
                <w:lang w:bidi="ar"/>
              </w:rPr>
              <w:t>3</w:t>
            </w:r>
            <w:r>
              <w:rPr>
                <w:rFonts w:hint="eastAsia"/>
                <w:color w:val="auto"/>
                <w:lang w:bidi="ar"/>
              </w:rPr>
              <w:t>/d</w:t>
            </w:r>
            <w:r>
              <w:rPr>
                <w:rFonts w:hint="eastAsia"/>
                <w:color w:val="auto"/>
              </w:rPr>
              <w:t>，剩余处理</w:t>
            </w:r>
            <w:r>
              <w:rPr>
                <w:rFonts w:hint="eastAsia"/>
                <w:color w:val="auto"/>
                <w:lang w:val="en-US" w:eastAsia="zh-CN"/>
              </w:rPr>
              <w:t>量</w:t>
            </w:r>
            <w:r>
              <w:rPr>
                <w:rFonts w:hint="eastAsia"/>
                <w:color w:val="auto"/>
              </w:rPr>
              <w:t>可以满足本工程需求。</w:t>
            </w:r>
            <w:bookmarkEnd w:id="28"/>
            <w:bookmarkEnd w:id="29"/>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bookmarkStart w:id="30" w:name="_Hlk80444701"/>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 xml:space="preserve">.2 </w:t>
            </w:r>
            <w:r>
              <w:rPr>
                <w:rFonts w:hint="eastAsia" w:cs="Times New Roman"/>
                <w:color w:val="auto"/>
                <w:sz w:val="24"/>
                <w:szCs w:val="24"/>
                <w:lang w:val="en-US" w:eastAsia="zh-CN"/>
              </w:rPr>
              <w:t>五彩湾生产服务区污水处理厂</w:t>
            </w:r>
          </w:p>
          <w:p>
            <w:pPr>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本项目生活污水经收集后由钻井技术服务公司拉运至五彩湾生产服务区污水处理厂。</w:t>
            </w:r>
          </w:p>
          <w:p>
            <w:pPr>
              <w:spacing w:line="360" w:lineRule="auto"/>
              <w:ind w:firstLine="480" w:firstLineChars="200"/>
              <w:jc w:val="both"/>
              <w:rPr>
                <w:rFonts w:hint="default" w:ascii="Times New Roman" w:hAnsi="Times New Roman" w:cs="Times New Roman"/>
                <w:color w:val="auto"/>
              </w:rPr>
            </w:pPr>
            <w:r>
              <w:rPr>
                <w:rFonts w:hint="eastAsia" w:cs="Times New Roman"/>
                <w:color w:val="auto"/>
                <w:lang w:eastAsia="zh-CN"/>
              </w:rPr>
              <w:t>五彩湾生产服务区污水处理厂</w:t>
            </w:r>
            <w:r>
              <w:rPr>
                <w:rFonts w:hint="eastAsia" w:cs="Times New Roman"/>
                <w:color w:val="auto"/>
                <w:lang w:val="en-US" w:eastAsia="zh-CN"/>
              </w:rPr>
              <w:t>工程于</w:t>
            </w:r>
            <w:r>
              <w:rPr>
                <w:rFonts w:hint="eastAsia" w:ascii="Times New Roman" w:hAnsi="Times New Roman" w:eastAsia="宋体" w:cs="Times New Roman"/>
                <w:color w:val="auto"/>
                <w:lang w:val="en-US" w:eastAsia="zh-CN"/>
              </w:rPr>
              <w:t>2014年7月24日取得昌吉州环保局出具的《关于新疆准东经济技术开发区五彩湾生产服务区污水处理厂工程项目环境影响报告表批复》（文号：昌州环评〔2014〕76号）。五彩湾生产服务区污水处理厂位于准东经济技术开发区五彩湾生活服务区西南侧准东产业带公路南边，中心地理坐标为：东经89°05′08.29〞，北纬44°46′17.52〞。主要处理生活污水；污水处理工艺采用“CASS处理池+纤维转盘滤池”，主要建设内容包括细格栅渠/沉砂池、CASS池、UV消毒池等；设计规模为日处理污水10000立方米，污水处理后排放浓度执行《城镇污水处理厂污染物排放标准》（GB18918-2002）一级标准的A标准。</w:t>
            </w:r>
          </w:p>
          <w:p>
            <w:pPr>
              <w:spacing w:line="360" w:lineRule="auto"/>
              <w:ind w:firstLine="480" w:firstLineChars="200"/>
              <w:jc w:val="left"/>
              <w:rPr>
                <w:rFonts w:hint="default" w:ascii="Times New Roman" w:hAnsi="Times New Roman" w:cs="Times New Roman"/>
                <w:color w:val="auto"/>
              </w:rPr>
            </w:pPr>
            <w:bookmarkStart w:id="31" w:name="_Hlk47367572"/>
            <w:r>
              <w:rPr>
                <w:rFonts w:hint="default" w:ascii="Times New Roman" w:hAnsi="Times New Roman" w:cs="Times New Roman"/>
                <w:color w:val="auto"/>
              </w:rPr>
              <w:t>本项目钻井期生活污水为</w:t>
            </w:r>
            <w:r>
              <w:rPr>
                <w:rFonts w:hint="eastAsia" w:cs="Times New Roman"/>
                <w:color w:val="auto"/>
                <w:lang w:val="en-US" w:eastAsia="zh-CN"/>
              </w:rPr>
              <w:t>107.52</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w:t>
            </w:r>
            <w:r>
              <w:rPr>
                <w:rFonts w:hint="eastAsia" w:cs="Times New Roman"/>
                <w:color w:val="auto"/>
                <w:lang w:eastAsia="zh-CN"/>
              </w:rPr>
              <w:t>五彩湾生产服务区污水处理厂</w:t>
            </w:r>
            <w:r>
              <w:rPr>
                <w:rFonts w:hint="default" w:ascii="Times New Roman" w:hAnsi="Times New Roman" w:cs="Times New Roman"/>
                <w:color w:val="auto"/>
              </w:rPr>
              <w:t>可满足本项目生活污水处理要求，依托可行。</w:t>
            </w:r>
            <w:bookmarkEnd w:id="31"/>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 xml:space="preserve">.3 </w:t>
            </w:r>
            <w:r>
              <w:rPr>
                <w:rFonts w:hint="eastAsia" w:cs="Times New Roman"/>
                <w:color w:val="auto"/>
                <w:sz w:val="24"/>
                <w:szCs w:val="24"/>
                <w:lang w:val="en-US" w:eastAsia="zh-CN"/>
              </w:rPr>
              <w:t>吉木萨尔县</w:t>
            </w:r>
            <w:r>
              <w:rPr>
                <w:rFonts w:hint="eastAsia" w:ascii="Times New Roman" w:hAnsi="Times New Roman" w:eastAsia="宋体" w:cs="Times New Roman"/>
                <w:color w:val="auto"/>
                <w:sz w:val="24"/>
                <w:szCs w:val="24"/>
                <w:lang w:val="en-US" w:eastAsia="zh-CN"/>
              </w:rPr>
              <w:t>生活垃圾填埋场</w:t>
            </w:r>
          </w:p>
          <w:bookmarkEnd w:id="30"/>
          <w:p>
            <w:pPr>
              <w:pStyle w:val="4"/>
              <w:rPr>
                <w:rFonts w:hint="eastAsia"/>
                <w:color w:val="auto"/>
              </w:rPr>
            </w:pPr>
            <w:r>
              <w:rPr>
                <w:rFonts w:hint="default" w:ascii="Times New Roman" w:hAnsi="Times New Roman" w:cs="Times New Roman"/>
                <w:color w:val="auto"/>
              </w:rPr>
              <w:t>吉木萨尔县生活垃圾填埋场位于吉木萨尔县城西北约9.5km处，乌奇公路北约7km处，吉木萨尔县至三台镇乡道北约2km处。2010年5月吉木萨尔县建设局委托自治区环境保护技术咨询中心编制《吉木萨尔县生活垃圾处理工程环境影响报告书》，2010年8月11日，新疆维吾尔自治区环境保护厅出具《关于吉木萨尔县生活垃圾处理工程环境影响报告书的批复》（新环函评价[2010]452号）。垃圾填埋场工程于2014年11月建成后正式投入使用。2015年9月29日昌吉回族自治州环境保护局（现昌吉回族自治州生态环境局）以昌州环函〔2015〕358号文对该项目作出竣工环境保护意见，同意通过竣工环境保护验收。该填埋场生活垃圾清运处理量100t/d。有效库容63万m</w:t>
            </w:r>
            <w:r>
              <w:rPr>
                <w:rFonts w:hint="default" w:ascii="Times New Roman" w:hAnsi="Times New Roman" w:cs="Times New Roman"/>
                <w:color w:val="auto"/>
                <w:vertAlign w:val="superscript"/>
              </w:rPr>
              <w:t>3</w:t>
            </w:r>
            <w:r>
              <w:rPr>
                <w:rFonts w:hint="default" w:ascii="Times New Roman" w:hAnsi="Times New Roman" w:cs="Times New Roman"/>
                <w:color w:val="auto"/>
              </w:rPr>
              <w:t>，服务年限11年，处理工艺为卫生填埋。本项目整个钻井期生活垃圾量</w:t>
            </w:r>
            <w:r>
              <w:rPr>
                <w:rFonts w:hint="eastAsia" w:cs="Times New Roman"/>
                <w:color w:val="auto"/>
                <w:lang w:val="en-US" w:eastAsia="zh-CN"/>
              </w:rPr>
              <w:t>0.84</w:t>
            </w:r>
            <w:r>
              <w:rPr>
                <w:rFonts w:hint="default" w:ascii="Times New Roman" w:hAnsi="Times New Roman" w:cs="Times New Roman"/>
                <w:color w:val="auto"/>
              </w:rPr>
              <w:t>t，经占吉木萨尔县生活垃圾填埋场日处理量的</w:t>
            </w:r>
            <w:r>
              <w:rPr>
                <w:rFonts w:hint="default" w:ascii="Times New Roman" w:hAnsi="Times New Roman" w:cs="Times New Roman"/>
                <w:color w:val="auto"/>
                <w:lang w:eastAsia="zh-CN"/>
              </w:rPr>
              <w:t>3.65</w:t>
            </w:r>
            <w:r>
              <w:rPr>
                <w:rFonts w:hint="default" w:ascii="Times New Roman" w:hAnsi="Times New Roman" w:cs="Times New Roman"/>
                <w:color w:val="auto"/>
              </w:rPr>
              <w:t>%，占比很小，吉木萨尔县生活垃圾填埋场可接收本项目钻井期生活垃圾，依托可行。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10" w:type="pct"/>
            <w:noWrap w:val="0"/>
            <w:vAlign w:val="center"/>
          </w:tcPr>
          <w:p>
            <w:pPr>
              <w:rPr>
                <w:color w:val="auto"/>
                <w:kern w:val="0"/>
              </w:rPr>
            </w:pPr>
            <w:bookmarkStart w:id="32" w:name="_Hlk68139937"/>
            <w:r>
              <w:rPr>
                <w:color w:val="auto"/>
                <w:kern w:val="0"/>
              </w:rPr>
              <w:t>总平面及现场布置</w:t>
            </w:r>
          </w:p>
        </w:tc>
        <w:tc>
          <w:tcPr>
            <w:tcW w:w="4589" w:type="pct"/>
            <w:noWrap w:val="0"/>
            <w:vAlign w:val="center"/>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bookmarkStart w:id="33" w:name="_Hlk68139982"/>
            <w:r>
              <w:rPr>
                <w:rFonts w:hint="eastAsia" w:ascii="Times New Roman" w:hAnsi="Times New Roman" w:eastAsia="宋体" w:cs="Times New Roman"/>
                <w:b/>
                <w:bCs/>
                <w:color w:val="auto"/>
                <w:sz w:val="28"/>
                <w:szCs w:val="28"/>
                <w:lang w:val="en-US" w:eastAsia="zh-CN"/>
              </w:rPr>
              <w:t>1</w:t>
            </w:r>
            <w:r>
              <w:rPr>
                <w:rFonts w:hint="eastAsia"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钻井井场平面布局</w:t>
            </w:r>
          </w:p>
          <w:bookmarkEnd w:id="33"/>
          <w:p>
            <w:pPr>
              <w:pStyle w:val="4"/>
              <w:rPr>
                <w:rFonts w:hint="eastAsia"/>
                <w:snapToGrid w:val="0"/>
                <w:color w:val="auto"/>
              </w:rPr>
            </w:pPr>
            <w:bookmarkStart w:id="34" w:name="_Hlk68139969"/>
            <w:r>
              <w:rPr>
                <w:snapToGrid w:val="0"/>
                <w:color w:val="auto"/>
              </w:rPr>
              <w:t>项目的布置本着结构简单、流程合理的原则进行布局。</w:t>
            </w:r>
            <w:r>
              <w:rPr>
                <w:color w:val="auto"/>
              </w:rPr>
              <w:t>井场布置有值班房、</w:t>
            </w:r>
            <w:r>
              <w:rPr>
                <w:rFonts w:hint="eastAsia"/>
                <w:color w:val="auto"/>
              </w:rPr>
              <w:t>材料房</w:t>
            </w:r>
            <w:r>
              <w:rPr>
                <w:color w:val="auto"/>
              </w:rPr>
              <w:t>、配电房、</w:t>
            </w:r>
            <w:r>
              <w:rPr>
                <w:rFonts w:hint="eastAsia"/>
                <w:color w:val="auto"/>
              </w:rPr>
              <w:t>录井房</w:t>
            </w:r>
            <w:r>
              <w:rPr>
                <w:color w:val="auto"/>
              </w:rPr>
              <w:t>、泥浆不落地系统等，</w:t>
            </w:r>
            <w:r>
              <w:rPr>
                <w:snapToGrid w:val="0"/>
                <w:color w:val="auto"/>
              </w:rPr>
              <w:t>井场平面布置图详见图2</w:t>
            </w:r>
            <w:r>
              <w:rPr>
                <w:rFonts w:hint="eastAsia"/>
                <w:snapToGrid w:val="0"/>
                <w:color w:val="auto"/>
              </w:rPr>
              <w:t>-</w:t>
            </w:r>
            <w:r>
              <w:rPr>
                <w:rFonts w:hint="eastAsia"/>
                <w:snapToGrid w:val="0"/>
                <w:color w:val="auto"/>
                <w:lang w:val="en-US" w:eastAsia="zh-CN"/>
              </w:rPr>
              <w:t>6</w:t>
            </w:r>
            <w:r>
              <w:rPr>
                <w:snapToGrid w:val="0"/>
                <w:color w:val="auto"/>
              </w:rPr>
              <w:t>。</w:t>
            </w:r>
          </w:p>
          <w:p>
            <w:pPr>
              <w:spacing w:before="72" w:beforeLines="30"/>
              <w:rPr>
                <w:color w:val="auto"/>
              </w:rPr>
            </w:pPr>
            <w:r>
              <w:rPr>
                <w:color w:val="auto"/>
              </w:rPr>
              <w:drawing>
                <wp:inline distT="0" distB="0" distL="114300" distR="114300">
                  <wp:extent cx="3847465" cy="2842260"/>
                  <wp:effectExtent l="0" t="0" r="635" b="152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3847465" cy="2842260"/>
                          </a:xfrm>
                          <a:prstGeom prst="rect">
                            <a:avLst/>
                          </a:prstGeom>
                          <a:noFill/>
                          <a:ln>
                            <a:noFill/>
                          </a:ln>
                        </pic:spPr>
                      </pic:pic>
                    </a:graphicData>
                  </a:graphic>
                </wp:inline>
              </w:drawing>
            </w:r>
          </w:p>
          <w:p>
            <w:pPr>
              <w:pStyle w:val="27"/>
              <w:rPr>
                <w:color w:val="auto"/>
              </w:rPr>
            </w:pPr>
            <w:r>
              <w:rPr>
                <w:color w:val="auto"/>
              </w:rPr>
              <w:t>图2</w:t>
            </w:r>
            <w:r>
              <w:rPr>
                <w:rFonts w:hint="eastAsia"/>
                <w:color w:val="auto"/>
              </w:rPr>
              <w:t>-</w:t>
            </w:r>
            <w:r>
              <w:rPr>
                <w:rFonts w:hint="eastAsia"/>
                <w:color w:val="auto"/>
                <w:lang w:val="en-US" w:eastAsia="zh-CN"/>
              </w:rPr>
              <w:t>6</w:t>
            </w:r>
            <w:r>
              <w:rPr>
                <w:color w:val="auto"/>
              </w:rPr>
              <w:t xml:space="preserve">    钻井井场平面布置示意图</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2</w:t>
            </w:r>
            <w:r>
              <w:rPr>
                <w:rFonts w:hint="eastAsia"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试油井场平面布局</w:t>
            </w:r>
          </w:p>
          <w:p>
            <w:pPr>
              <w:pStyle w:val="4"/>
              <w:rPr>
                <w:snapToGrid w:val="0"/>
                <w:color w:val="auto"/>
              </w:rPr>
            </w:pPr>
            <w:r>
              <w:rPr>
                <w:rFonts w:hint="eastAsia"/>
                <w:snapToGrid w:val="0"/>
                <w:color w:val="auto"/>
              </w:rPr>
              <w:t>试油</w:t>
            </w:r>
            <w:r>
              <w:rPr>
                <w:rFonts w:hint="eastAsia"/>
                <w:color w:val="auto"/>
              </w:rPr>
              <w:t>井场布置有值班房、发电房、罐区、不落地设备区、放喷管线等，试油</w:t>
            </w:r>
            <w:r>
              <w:rPr>
                <w:rFonts w:hint="eastAsia"/>
                <w:snapToGrid w:val="0"/>
                <w:color w:val="auto"/>
              </w:rPr>
              <w:t>井场平面布置图详见图</w:t>
            </w:r>
            <w:r>
              <w:rPr>
                <w:snapToGrid w:val="0"/>
                <w:color w:val="auto"/>
              </w:rPr>
              <w:t>2</w:t>
            </w:r>
            <w:r>
              <w:rPr>
                <w:rFonts w:hint="eastAsia"/>
                <w:snapToGrid w:val="0"/>
                <w:color w:val="auto"/>
              </w:rPr>
              <w:t>-</w:t>
            </w:r>
            <w:r>
              <w:rPr>
                <w:rFonts w:hint="eastAsia"/>
                <w:snapToGrid w:val="0"/>
                <w:color w:val="auto"/>
                <w:lang w:val="en-US" w:eastAsia="zh-CN"/>
              </w:rPr>
              <w:t>7</w:t>
            </w:r>
            <w:r>
              <w:rPr>
                <w:rFonts w:hint="eastAsia"/>
                <w:snapToGrid w:val="0"/>
                <w:color w:val="auto"/>
              </w:rPr>
              <w:t>。</w:t>
            </w:r>
          </w:p>
          <w:p>
            <w:pPr>
              <w:pStyle w:val="14"/>
              <w:ind w:left="0"/>
              <w:jc w:val="center"/>
              <w:rPr>
                <w:color w:val="auto"/>
              </w:rPr>
            </w:pPr>
            <w:r>
              <w:rPr>
                <w:color w:val="auto"/>
              </w:rPr>
              <w:drawing>
                <wp:inline distT="0" distB="0" distL="114300" distR="114300">
                  <wp:extent cx="5050790" cy="2651125"/>
                  <wp:effectExtent l="0" t="0" r="1651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050790" cy="2651125"/>
                          </a:xfrm>
                          <a:prstGeom prst="rect">
                            <a:avLst/>
                          </a:prstGeom>
                          <a:noFill/>
                          <a:ln>
                            <a:noFill/>
                          </a:ln>
                        </pic:spPr>
                      </pic:pic>
                    </a:graphicData>
                  </a:graphic>
                </wp:inline>
              </w:drawing>
            </w:r>
          </w:p>
          <w:p>
            <w:pPr>
              <w:pStyle w:val="27"/>
              <w:rPr>
                <w:color w:val="auto"/>
                <w:sz w:val="21"/>
                <w:szCs w:val="21"/>
              </w:rPr>
            </w:pPr>
            <w:r>
              <w:rPr>
                <w:color w:val="auto"/>
                <w:sz w:val="21"/>
                <w:szCs w:val="21"/>
              </w:rPr>
              <w:t>图2-</w:t>
            </w:r>
            <w:r>
              <w:rPr>
                <w:rFonts w:hint="eastAsia"/>
                <w:color w:val="auto"/>
                <w:sz w:val="21"/>
                <w:szCs w:val="21"/>
                <w:lang w:val="en-US" w:eastAsia="zh-CN"/>
              </w:rPr>
              <w:t>7</w:t>
            </w:r>
            <w:r>
              <w:rPr>
                <w:color w:val="auto"/>
                <w:sz w:val="21"/>
                <w:szCs w:val="21"/>
              </w:rPr>
              <w:t xml:space="preserve">    油气测试井场平面布置图示意图</w:t>
            </w:r>
          </w:p>
          <w:p>
            <w:pPr>
              <w:rPr>
                <w:color w:val="auto"/>
                <w:sz w:val="21"/>
                <w:szCs w:val="21"/>
              </w:rPr>
            </w:pPr>
          </w:p>
          <w:bookmarkEnd w:id="34"/>
          <w:p>
            <w:pPr>
              <w:pStyle w:val="14"/>
              <w:ind w:left="0"/>
              <w:rPr>
                <w:rFonts w:hint="eastAsia"/>
                <w:color w:val="auto"/>
              </w:rPr>
            </w:pPr>
          </w:p>
        </w:tc>
      </w:tr>
      <w:bookmarkEnd w:id="3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9" w:hRule="atLeast"/>
          <w:jc w:val="center"/>
        </w:trPr>
        <w:tc>
          <w:tcPr>
            <w:tcW w:w="410" w:type="pct"/>
            <w:noWrap w:val="0"/>
            <w:vAlign w:val="center"/>
          </w:tcPr>
          <w:p>
            <w:pPr>
              <w:rPr>
                <w:color w:val="auto"/>
                <w:kern w:val="0"/>
              </w:rPr>
            </w:pPr>
            <w:r>
              <w:rPr>
                <w:color w:val="auto"/>
                <w:kern w:val="0"/>
              </w:rPr>
              <w:t>施工方案</w:t>
            </w:r>
          </w:p>
        </w:tc>
        <w:tc>
          <w:tcPr>
            <w:tcW w:w="4589" w:type="pct"/>
            <w:noWrap w:val="0"/>
            <w:vAlign w:val="center"/>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工艺流程简述（图示）：</w:t>
            </w:r>
          </w:p>
          <w:p>
            <w:pPr>
              <w:pStyle w:val="4"/>
              <w:rPr>
                <w:color w:val="auto"/>
              </w:rPr>
            </w:pPr>
            <w:r>
              <w:rPr>
                <w:color w:val="auto"/>
              </w:rPr>
              <w:t>本项目</w:t>
            </w:r>
            <w:r>
              <w:rPr>
                <w:rFonts w:hint="eastAsia"/>
                <w:color w:val="auto"/>
              </w:rPr>
              <w:t>包括</w:t>
            </w:r>
            <w:r>
              <w:rPr>
                <w:color w:val="auto"/>
              </w:rPr>
              <w:t>钻井及试油工程。</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1</w:t>
            </w:r>
            <w:r>
              <w:rPr>
                <w:rFonts w:hint="eastAsia"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钻井工艺流程</w:t>
            </w:r>
          </w:p>
          <w:p>
            <w:pPr>
              <w:pStyle w:val="4"/>
              <w:rPr>
                <w:color w:val="auto"/>
              </w:rPr>
            </w:pPr>
            <w:r>
              <w:rPr>
                <w:color w:val="auto"/>
              </w:rPr>
              <w:t>钻井工艺流程及产污位置见图2-</w:t>
            </w:r>
            <w:r>
              <w:rPr>
                <w:rFonts w:hint="eastAsia"/>
                <w:color w:val="auto"/>
                <w:lang w:val="en-US" w:eastAsia="zh-CN"/>
              </w:rPr>
              <w:t>8</w:t>
            </w:r>
            <w:r>
              <w:rPr>
                <w:color w:val="auto"/>
              </w:rPr>
              <w:t>。</w:t>
            </w:r>
          </w:p>
          <w:p>
            <w:pPr>
              <w:spacing w:line="360" w:lineRule="auto"/>
              <w:rPr>
                <w:color w:val="auto"/>
              </w:rPr>
            </w:pPr>
            <w:r>
              <w:rPr>
                <w:color w:val="auto"/>
              </w:rPr>
              <mc:AlternateContent>
                <mc:Choice Requires="wpg">
                  <w:drawing>
                    <wp:anchor distT="0" distB="0" distL="114300" distR="114300" simplePos="0" relativeHeight="251661312" behindDoc="0" locked="0" layoutInCell="1" allowOverlap="1">
                      <wp:simplePos x="0" y="0"/>
                      <wp:positionH relativeFrom="column">
                        <wp:posOffset>-42545</wp:posOffset>
                      </wp:positionH>
                      <wp:positionV relativeFrom="paragraph">
                        <wp:posOffset>29845</wp:posOffset>
                      </wp:positionV>
                      <wp:extent cx="5237480" cy="2100580"/>
                      <wp:effectExtent l="6350" t="6350" r="13970" b="7620"/>
                      <wp:wrapNone/>
                      <wp:docPr id="55" name="组合 55"/>
                      <wp:cNvGraphicFramePr/>
                      <a:graphic xmlns:a="http://schemas.openxmlformats.org/drawingml/2006/main">
                        <a:graphicData uri="http://schemas.microsoft.com/office/word/2010/wordprocessingGroup">
                          <wpg:wgp>
                            <wpg:cNvGrpSpPr/>
                            <wpg:grpSpPr>
                              <a:xfrm>
                                <a:off x="0" y="0"/>
                                <a:ext cx="5237480" cy="2100580"/>
                                <a:chOff x="7467" y="518623"/>
                                <a:chExt cx="8861" cy="3308"/>
                              </a:xfrm>
                            </wpg:grpSpPr>
                            <wps:wsp>
                              <wps:cNvPr id="7" name="文本框 7"/>
                              <wps:cNvSpPr txBox="1"/>
                              <wps:spPr>
                                <a:xfrm>
                                  <a:off x="7467" y="518635"/>
                                  <a:ext cx="1302" cy="507"/>
                                </a:xfrm>
                                <a:prstGeom prst="rect">
                                  <a:avLst/>
                                </a:prstGeom>
                                <a:noFill/>
                                <a:ln w="12700" cap="flat" cmpd="sng">
                                  <a:solidFill>
                                    <a:srgbClr val="000000"/>
                                  </a:solidFill>
                                  <a:prstDash val="solid"/>
                                  <a:miter/>
                                  <a:headEnd type="none" w="med" len="med"/>
                                  <a:tailEnd type="none" w="med" len="med"/>
                                </a:ln>
                              </wps:spPr>
                              <wps:txbx>
                                <w:txbxContent>
                                  <w:p>
                                    <w:pPr>
                                      <w:pStyle w:val="30"/>
                                      <w:rPr>
                                        <w:sz w:val="21"/>
                                        <w:szCs w:val="21"/>
                                      </w:rPr>
                                    </w:pPr>
                                    <w:r>
                                      <w:rPr>
                                        <w:rFonts w:hint="eastAsia"/>
                                        <w:sz w:val="21"/>
                                        <w:szCs w:val="21"/>
                                      </w:rPr>
                                      <w:t>钻前作业</w:t>
                                    </w:r>
                                  </w:p>
                                </w:txbxContent>
                              </wps:txbx>
                              <wps:bodyPr upright="1"/>
                            </wps:wsp>
                            <wps:wsp>
                              <wps:cNvPr id="8" name="文本框 8"/>
                              <wps:cNvSpPr txBox="1"/>
                              <wps:spPr>
                                <a:xfrm>
                                  <a:off x="9169" y="518635"/>
                                  <a:ext cx="1302" cy="507"/>
                                </a:xfrm>
                                <a:prstGeom prst="rect">
                                  <a:avLst/>
                                </a:prstGeom>
                                <a:noFill/>
                                <a:ln w="12700" cap="flat" cmpd="sng">
                                  <a:solidFill>
                                    <a:srgbClr val="000000"/>
                                  </a:solidFill>
                                  <a:prstDash val="solid"/>
                                  <a:miter/>
                                  <a:headEnd type="none" w="med" len="med"/>
                                  <a:tailEnd type="none" w="med" len="med"/>
                                </a:ln>
                              </wps:spPr>
                              <wps:txbx>
                                <w:txbxContent>
                                  <w:p>
                                    <w:pPr>
                                      <w:pStyle w:val="30"/>
                                      <w:rPr>
                                        <w:sz w:val="21"/>
                                        <w:szCs w:val="21"/>
                                      </w:rPr>
                                    </w:pPr>
                                    <w:r>
                                      <w:rPr>
                                        <w:rFonts w:hint="eastAsia"/>
                                        <w:sz w:val="21"/>
                                        <w:szCs w:val="21"/>
                                      </w:rPr>
                                      <w:t>设备进场</w:t>
                                    </w:r>
                                  </w:p>
                                </w:txbxContent>
                              </wps:txbx>
                              <wps:bodyPr upright="1"/>
                            </wps:wsp>
                            <wps:wsp>
                              <wps:cNvPr id="9" name="文本框 9"/>
                              <wps:cNvSpPr txBox="1"/>
                              <wps:spPr>
                                <a:xfrm>
                                  <a:off x="10982" y="518623"/>
                                  <a:ext cx="1302" cy="507"/>
                                </a:xfrm>
                                <a:prstGeom prst="rect">
                                  <a:avLst/>
                                </a:prstGeom>
                                <a:noFill/>
                                <a:ln w="12700" cap="flat" cmpd="sng">
                                  <a:solidFill>
                                    <a:srgbClr val="000000"/>
                                  </a:solidFill>
                                  <a:prstDash val="solid"/>
                                  <a:miter/>
                                  <a:headEnd type="none" w="med" len="med"/>
                                  <a:tailEnd type="none" w="med" len="med"/>
                                </a:ln>
                              </wps:spPr>
                              <wps:txbx>
                                <w:txbxContent>
                                  <w:p>
                                    <w:pPr>
                                      <w:pStyle w:val="30"/>
                                    </w:pPr>
                                    <w:r>
                                      <w:rPr>
                                        <w:rFonts w:hint="eastAsia"/>
                                        <w:sz w:val="21"/>
                                        <w:szCs w:val="21"/>
                                      </w:rPr>
                                      <w:t>钻井施工</w:t>
                                    </w:r>
                                  </w:p>
                                </w:txbxContent>
                              </wps:txbx>
                              <wps:bodyPr upright="1"/>
                            </wps:wsp>
                            <wps:wsp>
                              <wps:cNvPr id="10" name="直接连接符 10"/>
                              <wps:cNvCnPr/>
                              <wps:spPr>
                                <a:xfrm>
                                  <a:off x="8769" y="518838"/>
                                  <a:ext cx="401" cy="0"/>
                                </a:xfrm>
                                <a:prstGeom prst="line">
                                  <a:avLst/>
                                </a:prstGeom>
                                <a:ln w="12700" cap="flat" cmpd="sng">
                                  <a:solidFill>
                                    <a:srgbClr val="000000"/>
                                  </a:solidFill>
                                  <a:prstDash val="solid"/>
                                  <a:headEnd type="none" w="med" len="med"/>
                                  <a:tailEnd type="arrow" w="med" len="med"/>
                                </a:ln>
                              </wps:spPr>
                              <wps:bodyPr/>
                            </wps:wsp>
                            <wps:wsp>
                              <wps:cNvPr id="11" name="直接连接符 11"/>
                              <wps:cNvCnPr/>
                              <wps:spPr>
                                <a:xfrm>
                                  <a:off x="10471" y="518838"/>
                                  <a:ext cx="501" cy="1"/>
                                </a:xfrm>
                                <a:prstGeom prst="line">
                                  <a:avLst/>
                                </a:prstGeom>
                                <a:ln w="12700" cap="flat" cmpd="sng">
                                  <a:solidFill>
                                    <a:srgbClr val="000000"/>
                                  </a:solidFill>
                                  <a:prstDash val="solid"/>
                                  <a:headEnd type="none" w="med" len="med"/>
                                  <a:tailEnd type="arrow" w="med" len="med"/>
                                </a:ln>
                              </wps:spPr>
                              <wps:bodyPr/>
                            </wps:wsp>
                            <wps:wsp>
                              <wps:cNvPr id="12" name="直接连接符 12"/>
                              <wps:cNvCnPr>
                                <a:endCxn id="13" idx="0"/>
                              </wps:cNvCnPr>
                              <wps:spPr>
                                <a:xfrm>
                                  <a:off x="8068" y="519142"/>
                                  <a:ext cx="1" cy="458"/>
                                </a:xfrm>
                                <a:prstGeom prst="line">
                                  <a:avLst/>
                                </a:prstGeom>
                                <a:ln w="12700" cap="flat" cmpd="sng">
                                  <a:solidFill>
                                    <a:srgbClr val="000000"/>
                                  </a:solidFill>
                                  <a:prstDash val="solid"/>
                                  <a:headEnd type="none" w="med" len="med"/>
                                  <a:tailEnd type="arrow" w="med" len="med"/>
                                </a:ln>
                              </wps:spPr>
                              <wps:bodyPr/>
                            </wps:wsp>
                            <wps:wsp>
                              <wps:cNvPr id="13" name="文本框 13"/>
                              <wps:cNvSpPr txBox="1"/>
                              <wps:spPr>
                                <a:xfrm>
                                  <a:off x="7767" y="519600"/>
                                  <a:ext cx="604"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少量扬尘及噪声</w:t>
                                    </w:r>
                                  </w:p>
                                </w:txbxContent>
                              </wps:txbx>
                              <wps:bodyPr vert="eaVert" upright="1"/>
                            </wps:wsp>
                            <wps:wsp>
                              <wps:cNvPr id="14" name="直接连接符 14"/>
                              <wps:cNvCnPr>
                                <a:endCxn id="15" idx="0"/>
                              </wps:cNvCnPr>
                              <wps:spPr>
                                <a:xfrm flipH="1">
                                  <a:off x="9407" y="519142"/>
                                  <a:ext cx="463" cy="405"/>
                                </a:xfrm>
                                <a:prstGeom prst="line">
                                  <a:avLst/>
                                </a:prstGeom>
                                <a:ln w="12700" cap="flat" cmpd="sng">
                                  <a:solidFill>
                                    <a:srgbClr val="000000"/>
                                  </a:solidFill>
                                  <a:prstDash val="solid"/>
                                  <a:headEnd type="none" w="med" len="med"/>
                                  <a:tailEnd type="arrow" w="med" len="med"/>
                                </a:ln>
                              </wps:spPr>
                              <wps:bodyPr/>
                            </wps:wsp>
                            <wps:wsp>
                              <wps:cNvPr id="15" name="文本框 15"/>
                              <wps:cNvSpPr txBox="1"/>
                              <wps:spPr>
                                <a:xfrm>
                                  <a:off x="9104" y="519547"/>
                                  <a:ext cx="607" cy="2331"/>
                                </a:xfrm>
                                <a:prstGeom prst="rect">
                                  <a:avLst/>
                                </a:prstGeom>
                                <a:noFill/>
                                <a:ln w="12700" cap="flat" cmpd="sng">
                                  <a:solidFill>
                                    <a:srgbClr val="000000"/>
                                  </a:solidFill>
                                  <a:prstDash val="dash"/>
                                  <a:miter/>
                                  <a:headEnd type="none" w="med" len="med"/>
                                  <a:tailEnd type="none" w="med" len="med"/>
                                </a:ln>
                              </wps:spPr>
                              <wps:txbx>
                                <w:txbxContent>
                                  <w:p>
                                    <w:pPr>
                                      <w:pStyle w:val="30"/>
                                      <w:rPr>
                                        <w:sz w:val="21"/>
                                        <w:szCs w:val="21"/>
                                      </w:rPr>
                                    </w:pPr>
                                    <w:r>
                                      <w:rPr>
                                        <w:rFonts w:hint="eastAsia"/>
                                        <w:sz w:val="21"/>
                                        <w:szCs w:val="21"/>
                                      </w:rPr>
                                      <w:t>少量扬尘及噪声</w:t>
                                    </w:r>
                                  </w:p>
                                </w:txbxContent>
                              </wps:txbx>
                              <wps:bodyPr vert="eaVert" upright="1"/>
                            </wps:wsp>
                            <wps:wsp>
                              <wps:cNvPr id="16" name="文本框 16"/>
                              <wps:cNvSpPr txBox="1"/>
                              <wps:spPr>
                                <a:xfrm>
                                  <a:off x="10028" y="519547"/>
                                  <a:ext cx="695"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生活污水</w:t>
                                    </w:r>
                                  </w:p>
                                </w:txbxContent>
                              </wps:txbx>
                              <wps:bodyPr vert="eaVert" upright="1"/>
                            </wps:wsp>
                            <wps:wsp>
                              <wps:cNvPr id="17" name="文本框 17"/>
                              <wps:cNvSpPr txBox="1"/>
                              <wps:spPr>
                                <a:xfrm>
                                  <a:off x="10900" y="519547"/>
                                  <a:ext cx="606"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扬尘、柴油燃烧废气</w:t>
                                    </w:r>
                                  </w:p>
                                </w:txbxContent>
                              </wps:txbx>
                              <wps:bodyPr vert="eaVert" upright="1"/>
                            </wps:wsp>
                            <wps:wsp>
                              <wps:cNvPr id="18" name="文本框 18"/>
                              <wps:cNvSpPr txBox="1"/>
                              <wps:spPr>
                                <a:xfrm>
                                  <a:off x="11654" y="519547"/>
                                  <a:ext cx="607"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噪声</w:t>
                                    </w:r>
                                  </w:p>
                                </w:txbxContent>
                              </wps:txbx>
                              <wps:bodyPr vert="eaVert" upright="1"/>
                            </wps:wsp>
                            <wps:wsp>
                              <wps:cNvPr id="19" name="文本框 19"/>
                              <wps:cNvSpPr txBox="1"/>
                              <wps:spPr>
                                <a:xfrm>
                                  <a:off x="12378" y="519547"/>
                                  <a:ext cx="607"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钻井岩屑</w:t>
                                    </w:r>
                                  </w:p>
                                </w:txbxContent>
                              </wps:txbx>
                              <wps:bodyPr vert="eaVert" upright="1"/>
                            </wps:wsp>
                            <wps:wsp>
                              <wps:cNvPr id="20" name="直接连接符 20"/>
                              <wps:cNvCnPr>
                                <a:endCxn id="17" idx="0"/>
                              </wps:cNvCnPr>
                              <wps:spPr>
                                <a:xfrm flipH="1">
                                  <a:off x="11203" y="519142"/>
                                  <a:ext cx="269" cy="405"/>
                                </a:xfrm>
                                <a:prstGeom prst="line">
                                  <a:avLst/>
                                </a:prstGeom>
                                <a:ln w="12700" cap="flat" cmpd="sng">
                                  <a:solidFill>
                                    <a:srgbClr val="000000"/>
                                  </a:solidFill>
                                  <a:prstDash val="solid"/>
                                  <a:headEnd type="none" w="med" len="med"/>
                                  <a:tailEnd type="arrow" w="med" len="med"/>
                                </a:ln>
                              </wps:spPr>
                              <wps:bodyPr/>
                            </wps:wsp>
                            <wps:wsp>
                              <wps:cNvPr id="21" name="直接连接符 21"/>
                              <wps:cNvCnPr/>
                              <wps:spPr>
                                <a:xfrm flipH="1">
                                  <a:off x="10471" y="519142"/>
                                  <a:ext cx="601" cy="405"/>
                                </a:xfrm>
                                <a:prstGeom prst="line">
                                  <a:avLst/>
                                </a:prstGeom>
                                <a:ln w="12700" cap="flat" cmpd="sng">
                                  <a:solidFill>
                                    <a:srgbClr val="000000"/>
                                  </a:solidFill>
                                  <a:prstDash val="solid"/>
                                  <a:headEnd type="none" w="med" len="med"/>
                                  <a:tailEnd type="arrow" w="med" len="med"/>
                                </a:ln>
                              </wps:spPr>
                              <wps:bodyPr/>
                            </wps:wsp>
                            <wps:wsp>
                              <wps:cNvPr id="22" name="直接连接符 22"/>
                              <wps:cNvCnPr>
                                <a:endCxn id="18" idx="0"/>
                              </wps:cNvCnPr>
                              <wps:spPr>
                                <a:xfrm flipH="1">
                                  <a:off x="11957" y="519142"/>
                                  <a:ext cx="16" cy="405"/>
                                </a:xfrm>
                                <a:prstGeom prst="line">
                                  <a:avLst/>
                                </a:prstGeom>
                                <a:ln w="12700" cap="flat" cmpd="sng">
                                  <a:solidFill>
                                    <a:srgbClr val="000000"/>
                                  </a:solidFill>
                                  <a:prstDash val="solid"/>
                                  <a:headEnd type="none" w="med" len="med"/>
                                  <a:tailEnd type="arrow" w="med" len="med"/>
                                </a:ln>
                              </wps:spPr>
                              <wps:bodyPr/>
                            </wps:wsp>
                            <wps:wsp>
                              <wps:cNvPr id="23" name="直接连接符 23"/>
                              <wps:cNvCnPr>
                                <a:endCxn id="19" idx="0"/>
                              </wps:cNvCnPr>
                              <wps:spPr>
                                <a:xfrm>
                                  <a:off x="12173" y="519142"/>
                                  <a:ext cx="508" cy="405"/>
                                </a:xfrm>
                                <a:prstGeom prst="line">
                                  <a:avLst/>
                                </a:prstGeom>
                                <a:ln w="12700" cap="flat" cmpd="sng">
                                  <a:solidFill>
                                    <a:srgbClr val="000000"/>
                                  </a:solidFill>
                                  <a:prstDash val="solid"/>
                                  <a:headEnd type="none" w="med" len="med"/>
                                  <a:tailEnd type="arrow" w="med" len="med"/>
                                </a:ln>
                              </wps:spPr>
                              <wps:bodyPr/>
                            </wps:wsp>
                            <wps:wsp>
                              <wps:cNvPr id="24" name="直接连接符 24"/>
                              <wps:cNvCnPr/>
                              <wps:spPr>
                                <a:xfrm>
                                  <a:off x="12309" y="518838"/>
                                  <a:ext cx="1766" cy="1"/>
                                </a:xfrm>
                                <a:prstGeom prst="line">
                                  <a:avLst/>
                                </a:prstGeom>
                                <a:ln w="12700" cap="flat" cmpd="sng">
                                  <a:solidFill>
                                    <a:srgbClr val="000000"/>
                                  </a:solidFill>
                                  <a:prstDash val="solid"/>
                                  <a:headEnd type="none" w="med" len="med"/>
                                  <a:tailEnd type="arrow" w="med" len="med"/>
                                </a:ln>
                              </wps:spPr>
                              <wps:bodyPr/>
                            </wps:wsp>
                            <wps:wsp>
                              <wps:cNvPr id="25" name="文本框 25"/>
                              <wps:cNvSpPr txBox="1"/>
                              <wps:spPr>
                                <a:xfrm>
                                  <a:off x="14075" y="518635"/>
                                  <a:ext cx="1802" cy="507"/>
                                </a:xfrm>
                                <a:prstGeom prst="rect">
                                  <a:avLst/>
                                </a:prstGeom>
                                <a:noFill/>
                                <a:ln w="12700" cap="flat" cmpd="sng">
                                  <a:solidFill>
                                    <a:srgbClr val="000000"/>
                                  </a:solidFill>
                                  <a:prstDash val="solid"/>
                                  <a:miter/>
                                  <a:headEnd type="none" w="med" len="med"/>
                                  <a:tailEnd type="none" w="med" len="med"/>
                                </a:ln>
                              </wps:spPr>
                              <wps:txbx>
                                <w:txbxContent>
                                  <w:p>
                                    <w:pPr>
                                      <w:pStyle w:val="30"/>
                                    </w:pPr>
                                    <w:r>
                                      <w:rPr>
                                        <w:rFonts w:hint="eastAsia"/>
                                        <w:sz w:val="21"/>
                                        <w:szCs w:val="21"/>
                                      </w:rPr>
                                      <w:t>试油工程</w:t>
                                    </w:r>
                                  </w:p>
                                </w:txbxContent>
                              </wps:txbx>
                              <wps:bodyPr upright="1"/>
                            </wps:wsp>
                            <wps:wsp>
                              <wps:cNvPr id="26" name="文本框 26"/>
                              <wps:cNvSpPr txBox="1"/>
                              <wps:spPr>
                                <a:xfrm>
                                  <a:off x="13227" y="519547"/>
                                  <a:ext cx="606"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井下作业废水</w:t>
                                    </w:r>
                                  </w:p>
                                </w:txbxContent>
                              </wps:txbx>
                              <wps:bodyPr vert="eaVert" upright="1"/>
                            </wps:wsp>
                            <wps:wsp>
                              <wps:cNvPr id="27" name="文本框 27"/>
                              <wps:cNvSpPr txBox="1"/>
                              <wps:spPr>
                                <a:xfrm>
                                  <a:off x="13962" y="519547"/>
                                  <a:ext cx="607" cy="2331"/>
                                </a:xfrm>
                                <a:prstGeom prst="rect">
                                  <a:avLst/>
                                </a:prstGeom>
                                <a:noFill/>
                                <a:ln w="12700" cap="flat" cmpd="sng">
                                  <a:solidFill>
                                    <a:srgbClr val="000000"/>
                                  </a:solidFill>
                                  <a:prstDash val="dash"/>
                                  <a:miter/>
                                  <a:headEnd type="none" w="med" len="med"/>
                                  <a:tailEnd type="none" w="med" len="med"/>
                                </a:ln>
                              </wps:spPr>
                              <wps:txbx>
                                <w:txbxContent>
                                  <w:p>
                                    <w:pPr>
                                      <w:pStyle w:val="30"/>
                                      <w:rPr>
                                        <w:sz w:val="21"/>
                                        <w:szCs w:val="21"/>
                                      </w:rPr>
                                    </w:pPr>
                                    <w:r>
                                      <w:rPr>
                                        <w:rFonts w:hint="eastAsia"/>
                                        <w:sz w:val="21"/>
                                        <w:szCs w:val="21"/>
                                      </w:rPr>
                                      <w:t>伴生气燃烧废气</w:t>
                                    </w:r>
                                  </w:p>
                                </w:txbxContent>
                              </wps:txbx>
                              <wps:bodyPr vert="eaVert" upright="1"/>
                            </wps:wsp>
                            <wps:wsp>
                              <wps:cNvPr id="28" name="文本框 28"/>
                              <wps:cNvSpPr txBox="1"/>
                              <wps:spPr>
                                <a:xfrm>
                                  <a:off x="14699" y="519547"/>
                                  <a:ext cx="622" cy="2331"/>
                                </a:xfrm>
                                <a:prstGeom prst="rect">
                                  <a:avLst/>
                                </a:prstGeom>
                                <a:noFill/>
                                <a:ln w="12700" cap="flat" cmpd="sng">
                                  <a:solidFill>
                                    <a:srgbClr val="000000"/>
                                  </a:solidFill>
                                  <a:prstDash val="dash"/>
                                  <a:miter/>
                                  <a:headEnd type="none" w="med" len="med"/>
                                  <a:tailEnd type="none" w="med" len="med"/>
                                </a:ln>
                              </wps:spPr>
                              <wps:txbx>
                                <w:txbxContent>
                                  <w:p>
                                    <w:pPr>
                                      <w:pStyle w:val="30"/>
                                    </w:pPr>
                                    <w:r>
                                      <w:rPr>
                                        <w:rFonts w:hint="eastAsia"/>
                                        <w:sz w:val="21"/>
                                        <w:szCs w:val="21"/>
                                      </w:rPr>
                                      <w:t>噪声</w:t>
                                    </w:r>
                                  </w:p>
                                </w:txbxContent>
                              </wps:txbx>
                              <wps:bodyPr vert="eaVert" upright="1"/>
                            </wps:wsp>
                            <wps:wsp>
                              <wps:cNvPr id="29" name="文本框 29"/>
                              <wps:cNvSpPr txBox="1"/>
                              <wps:spPr>
                                <a:xfrm>
                                  <a:off x="15431" y="519547"/>
                                  <a:ext cx="897" cy="2331"/>
                                </a:xfrm>
                                <a:prstGeom prst="rect">
                                  <a:avLst/>
                                </a:prstGeom>
                                <a:noFill/>
                                <a:ln w="12700" cap="flat" cmpd="sng">
                                  <a:solidFill>
                                    <a:srgbClr val="000000"/>
                                  </a:solidFill>
                                  <a:prstDash val="dash"/>
                                  <a:miter/>
                                  <a:headEnd type="none" w="med" len="med"/>
                                  <a:tailEnd type="none" w="med" len="med"/>
                                </a:ln>
                              </wps:spPr>
                              <wps:txbx>
                                <w:txbxContent>
                                  <w:p>
                                    <w:pPr>
                                      <w:pStyle w:val="30"/>
                                      <w:rPr>
                                        <w:sz w:val="21"/>
                                        <w:szCs w:val="21"/>
                                      </w:rPr>
                                    </w:pPr>
                                    <w:r>
                                      <w:rPr>
                                        <w:rFonts w:hint="eastAsia"/>
                                        <w:sz w:val="21"/>
                                        <w:szCs w:val="21"/>
                                      </w:rPr>
                                      <w:t>压裂返排液、事故状态下落地油</w:t>
                                    </w:r>
                                  </w:p>
                                </w:txbxContent>
                              </wps:txbx>
                              <wps:bodyPr vert="eaVert" upright="1"/>
                            </wps:wsp>
                            <wps:wsp>
                              <wps:cNvPr id="30" name="直接连接符 30"/>
                              <wps:cNvCnPr>
                                <a:endCxn id="26" idx="0"/>
                              </wps:cNvCnPr>
                              <wps:spPr>
                                <a:xfrm flipH="1">
                                  <a:off x="13530" y="519131"/>
                                  <a:ext cx="946" cy="416"/>
                                </a:xfrm>
                                <a:prstGeom prst="line">
                                  <a:avLst/>
                                </a:prstGeom>
                                <a:ln w="12700" cap="flat" cmpd="sng">
                                  <a:solidFill>
                                    <a:srgbClr val="000000"/>
                                  </a:solidFill>
                                  <a:prstDash val="solid"/>
                                  <a:headEnd type="none" w="med" len="med"/>
                                  <a:tailEnd type="arrow" w="med" len="med"/>
                                </a:ln>
                              </wps:spPr>
                              <wps:bodyPr/>
                            </wps:wsp>
                            <wps:wsp>
                              <wps:cNvPr id="31" name="直接连接符 31"/>
                              <wps:cNvCnPr/>
                              <wps:spPr>
                                <a:xfrm>
                                  <a:off x="15577" y="519142"/>
                                  <a:ext cx="501" cy="405"/>
                                </a:xfrm>
                                <a:prstGeom prst="line">
                                  <a:avLst/>
                                </a:prstGeom>
                                <a:ln w="12700" cap="flat" cmpd="sng">
                                  <a:solidFill>
                                    <a:srgbClr val="000000"/>
                                  </a:solidFill>
                                  <a:prstDash val="solid"/>
                                  <a:headEnd type="none" w="med" len="med"/>
                                  <a:tailEnd type="arrow" w="med" len="med"/>
                                </a:ln>
                              </wps:spPr>
                              <wps:bodyPr/>
                            </wps:wsp>
                            <wps:wsp>
                              <wps:cNvPr id="32" name="直接连接符 32"/>
                              <wps:cNvCnPr>
                                <a:endCxn id="27" idx="0"/>
                              </wps:cNvCnPr>
                              <wps:spPr>
                                <a:xfrm flipH="1">
                                  <a:off x="14266" y="519142"/>
                                  <a:ext cx="310" cy="405"/>
                                </a:xfrm>
                                <a:prstGeom prst="line">
                                  <a:avLst/>
                                </a:prstGeom>
                                <a:ln w="12700" cap="flat" cmpd="sng">
                                  <a:solidFill>
                                    <a:srgbClr val="000000"/>
                                  </a:solidFill>
                                  <a:prstDash val="solid"/>
                                  <a:headEnd type="none" w="med" len="med"/>
                                  <a:tailEnd type="arrow" w="med" len="med"/>
                                </a:ln>
                              </wps:spPr>
                              <wps:bodyPr/>
                            </wps:wsp>
                            <wps:wsp>
                              <wps:cNvPr id="33" name="直接连接符 33"/>
                              <wps:cNvCnPr>
                                <a:endCxn id="28" idx="0"/>
                              </wps:cNvCnPr>
                              <wps:spPr>
                                <a:xfrm flipH="1">
                                  <a:off x="15010" y="519142"/>
                                  <a:ext cx="130" cy="405"/>
                                </a:xfrm>
                                <a:prstGeom prst="line">
                                  <a:avLst/>
                                </a:prstGeom>
                                <a:ln w="12700" cap="flat" cmpd="sng">
                                  <a:solidFill>
                                    <a:srgbClr val="000000"/>
                                  </a:solidFill>
                                  <a:prstDash val="solid"/>
                                  <a:headEnd type="none" w="med" len="med"/>
                                  <a:tailEnd type="arrow" w="med" len="med"/>
                                </a:ln>
                              </wps:spPr>
                              <wps:bodyPr/>
                            </wps:wsp>
                          </wpg:wgp>
                        </a:graphicData>
                      </a:graphic>
                    </wp:anchor>
                  </w:drawing>
                </mc:Choice>
                <mc:Fallback>
                  <w:pict>
                    <v:group id="_x0000_s1026" o:spid="_x0000_s1026" o:spt="203" style="position:absolute;left:0pt;margin-left:-3.35pt;margin-top:2.35pt;height:165.4pt;width:412.4pt;z-index:251661312;mso-width-relative:page;mso-height-relative:page;" coordorigin="7467,518623" coordsize="8861,3308" o:gfxdata="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LAVhFDZ&#10;AAAACAEAAA8AAAAAAAAAAQAgAAAAIgAAAGRycy9kb3ducmV2LnhtbFBLAQIUABQAAAAIAIdO4kBY&#10;HCR4WgYAAC0+AAAOAAAAAAAAAAEAIAAAACgBAABkcnMvZTJvRG9jLnhtbFBLBQYAAAAABgAGAFkB&#10;AAD0CQAAAAA=&#10;">
                      <o:lock v:ext="edit" aspectratio="f"/>
                      <v:shape id="_x0000_s1026" o:spid="_x0000_s1026" o:spt="202" type="#_x0000_t202" style="position:absolute;left:7467;top:518635;height:507;width:1302;" filled="f" stroked="t" coordsize="21600,21600" o:gfxdata="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XOMW8AAAA&#10;2g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30"/>
                                <w:rPr>
                                  <w:sz w:val="21"/>
                                  <w:szCs w:val="21"/>
                                </w:rPr>
                              </w:pPr>
                              <w:r>
                                <w:rPr>
                                  <w:rFonts w:hint="eastAsia"/>
                                  <w:sz w:val="21"/>
                                  <w:szCs w:val="21"/>
                                </w:rPr>
                                <w:t>钻前作业</w:t>
                              </w:r>
                            </w:p>
                          </w:txbxContent>
                        </v:textbox>
                      </v:shape>
                      <v:shape id="_x0000_s1026" o:spid="_x0000_s1026" o:spt="202" type="#_x0000_t202" style="position:absolute;left:9169;top:518635;height:507;width:1302;" filled="f" stroked="t" coordsize="21600,21600" o:gfxdata="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cist7gAAADa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pStyle w:val="30"/>
                                <w:rPr>
                                  <w:sz w:val="21"/>
                                  <w:szCs w:val="21"/>
                                </w:rPr>
                              </w:pPr>
                              <w:r>
                                <w:rPr>
                                  <w:rFonts w:hint="eastAsia"/>
                                  <w:sz w:val="21"/>
                                  <w:szCs w:val="21"/>
                                </w:rPr>
                                <w:t>设备进场</w:t>
                              </w:r>
                            </w:p>
                          </w:txbxContent>
                        </v:textbox>
                      </v:shape>
                      <v:shape id="_x0000_s1026" o:spid="_x0000_s1026" o:spt="202" type="#_x0000_t202" style="position:absolute;left:10982;top:518623;height:507;width:1302;" filled="f" stroked="t" coordsize="21600,21600" o:gfxdata="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ECSy8AAAA&#10;2g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30"/>
                              </w:pPr>
                              <w:r>
                                <w:rPr>
                                  <w:rFonts w:hint="eastAsia"/>
                                  <w:sz w:val="21"/>
                                  <w:szCs w:val="21"/>
                                </w:rPr>
                                <w:t>钻井施工</w:t>
                              </w:r>
                            </w:p>
                          </w:txbxContent>
                        </v:textbox>
                      </v:shape>
                      <v:line id="_x0000_s1026" o:spid="_x0000_s1026" o:spt="20" style="position:absolute;left:8769;top:518838;height:0;width:401;" filled="f" stroked="t" coordsize="21600,21600" o:gfxdata="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yK/+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line id="_x0000_s1026" o:spid="_x0000_s1026" o:spt="20" style="position:absolute;left:10471;top:518838;height:1;width:501;" filled="f" stroked="t" coordsize="21600,21600" o:gfxdata="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jmS5AAAA2wAA&#10;AA8AAAAAAAAAAQAgAAAAIgAAAGRycy9kb3ducmV2LnhtbFBLAQIUABQAAAAIAIdO4kAzLwWeOwAA&#10;ADkAAAAQAAAAAAAAAAEAIAAAAAgBAABkcnMvc2hhcGV4bWwueG1sUEsFBgAAAAAGAAYAWwEAALID&#10;AAAAAA==&#10;">
                        <v:fill on="f" focussize="0,0"/>
                        <v:stroke weight="1pt" color="#000000" joinstyle="round" endarrow="open"/>
                        <v:imagedata o:title=""/>
                        <o:lock v:ext="edit" aspectratio="f"/>
                      </v:line>
                      <v:line id="_x0000_s1026" o:spid="_x0000_s1026" o:spt="20" style="position:absolute;left:8068;top:519142;height:458;width:1;" filled="f" stroked="t" coordsize="21600,21600" o:gfxdata="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wQE7gAAADbAAAA&#10;DwAAAAAAAAABACAAAAAiAAAAZHJzL2Rvd25yZXYueG1sUEsBAhQAFAAAAAgAh07iQDMvBZ47AAAA&#10;OQAAABAAAAAAAAAAAQAgAAAABwEAAGRycy9zaGFwZXhtbC54bWxQSwUGAAAAAAYABgBbAQAAsQMA&#10;AAAA&#10;">
                        <v:fill on="f" focussize="0,0"/>
                        <v:stroke weight="1pt" color="#000000" joinstyle="round" endarrow="open"/>
                        <v:imagedata o:title=""/>
                        <o:lock v:ext="edit" aspectratio="f"/>
                      </v:line>
                      <v:shape id="_x0000_s1026" o:spid="_x0000_s1026" o:spt="202" type="#_x0000_t202" style="position:absolute;left:7767;top:519600;height:2331;width:604;" filled="f" stroked="t" coordsize="21600,21600" o:gfxdata="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858/LgAAADbAAAA&#10;DwAAAAAAAAABACAAAAAiAAAAZHJzL2Rvd25yZXYueG1sUEsBAhQAFAAAAAgAh07iQDMvBZ47AAAA&#10;OQAAABAAAAAAAAAAAQAgAAAABwEAAGRycy9zaGFwZXhtbC54bWxQSwUGAAAAAAYABgBbAQAAsQMA&#10;AAAA&#10;">
                        <v:fill on="f" focussize="0,0"/>
                        <v:stroke weight="1pt" color="#000000" joinstyle="miter" dashstyle="dash"/>
                        <v:imagedata o:title=""/>
                        <o:lock v:ext="edit" aspectratio="f"/>
                        <v:textbox style="layout-flow:vertical-ideographic;">
                          <w:txbxContent>
                            <w:p>
                              <w:pPr>
                                <w:pStyle w:val="30"/>
                              </w:pPr>
                              <w:r>
                                <w:rPr>
                                  <w:rFonts w:hint="eastAsia"/>
                                  <w:sz w:val="21"/>
                                  <w:szCs w:val="21"/>
                                </w:rPr>
                                <w:t>少量扬尘及噪声</w:t>
                              </w:r>
                            </w:p>
                          </w:txbxContent>
                        </v:textbox>
                      </v:shape>
                      <v:line id="_x0000_s1026" o:spid="_x0000_s1026" o:spt="20" style="position:absolute;left:9407;top:519142;flip:x;height:405;width:463;" filled="f" stroked="t" coordsize="21600,21600" o:gfxdata="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Eq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shape id="_x0000_s1026" o:spid="_x0000_s1026" o:spt="202" type="#_x0000_t202" style="position:absolute;left:9104;top:519547;height:2331;width:607;" filled="f" stroked="t" coordsize="21600,21600" o:gfxdata="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2tBE7gAAADbAAAA&#10;DwAAAAAAAAABACAAAAAiAAAAZHJzL2Rvd25yZXYueG1sUEsBAhQAFAAAAAgAh07iQDMvBZ47AAAA&#10;OQAAABAAAAAAAAAAAQAgAAAABwEAAGRycy9zaGFwZXhtbC54bWxQSwUGAAAAAAYABgBbAQAAsQMA&#10;AAAA&#10;">
                        <v:fill on="f" focussize="0,0"/>
                        <v:stroke weight="1pt" color="#000000" joinstyle="miter" dashstyle="dash"/>
                        <v:imagedata o:title=""/>
                        <o:lock v:ext="edit" aspectratio="f"/>
                        <v:textbox style="layout-flow:vertical-ideographic;">
                          <w:txbxContent>
                            <w:p>
                              <w:pPr>
                                <w:pStyle w:val="30"/>
                                <w:rPr>
                                  <w:sz w:val="21"/>
                                  <w:szCs w:val="21"/>
                                </w:rPr>
                              </w:pPr>
                              <w:r>
                                <w:rPr>
                                  <w:rFonts w:hint="eastAsia"/>
                                  <w:sz w:val="21"/>
                                  <w:szCs w:val="21"/>
                                </w:rPr>
                                <w:t>少量扬尘及噪声</w:t>
                              </w:r>
                            </w:p>
                          </w:txbxContent>
                        </v:textbox>
                      </v:shape>
                      <v:shape id="_x0000_s1026" o:spid="_x0000_s1026" o:spt="202" type="#_x0000_t202" style="position:absolute;left:10028;top:519547;height:2331;width:695;" filled="f" stroked="t" coordsize="21600,21600" o:gfxdata="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ud9ktwAAANsAAAAP&#10;AAAAAAAAAAEAIAAAACIAAABkcnMvZG93bnJldi54bWxQSwECFAAUAAAACACHTuJAMy8FnjsAAAA5&#10;AAAAEAAAAAAAAAABACAAAAAGAQAAZHJzL3NoYXBleG1sLnhtbFBLBQYAAAAABgAGAFsBAACwAwAA&#10;AAA=&#10;">
                        <v:fill on="f" focussize="0,0"/>
                        <v:stroke weight="1pt" color="#000000" joinstyle="miter" dashstyle="dash"/>
                        <v:imagedata o:title=""/>
                        <o:lock v:ext="edit" aspectratio="f"/>
                        <v:textbox style="layout-flow:vertical-ideographic;">
                          <w:txbxContent>
                            <w:p>
                              <w:pPr>
                                <w:pStyle w:val="30"/>
                              </w:pPr>
                              <w:r>
                                <w:rPr>
                                  <w:rFonts w:hint="eastAsia"/>
                                  <w:sz w:val="21"/>
                                  <w:szCs w:val="21"/>
                                </w:rPr>
                                <w:t>生活污水</w:t>
                              </w:r>
                            </w:p>
                          </w:txbxContent>
                        </v:textbox>
                      </v:shape>
                      <v:shape id="_x0000_s1026" o:spid="_x0000_s1026" o:spt="202" type="#_x0000_t202" style="position:absolute;left:10900;top:519547;height:2331;width:606;" filled="f" stroked="t" coordsize="21600,21600" o:gfxdata="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PV6/7gAAADbAAAA&#10;DwAAAAAAAAABACAAAAAiAAAAZHJzL2Rvd25yZXYueG1sUEsBAhQAFAAAAAgAh07iQDMvBZ47AAAA&#10;OQAAABAAAAAAAAAAAQAgAAAABwEAAGRycy9zaGFwZXhtbC54bWxQSwUGAAAAAAYABgBbAQAAsQMA&#10;AAAA&#10;">
                        <v:fill on="f" focussize="0,0"/>
                        <v:stroke weight="1pt" color="#000000" joinstyle="miter" dashstyle="dash"/>
                        <v:imagedata o:title=""/>
                        <o:lock v:ext="edit" aspectratio="f"/>
                        <v:textbox style="layout-flow:vertical-ideographic;">
                          <w:txbxContent>
                            <w:p>
                              <w:pPr>
                                <w:pStyle w:val="30"/>
                              </w:pPr>
                              <w:r>
                                <w:rPr>
                                  <w:rFonts w:hint="eastAsia"/>
                                  <w:sz w:val="21"/>
                                  <w:szCs w:val="21"/>
                                </w:rPr>
                                <w:t>扬尘、柴油燃烧废气</w:t>
                              </w:r>
                            </w:p>
                          </w:txbxContent>
                        </v:textbox>
                      </v:shape>
                      <v:shape id="_x0000_s1026" o:spid="_x0000_s1026" o:spt="202" type="#_x0000_t202" style="position:absolute;left:11654;top:519547;height:2331;width:607;" filled="f" stroked="t" coordsize="21600,21600" o:gfxdata="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rujb4A&#10;AADbAAAADwAAAAAAAAABACAAAAAiAAAAZHJzL2Rvd25yZXYueG1sUEsBAhQAFAAAAAgAh07iQDMv&#10;BZ47AAAAOQAAABAAAAAAAAAAAQAgAAAADQEAAGRycy9zaGFwZXhtbC54bWxQSwUGAAAAAAYABgBb&#10;AQAAtwMAAAAA&#10;">
                        <v:fill on="f" focussize="0,0"/>
                        <v:stroke weight="1pt" color="#000000" joinstyle="miter" dashstyle="dash"/>
                        <v:imagedata o:title=""/>
                        <o:lock v:ext="edit" aspectratio="f"/>
                        <v:textbox style="layout-flow:vertical-ideographic;">
                          <w:txbxContent>
                            <w:p>
                              <w:pPr>
                                <w:pStyle w:val="30"/>
                              </w:pPr>
                              <w:r>
                                <w:rPr>
                                  <w:rFonts w:hint="eastAsia"/>
                                  <w:sz w:val="21"/>
                                  <w:szCs w:val="21"/>
                                </w:rPr>
                                <w:t>噪声</w:t>
                              </w:r>
                            </w:p>
                          </w:txbxContent>
                        </v:textbox>
                      </v:shape>
                      <v:shape id="_x0000_s1026" o:spid="_x0000_s1026" o:spt="202" type="#_x0000_t202" style="position:absolute;left:12378;top:519547;height:2331;width:607;" filled="f" stroked="t" coordsize="21600,21600" o:gfxdata="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iZLFrgAAADbAAAA&#10;DwAAAAAAAAABACAAAAAiAAAAZHJzL2Rvd25yZXYueG1sUEsBAhQAFAAAAAgAh07iQDMvBZ47AAAA&#10;OQAAABAAAAAAAAAAAQAgAAAABwEAAGRycy9zaGFwZXhtbC54bWxQSwUGAAAAAAYABgBbAQAAsQMA&#10;AAAA&#10;">
                        <v:fill on="f" focussize="0,0"/>
                        <v:stroke weight="1pt" color="#000000" joinstyle="miter" dashstyle="dash"/>
                        <v:imagedata o:title=""/>
                        <o:lock v:ext="edit" aspectratio="f"/>
                        <v:textbox style="layout-flow:vertical-ideographic;">
                          <w:txbxContent>
                            <w:p>
                              <w:pPr>
                                <w:pStyle w:val="30"/>
                              </w:pPr>
                              <w:r>
                                <w:rPr>
                                  <w:rFonts w:hint="eastAsia"/>
                                  <w:sz w:val="21"/>
                                  <w:szCs w:val="21"/>
                                </w:rPr>
                                <w:t>钻井岩屑</w:t>
                              </w:r>
                            </w:p>
                          </w:txbxContent>
                        </v:textbox>
                      </v:shape>
                      <v:line id="_x0000_s1026" o:spid="_x0000_s1026" o:spt="20" style="position:absolute;left:11203;top:519142;flip:x;height:405;width:269;" filled="f" stroked="t" coordsize="21600,21600" o:gfxdata="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qSBa5AAAA2wAA&#10;AA8AAAAAAAAAAQAgAAAAIgAAAGRycy9kb3ducmV2LnhtbFBLAQIUABQAAAAIAIdO4kAzLwWeOwAA&#10;ADkAAAAQAAAAAAAAAAEAIAAAAAgBAABkcnMvc2hhcGV4bWwueG1sUEsFBgAAAAAGAAYAWwEAALID&#10;AAAAAA==&#10;">
                        <v:fill on="f" focussize="0,0"/>
                        <v:stroke weight="1pt" color="#000000" joinstyle="round" endarrow="open"/>
                        <v:imagedata o:title=""/>
                        <o:lock v:ext="edit" aspectratio="f"/>
                      </v:line>
                      <v:line id="_x0000_s1026" o:spid="_x0000_s1026" o:spt="20" style="position:absolute;left:10471;top:519142;flip:x;height:405;width:601;" filled="f" stroked="t" coordsize="21600,21600" o:gfxdata="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m7Y2/&#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line>
                      <v:line id="_x0000_s1026" o:spid="_x0000_s1026" o:spt="20" style="position:absolute;left:11957;top:519142;flip:x;height:405;width:16;" filled="f" stroked="t" coordsize="21600,21600" o:gfxdata="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HP6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line id="_x0000_s1026" o:spid="_x0000_s1026" o:spt="20" style="position:absolute;left:12173;top:519142;height:405;width:508;" filled="f" stroked="t" coordsize="21600,21600" o:gfxdata="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x/N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_x0000_s1026" o:spid="_x0000_s1026" o:spt="20" style="position:absolute;left:12309;top:518838;height:1;width:1766;" filled="f" stroked="t" coordsize="21600,21600" o:gfxdata="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XnQ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shape id="_x0000_s1026" o:spid="_x0000_s1026" o:spt="202" type="#_x0000_t202" style="position:absolute;left:14075;top:518635;height:507;width:1802;" filled="f" stroked="t" coordsize="21600,21600" o:gfxdata="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qK9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30"/>
                              </w:pPr>
                              <w:r>
                                <w:rPr>
                                  <w:rFonts w:hint="eastAsia"/>
                                  <w:sz w:val="21"/>
                                  <w:szCs w:val="21"/>
                                </w:rPr>
                                <w:t>试油工程</w:t>
                              </w:r>
                            </w:p>
                          </w:txbxContent>
                        </v:textbox>
                      </v:shape>
                      <v:shape id="_x0000_s1026" o:spid="_x0000_s1026" o:spt="202" type="#_x0000_t202" style="position:absolute;left:13227;top:519547;height:2331;width:606;" filled="f" stroked="t" coordsize="21600,21600" o:gfxdata="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1RXZugAAANsA&#10;AAAPAAAAAAAAAAEAIAAAACIAAABkcnMvZG93bnJldi54bWxQSwECFAAUAAAACACHTuJAMy8FnjsA&#10;AAA5AAAAEAAAAAAAAAABACAAAAAJAQAAZHJzL3NoYXBleG1sLnhtbFBLBQYAAAAABgAGAFsBAACz&#10;AwAAAAA=&#10;">
                        <v:fill on="f" focussize="0,0"/>
                        <v:stroke weight="1pt" color="#000000" joinstyle="miter" dashstyle="dash"/>
                        <v:imagedata o:title=""/>
                        <o:lock v:ext="edit" aspectratio="f"/>
                        <v:textbox style="layout-flow:vertical-ideographic;">
                          <w:txbxContent>
                            <w:p>
                              <w:pPr>
                                <w:pStyle w:val="30"/>
                              </w:pPr>
                              <w:r>
                                <w:rPr>
                                  <w:rFonts w:hint="eastAsia"/>
                                  <w:sz w:val="21"/>
                                  <w:szCs w:val="21"/>
                                </w:rPr>
                                <w:t>井下作业废水</w:t>
                              </w:r>
                            </w:p>
                          </w:txbxContent>
                        </v:textbox>
                      </v:shape>
                      <v:shape id="_x0000_s1026" o:spid="_x0000_s1026" o:spt="202" type="#_x0000_t202" style="position:absolute;left:13962;top:519547;height:2331;width:607;" filled="f" stroked="t" coordsize="21600,21600" o:gfxdata="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mbBCugAAANsA&#10;AAAPAAAAAAAAAAEAIAAAACIAAABkcnMvZG93bnJldi54bWxQSwECFAAUAAAACACHTuJAMy8FnjsA&#10;AAA5AAAAEAAAAAAAAAABACAAAAAJAQAAZHJzL3NoYXBleG1sLnhtbFBLBQYAAAAABgAGAFsBAACz&#10;AwAAAAA=&#10;">
                        <v:fill on="f" focussize="0,0"/>
                        <v:stroke weight="1pt" color="#000000" joinstyle="miter" dashstyle="dash"/>
                        <v:imagedata o:title=""/>
                        <o:lock v:ext="edit" aspectratio="f"/>
                        <v:textbox style="layout-flow:vertical-ideographic;">
                          <w:txbxContent>
                            <w:p>
                              <w:pPr>
                                <w:pStyle w:val="30"/>
                                <w:rPr>
                                  <w:sz w:val="21"/>
                                  <w:szCs w:val="21"/>
                                </w:rPr>
                              </w:pPr>
                              <w:r>
                                <w:rPr>
                                  <w:rFonts w:hint="eastAsia"/>
                                  <w:sz w:val="21"/>
                                  <w:szCs w:val="21"/>
                                </w:rPr>
                                <w:t>伴生气燃烧废气</w:t>
                              </w:r>
                            </w:p>
                          </w:txbxContent>
                        </v:textbox>
                      </v:shape>
                      <v:shape id="_x0000_s1026" o:spid="_x0000_s1026" o:spt="202" type="#_x0000_t202" style="position:absolute;left:14699;top:519547;height:2331;width:622;" filled="f" stroked="t" coordsize="21600,21600" o:gfxdata="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BiQwtwAAANsAAAAP&#10;AAAAAAAAAAEAIAAAACIAAABkcnMvZG93bnJldi54bWxQSwECFAAUAAAACACHTuJAMy8FnjsAAAA5&#10;AAAAEAAAAAAAAAABACAAAAAGAQAAZHJzL3NoYXBleG1sLnhtbFBLBQYAAAAABgAGAFsBAACwAwAA&#10;AAA=&#10;">
                        <v:fill on="f" focussize="0,0"/>
                        <v:stroke weight="1pt" color="#000000" joinstyle="miter" dashstyle="dash"/>
                        <v:imagedata o:title=""/>
                        <o:lock v:ext="edit" aspectratio="f"/>
                        <v:textbox style="layout-flow:vertical-ideographic;">
                          <w:txbxContent>
                            <w:p>
                              <w:pPr>
                                <w:pStyle w:val="30"/>
                              </w:pPr>
                              <w:r>
                                <w:rPr>
                                  <w:rFonts w:hint="eastAsia"/>
                                  <w:sz w:val="21"/>
                                  <w:szCs w:val="21"/>
                                </w:rPr>
                                <w:t>噪声</w:t>
                              </w:r>
                            </w:p>
                          </w:txbxContent>
                        </v:textbox>
                      </v:shape>
                      <v:shape id="_x0000_s1026" o:spid="_x0000_s1026" o:spt="202" type="#_x0000_t202" style="position:absolute;left:15431;top:519547;height:2331;width:897;" filled="f" stroked="t" coordsize="21600,21600" o:gfxdata="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SoGrugAAANsA&#10;AAAPAAAAAAAAAAEAIAAAACIAAABkcnMvZG93bnJldi54bWxQSwECFAAUAAAACACHTuJAMy8FnjsA&#10;AAA5AAAAEAAAAAAAAAABACAAAAAJAQAAZHJzL3NoYXBleG1sLnhtbFBLBQYAAAAABgAGAFsBAACz&#10;AwAAAAA=&#10;">
                        <v:fill on="f" focussize="0,0"/>
                        <v:stroke weight="1pt" color="#000000" joinstyle="miter" dashstyle="dash"/>
                        <v:imagedata o:title=""/>
                        <o:lock v:ext="edit" aspectratio="f"/>
                        <v:textbox style="layout-flow:vertical-ideographic;">
                          <w:txbxContent>
                            <w:p>
                              <w:pPr>
                                <w:pStyle w:val="30"/>
                                <w:rPr>
                                  <w:sz w:val="21"/>
                                  <w:szCs w:val="21"/>
                                </w:rPr>
                              </w:pPr>
                              <w:r>
                                <w:rPr>
                                  <w:rFonts w:hint="eastAsia"/>
                                  <w:sz w:val="21"/>
                                  <w:szCs w:val="21"/>
                                </w:rPr>
                                <w:t>压裂返排液、事故状态下落地油</w:t>
                              </w:r>
                            </w:p>
                          </w:txbxContent>
                        </v:textbox>
                      </v:shape>
                      <v:line id="_x0000_s1026" o:spid="_x0000_s1026" o:spt="20" style="position:absolute;left:13530;top:519131;flip:x;height:416;width:946;" filled="f" stroked="t" coordsize="21600,21600" o:gfxdata="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3Pey7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_x0000_s1026" o:spid="_x0000_s1026" o:spt="20" style="position:absolute;left:15577;top:519142;height:405;width:501;" filled="f" stroked="t" coordsize="21600,21600" o:gfxdata="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L0gS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line id="_x0000_s1026" o:spid="_x0000_s1026" o:spt="20" style="position:absolute;left:14266;top:519142;flip:x;height:405;width:310;" filled="f" stroked="t" coordsize="21600,21600" o:gfxdata="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7eUn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line id="_x0000_s1026" o:spid="_x0000_s1026" o:spt="20" style="position:absolute;left:15010;top:519142;flip:x;height:405;width:130;" filled="f" stroked="t" coordsize="21600,21600" o:gfxdata="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hQLy/&#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line>
                    </v:group>
                  </w:pict>
                </mc:Fallback>
              </mc:AlternateContent>
            </w:r>
          </w:p>
          <w:p>
            <w:pPr>
              <w:rPr>
                <w:rFonts w:ascii="Times New Roman" w:cs="Times New Roman"/>
                <w:color w:val="auto"/>
              </w:rPr>
            </w:pPr>
          </w:p>
          <w:p>
            <w:pPr>
              <w:rPr>
                <w:rFonts w:ascii="Times New Roman" w:cs="Times New Roman"/>
                <w:color w:val="auto"/>
              </w:rPr>
            </w:pPr>
          </w:p>
          <w:p>
            <w:pPr>
              <w:rPr>
                <w:rFonts w:ascii="Times New Roman" w:cs="Times New Roman"/>
                <w:color w:val="auto"/>
              </w:rPr>
            </w:pPr>
          </w:p>
          <w:p>
            <w:pPr>
              <w:rPr>
                <w:rFonts w:ascii="Times New Roman" w:cs="Times New Roman"/>
                <w:color w:val="auto"/>
                <w:kern w:val="2"/>
                <w:sz w:val="21"/>
                <w:szCs w:val="21"/>
              </w:rPr>
            </w:pPr>
          </w:p>
          <w:p>
            <w:pPr>
              <w:rPr>
                <w:rFonts w:ascii="Times New Roman" w:cs="Times New Roman"/>
                <w:color w:val="auto"/>
                <w:kern w:val="2"/>
                <w:sz w:val="21"/>
                <w:szCs w:val="21"/>
              </w:rPr>
            </w:pPr>
          </w:p>
          <w:p>
            <w:pPr>
              <w:rPr>
                <w:rFonts w:ascii="Times New Roman" w:cs="Times New Roman"/>
                <w:color w:val="auto"/>
                <w:kern w:val="2"/>
                <w:sz w:val="21"/>
                <w:szCs w:val="21"/>
              </w:rPr>
            </w:pPr>
          </w:p>
          <w:p>
            <w:pPr>
              <w:rPr>
                <w:rFonts w:ascii="Times New Roman" w:cs="Times New Roman"/>
                <w:color w:val="auto"/>
                <w:kern w:val="2"/>
                <w:sz w:val="21"/>
                <w:szCs w:val="21"/>
              </w:rPr>
            </w:pPr>
          </w:p>
          <w:p>
            <w:pPr>
              <w:spacing w:line="360" w:lineRule="auto"/>
              <w:rPr>
                <w:color w:val="auto"/>
                <w:sz w:val="21"/>
                <w:szCs w:val="21"/>
              </w:rPr>
            </w:pPr>
          </w:p>
          <w:p>
            <w:pPr>
              <w:rPr>
                <w:b/>
                <w:color w:val="auto"/>
              </w:rPr>
            </w:pPr>
          </w:p>
          <w:p>
            <w:pPr>
              <w:rPr>
                <w:b/>
                <w:color w:val="auto"/>
              </w:rPr>
            </w:pPr>
          </w:p>
          <w:p>
            <w:pPr>
              <w:rPr>
                <w:b/>
                <w:color w:val="auto"/>
              </w:rPr>
            </w:pPr>
          </w:p>
          <w:p>
            <w:pPr>
              <w:pStyle w:val="27"/>
              <w:keepNext w:val="0"/>
              <w:keepLines w:val="0"/>
              <w:pageBreakBefore w:val="0"/>
              <w:widowControl w:val="0"/>
              <w:kinsoku/>
              <w:wordWrap/>
              <w:overflowPunct w:val="0"/>
              <w:topLinePunct w:val="0"/>
              <w:autoSpaceDE/>
              <w:autoSpaceDN/>
              <w:bidi w:val="0"/>
              <w:adjustRightInd w:val="0"/>
              <w:snapToGrid w:val="0"/>
              <w:spacing w:after="157" w:afterLines="50"/>
              <w:textAlignment w:val="auto"/>
              <w:rPr>
                <w:color w:val="auto"/>
              </w:rPr>
            </w:pPr>
            <w:r>
              <w:rPr>
                <w:color w:val="auto"/>
              </w:rPr>
              <w:t>图2-</w:t>
            </w:r>
            <w:r>
              <w:rPr>
                <w:rFonts w:hint="eastAsia"/>
                <w:color w:val="auto"/>
                <w:lang w:val="en-US" w:eastAsia="zh-CN"/>
              </w:rPr>
              <w:t>8</w:t>
            </w:r>
            <w:r>
              <w:rPr>
                <w:color w:val="auto"/>
              </w:rPr>
              <w:t xml:space="preserve">    工艺流程及产污节点图</w:t>
            </w:r>
          </w:p>
          <w:p>
            <w:pPr>
              <w:pStyle w:val="4"/>
              <w:rPr>
                <w:color w:val="auto"/>
              </w:rPr>
            </w:pPr>
            <w:r>
              <w:rPr>
                <w:color w:val="auto"/>
              </w:rPr>
              <w:t>钻井工程包括：钻前作业、设备进场，钻井施工、试油作业、地貌恢复。</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钻前作业</w:t>
            </w:r>
          </w:p>
          <w:p>
            <w:pPr>
              <w:pStyle w:val="4"/>
              <w:rPr>
                <w:color w:val="auto"/>
              </w:rPr>
            </w:pPr>
            <w:r>
              <w:rPr>
                <w:color w:val="auto"/>
              </w:rPr>
              <w:t>（1）钻前整理场地，并保证全套钻井设备达到相关的安装标准。</w:t>
            </w:r>
          </w:p>
          <w:p>
            <w:pPr>
              <w:pStyle w:val="4"/>
              <w:rPr>
                <w:color w:val="auto"/>
              </w:rPr>
            </w:pPr>
            <w:r>
              <w:rPr>
                <w:color w:val="auto"/>
              </w:rPr>
              <w:t>（2）在钻机安装的过程中，注意保护井口设备。</w:t>
            </w:r>
          </w:p>
          <w:p>
            <w:pPr>
              <w:pStyle w:val="4"/>
              <w:rPr>
                <w:color w:val="auto"/>
              </w:rPr>
            </w:pPr>
            <w:r>
              <w:rPr>
                <w:color w:val="auto"/>
              </w:rPr>
              <w:t>（3）要求天车、转盘、井口三点成一条铅垂线，误差小于10mm；确保在施工过程中不偏磨井口套管及井控设备。</w:t>
            </w:r>
          </w:p>
          <w:p>
            <w:pPr>
              <w:pStyle w:val="4"/>
              <w:rPr>
                <w:color w:val="auto"/>
              </w:rPr>
            </w:pPr>
            <w:r>
              <w:rPr>
                <w:color w:val="auto"/>
              </w:rPr>
              <w:t>（4）设备运转正常，安全装置灵活好用。各种仪器仪表准确灵敏好用。</w:t>
            </w:r>
          </w:p>
          <w:p>
            <w:pPr>
              <w:pStyle w:val="4"/>
              <w:rPr>
                <w:color w:val="auto"/>
              </w:rPr>
            </w:pPr>
            <w:r>
              <w:rPr>
                <w:color w:val="auto"/>
              </w:rPr>
              <w:t>（5）地面高压管线用清水按标准试压。</w:t>
            </w:r>
          </w:p>
          <w:p>
            <w:pPr>
              <w:pStyle w:val="4"/>
              <w:rPr>
                <w:color w:val="auto"/>
              </w:rPr>
            </w:pPr>
            <w:r>
              <w:rPr>
                <w:color w:val="auto"/>
              </w:rPr>
              <w:t>（6）钻具在入井前必须用通径规通径。</w:t>
            </w:r>
          </w:p>
          <w:p>
            <w:pPr>
              <w:pStyle w:val="4"/>
              <w:rPr>
                <w:color w:val="auto"/>
              </w:rPr>
            </w:pPr>
            <w:r>
              <w:rPr>
                <w:color w:val="auto"/>
              </w:rPr>
              <w:t>（7）对所有的下井钻具进行外观检查和超声波探伤，准确丈量钻具，钻具记录上注明内外径、扣型，特殊工具要画草图。</w:t>
            </w:r>
          </w:p>
          <w:p>
            <w:pPr>
              <w:pStyle w:val="4"/>
              <w:rPr>
                <w:color w:val="auto"/>
              </w:rPr>
            </w:pPr>
            <w:r>
              <w:rPr>
                <w:rFonts w:hint="eastAsia"/>
                <w:color w:val="auto"/>
              </w:rPr>
              <w:t>（8）修建进场道路及施工营地。</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钻井施工</w:t>
            </w:r>
          </w:p>
          <w:p>
            <w:pPr>
              <w:pStyle w:val="4"/>
              <w:rPr>
                <w:color w:val="auto"/>
              </w:rPr>
            </w:pPr>
            <w:r>
              <w:rPr>
                <w:color w:val="auto"/>
              </w:rPr>
              <w:t>钻井是采用旋转的钻头给所钻的地层一定的压力，使钻头的牙齿嵌入地层，然后旋转钻头，利用旋转钻头的扭矩来切削地层，并用循环的钻井液将钻屑带出井眼，以保证持续钻井。</w:t>
            </w:r>
            <w:r>
              <w:rPr>
                <w:rFonts w:hint="eastAsia"/>
                <w:color w:val="auto"/>
              </w:rPr>
              <w:t>钻井施工作业流程及排污节点见图</w:t>
            </w:r>
            <w:r>
              <w:rPr>
                <w:color w:val="auto"/>
              </w:rPr>
              <w:t>2</w:t>
            </w:r>
            <w:r>
              <w:rPr>
                <w:rFonts w:hint="eastAsia"/>
                <w:color w:val="auto"/>
              </w:rPr>
              <w:t>-</w:t>
            </w:r>
            <w:r>
              <w:rPr>
                <w:rFonts w:hint="eastAsia"/>
                <w:color w:val="auto"/>
                <w:lang w:val="en-US" w:eastAsia="zh-CN"/>
              </w:rPr>
              <w:t>9</w:t>
            </w:r>
            <w:r>
              <w:rPr>
                <w:rFonts w:hint="eastAsia"/>
                <w:color w:val="auto"/>
              </w:rPr>
              <w:t>。</w:t>
            </w:r>
          </w:p>
          <w:p>
            <w:pPr>
              <w:pStyle w:val="4"/>
              <w:ind w:firstLine="0" w:firstLineChars="0"/>
              <w:jc w:val="center"/>
              <w:rPr>
                <w:color w:val="auto"/>
                <w:sz w:val="21"/>
                <w:szCs w:val="20"/>
              </w:rPr>
            </w:pPr>
            <w:r>
              <w:rPr>
                <w:rFonts w:hint="eastAsia"/>
                <w:color w:val="auto"/>
                <w:szCs w:val="20"/>
              </w:rPr>
              <w:drawing>
                <wp:inline distT="0" distB="0" distL="114300" distR="114300">
                  <wp:extent cx="4211955" cy="3098165"/>
                  <wp:effectExtent l="15875" t="15875" r="20320" b="29210"/>
                  <wp:docPr id="3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descr="图片2"/>
                          <pic:cNvPicPr>
                            <a:picLocks noChangeAspect="1"/>
                          </pic:cNvPicPr>
                        </pic:nvPicPr>
                        <pic:blipFill>
                          <a:blip r:embed="rId12"/>
                          <a:srcRect l="1711" t="1723" r="795" b="4158"/>
                          <a:stretch>
                            <a:fillRect/>
                          </a:stretch>
                        </pic:blipFill>
                        <pic:spPr>
                          <a:xfrm>
                            <a:off x="0" y="0"/>
                            <a:ext cx="4211955" cy="3098165"/>
                          </a:xfrm>
                          <a:prstGeom prst="rect">
                            <a:avLst/>
                          </a:prstGeom>
                          <a:noFill/>
                          <a:ln w="15875" cap="flat" cmpd="sng">
                            <a:solidFill>
                              <a:srgbClr val="000000"/>
                            </a:solidFill>
                            <a:prstDash val="solid"/>
                            <a:miter/>
                            <a:headEnd type="none" w="med" len="med"/>
                            <a:tailEnd type="none" w="med" len="med"/>
                          </a:ln>
                        </pic:spPr>
                      </pic:pic>
                    </a:graphicData>
                  </a:graphic>
                </wp:inline>
              </w:drawing>
            </w:r>
          </w:p>
          <w:p>
            <w:pPr>
              <w:pStyle w:val="27"/>
              <w:keepNext w:val="0"/>
              <w:keepLines w:val="0"/>
              <w:pageBreakBefore w:val="0"/>
              <w:widowControl w:val="0"/>
              <w:kinsoku/>
              <w:wordWrap/>
              <w:overflowPunct w:val="0"/>
              <w:topLinePunct w:val="0"/>
              <w:autoSpaceDE/>
              <w:autoSpaceDN/>
              <w:bidi w:val="0"/>
              <w:adjustRightInd w:val="0"/>
              <w:snapToGrid w:val="0"/>
              <w:spacing w:after="157" w:afterLines="50"/>
              <w:textAlignment w:val="auto"/>
              <w:rPr>
                <w:rFonts w:ascii="宋体" w:hAnsi="宋体"/>
                <w:color w:val="auto"/>
                <w:szCs w:val="24"/>
              </w:rPr>
            </w:pPr>
            <w:r>
              <w:rPr>
                <w:rFonts w:hint="eastAsia"/>
                <w:color w:val="auto"/>
              </w:rPr>
              <w:t>图</w:t>
            </w:r>
            <w:r>
              <w:rPr>
                <w:color w:val="auto"/>
              </w:rPr>
              <w:t>2</w:t>
            </w:r>
            <w:r>
              <w:rPr>
                <w:rFonts w:hint="eastAsia"/>
                <w:color w:val="auto"/>
              </w:rPr>
              <w:t>-</w:t>
            </w:r>
            <w:r>
              <w:rPr>
                <w:rFonts w:hint="eastAsia"/>
                <w:color w:val="auto"/>
                <w:lang w:val="en-US" w:eastAsia="zh-CN"/>
              </w:rPr>
              <w:t>9</w:t>
            </w:r>
            <w:r>
              <w:rPr>
                <w:rFonts w:hint="eastAsia"/>
                <w:color w:val="auto"/>
              </w:rPr>
              <w:t xml:space="preserve">  钻井施工作业流程及产污节点图</w:t>
            </w:r>
          </w:p>
          <w:p>
            <w:pPr>
              <w:pStyle w:val="4"/>
              <w:rPr>
                <w:color w:val="auto"/>
              </w:rPr>
            </w:pPr>
            <w:r>
              <w:rPr>
                <w:color w:val="auto"/>
              </w:rPr>
              <w:t>钻井时井筒排出的钻井</w:t>
            </w:r>
            <w:r>
              <w:rPr>
                <w:rFonts w:hint="eastAsia"/>
                <w:color w:val="auto"/>
              </w:rPr>
              <w:t>泥浆</w:t>
            </w:r>
            <w:r>
              <w:rPr>
                <w:color w:val="auto"/>
              </w:rPr>
              <w:t>及岩屑进入</w:t>
            </w:r>
            <w:r>
              <w:rPr>
                <w:rFonts w:hint="eastAsia"/>
                <w:color w:val="auto"/>
              </w:rPr>
              <w:t>泥浆</w:t>
            </w:r>
            <w:r>
              <w:rPr>
                <w:color w:val="auto"/>
              </w:rPr>
              <w:t>不落地循环系统，该系统设置振动筛、除砂器、除泥器、离心机四级处理，经四级处理后，岩屑与钻井液完全分离，钻井液返回井筒，岩屑排至井场临时堆放场暂存。</w:t>
            </w:r>
          </w:p>
          <w:p>
            <w:pPr>
              <w:pStyle w:val="4"/>
              <w:rPr>
                <w:color w:val="auto"/>
              </w:rPr>
            </w:pPr>
            <w:r>
              <w:rPr>
                <w:color w:val="auto"/>
              </w:rPr>
              <w:t>钻井过程中</w:t>
            </w:r>
            <w:r>
              <w:rPr>
                <w:rFonts w:hint="eastAsia"/>
                <w:color w:val="auto"/>
              </w:rPr>
              <w:t>均</w:t>
            </w:r>
            <w:r>
              <w:rPr>
                <w:color w:val="auto"/>
              </w:rPr>
              <w:t>使用水基钻井液，</w:t>
            </w:r>
            <w:r>
              <w:rPr>
                <w:rFonts w:hint="eastAsia"/>
                <w:color w:val="auto"/>
              </w:rPr>
              <w:t>钻井泥浆及岩屑</w:t>
            </w:r>
            <w:r>
              <w:rPr>
                <w:color w:val="auto"/>
              </w:rPr>
              <w:t>使用井场不落地系统进行处理。工艺流程如下：</w:t>
            </w:r>
          </w:p>
          <w:p>
            <w:pPr>
              <w:pStyle w:val="4"/>
              <w:rPr>
                <w:color w:val="auto"/>
              </w:rPr>
            </w:pPr>
            <w:r>
              <w:rPr>
                <w:rFonts w:hint="eastAsia"/>
                <w:color w:val="auto"/>
              </w:rPr>
              <w:t>（1）</w:t>
            </w:r>
            <w:r>
              <w:rPr>
                <w:color w:val="auto"/>
              </w:rPr>
              <w:t>钻井井口产生的钻井</w:t>
            </w:r>
            <w:r>
              <w:rPr>
                <w:rFonts w:hint="eastAsia"/>
                <w:color w:val="auto"/>
              </w:rPr>
              <w:t>泥浆</w:t>
            </w:r>
            <w:r>
              <w:rPr>
                <w:color w:val="auto"/>
              </w:rPr>
              <w:t>、岩屑混合物经振动筛、除砂器、除泥器、离心机四级实现初步分离，分离出的液相进入废水收集罐，用于钻井液配制。分离出的混合物进入收集箱待进一步处理。</w:t>
            </w:r>
          </w:p>
          <w:p>
            <w:pPr>
              <w:pStyle w:val="4"/>
              <w:rPr>
                <w:color w:val="auto"/>
              </w:rPr>
            </w:pPr>
            <w:r>
              <w:rPr>
                <w:rFonts w:hint="eastAsia"/>
                <w:color w:val="auto"/>
              </w:rPr>
              <w:t>（2）</w:t>
            </w:r>
            <w:r>
              <w:rPr>
                <w:color w:val="auto"/>
              </w:rPr>
              <w:t>收集箱中的混合物经不落地系统进一步固液分离，液相回用于钻井液配制，固相进入储存罐，投加固化剂进行固化、稳定化作业。</w:t>
            </w:r>
          </w:p>
          <w:p>
            <w:pPr>
              <w:pStyle w:val="4"/>
              <w:rPr>
                <w:color w:val="auto"/>
              </w:rPr>
            </w:pPr>
            <w:r>
              <w:rPr>
                <w:rFonts w:hint="eastAsia"/>
                <w:color w:val="auto"/>
              </w:rPr>
              <w:t>（3）</w:t>
            </w:r>
            <w:r>
              <w:rPr>
                <w:color w:val="auto"/>
              </w:rPr>
              <w:t>固化、稳定化后的固相暂存于铺设防渗膜的岩屑临时堆放场地，经检测达到《油气田钻井固体废物综合利用污染控制要求》（DB65/T 3997-2017）要求后，用于油田内井场铺筑等。</w:t>
            </w:r>
          </w:p>
          <w:p>
            <w:pPr>
              <w:pStyle w:val="4"/>
              <w:rPr>
                <w:color w:val="auto"/>
              </w:rPr>
            </w:pPr>
            <w:r>
              <w:rPr>
                <w:rFonts w:hint="eastAsia"/>
                <w:color w:val="auto"/>
              </w:rPr>
              <w:t>（4）</w:t>
            </w:r>
            <w:r>
              <w:rPr>
                <w:color w:val="auto"/>
              </w:rPr>
              <w:t>钻井结束后</w:t>
            </w:r>
            <w:r>
              <w:rPr>
                <w:rFonts w:hint="eastAsia"/>
                <w:color w:val="auto"/>
              </w:rPr>
              <w:t>剩余</w:t>
            </w:r>
            <w:r>
              <w:rPr>
                <w:color w:val="auto"/>
              </w:rPr>
              <w:t>钻井</w:t>
            </w:r>
            <w:r>
              <w:rPr>
                <w:rFonts w:hint="eastAsia"/>
                <w:color w:val="auto"/>
              </w:rPr>
              <w:t>泥浆由钻井队</w:t>
            </w:r>
            <w:r>
              <w:rPr>
                <w:color w:val="auto"/>
              </w:rPr>
              <w:t>回收，送至下个井场循环利用，不外排。</w:t>
            </w:r>
          </w:p>
          <w:p>
            <w:pPr>
              <w:pStyle w:val="29"/>
              <w:rPr>
                <w:color w:val="auto"/>
                <w:sz w:val="24"/>
              </w:rPr>
            </w:pPr>
            <w:r>
              <w:rPr>
                <w:snapToGrid/>
                <w:color w:val="auto"/>
              </w:rPr>
              <w:drawing>
                <wp:inline distT="0" distB="0" distL="114300" distR="114300">
                  <wp:extent cx="5040630" cy="3325495"/>
                  <wp:effectExtent l="12700" t="12700" r="13970" b="146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5040630" cy="3325495"/>
                          </a:xfrm>
                          <a:prstGeom prst="rect">
                            <a:avLst/>
                          </a:prstGeom>
                          <a:noFill/>
                          <a:ln w="12700">
                            <a:solidFill>
                              <a:schemeClr val="tx1"/>
                            </a:solidFill>
                          </a:ln>
                        </pic:spPr>
                      </pic:pic>
                    </a:graphicData>
                  </a:graphic>
                </wp:inline>
              </w:drawing>
            </w:r>
          </w:p>
          <w:p>
            <w:pPr>
              <w:pStyle w:val="29"/>
              <w:rPr>
                <w:color w:val="auto"/>
              </w:rPr>
            </w:pPr>
            <w:r>
              <w:rPr>
                <w:color w:val="auto"/>
              </w:rPr>
              <w:t>图2</w:t>
            </w:r>
            <w:r>
              <w:rPr>
                <w:rFonts w:hint="eastAsia"/>
                <w:color w:val="auto"/>
              </w:rPr>
              <w:t>-</w:t>
            </w:r>
            <w:r>
              <w:rPr>
                <w:color w:val="auto"/>
              </w:rPr>
              <w:t>1</w:t>
            </w:r>
            <w:r>
              <w:rPr>
                <w:rFonts w:hint="eastAsia"/>
                <w:color w:val="auto"/>
                <w:lang w:val="en-US" w:eastAsia="zh-CN"/>
              </w:rPr>
              <w:t>0</w:t>
            </w:r>
            <w:r>
              <w:rPr>
                <w:color w:val="auto"/>
              </w:rPr>
              <w:t xml:space="preserve">  </w:t>
            </w:r>
            <w:r>
              <w:rPr>
                <w:rFonts w:hint="eastAsia"/>
                <w:color w:val="auto"/>
              </w:rPr>
              <w:t>泥浆</w:t>
            </w:r>
            <w:r>
              <w:rPr>
                <w:color w:val="auto"/>
              </w:rPr>
              <w:t>不落地处理系统工艺流程</w:t>
            </w:r>
          </w:p>
          <w:p>
            <w:pPr>
              <w:pStyle w:val="4"/>
              <w:rPr>
                <w:color w:val="auto"/>
              </w:rPr>
            </w:pPr>
            <w:r>
              <w:rPr>
                <w:color w:val="auto"/>
              </w:rPr>
              <w:t>固井是在已钻成的井眼内下入套管，然后在套管与井壁之间环空内注入水泥浆将套管和地层固结在一起的工艺过程，可防止复杂情况以保证安全继续钻进下一段井眼或保证顺利开采生产层中的油、气。</w:t>
            </w:r>
          </w:p>
          <w:p>
            <w:pPr>
              <w:pStyle w:val="4"/>
              <w:rPr>
                <w:color w:val="auto"/>
              </w:rPr>
            </w:pPr>
            <w:r>
              <w:rPr>
                <w:color w:val="auto"/>
              </w:rPr>
              <w:t>固井工程包括下套管和注水泥两个过程。下套管就是在已经钻成的井眼中按规定深度下入一定直径、由某种或几种不同钢级及壁厚的套管组成的套管柱。注水泥就是在地面上将水泥浆通过套管柱注入到井眼与套管柱之间的环形空间中的过程。固井的主要目的是封隔疏松的易塌、易漏地层；封隔油、气、水层，防止互相窜漏。固井作业的主要设备有水泥搅拌机、下灰罐车、混合漏斗和其他附属安全放喷设备等。</w:t>
            </w:r>
          </w:p>
          <w:p>
            <w:pPr>
              <w:pStyle w:val="4"/>
              <w:rPr>
                <w:color w:val="auto"/>
              </w:rPr>
            </w:pPr>
            <w:r>
              <w:rPr>
                <w:color w:val="auto"/>
              </w:rPr>
              <w:t>另外，现场施工前根据实际情况要作水泥浆配方及性能复核试验，同时，如果是钻进中井漏严重，则应考虑采用双凝水泥浆体系固井，从而提高固井质量，防止因为井漏事故造成地下水环境污染。</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2 试油作业</w:t>
            </w:r>
          </w:p>
          <w:p>
            <w:pPr>
              <w:pStyle w:val="4"/>
              <w:rPr>
                <w:color w:val="auto"/>
              </w:rPr>
            </w:pPr>
            <w:r>
              <w:rPr>
                <w:color w:val="auto"/>
              </w:rPr>
              <w:t>试油就是利用专用的设备和方法，对通过地震勘察、钻井录井、测井等间接手段初步确定的可能含油（气）层位进行直接的测试，并取得目的层的产能、压力、温度、油气水性质以及地质资料的工艺过程。试油作业流程见图2</w:t>
            </w:r>
            <w:r>
              <w:rPr>
                <w:rFonts w:hint="eastAsia"/>
                <w:color w:val="auto"/>
              </w:rPr>
              <w:t>-</w:t>
            </w:r>
            <w:r>
              <w:rPr>
                <w:color w:val="auto"/>
              </w:rPr>
              <w:t>1</w:t>
            </w:r>
            <w:r>
              <w:rPr>
                <w:rFonts w:hint="eastAsia"/>
                <w:color w:val="auto"/>
                <w:lang w:val="en-US" w:eastAsia="zh-CN"/>
              </w:rPr>
              <w:t>1</w:t>
            </w:r>
            <w:r>
              <w:rPr>
                <w:color w:val="auto"/>
              </w:rPr>
              <w:t>。</w:t>
            </w:r>
          </w:p>
          <w:p>
            <w:pPr>
              <w:spacing w:line="360" w:lineRule="auto"/>
              <w:ind w:firstLine="480" w:firstLineChars="200"/>
              <w:rPr>
                <w:color w:val="auto"/>
              </w:rPr>
            </w:pPr>
            <w:r>
              <w:rPr>
                <w:color w:val="auto"/>
              </w:rPr>
              <w:object>
                <v:shape id="_x0000_i1025" o:spt="75" type="#_x0000_t75" style="height:196.4pt;width:268.4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pPr>
              <w:pStyle w:val="27"/>
              <w:keepNext w:val="0"/>
              <w:keepLines w:val="0"/>
              <w:pageBreakBefore w:val="0"/>
              <w:widowControl w:val="0"/>
              <w:kinsoku/>
              <w:wordWrap/>
              <w:overflowPunct w:val="0"/>
              <w:topLinePunct w:val="0"/>
              <w:autoSpaceDE/>
              <w:autoSpaceDN/>
              <w:bidi w:val="0"/>
              <w:adjustRightInd w:val="0"/>
              <w:snapToGrid w:val="0"/>
              <w:spacing w:after="157" w:afterLines="50"/>
              <w:textAlignment w:val="auto"/>
              <w:rPr>
                <w:color w:val="auto"/>
              </w:rPr>
            </w:pPr>
            <w:r>
              <w:rPr>
                <w:color w:val="auto"/>
              </w:rPr>
              <w:t>图2-1</w:t>
            </w:r>
            <w:r>
              <w:rPr>
                <w:rFonts w:hint="eastAsia"/>
                <w:color w:val="auto"/>
                <w:lang w:val="en-US" w:eastAsia="zh-CN"/>
              </w:rPr>
              <w:t>1</w:t>
            </w:r>
            <w:r>
              <w:rPr>
                <w:color w:val="auto"/>
              </w:rPr>
              <w:t xml:space="preserve">    试油作业流程及产污节点图</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 地貌恢复</w:t>
            </w:r>
          </w:p>
          <w:p>
            <w:pPr>
              <w:pStyle w:val="4"/>
              <w:rPr>
                <w:color w:val="auto"/>
                <w:kern w:val="0"/>
              </w:rPr>
            </w:pPr>
            <w:r>
              <w:rPr>
                <w:color w:val="auto"/>
              </w:rPr>
              <w:t>完井后如获工业油流，井口装采油树进行试采；如未获工业油流，则打水泥塞封套管，恢复地貌。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410" w:type="pct"/>
            <w:noWrap w:val="0"/>
            <w:vAlign w:val="center"/>
          </w:tcPr>
          <w:p>
            <w:pPr>
              <w:rPr>
                <w:color w:val="auto"/>
                <w:kern w:val="0"/>
              </w:rPr>
            </w:pPr>
            <w:r>
              <w:rPr>
                <w:color w:val="auto"/>
                <w:kern w:val="0"/>
              </w:rPr>
              <w:t>其他</w:t>
            </w:r>
          </w:p>
        </w:tc>
        <w:tc>
          <w:tcPr>
            <w:tcW w:w="4589" w:type="pct"/>
            <w:noWrap w:val="0"/>
            <w:vAlign w:val="center"/>
          </w:tcPr>
          <w:p>
            <w:pPr>
              <w:overflowPunct w:val="0"/>
              <w:adjustRightInd/>
              <w:spacing w:line="360" w:lineRule="auto"/>
              <w:ind w:firstLine="480" w:firstLineChars="200"/>
              <w:jc w:val="left"/>
              <w:rPr>
                <w:rFonts w:hint="default" w:ascii="Times New Roman" w:hAnsi="Times New Roman" w:eastAsia="宋体" w:cs="Times New Roman"/>
                <w:color w:val="auto"/>
                <w:kern w:val="2"/>
                <w:sz w:val="24"/>
                <w:szCs w:val="24"/>
                <w:lang w:val="en-US" w:eastAsia="zh-CN" w:bidi="ar-SA"/>
              </w:rPr>
            </w:pPr>
            <w:bookmarkStart w:id="35" w:name="_Hlk85557728"/>
            <w:bookmarkStart w:id="36" w:name="_Hlk68138359"/>
          </w:p>
          <w:p>
            <w:pPr>
              <w:overflowPunct w:val="0"/>
              <w:adjustRightInd/>
              <w:spacing w:line="360" w:lineRule="auto"/>
              <w:ind w:firstLine="480" w:firstLineChars="200"/>
              <w:jc w:val="left"/>
              <w:rPr>
                <w:rFonts w:hint="default" w:ascii="Times New Roman" w:hAnsi="Times New Roman" w:eastAsia="宋体" w:cs="Times New Roman"/>
                <w:color w:val="auto"/>
                <w:kern w:val="2"/>
                <w:sz w:val="24"/>
                <w:szCs w:val="24"/>
                <w:lang w:val="en-US" w:eastAsia="zh-CN" w:bidi="ar-SA"/>
              </w:rPr>
            </w:pPr>
          </w:p>
          <w:p>
            <w:pPr>
              <w:overflowPunct w:val="0"/>
              <w:adjustRightInd/>
              <w:spacing w:line="360" w:lineRule="auto"/>
              <w:ind w:firstLine="480" w:firstLineChars="20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工程占地</w:t>
            </w:r>
            <w:r>
              <w:rPr>
                <w:rFonts w:hint="eastAsia" w:cs="Times New Roman"/>
                <w:color w:val="auto"/>
                <w:kern w:val="2"/>
                <w:sz w:val="24"/>
                <w:szCs w:val="24"/>
                <w:lang w:val="en-US" w:eastAsia="zh-CN" w:bidi="ar-SA"/>
              </w:rPr>
              <w:t>主要</w:t>
            </w:r>
            <w:r>
              <w:rPr>
                <w:rFonts w:hint="default" w:ascii="Times New Roman" w:hAnsi="Times New Roman" w:eastAsia="宋体" w:cs="Times New Roman"/>
                <w:color w:val="auto"/>
                <w:kern w:val="2"/>
                <w:sz w:val="24"/>
                <w:szCs w:val="24"/>
                <w:lang w:val="en-US" w:eastAsia="zh-CN" w:bidi="ar-SA"/>
              </w:rPr>
              <w:t>包括井场、生活营地和临时道路，均为临时占地</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占地类型为</w:t>
            </w:r>
            <w:r>
              <w:rPr>
                <w:rFonts w:hint="eastAsia" w:cs="Times New Roman"/>
                <w:color w:val="auto"/>
                <w:kern w:val="2"/>
                <w:sz w:val="24"/>
                <w:szCs w:val="24"/>
                <w:lang w:val="en-US" w:eastAsia="zh-CN" w:bidi="ar-SA"/>
              </w:rPr>
              <w:t>戈壁</w:t>
            </w:r>
            <w:r>
              <w:rPr>
                <w:rFonts w:hint="default" w:ascii="Times New Roman" w:hAnsi="Times New Roman" w:eastAsia="宋体" w:cs="Times New Roman"/>
                <w:color w:val="auto"/>
                <w:kern w:val="2"/>
                <w:sz w:val="24"/>
                <w:szCs w:val="24"/>
                <w:lang w:val="en-US" w:eastAsia="zh-CN" w:bidi="ar-SA"/>
              </w:rPr>
              <w:t>。本项目临时占地</w:t>
            </w:r>
            <w:r>
              <w:rPr>
                <w:rFonts w:hint="eastAsia" w:ascii="Times New Roman" w:hAnsi="Times New Roman" w:eastAsia="宋体" w:cs="Times New Roman"/>
                <w:color w:val="auto"/>
                <w:kern w:val="2"/>
                <w:sz w:val="24"/>
                <w:szCs w:val="24"/>
                <w:lang w:val="en-US" w:eastAsia="zh-CN" w:bidi="ar-SA"/>
              </w:rPr>
              <w:t>合计</w:t>
            </w:r>
            <w:r>
              <w:rPr>
                <w:rFonts w:hint="eastAsia" w:cs="Times New Roman"/>
                <w:color w:val="auto"/>
                <w:kern w:val="2"/>
                <w:sz w:val="24"/>
                <w:szCs w:val="24"/>
                <w:lang w:val="en-US" w:eastAsia="zh-CN" w:bidi="ar-SA"/>
              </w:rPr>
              <w:t>10740</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，占地面积情况见表2-11。</w:t>
            </w:r>
          </w:p>
          <w:p>
            <w:pPr>
              <w:overflowPunct w:val="0"/>
              <w:adjustRightInd/>
              <w:ind w:firstLine="422" w:firstLineChars="200"/>
              <w:rPr>
                <w:rFonts w:ascii="宋体" w:hAnsi="宋体"/>
                <w:b/>
                <w:color w:val="auto"/>
                <w:sz w:val="21"/>
                <w:szCs w:val="21"/>
              </w:rPr>
            </w:pPr>
            <w:r>
              <w:rPr>
                <w:rFonts w:ascii="宋体" w:hAnsi="宋体"/>
                <w:b/>
                <w:color w:val="auto"/>
                <w:sz w:val="21"/>
                <w:szCs w:val="21"/>
              </w:rPr>
              <w:t>表</w:t>
            </w:r>
            <w:r>
              <w:rPr>
                <w:b/>
                <w:color w:val="auto"/>
                <w:sz w:val="21"/>
                <w:szCs w:val="21"/>
              </w:rPr>
              <w:t>2</w:t>
            </w:r>
            <w:r>
              <w:rPr>
                <w:rFonts w:hint="eastAsia"/>
                <w:b/>
                <w:color w:val="auto"/>
                <w:sz w:val="21"/>
                <w:szCs w:val="21"/>
              </w:rPr>
              <w:t>-</w:t>
            </w:r>
            <w:r>
              <w:rPr>
                <w:b/>
                <w:color w:val="auto"/>
                <w:sz w:val="21"/>
                <w:szCs w:val="21"/>
              </w:rPr>
              <w:t>1</w:t>
            </w:r>
            <w:r>
              <w:rPr>
                <w:rFonts w:hint="eastAsia"/>
                <w:b/>
                <w:color w:val="auto"/>
                <w:sz w:val="21"/>
                <w:szCs w:val="21"/>
                <w:lang w:val="en-US" w:eastAsia="zh-CN"/>
              </w:rPr>
              <w:t>1</w:t>
            </w:r>
            <w:r>
              <w:rPr>
                <w:b/>
                <w:color w:val="auto"/>
                <w:sz w:val="21"/>
                <w:szCs w:val="21"/>
              </w:rPr>
              <w:t xml:space="preserve">  </w:t>
            </w:r>
            <w:r>
              <w:rPr>
                <w:rFonts w:ascii="宋体" w:hAnsi="宋体"/>
                <w:b/>
                <w:color w:val="auto"/>
                <w:sz w:val="21"/>
                <w:szCs w:val="21"/>
              </w:rPr>
              <w:t>项目占地情况一览表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19"/>
              <w:gridCol w:w="1620"/>
              <w:gridCol w:w="1620"/>
              <w:gridCol w:w="16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bookmarkStart w:id="37" w:name="RANGE!K6"/>
                  <w:r>
                    <w:rPr>
                      <w:rFonts w:hint="default" w:ascii="Times New Roman" w:hAnsi="Times New Roman" w:cs="Times New Roman"/>
                      <w:color w:val="auto"/>
                      <w:kern w:val="0"/>
                      <w:sz w:val="21"/>
                      <w:szCs w:val="21"/>
                    </w:rPr>
                    <w:t>井</w:t>
                  </w:r>
                  <w:bookmarkEnd w:id="37"/>
                  <w:r>
                    <w:rPr>
                      <w:rFonts w:hint="default" w:ascii="Times New Roman" w:hAnsi="Times New Roman" w:cs="Times New Roman"/>
                      <w:color w:val="auto"/>
                      <w:kern w:val="0"/>
                      <w:sz w:val="21"/>
                      <w:szCs w:val="21"/>
                    </w:rPr>
                    <w:t>号</w:t>
                  </w:r>
                </w:p>
              </w:tc>
              <w:tc>
                <w:tcPr>
                  <w:tcW w:w="1619"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tc>
              <w:tc>
                <w:tcPr>
                  <w:tcW w:w="1620"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临时占地（m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w:t>
                  </w:r>
                </w:p>
              </w:tc>
              <w:tc>
                <w:tcPr>
                  <w:tcW w:w="1620"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用地类型</w:t>
                  </w:r>
                </w:p>
              </w:tc>
              <w:tc>
                <w:tcPr>
                  <w:tcW w:w="1620"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shd w:val="clear" w:color="auto" w:fill="auto"/>
                  <w:noWrap w:val="0"/>
                  <w:vAlign w:val="center"/>
                </w:tcPr>
                <w:p>
                  <w:pPr>
                    <w:widowControl/>
                    <w:adjustRightInd/>
                    <w:snapToGrid/>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沙帐1</w:t>
                  </w:r>
                  <w:r>
                    <w:rPr>
                      <w:rFonts w:hint="default" w:ascii="Times New Roman" w:hAnsi="Times New Roman" w:cs="Times New Roman"/>
                      <w:color w:val="auto"/>
                      <w:kern w:val="0"/>
                      <w:sz w:val="21"/>
                      <w:szCs w:val="21"/>
                      <w:lang w:val="en-US" w:eastAsia="zh-CN"/>
                    </w:rPr>
                    <w:t>井</w:t>
                  </w:r>
                </w:p>
              </w:tc>
              <w:tc>
                <w:tcPr>
                  <w:tcW w:w="1619"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井场</w:t>
                  </w:r>
                </w:p>
              </w:tc>
              <w:tc>
                <w:tcPr>
                  <w:tcW w:w="1620" w:type="dxa"/>
                  <w:shd w:val="clear" w:color="auto" w:fill="auto"/>
                  <w:noWrap w:val="0"/>
                  <w:vAlign w:val="center"/>
                </w:tcPr>
                <w:p>
                  <w:pPr>
                    <w:widowControl/>
                    <w:adjustRightInd/>
                    <w:snapToGrid/>
                    <w:rPr>
                      <w:rFonts w:hint="default" w:ascii="Times New Roman" w:hAnsi="Times New Roman" w:eastAsia="等线" w:cs="Times New Roman"/>
                      <w:color w:val="auto"/>
                      <w:kern w:val="0"/>
                      <w:sz w:val="21"/>
                      <w:szCs w:val="21"/>
                    </w:rPr>
                  </w:pPr>
                  <w:r>
                    <w:rPr>
                      <w:rFonts w:hint="eastAsia" w:eastAsia="等线" w:cs="Times New Roman"/>
                      <w:color w:val="auto"/>
                      <w:kern w:val="0"/>
                      <w:sz w:val="21"/>
                      <w:szCs w:val="21"/>
                      <w:lang w:val="en-US" w:eastAsia="zh-CN"/>
                    </w:rPr>
                    <w:t>7200</w:t>
                  </w:r>
                </w:p>
              </w:tc>
              <w:tc>
                <w:tcPr>
                  <w:tcW w:w="1620" w:type="dxa"/>
                  <w:vMerge w:val="restart"/>
                  <w:shd w:val="clear" w:color="auto" w:fill="auto"/>
                  <w:noWrap w:val="0"/>
                  <w:vAlign w:val="center"/>
                </w:tcPr>
                <w:p>
                  <w:pPr>
                    <w:widowControl/>
                    <w:adjustRightInd/>
                    <w:snapToGrid/>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戈壁</w:t>
                  </w:r>
                </w:p>
              </w:tc>
              <w:tc>
                <w:tcPr>
                  <w:tcW w:w="1620" w:type="dxa"/>
                  <w:shd w:val="clear" w:color="auto" w:fill="auto"/>
                  <w:noWrap w:val="0"/>
                  <w:vAlign w:val="center"/>
                </w:tcPr>
                <w:p>
                  <w:pPr>
                    <w:widowControl/>
                    <w:adjustRightInd/>
                    <w:snapToGrid/>
                    <w:rPr>
                      <w:rFonts w:hint="eastAsia" w:ascii="Times New Roman" w:hAnsi="Times New Roman" w:eastAsia="等线" w:cs="Times New Roman"/>
                      <w:color w:val="auto"/>
                      <w:kern w:val="0"/>
                      <w:sz w:val="21"/>
                      <w:szCs w:val="21"/>
                      <w:lang w:val="en-US" w:eastAsia="zh-CN"/>
                    </w:rPr>
                  </w:pPr>
                  <w:r>
                    <w:rPr>
                      <w:rFonts w:hint="eastAsia" w:cs="Times New Roman"/>
                      <w:color w:val="auto"/>
                      <w:kern w:val="0"/>
                      <w:sz w:val="21"/>
                      <w:szCs w:val="21"/>
                      <w:lang w:val="en-US" w:eastAsia="zh-CN"/>
                    </w:rPr>
                    <w:t>9</w:t>
                  </w:r>
                  <w:r>
                    <w:rPr>
                      <w:rFonts w:hint="default" w:ascii="Times New Roman" w:hAnsi="Times New Roman" w:eastAsia="宋体" w:cs="Times New Roman"/>
                      <w:color w:val="auto"/>
                      <w:kern w:val="0"/>
                      <w:sz w:val="21"/>
                      <w:szCs w:val="21"/>
                    </w:rPr>
                    <w:t>0m</w:t>
                  </w:r>
                  <w:r>
                    <w:rPr>
                      <w:rFonts w:hint="eastAsia"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8</w:t>
                  </w:r>
                  <w:r>
                    <w:rPr>
                      <w:rFonts w:hint="eastAsia"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shd w:val="clear" w:color="auto" w:fill="auto"/>
                  <w:noWrap w:val="0"/>
                  <w:vAlign w:val="center"/>
                </w:tcPr>
                <w:p>
                  <w:pPr>
                    <w:widowControl/>
                    <w:adjustRightInd/>
                    <w:snapToGrid/>
                    <w:rPr>
                      <w:rFonts w:hint="default" w:ascii="Times New Roman" w:hAnsi="Times New Roman" w:cs="Times New Roman"/>
                      <w:color w:val="auto"/>
                      <w:kern w:val="0"/>
                      <w:sz w:val="21"/>
                      <w:szCs w:val="21"/>
                    </w:rPr>
                  </w:pPr>
                </w:p>
              </w:tc>
              <w:tc>
                <w:tcPr>
                  <w:tcW w:w="1619"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道路</w:t>
                  </w:r>
                </w:p>
              </w:tc>
              <w:tc>
                <w:tcPr>
                  <w:tcW w:w="1620" w:type="dxa"/>
                  <w:shd w:val="clear" w:color="auto" w:fill="auto"/>
                  <w:noWrap w:val="0"/>
                  <w:vAlign w:val="center"/>
                </w:tcPr>
                <w:p>
                  <w:pPr>
                    <w:widowControl/>
                    <w:adjustRightInd/>
                    <w:snapToGrid/>
                    <w:rPr>
                      <w:rFonts w:hint="default" w:ascii="Times New Roman" w:hAnsi="Times New Roman" w:eastAsia="等线" w:cs="Times New Roman"/>
                      <w:color w:val="auto"/>
                      <w:kern w:val="0"/>
                      <w:sz w:val="21"/>
                      <w:szCs w:val="21"/>
                      <w:lang w:val="en-US" w:eastAsia="zh-CN"/>
                    </w:rPr>
                  </w:pPr>
                  <w:r>
                    <w:rPr>
                      <w:rFonts w:hint="eastAsia" w:eastAsia="等线" w:cs="Times New Roman"/>
                      <w:color w:val="auto"/>
                      <w:kern w:val="0"/>
                      <w:sz w:val="21"/>
                      <w:szCs w:val="21"/>
                      <w:lang w:val="en-US" w:eastAsia="zh-CN"/>
                    </w:rPr>
                    <w:t>1540</w:t>
                  </w:r>
                </w:p>
              </w:tc>
              <w:tc>
                <w:tcPr>
                  <w:tcW w:w="1620" w:type="dxa"/>
                  <w:vMerge w:val="continue"/>
                  <w:shd w:val="clear" w:color="auto" w:fill="auto"/>
                  <w:noWrap w:val="0"/>
                  <w:vAlign w:val="center"/>
                </w:tcPr>
                <w:p>
                  <w:pPr>
                    <w:widowControl/>
                    <w:adjustRightInd/>
                    <w:snapToGrid/>
                    <w:rPr>
                      <w:rFonts w:hint="default" w:ascii="Times New Roman" w:hAnsi="Times New Roman" w:cs="Times New Roman"/>
                      <w:color w:val="auto"/>
                      <w:kern w:val="0"/>
                      <w:sz w:val="21"/>
                      <w:szCs w:val="21"/>
                    </w:rPr>
                  </w:pPr>
                </w:p>
              </w:tc>
              <w:tc>
                <w:tcPr>
                  <w:tcW w:w="1620"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宽度7m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shd w:val="clear" w:color="auto" w:fill="auto"/>
                  <w:noWrap w:val="0"/>
                  <w:vAlign w:val="center"/>
                </w:tcPr>
                <w:p>
                  <w:pPr>
                    <w:widowControl/>
                    <w:adjustRightInd/>
                    <w:snapToGrid/>
                    <w:rPr>
                      <w:rFonts w:hint="default" w:ascii="Times New Roman" w:hAnsi="Times New Roman" w:cs="Times New Roman"/>
                      <w:color w:val="auto"/>
                      <w:kern w:val="0"/>
                      <w:sz w:val="21"/>
                      <w:szCs w:val="21"/>
                    </w:rPr>
                  </w:pPr>
                </w:p>
              </w:tc>
              <w:tc>
                <w:tcPr>
                  <w:tcW w:w="1619"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生活营地</w:t>
                  </w:r>
                </w:p>
              </w:tc>
              <w:tc>
                <w:tcPr>
                  <w:tcW w:w="1620" w:type="dxa"/>
                  <w:shd w:val="clear" w:color="auto" w:fill="auto"/>
                  <w:noWrap w:val="0"/>
                  <w:vAlign w:val="center"/>
                </w:tcPr>
                <w:p>
                  <w:pPr>
                    <w:widowControl/>
                    <w:adjustRightInd/>
                    <w:snapToGrid/>
                    <w:rPr>
                      <w:rFonts w:hint="default" w:ascii="Times New Roman" w:hAnsi="Times New Roman" w:eastAsia="等线" w:cs="Times New Roman"/>
                      <w:color w:val="auto"/>
                      <w:kern w:val="0"/>
                      <w:sz w:val="21"/>
                      <w:szCs w:val="21"/>
                    </w:rPr>
                  </w:pPr>
                  <w:r>
                    <w:rPr>
                      <w:rFonts w:hint="eastAsia" w:eastAsia="等线" w:cs="Times New Roman"/>
                      <w:color w:val="auto"/>
                      <w:kern w:val="0"/>
                      <w:sz w:val="21"/>
                      <w:szCs w:val="21"/>
                      <w:lang w:val="en-US" w:eastAsia="zh-CN"/>
                    </w:rPr>
                    <w:t>20</w:t>
                  </w:r>
                  <w:r>
                    <w:rPr>
                      <w:rFonts w:hint="default" w:ascii="Times New Roman" w:hAnsi="Times New Roman" w:eastAsia="等线" w:cs="Times New Roman"/>
                      <w:color w:val="auto"/>
                      <w:kern w:val="0"/>
                      <w:sz w:val="21"/>
                      <w:szCs w:val="21"/>
                    </w:rPr>
                    <w:t>00</w:t>
                  </w:r>
                </w:p>
              </w:tc>
              <w:tc>
                <w:tcPr>
                  <w:tcW w:w="1620" w:type="dxa"/>
                  <w:vMerge w:val="continue"/>
                  <w:shd w:val="clear" w:color="auto" w:fill="auto"/>
                  <w:noWrap w:val="0"/>
                  <w:vAlign w:val="center"/>
                </w:tcPr>
                <w:p>
                  <w:pPr>
                    <w:widowControl/>
                    <w:adjustRightInd/>
                    <w:snapToGrid/>
                    <w:rPr>
                      <w:rFonts w:hint="default" w:ascii="Times New Roman" w:hAnsi="Times New Roman" w:cs="Times New Roman"/>
                      <w:color w:val="auto"/>
                      <w:kern w:val="0"/>
                      <w:sz w:val="21"/>
                      <w:szCs w:val="21"/>
                    </w:rPr>
                  </w:pPr>
                </w:p>
              </w:tc>
              <w:tc>
                <w:tcPr>
                  <w:tcW w:w="1620" w:type="dxa"/>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0m</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40</w:t>
                  </w:r>
                  <w:r>
                    <w:rPr>
                      <w:rFonts w:hint="default" w:ascii="Times New Roman" w:hAnsi="Times New Roman" w:eastAsia="宋体" w:cs="Times New Roman"/>
                      <w:color w:val="auto"/>
                      <w:kern w:val="0"/>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39" w:type="dxa"/>
                  <w:gridSpan w:val="2"/>
                  <w:shd w:val="clear" w:color="auto" w:fill="auto"/>
                  <w:noWrap w:val="0"/>
                  <w:vAlign w:val="center"/>
                </w:tcPr>
                <w:p>
                  <w:pPr>
                    <w:widowControl/>
                    <w:adjustRightInd/>
                    <w:snapToGrid/>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合计</w:t>
                  </w:r>
                </w:p>
              </w:tc>
              <w:tc>
                <w:tcPr>
                  <w:tcW w:w="1620" w:type="dxa"/>
                  <w:shd w:val="clear" w:color="auto" w:fill="auto"/>
                  <w:noWrap w:val="0"/>
                  <w:vAlign w:val="center"/>
                </w:tcPr>
                <w:p>
                  <w:pPr>
                    <w:widowControl/>
                    <w:adjustRightInd/>
                    <w:snapToGrid/>
                    <w:rPr>
                      <w:rFonts w:hint="default" w:ascii="Times New Roman" w:hAnsi="Times New Roman" w:eastAsia="等线" w:cs="Times New Roman"/>
                      <w:color w:val="auto"/>
                      <w:kern w:val="0"/>
                      <w:sz w:val="21"/>
                      <w:szCs w:val="21"/>
                      <w:lang w:val="en-US" w:eastAsia="zh-CN"/>
                    </w:rPr>
                  </w:pPr>
                  <w:r>
                    <w:rPr>
                      <w:rFonts w:hint="eastAsia" w:eastAsia="等线" w:cs="Times New Roman"/>
                      <w:color w:val="auto"/>
                      <w:kern w:val="0"/>
                      <w:sz w:val="21"/>
                      <w:szCs w:val="21"/>
                      <w:lang w:val="en-US" w:eastAsia="zh-CN"/>
                    </w:rPr>
                    <w:t>10740</w:t>
                  </w:r>
                </w:p>
              </w:tc>
              <w:tc>
                <w:tcPr>
                  <w:tcW w:w="3240" w:type="dxa"/>
                  <w:gridSpan w:val="2"/>
                  <w:shd w:val="clear" w:color="auto" w:fill="auto"/>
                  <w:noWrap w:val="0"/>
                  <w:vAlign w:val="center"/>
                </w:tcPr>
                <w:p>
                  <w:pPr>
                    <w:widowControl/>
                    <w:adjustRightInd/>
                    <w:snapToGrid/>
                    <w:rPr>
                      <w:rFonts w:hint="default" w:ascii="Times New Roman" w:hAnsi="Times New Roman" w:eastAsia="等线" w:cs="Times New Roman"/>
                      <w:color w:val="auto"/>
                      <w:kern w:val="0"/>
                      <w:sz w:val="21"/>
                      <w:szCs w:val="21"/>
                    </w:rPr>
                  </w:pPr>
                  <w:r>
                    <w:rPr>
                      <w:rFonts w:hint="default" w:ascii="Times New Roman" w:hAnsi="Times New Roman" w:eastAsia="等线" w:cs="Times New Roman"/>
                      <w:color w:val="auto"/>
                      <w:kern w:val="0"/>
                      <w:sz w:val="21"/>
                      <w:szCs w:val="21"/>
                    </w:rPr>
                    <w:t>/</w:t>
                  </w:r>
                </w:p>
              </w:tc>
            </w:tr>
            <w:bookmarkEnd w:id="35"/>
            <w:bookmarkEnd w:id="36"/>
          </w:tbl>
          <w:p>
            <w:pPr>
              <w:jc w:val="both"/>
              <w:rPr>
                <w:rFonts w:hint="eastAsia"/>
                <w:color w:val="auto"/>
              </w:rPr>
            </w:pPr>
          </w:p>
          <w:p>
            <w:pPr>
              <w:jc w:val="both"/>
              <w:rPr>
                <w:rFonts w:hint="eastAsia"/>
                <w:color w:val="auto"/>
              </w:rPr>
            </w:pPr>
          </w:p>
          <w:p>
            <w:pPr>
              <w:jc w:val="both"/>
              <w:rPr>
                <w:rFonts w:hint="eastAsia"/>
                <w:color w:val="auto"/>
              </w:rPr>
            </w:pPr>
          </w:p>
          <w:p>
            <w:pPr>
              <w:jc w:val="both"/>
              <w:rPr>
                <w:rFonts w:hint="eastAsia"/>
                <w:color w:val="auto"/>
              </w:rPr>
            </w:pPr>
          </w:p>
          <w:p>
            <w:pPr>
              <w:jc w:val="both"/>
              <w:rPr>
                <w:rFonts w:hint="eastAsia"/>
                <w:color w:val="auto"/>
              </w:rPr>
            </w:pPr>
          </w:p>
        </w:tc>
      </w:tr>
    </w:tbl>
    <w:p>
      <w:pPr>
        <w:pStyle w:val="15"/>
        <w:jc w:val="center"/>
        <w:outlineLvl w:val="0"/>
        <w:rPr>
          <w:rFonts w:ascii="Times New Roman" w:hAnsi="Times New Roman" w:eastAsia="黑体"/>
          <w:snapToGrid w:val="0"/>
          <w:color w:val="auto"/>
          <w:sz w:val="30"/>
          <w:szCs w:val="30"/>
        </w:rPr>
      </w:pPr>
      <w:r>
        <w:rPr>
          <w:rFonts w:ascii="Times New Roman" w:hAnsi="Times New Roman" w:eastAsia="仿宋_GB2312"/>
          <w:b/>
          <w:bCs/>
          <w:color w:val="auto"/>
        </w:rPr>
        <w:br w:type="page"/>
      </w:r>
      <w:r>
        <w:rPr>
          <w:rFonts w:ascii="Times New Roman" w:hAnsi="Times New Roman" w:eastAsia="黑体"/>
          <w:snapToGrid w:val="0"/>
          <w:color w:val="auto"/>
          <w:sz w:val="30"/>
          <w:szCs w:val="30"/>
        </w:rPr>
        <w:t>三、生态环境现状、保护目标及评价标准</w:t>
      </w:r>
    </w:p>
    <w:tbl>
      <w:tblPr>
        <w:tblStyle w:val="17"/>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8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724" w:type="dxa"/>
            <w:noWrap w:val="0"/>
            <w:vAlign w:val="center"/>
          </w:tcPr>
          <w:p>
            <w:pPr>
              <w:rPr>
                <w:color w:val="auto"/>
                <w:kern w:val="0"/>
                <w:szCs w:val="21"/>
              </w:rPr>
            </w:pPr>
            <w:r>
              <w:rPr>
                <w:color w:val="auto"/>
                <w:kern w:val="0"/>
                <w:szCs w:val="21"/>
              </w:rPr>
              <w:t>生态环境现状</w:t>
            </w:r>
          </w:p>
        </w:tc>
        <w:tc>
          <w:tcPr>
            <w:tcW w:w="8433" w:type="dxa"/>
            <w:noWrap w:val="0"/>
            <w:vAlign w:val="center"/>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bookmarkStart w:id="38" w:name="_Toc11891"/>
            <w:r>
              <w:rPr>
                <w:rFonts w:hint="default" w:ascii="Times New Roman" w:hAnsi="Times New Roman" w:eastAsia="宋体" w:cs="Times New Roman"/>
                <w:b/>
                <w:bCs/>
                <w:color w:val="auto"/>
                <w:sz w:val="28"/>
                <w:szCs w:val="28"/>
              </w:rPr>
              <w:t>1</w:t>
            </w:r>
            <w:r>
              <w:rPr>
                <w:rFonts w:hint="eastAsia"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rPr>
              <w:t>生态环境现状调查与评价</w:t>
            </w:r>
            <w:bookmarkEnd w:id="38"/>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rPr>
            </w:pPr>
            <w:r>
              <w:rPr>
                <w:color w:val="auto"/>
              </w:rPr>
              <w:t>1.1 生态系统调查与评价</w:t>
            </w:r>
          </w:p>
          <w:p>
            <w:pPr>
              <w:pStyle w:val="4"/>
              <w:rPr>
                <w:color w:val="auto"/>
              </w:rPr>
            </w:pPr>
            <w:r>
              <w:rPr>
                <w:rFonts w:hint="eastAsia"/>
                <w:color w:val="auto"/>
              </w:rPr>
              <w:t>根据《新疆生态功能区划》，项目所在区域属于Ⅱ</w:t>
            </w:r>
            <w:r>
              <w:rPr>
                <w:rFonts w:hint="eastAsia"/>
                <w:color w:val="auto"/>
                <w:lang w:val="en-US" w:eastAsia="zh-CN"/>
              </w:rPr>
              <w:t>准噶尔盆地温性荒漠与绿洲农业生态区</w:t>
            </w:r>
            <w:r>
              <w:rPr>
                <w:rFonts w:hint="eastAsia"/>
                <w:color w:val="auto"/>
              </w:rPr>
              <w:t>—Ⅱ</w:t>
            </w:r>
            <w:r>
              <w:rPr>
                <w:rFonts w:hint="eastAsia"/>
                <w:color w:val="auto"/>
                <w:lang w:val="en-US" w:eastAsia="zh-CN"/>
              </w:rPr>
              <w:t>4准噶尔盆地东部灌木荒漠野生动物保护生态亚区</w:t>
            </w:r>
            <w:r>
              <w:rPr>
                <w:rFonts w:hint="eastAsia"/>
                <w:color w:val="auto"/>
              </w:rPr>
              <w:t>—2</w:t>
            </w:r>
            <w:r>
              <w:rPr>
                <w:rFonts w:hint="eastAsia"/>
                <w:color w:val="auto"/>
                <w:lang w:val="en-US" w:eastAsia="zh-CN"/>
              </w:rPr>
              <w:t>4</w:t>
            </w:r>
            <w:r>
              <w:rPr>
                <w:rFonts w:hint="eastAsia" w:ascii="宋体" w:hAnsi="宋体"/>
                <w:color w:val="auto"/>
              </w:rPr>
              <w:t>将军戈壁硅化木及卡拉麦里有蹄类动物保护生态功能区</w:t>
            </w:r>
            <w:r>
              <w:rPr>
                <w:rFonts w:hint="eastAsia"/>
                <w:color w:val="auto"/>
              </w:rPr>
              <w:t>。其生态功能见表3-</w:t>
            </w:r>
            <w:r>
              <w:rPr>
                <w:color w:val="auto"/>
              </w:rPr>
              <w:t>1</w:t>
            </w:r>
            <w:r>
              <w:rPr>
                <w:rFonts w:hint="eastAsia"/>
                <w:color w:val="auto"/>
              </w:rPr>
              <w:t>，项目与新疆生态功能区划位置关系见图</w:t>
            </w:r>
            <w:r>
              <w:rPr>
                <w:color w:val="auto"/>
              </w:rPr>
              <w:t>3</w:t>
            </w:r>
            <w:r>
              <w:rPr>
                <w:rFonts w:hint="eastAsia"/>
                <w:color w:val="auto"/>
              </w:rPr>
              <w:t>-</w:t>
            </w:r>
            <w:r>
              <w:rPr>
                <w:color w:val="auto"/>
              </w:rPr>
              <w:t>1。</w:t>
            </w:r>
          </w:p>
          <w:p>
            <w:pPr>
              <w:pStyle w:val="27"/>
              <w:rPr>
                <w:color w:val="auto"/>
              </w:rPr>
            </w:pPr>
            <w:r>
              <w:rPr>
                <w:color w:val="auto"/>
              </w:rPr>
              <w:t>表3-1  项目所属生态功能区具体情况</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522"/>
              <w:gridCol w:w="5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Merge w:val="restart"/>
                  <w:shd w:val="clear" w:color="auto" w:fill="auto"/>
                  <w:noWrap w:val="0"/>
                  <w:vAlign w:val="center"/>
                </w:tcPr>
                <w:p>
                  <w:pPr>
                    <w:pStyle w:val="28"/>
                    <w:rPr>
                      <w:color w:val="auto"/>
                    </w:rPr>
                  </w:pPr>
                  <w:bookmarkStart w:id="39" w:name="_Hlk47367637"/>
                  <w:r>
                    <w:rPr>
                      <w:color w:val="auto"/>
                    </w:rPr>
                    <w:t>生态功能分区单元</w:t>
                  </w:r>
                </w:p>
              </w:tc>
              <w:tc>
                <w:tcPr>
                  <w:tcW w:w="925" w:type="pct"/>
                  <w:shd w:val="clear" w:color="auto" w:fill="auto"/>
                  <w:noWrap w:val="0"/>
                  <w:vAlign w:val="center"/>
                </w:tcPr>
                <w:p>
                  <w:pPr>
                    <w:pStyle w:val="28"/>
                    <w:rPr>
                      <w:color w:val="auto"/>
                    </w:rPr>
                  </w:pPr>
                  <w:r>
                    <w:rPr>
                      <w:color w:val="auto"/>
                    </w:rPr>
                    <w:t>生态区</w:t>
                  </w:r>
                </w:p>
              </w:tc>
              <w:tc>
                <w:tcPr>
                  <w:tcW w:w="3510" w:type="pct"/>
                  <w:shd w:val="clear" w:color="auto" w:fill="auto"/>
                  <w:noWrap w:val="0"/>
                  <w:vAlign w:val="center"/>
                </w:tcPr>
                <w:p>
                  <w:pPr>
                    <w:pStyle w:val="28"/>
                    <w:rPr>
                      <w:color w:val="auto"/>
                    </w:rPr>
                  </w:pPr>
                  <w:r>
                    <w:rPr>
                      <w:rFonts w:hint="eastAsia"/>
                      <w:color w:val="auto"/>
                    </w:rPr>
                    <w:t>Ⅱ</w:t>
                  </w:r>
                  <w:r>
                    <w:rPr>
                      <w:rFonts w:hint="eastAsia"/>
                      <w:color w:val="auto"/>
                      <w:lang w:val="en-US" w:eastAsia="zh-CN"/>
                    </w:rPr>
                    <w:t>准噶尔盆地温性荒漠与绿洲农业生态区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Merge w:val="continue"/>
                  <w:shd w:val="clear" w:color="auto" w:fill="auto"/>
                  <w:noWrap w:val="0"/>
                  <w:vAlign w:val="center"/>
                </w:tcPr>
                <w:p>
                  <w:pPr>
                    <w:pStyle w:val="28"/>
                    <w:rPr>
                      <w:color w:val="auto"/>
                    </w:rPr>
                  </w:pPr>
                </w:p>
              </w:tc>
              <w:tc>
                <w:tcPr>
                  <w:tcW w:w="925" w:type="pct"/>
                  <w:shd w:val="clear" w:color="auto" w:fill="auto"/>
                  <w:noWrap w:val="0"/>
                  <w:vAlign w:val="center"/>
                </w:tcPr>
                <w:p>
                  <w:pPr>
                    <w:pStyle w:val="28"/>
                    <w:rPr>
                      <w:color w:val="auto"/>
                    </w:rPr>
                  </w:pPr>
                  <w:r>
                    <w:rPr>
                      <w:color w:val="auto"/>
                    </w:rPr>
                    <w:t>生态亚区</w:t>
                  </w:r>
                </w:p>
              </w:tc>
              <w:tc>
                <w:tcPr>
                  <w:tcW w:w="3510" w:type="pct"/>
                  <w:shd w:val="clear" w:color="auto" w:fill="auto"/>
                  <w:noWrap w:val="0"/>
                  <w:vAlign w:val="center"/>
                </w:tcPr>
                <w:p>
                  <w:pPr>
                    <w:pStyle w:val="28"/>
                    <w:rPr>
                      <w:color w:val="auto"/>
                    </w:rPr>
                  </w:pPr>
                  <w:r>
                    <w:rPr>
                      <w:rFonts w:hint="eastAsia"/>
                      <w:color w:val="auto"/>
                    </w:rPr>
                    <w:t>Ⅱ</w:t>
                  </w:r>
                  <w:r>
                    <w:rPr>
                      <w:rFonts w:hint="eastAsia"/>
                      <w:color w:val="auto"/>
                      <w:lang w:val="en-US" w:eastAsia="zh-CN"/>
                    </w:rPr>
                    <w:t>4准噶尔盆地东部灌木荒漠野生动物保护生态亚区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63" w:type="pct"/>
                  <w:vMerge w:val="continue"/>
                  <w:shd w:val="clear" w:color="auto" w:fill="auto"/>
                  <w:noWrap w:val="0"/>
                  <w:vAlign w:val="center"/>
                </w:tcPr>
                <w:p>
                  <w:pPr>
                    <w:pStyle w:val="28"/>
                    <w:rPr>
                      <w:color w:val="auto"/>
                    </w:rPr>
                  </w:pPr>
                </w:p>
              </w:tc>
              <w:tc>
                <w:tcPr>
                  <w:tcW w:w="925" w:type="pct"/>
                  <w:shd w:val="clear" w:color="auto" w:fill="auto"/>
                  <w:noWrap w:val="0"/>
                  <w:vAlign w:val="center"/>
                </w:tcPr>
                <w:p>
                  <w:pPr>
                    <w:pStyle w:val="28"/>
                    <w:rPr>
                      <w:color w:val="auto"/>
                    </w:rPr>
                  </w:pPr>
                  <w:r>
                    <w:rPr>
                      <w:color w:val="auto"/>
                    </w:rPr>
                    <w:t>生态功能区</w:t>
                  </w:r>
                </w:p>
              </w:tc>
              <w:tc>
                <w:tcPr>
                  <w:tcW w:w="3510" w:type="pct"/>
                  <w:shd w:val="clear" w:color="auto" w:fill="auto"/>
                  <w:noWrap w:val="0"/>
                  <w:vAlign w:val="center"/>
                </w:tcPr>
                <w:p>
                  <w:pPr>
                    <w:pStyle w:val="28"/>
                    <w:rPr>
                      <w:color w:val="auto"/>
                    </w:rPr>
                  </w:pPr>
                  <w:r>
                    <w:rPr>
                      <w:rFonts w:hint="eastAsia"/>
                      <w:color w:val="auto"/>
                    </w:rPr>
                    <w:t>2</w:t>
                  </w:r>
                  <w:r>
                    <w:rPr>
                      <w:rFonts w:hint="eastAsia"/>
                      <w:color w:val="auto"/>
                      <w:lang w:val="en-US" w:eastAsia="zh-CN"/>
                    </w:rPr>
                    <w:t>4</w:t>
                  </w:r>
                  <w:r>
                    <w:rPr>
                      <w:rFonts w:hint="eastAsia" w:ascii="宋体" w:hAnsi="宋体"/>
                      <w:color w:val="auto"/>
                    </w:rPr>
                    <w:t>将军戈壁硅化木及卡拉麦里有蹄类动物保护生态功能区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隶属行政区</w:t>
                  </w:r>
                </w:p>
              </w:tc>
              <w:tc>
                <w:tcPr>
                  <w:tcW w:w="3510" w:type="pct"/>
                  <w:shd w:val="clear" w:color="auto" w:fill="auto"/>
                  <w:noWrap w:val="0"/>
                  <w:vAlign w:val="center"/>
                </w:tcPr>
                <w:p>
                  <w:pPr>
                    <w:pStyle w:val="28"/>
                    <w:rPr>
                      <w:color w:val="auto"/>
                    </w:rPr>
                  </w:pPr>
                  <w:r>
                    <w:rPr>
                      <w:rFonts w:hint="eastAsia"/>
                      <w:color w:val="auto"/>
                    </w:rPr>
                    <w:t>富蕴县、青河县、吉木萨尔县、奇台县、木垒县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主要生态服务功能</w:t>
                  </w:r>
                </w:p>
              </w:tc>
              <w:tc>
                <w:tcPr>
                  <w:tcW w:w="3510" w:type="pct"/>
                  <w:shd w:val="clear" w:color="auto" w:fill="auto"/>
                  <w:noWrap w:val="0"/>
                  <w:vAlign w:val="center"/>
                </w:tcPr>
                <w:p>
                  <w:pPr>
                    <w:pStyle w:val="28"/>
                    <w:rPr>
                      <w:color w:val="auto"/>
                    </w:rPr>
                  </w:pPr>
                  <w:r>
                    <w:rPr>
                      <w:rFonts w:hint="eastAsia" w:ascii="宋体" w:hAnsi="宋体"/>
                      <w:color w:val="auto"/>
                    </w:rPr>
                    <w:t>生物多样性和景观多样性维护、煤炭资源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主要生态环境问题</w:t>
                  </w:r>
                </w:p>
              </w:tc>
              <w:tc>
                <w:tcPr>
                  <w:tcW w:w="3510" w:type="pct"/>
                  <w:shd w:val="clear" w:color="auto" w:fill="auto"/>
                  <w:noWrap w:val="0"/>
                  <w:vAlign w:val="center"/>
                </w:tcPr>
                <w:p>
                  <w:pPr>
                    <w:pStyle w:val="28"/>
                    <w:rPr>
                      <w:color w:val="auto"/>
                    </w:rPr>
                  </w:pPr>
                  <w:r>
                    <w:rPr>
                      <w:rFonts w:hint="eastAsia" w:ascii="宋体" w:hAnsi="宋体"/>
                      <w:color w:val="auto"/>
                    </w:rPr>
                    <w:t>硅化木风化与偷盗破坏、野生动物生境破碎化、风蚀危害、煤炭自燃及开发造成生态破坏与环境污染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生态敏感因子敏感程度</w:t>
                  </w:r>
                </w:p>
              </w:tc>
              <w:tc>
                <w:tcPr>
                  <w:tcW w:w="3510" w:type="pct"/>
                  <w:shd w:val="clear" w:color="auto" w:fill="auto"/>
                  <w:noWrap w:val="0"/>
                  <w:vAlign w:val="center"/>
                </w:tcPr>
                <w:p>
                  <w:pPr>
                    <w:pStyle w:val="28"/>
                    <w:rPr>
                      <w:color w:val="auto"/>
                    </w:rPr>
                  </w:pPr>
                  <w:r>
                    <w:rPr>
                      <w:rFonts w:hint="eastAsia" w:ascii="宋体" w:hAnsi="宋体"/>
                      <w:color w:val="auto"/>
                    </w:rPr>
                    <w:t>生物多样性及其生境高度敏感，土壤侵蚀极度敏感，土地沙漠化、土壤盐渍化高度敏感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主要保护目标</w:t>
                  </w:r>
                </w:p>
              </w:tc>
              <w:tc>
                <w:tcPr>
                  <w:tcW w:w="3510" w:type="pct"/>
                  <w:shd w:val="clear" w:color="auto" w:fill="auto"/>
                  <w:noWrap w:val="0"/>
                  <w:vAlign w:val="center"/>
                </w:tcPr>
                <w:p>
                  <w:pPr>
                    <w:pStyle w:val="28"/>
                    <w:rPr>
                      <w:color w:val="auto"/>
                    </w:rPr>
                  </w:pPr>
                  <w:r>
                    <w:rPr>
                      <w:rFonts w:hint="eastAsia" w:ascii="宋体" w:hAnsi="宋体"/>
                      <w:color w:val="auto"/>
                    </w:rPr>
                    <w:t>保护硅化木林、保护野生动物、保护魔鬼城自然景观、保护煤炭资源、保护砾幕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主要保护措施</w:t>
                  </w:r>
                </w:p>
              </w:tc>
              <w:tc>
                <w:tcPr>
                  <w:tcW w:w="3510" w:type="pct"/>
                  <w:shd w:val="clear" w:color="auto" w:fill="auto"/>
                  <w:noWrap w:val="0"/>
                  <w:vAlign w:val="center"/>
                </w:tcPr>
                <w:p>
                  <w:pPr>
                    <w:pStyle w:val="28"/>
                    <w:rPr>
                      <w:color w:val="auto"/>
                    </w:rPr>
                  </w:pPr>
                  <w:r>
                    <w:rPr>
                      <w:rFonts w:hint="eastAsia" w:ascii="宋体" w:hAnsi="宋体"/>
                      <w:color w:val="auto"/>
                    </w:rPr>
                    <w:t>减少人类干扰、加强保护区管理、煤炭灭火、规范开采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89" w:type="pct"/>
                  <w:gridSpan w:val="2"/>
                  <w:shd w:val="clear" w:color="auto" w:fill="auto"/>
                  <w:noWrap w:val="0"/>
                  <w:vAlign w:val="center"/>
                </w:tcPr>
                <w:p>
                  <w:pPr>
                    <w:pStyle w:val="28"/>
                    <w:rPr>
                      <w:color w:val="auto"/>
                    </w:rPr>
                  </w:pPr>
                  <w:r>
                    <w:rPr>
                      <w:color w:val="auto"/>
                    </w:rPr>
                    <w:t>适宜发展方向</w:t>
                  </w:r>
                </w:p>
              </w:tc>
              <w:tc>
                <w:tcPr>
                  <w:tcW w:w="3510" w:type="pct"/>
                  <w:shd w:val="clear" w:color="auto" w:fill="auto"/>
                  <w:noWrap w:val="0"/>
                  <w:vAlign w:val="center"/>
                </w:tcPr>
                <w:p>
                  <w:pPr>
                    <w:pStyle w:val="28"/>
                    <w:rPr>
                      <w:color w:val="auto"/>
                    </w:rPr>
                  </w:pPr>
                  <w:r>
                    <w:rPr>
                      <w:rFonts w:hint="eastAsia" w:ascii="宋体" w:hAnsi="宋体"/>
                      <w:color w:val="auto"/>
                    </w:rPr>
                    <w:t>加强保护区管理，促进自然遗产与生物多样性的保护</w:t>
                  </w:r>
                </w:p>
              </w:tc>
            </w:tr>
          </w:tbl>
          <w:p>
            <w:pPr>
              <w:pStyle w:val="4"/>
              <w:rPr>
                <w:rFonts w:hint="eastAsia"/>
                <w:color w:val="auto"/>
              </w:rPr>
            </w:pPr>
            <w:r>
              <w:rPr>
                <w:rFonts w:hint="eastAsia"/>
                <w:color w:val="auto"/>
              </w:rPr>
              <w:t>本项目建设不占用基本农田，临时占地结束后恢复原始地貌，控制施工范围保护区域荒漠植被，保护区域土壤环境质量，符合生态功能区划。</w:t>
            </w:r>
          </w:p>
          <w:p>
            <w:pPr>
              <w:pStyle w:val="4"/>
              <w:rPr>
                <w:rFonts w:hint="default"/>
                <w:color w:val="auto"/>
                <w:lang w:val="en-US" w:eastAsia="zh-CN"/>
              </w:rPr>
            </w:pPr>
            <w:r>
              <w:rPr>
                <w:rFonts w:hint="default"/>
                <w:color w:val="auto"/>
                <w:lang w:val="en-US" w:eastAsia="zh-CN"/>
              </w:rPr>
              <w:t>项目区以北设有</w:t>
            </w:r>
            <w:r>
              <w:rPr>
                <w:rFonts w:hint="default" w:ascii="Times New Roman" w:hAnsi="Times New Roman" w:eastAsia="宋体" w:cs="Times New Roman"/>
                <w:snapToGrid w:val="0"/>
                <w:color w:val="auto"/>
                <w:kern w:val="0"/>
                <w:sz w:val="24"/>
                <w:lang w:val="en-US" w:eastAsia="zh-CN"/>
              </w:rPr>
              <w:t>新疆卡拉麦里山有蹄类野生动物自然保护区实验区</w:t>
            </w:r>
            <w:r>
              <w:rPr>
                <w:rFonts w:hint="eastAsia"/>
                <w:color w:val="auto"/>
                <w:lang w:val="en-US" w:eastAsia="zh-CN"/>
              </w:rPr>
              <w:t>（以下简称“卡山保护区”）</w:t>
            </w:r>
            <w:r>
              <w:rPr>
                <w:rFonts w:hint="default"/>
                <w:color w:val="auto"/>
                <w:lang w:val="en-US" w:eastAsia="zh-CN"/>
              </w:rPr>
              <w:t>，本项目不在野生动物自然保护区范围内。根据《新疆卡拉麦里山有蹄类野生动物自然保护区管理条例》中规定“卡山自然保护区外围五公里范围为外围保护地带”，本项目区</w:t>
            </w:r>
            <w:r>
              <w:rPr>
                <w:rFonts w:hint="eastAsia"/>
                <w:color w:val="auto"/>
                <w:lang w:val="en-US" w:eastAsia="zh-CN"/>
              </w:rPr>
              <w:t>西</w:t>
            </w:r>
            <w:r>
              <w:rPr>
                <w:rFonts w:hint="default"/>
                <w:color w:val="auto"/>
                <w:lang w:val="en-US" w:eastAsia="zh-CN"/>
              </w:rPr>
              <w:t>侧距卡山保护区</w:t>
            </w:r>
            <w:r>
              <w:rPr>
                <w:rFonts w:hint="eastAsia"/>
                <w:color w:val="auto"/>
                <w:lang w:val="en-US" w:eastAsia="zh-CN"/>
              </w:rPr>
              <w:t>试验区</w:t>
            </w:r>
            <w:r>
              <w:rPr>
                <w:rFonts w:hint="default"/>
                <w:color w:val="auto"/>
                <w:lang w:val="en-US" w:eastAsia="zh-CN"/>
              </w:rPr>
              <w:t>约</w:t>
            </w:r>
            <w:r>
              <w:rPr>
                <w:rFonts w:hint="eastAsia"/>
                <w:color w:val="auto"/>
                <w:lang w:val="en-US" w:eastAsia="zh-CN"/>
              </w:rPr>
              <w:t>6.25k</w:t>
            </w:r>
            <w:r>
              <w:rPr>
                <w:rFonts w:hint="default"/>
                <w:color w:val="auto"/>
                <w:lang w:val="en-US" w:eastAsia="zh-CN"/>
              </w:rPr>
              <w:t>m，</w:t>
            </w:r>
            <w:r>
              <w:rPr>
                <w:rFonts w:hint="eastAsia"/>
                <w:color w:val="auto"/>
                <w:lang w:val="en-US" w:eastAsia="zh-CN"/>
              </w:rPr>
              <w:t>不在卡山自然保护区</w:t>
            </w:r>
            <w:r>
              <w:rPr>
                <w:rFonts w:hint="default"/>
                <w:color w:val="auto"/>
                <w:lang w:val="en-US" w:eastAsia="zh-CN"/>
              </w:rPr>
              <w:t>外围保护地带范围内。</w:t>
            </w:r>
          </w:p>
          <w:bookmarkEnd w:id="39"/>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highlight w:val="none"/>
              </w:rPr>
            </w:pPr>
            <w:bookmarkStart w:id="40" w:name="_Hlk85626980"/>
            <w:r>
              <w:rPr>
                <w:color w:val="auto"/>
                <w:highlight w:val="none"/>
              </w:rPr>
              <w:t xml:space="preserve">1.2 </w:t>
            </w:r>
            <w:r>
              <w:rPr>
                <w:rFonts w:hint="eastAsia"/>
                <w:color w:val="auto"/>
                <w:highlight w:val="none"/>
              </w:rPr>
              <w:t>植被现状调查与评价</w:t>
            </w:r>
          </w:p>
          <w:bookmarkEnd w:id="40"/>
          <w:p>
            <w:pPr>
              <w:pStyle w:val="4"/>
              <w:rPr>
                <w:color w:val="auto"/>
              </w:rPr>
            </w:pPr>
            <w:r>
              <w:rPr>
                <w:rFonts w:hint="default" w:ascii="Times New Roman" w:hAnsi="Times New Roman" w:eastAsia="宋体" w:cs="Times New Roman"/>
                <w:color w:val="auto"/>
                <w:sz w:val="24"/>
              </w:rPr>
              <w:t>按中国植被自然地理区划划分，开发区域所在区属亚非荒漠区、新疆荒漠区、北疆荒漠亚区、准噶尔荒漠省、乌苏—奇台州。地域特征决定了该区域内植被组成简单、类型单一，项目区发育着以小半灌木为建群种所组成的水平地带性荒漠植被，区域主要的植被群系有盐生假木贼群系、梭梭群系、盐生假木贼+琵琶柴群系等。植被覆盖度在5%</w:t>
            </w:r>
            <w:r>
              <w:rPr>
                <w:rFonts w:hint="default" w:ascii="Times New Roman" w:hAnsi="Times New Roman" w:eastAsia="宋体" w:cs="Times New Roman"/>
                <w:color w:val="auto"/>
                <w:sz w:val="24"/>
                <w:lang w:eastAsia="zh-CN"/>
              </w:rPr>
              <w:t>左右</w:t>
            </w:r>
            <w:r>
              <w:rPr>
                <w:rFonts w:hint="default" w:ascii="Times New Roman" w:hAnsi="Times New Roman" w:eastAsia="宋体" w:cs="Times New Roman"/>
                <w:color w:val="auto"/>
                <w:sz w:val="24"/>
              </w:rPr>
              <w:t>。</w:t>
            </w:r>
          </w:p>
          <w:p>
            <w:pPr>
              <w:adjustRightInd/>
              <w:snapToGrid/>
              <w:spacing w:line="360" w:lineRule="auto"/>
              <w:ind w:firstLine="48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根据现场调查及查阅相关资料，本项目所在区域内的主要植被类型如下：</w:t>
            </w:r>
          </w:p>
          <w:p>
            <w:pPr>
              <w:adjustRightInd/>
              <w:snapToGrid/>
              <w:spacing w:line="360" w:lineRule="auto"/>
              <w:ind w:firstLine="48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区域植被类型与分布</w:t>
            </w:r>
          </w:p>
          <w:p>
            <w:pPr>
              <w:adjustRightInd/>
              <w:snapToGrid/>
              <w:spacing w:line="360" w:lineRule="auto"/>
              <w:ind w:firstLine="48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区域地处天山山脉东段北麓，准噶尔盆地东南。植被类型属东疆-南疆荒漠亚区－东疆荒漠省－东准噶尔荒漠亚省－将军戈壁州。主要生长荒漠植物，区域内植物组成简单，类型单调，分布稀疏。建群植物是由超旱生、旱生的半乔木、灌木、小半灌木以及旱生的一年生草本，多年生草本和中生的短命植物等荒漠植物组成。优势种类依次是蓼科(</w:t>
            </w:r>
            <w:r>
              <w:rPr>
                <w:rFonts w:hint="default" w:ascii="Times New Roman" w:hAnsi="Times New Roman" w:eastAsia="宋体" w:cs="Times New Roman"/>
                <w:i/>
                <w:iCs/>
                <w:color w:val="auto"/>
                <w:sz w:val="24"/>
              </w:rPr>
              <w:t>Polygonaceae</w:t>
            </w:r>
            <w:r>
              <w:rPr>
                <w:rFonts w:hint="default" w:ascii="Times New Roman" w:hAnsi="Times New Roman" w:eastAsia="宋体" w:cs="Times New Roman"/>
                <w:color w:val="auto"/>
                <w:sz w:val="24"/>
              </w:rPr>
              <w:t>)、藜科(</w:t>
            </w:r>
            <w:r>
              <w:rPr>
                <w:rFonts w:hint="default" w:ascii="Times New Roman" w:hAnsi="Times New Roman" w:eastAsia="宋体" w:cs="Times New Roman"/>
                <w:i/>
                <w:iCs/>
                <w:color w:val="auto"/>
                <w:sz w:val="24"/>
              </w:rPr>
              <w:t>Ehenopodium</w:t>
            </w:r>
            <w:r>
              <w:rPr>
                <w:rFonts w:hint="default" w:ascii="Times New Roman" w:hAnsi="Times New Roman" w:eastAsia="宋体" w:cs="Times New Roman"/>
                <w:color w:val="auto"/>
                <w:sz w:val="24"/>
              </w:rPr>
              <w:t>)、豆科(</w:t>
            </w:r>
            <w:r>
              <w:rPr>
                <w:rFonts w:hint="default" w:ascii="Times New Roman" w:hAnsi="Times New Roman" w:eastAsia="宋体" w:cs="Times New Roman"/>
                <w:i/>
                <w:iCs/>
                <w:color w:val="auto"/>
                <w:sz w:val="24"/>
              </w:rPr>
              <w:t>Legunohoseu</w:t>
            </w:r>
            <w:r>
              <w:rPr>
                <w:rFonts w:hint="default" w:ascii="Times New Roman" w:hAnsi="Times New Roman" w:eastAsia="宋体" w:cs="Times New Roman"/>
                <w:color w:val="auto"/>
                <w:sz w:val="24"/>
              </w:rPr>
              <w:t>)、蒺藜科(</w:t>
            </w:r>
            <w:r>
              <w:rPr>
                <w:rFonts w:hint="default" w:ascii="Times New Roman" w:hAnsi="Times New Roman" w:eastAsia="宋体" w:cs="Times New Roman"/>
                <w:i/>
                <w:iCs/>
                <w:color w:val="auto"/>
                <w:sz w:val="24"/>
              </w:rPr>
              <w:t>Zygophyllaceae</w:t>
            </w:r>
            <w:r>
              <w:rPr>
                <w:rFonts w:hint="default" w:ascii="Times New Roman" w:hAnsi="Times New Roman" w:eastAsia="宋体" w:cs="Times New Roman"/>
                <w:color w:val="auto"/>
                <w:sz w:val="24"/>
              </w:rPr>
              <w:t>)、麻黄科(</w:t>
            </w:r>
            <w:r>
              <w:rPr>
                <w:rFonts w:hint="default" w:ascii="Times New Roman" w:hAnsi="Times New Roman" w:eastAsia="宋体" w:cs="Times New Roman"/>
                <w:i/>
                <w:iCs/>
                <w:color w:val="auto"/>
                <w:sz w:val="24"/>
              </w:rPr>
              <w:t>Ephedra</w:t>
            </w:r>
            <w:r>
              <w:rPr>
                <w:rFonts w:hint="default" w:ascii="Times New Roman" w:hAnsi="Times New Roman" w:eastAsia="宋体" w:cs="Times New Roman"/>
                <w:color w:val="auto"/>
                <w:sz w:val="24"/>
              </w:rPr>
              <w:t>)等。同时，区域内植物群系表现出层片结构较复杂。其中超旱生的小半灌木与灌木种类最为普遍，构成了多样的荒漠植物群系。据现场调查、样地记录以及有关资料分析，区域内植物资源共计5科、18属、27种，详见表</w:t>
            </w:r>
            <w:r>
              <w:rPr>
                <w:rFonts w:hint="eastAsia" w:ascii="Times New Roman" w:hAnsi="Times New Roman" w:cs="Times New Roman"/>
                <w:color w:val="auto"/>
                <w:sz w:val="24"/>
                <w:lang w:val="en-US" w:eastAsia="zh-CN"/>
              </w:rPr>
              <w:t>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表</w:t>
            </w:r>
            <w:r>
              <w:rPr>
                <w:rFonts w:hint="eastAsia" w:ascii="Times New Roman" w:hAnsi="Times New Roman" w:eastAsia="宋体" w:cs="Times New Roman"/>
                <w:b/>
                <w:color w:val="auto"/>
                <w:kern w:val="0"/>
                <w:sz w:val="21"/>
                <w:szCs w:val="21"/>
                <w:lang w:val="en-US" w:eastAsia="zh-CN" w:bidi="ar-SA"/>
              </w:rPr>
              <w:t>3</w:t>
            </w:r>
            <w:r>
              <w:rPr>
                <w:rFonts w:hint="default" w:ascii="Times New Roman" w:hAnsi="Times New Roman" w:eastAsia="宋体" w:cs="Times New Roman"/>
                <w:b/>
                <w:color w:val="auto"/>
                <w:kern w:val="0"/>
                <w:sz w:val="21"/>
                <w:szCs w:val="21"/>
                <w:lang w:val="en-US" w:eastAsia="zh-CN" w:bidi="ar-SA"/>
              </w:rPr>
              <w:t>-2  区域主要植物名录表</w:t>
            </w:r>
          </w:p>
          <w:tbl>
            <w:tblPr>
              <w:tblStyle w:val="17"/>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924"/>
              <w:gridCol w:w="3362"/>
              <w:gridCol w:w="14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序号</w:t>
                  </w:r>
                </w:p>
              </w:tc>
              <w:tc>
                <w:tcPr>
                  <w:tcW w:w="3216" w:type="pct"/>
                  <w:gridSpan w:val="2"/>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种类</w:t>
                  </w:r>
                </w:p>
              </w:tc>
              <w:tc>
                <w:tcPr>
                  <w:tcW w:w="874"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25" w:type="pct"/>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裸子植物 </w:t>
                  </w:r>
                  <w:r>
                    <w:rPr>
                      <w:rFonts w:hint="default" w:ascii="Times New Roman" w:hAnsi="Times New Roman" w:eastAsia="宋体" w:cs="Times New Roman"/>
                      <w:i/>
                      <w:iCs/>
                      <w:color w:val="auto"/>
                      <w:kern w:val="0"/>
                      <w:sz w:val="21"/>
                      <w:szCs w:val="21"/>
                      <w:lang w:val="en-US" w:eastAsia="zh-CN" w:bidi="ar-SA"/>
                    </w:rPr>
                    <w:t>Gymnospermae</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黄麻科</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Ephedraceae</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171" w:type="pct"/>
                  <w:tcBorders>
                    <w:tl2br w:val="nil"/>
                    <w:tr2bl w:val="nil"/>
                  </w:tcBorders>
                  <w:noWrap w:val="0"/>
                  <w:vAlign w:val="center"/>
                </w:tcPr>
                <w:p>
                  <w:pPr>
                    <w:adjustRightInd w:val="0"/>
                    <w:snapToGrid w:val="0"/>
                    <w:ind w:firstLine="48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麻黄属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Ephedra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草麻黄</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Ephedre sinicaa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(区)II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木贼麻黄</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Ephedre quisetina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(区)II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25" w:type="pct"/>
                  <w:gridSpan w:val="3"/>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被子植物</w:t>
                  </w:r>
                  <w:r>
                    <w:rPr>
                      <w:rFonts w:hint="default" w:ascii="Times New Roman" w:hAnsi="Times New Roman" w:eastAsia="宋体" w:cs="Times New Roman"/>
                      <w:i/>
                      <w:iCs/>
                      <w:color w:val="auto"/>
                      <w:kern w:val="0"/>
                      <w:sz w:val="21"/>
                      <w:szCs w:val="21"/>
                      <w:lang w:val="en-US" w:eastAsia="zh-CN" w:bidi="ar-SA"/>
                    </w:rPr>
                    <w:t xml:space="preserve"> Angiospermae</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蓼科</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Polygonaceae</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木蓼属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 traphaxis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木蓼</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 traphaxis pungcns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刺木蓼</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 traphaxiS pungcns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沙拐枣属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Calligonum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沙拐枣</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Calligonum mongoticum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地肤属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Koohia roth</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木地肤</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Koohia prostrata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地肤</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Kochia prostrata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藜科</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Chenopodiaceac</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角果藜属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Ceratocarpus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角果藜</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Ceratocarpus arenarius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刺果藜属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Echinopsilon</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刺果藜</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Echinopsilon diuarica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(七)</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沙蓬属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Agriophyllum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沙蓬</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Agriophylllum avenarium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(八)</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盐爪爪属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Kalidium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盐爪爪</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Kalidium foliatum pall</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(九)</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盐角草属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Salicornia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盐角草</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Salicornia europaea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盐蓬属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Halimocnlmis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节节盐木</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Halimocnlmis villosa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(十一)</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碱蓬属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Suaeda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碱蓬</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Suaeda glauca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角果碱蓬</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Suaeda corniculala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(十二)</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梭梭属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Haloxylon</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梭梭</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Haloxylon apnglum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白梭梭</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Haloxylon persicnm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（国）II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(十三)</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假木贼属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Anabasis</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盐生假木贼</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Anabasis salsa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无叶假木贼</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Anabasis aphyiia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豆科</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Leguminose</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(十四)</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骆驼刺属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Alhagi</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骆驼刺</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Alhagi pseudalhagi</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疏花骆驼刺</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Alhagi sparsifolia shap</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(十五)</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盐豆木属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Halimodendron</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铃铛刺</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Halimodendron holodendron</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(十六)</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锦鸡儿属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Cargana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刺锦鸡儿</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Cargana spinosa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蒺藜科</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Zygophyllaceae</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(十七)</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白刺属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Nilraria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白刺</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Nilraria sibirica</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大叶白刺</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Nilraria roporo skii</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(十八)</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骆驼蓬属</w:t>
                  </w:r>
                </w:p>
              </w:tc>
              <w:tc>
                <w:tcPr>
                  <w:tcW w:w="2045" w:type="pct"/>
                  <w:tcBorders>
                    <w:tl2br w:val="nil"/>
                    <w:tr2bl w:val="nil"/>
                  </w:tcBorders>
                  <w:noWrap w:val="0"/>
                  <w:vAlign w:val="center"/>
                </w:tcPr>
                <w:p>
                  <w:pPr>
                    <w:widowControl w:val="0"/>
                    <w:autoSpaceDE w:val="0"/>
                    <w:autoSpaceDN w:val="0"/>
                    <w:adjustRightInd w:val="0"/>
                    <w:snapToGrid w:val="0"/>
                    <w:jc w:val="center"/>
                    <w:textAlignment w:val="center"/>
                    <w:rPr>
                      <w:rFonts w:hint="default" w:ascii="Times New Roman" w:hAnsi="Times New Roman" w:eastAsia="宋体" w:cs="Times New Roman"/>
                      <w:i/>
                      <w:iCs/>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Peganum</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171"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骆驼蓬</w:t>
                  </w:r>
                </w:p>
              </w:tc>
              <w:tc>
                <w:tcPr>
                  <w:tcW w:w="2045" w:type="pc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sz w:val="21"/>
                      <w:szCs w:val="21"/>
                      <w:highlight w:val="none"/>
                    </w:rPr>
                  </w:pPr>
                  <w:r>
                    <w:rPr>
                      <w:rFonts w:hint="default" w:ascii="Times New Roman" w:hAnsi="Times New Roman" w:eastAsia="宋体" w:cs="Times New Roman"/>
                      <w:i/>
                      <w:iCs/>
                      <w:color w:val="auto"/>
                      <w:kern w:val="0"/>
                      <w:sz w:val="21"/>
                      <w:szCs w:val="21"/>
                      <w:lang w:val="en-US" w:eastAsia="zh-CN" w:bidi="ar-SA"/>
                    </w:rPr>
                    <w:t>Peganum harmalu</w:t>
                  </w:r>
                </w:p>
              </w:tc>
              <w:tc>
                <w:tcPr>
                  <w:tcW w:w="87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r>
          </w:tbl>
          <w:p>
            <w:pPr>
              <w:adjustRightInd/>
              <w:snapToGrid/>
              <w:spacing w:line="360" w:lineRule="auto"/>
              <w:ind w:firstLine="480" w:firstLineChars="20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区域内有保护植物</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种，</w:t>
            </w:r>
            <w:r>
              <w:rPr>
                <w:rFonts w:hint="default" w:ascii="Times New Roman" w:hAnsi="Times New Roman" w:eastAsia="宋体" w:cs="Times New Roman"/>
                <w:color w:val="auto"/>
                <w:sz w:val="24"/>
                <w:lang w:eastAsia="zh-CN"/>
              </w:rPr>
              <w:t>梭梭、</w:t>
            </w:r>
            <w:r>
              <w:rPr>
                <w:rFonts w:hint="default" w:ascii="Times New Roman" w:hAnsi="Times New Roman" w:eastAsia="宋体" w:cs="Times New Roman"/>
                <w:color w:val="auto"/>
                <w:sz w:val="24"/>
              </w:rPr>
              <w:t>白梭梭为自治区一级保护植物，草麻黄、木贼麻黄为自治区二级保护植物。</w:t>
            </w:r>
          </w:p>
          <w:p>
            <w:pPr>
              <w:adjustRightInd/>
              <w:snapToGrid/>
              <w:spacing w:line="360" w:lineRule="auto"/>
              <w:ind w:firstLine="480" w:firstLineChars="20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（2）项目区植被类型</w:t>
            </w:r>
          </w:p>
          <w:p>
            <w:pPr>
              <w:pStyle w:val="4"/>
              <w:rPr>
                <w:color w:val="auto"/>
              </w:rPr>
            </w:pPr>
            <w:r>
              <w:rPr>
                <w:rFonts w:hint="eastAsia"/>
                <w:color w:val="auto"/>
                <w:lang w:val="en-US" w:eastAsia="zh-CN"/>
              </w:rPr>
              <w:t>根据现场踏勘，项目区无植被覆盖。</w:t>
            </w:r>
          </w:p>
          <w:p>
            <w:pPr>
              <w:pStyle w:val="4"/>
              <w:rPr>
                <w:color w:val="auto"/>
              </w:rPr>
            </w:pPr>
            <w:r>
              <w:rPr>
                <w:rFonts w:hint="eastAsia"/>
                <w:color w:val="auto"/>
              </w:rPr>
              <w:t>在项目区域尚未发现国家和自治区已颁布的保护植物物种。</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color w:val="auto"/>
                <w:sz w:val="24"/>
                <w:szCs w:val="24"/>
              </w:rPr>
            </w:pPr>
            <w:r>
              <w:rPr>
                <w:color w:val="auto"/>
                <w:sz w:val="24"/>
                <w:szCs w:val="24"/>
              </w:rPr>
              <w:t>1.3</w:t>
            </w:r>
            <w:r>
              <w:rPr>
                <w:rFonts w:hint="eastAsia"/>
                <w:color w:val="auto"/>
                <w:sz w:val="24"/>
                <w:szCs w:val="24"/>
                <w:lang w:val="en-US" w:eastAsia="zh-CN"/>
              </w:rPr>
              <w:t xml:space="preserve"> </w:t>
            </w:r>
            <w:r>
              <w:rPr>
                <w:color w:val="auto"/>
                <w:sz w:val="24"/>
                <w:szCs w:val="24"/>
              </w:rPr>
              <w:t>野生动物现状调查与评价</w:t>
            </w:r>
          </w:p>
          <w:p>
            <w:pPr>
              <w:adjustRightInd/>
              <w:snapToGrid/>
              <w:spacing w:line="360" w:lineRule="auto"/>
              <w:ind w:firstLine="480" w:firstLineChars="200"/>
              <w:jc w:val="left"/>
              <w:rPr>
                <w:rFonts w:hint="default" w:ascii="Times New Roman" w:hAnsi="Times New Roman" w:cs="Times New Roman"/>
                <w:snapToGrid w:val="0"/>
                <w:color w:val="auto"/>
                <w:kern w:val="0"/>
              </w:rPr>
            </w:pPr>
            <w:bookmarkStart w:id="41" w:name="_Hlk85627066"/>
            <w:r>
              <w:rPr>
                <w:rFonts w:hint="default" w:ascii="Times New Roman" w:hAnsi="Times New Roman" w:eastAsia="宋体" w:cs="Times New Roman"/>
                <w:color w:val="auto"/>
                <w:highlight w:val="none"/>
              </w:rPr>
              <w:t>由于准噶尔盆地严酷的气候条件，不仅酷热，而且极为干旱，植被盖度极低，所以野生动物种类分布较少。</w:t>
            </w:r>
            <w:r>
              <w:rPr>
                <w:rFonts w:hint="default" w:ascii="Times New Roman" w:hAnsi="Times New Roman" w:eastAsia="宋体" w:cs="Times New Roman"/>
                <w:color w:val="auto"/>
                <w:sz w:val="24"/>
              </w:rPr>
              <w:t>爬行类的蜥蜴和哺乳类的部分啮齿动物是评价区的主要建群种动物。以耐旱荒漠种为主，主要有子午沙鼠、五趾跳鼠、快步麻蜥、百灵等</w:t>
            </w:r>
            <w:r>
              <w:rPr>
                <w:rFonts w:hint="eastAsia"/>
                <w:color w:val="auto"/>
                <w:lang w:eastAsia="zh-CN"/>
              </w:rPr>
              <w:t>。</w:t>
            </w:r>
            <w:r>
              <w:rPr>
                <w:color w:val="auto"/>
              </w:rPr>
              <w:t>具体见表3</w:t>
            </w:r>
            <w:r>
              <w:rPr>
                <w:rFonts w:hint="eastAsia"/>
                <w:color w:val="auto"/>
              </w:rPr>
              <w:t>-</w:t>
            </w:r>
            <w:r>
              <w:rPr>
                <w:color w:val="auto"/>
              </w:rPr>
              <w:t>2。</w:t>
            </w:r>
          </w:p>
          <w:p>
            <w:pPr>
              <w:overflowPunct w:val="0"/>
              <w:adjustRightInd/>
              <w:ind w:firstLine="422" w:firstLineChars="200"/>
              <w:jc w:val="center"/>
              <w:rPr>
                <w:rFonts w:hint="default" w:ascii="Times New Roman" w:hAnsi="Times New Roman" w:cs="Times New Roman"/>
                <w:b/>
                <w:color w:val="auto"/>
                <w:sz w:val="21"/>
                <w:szCs w:val="21"/>
              </w:rPr>
            </w:pPr>
          </w:p>
          <w:p>
            <w:pPr>
              <w:overflowPunct w:val="0"/>
              <w:adjustRightInd/>
              <w:ind w:firstLine="422" w:firstLineChars="20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表3-2  评价区常见野生脊椎动物种类及遇见频度</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748"/>
              <w:gridCol w:w="3668"/>
              <w:gridCol w:w="10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154" w:type="pct"/>
                  <w:gridSpan w:val="2"/>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   名</w:t>
                  </w:r>
                </w:p>
              </w:tc>
              <w:tc>
                <w:tcPr>
                  <w:tcW w:w="223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   名</w:t>
                  </w:r>
                </w:p>
              </w:tc>
              <w:tc>
                <w:tcPr>
                  <w:tcW w:w="61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   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变色沙蜥</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Phrynocephalus Versicolor</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东疆沙蜥</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P.grumgrizimaloi</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快步麻蜥</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Eryx tataricus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小鸨</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Otis tetrax</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482"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麻雀</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Passer domesticus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乌鸦</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Corvus Spp.</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短趾沙百灵</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Calandrella cinerea</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小沙百灵</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C.rufescens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凤头百灵</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Galerida cristata</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云雀</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Alauda arvensis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沙</w:t>
                  </w:r>
                  <w:r>
                    <w:rPr>
                      <w:rFonts w:hint="default" w:ascii="Times New Roman" w:hAnsi="Times New Roman" w:cs="Times New Roman"/>
                      <w:color w:val="auto"/>
                      <w:spacing w:val="-24"/>
                      <w:w w:val="90"/>
                      <w:sz w:val="21"/>
                      <w:szCs w:val="21"/>
                    </w:rPr>
                    <w:t>即鸟</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Oenanthe isabellina</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红尾伯劳</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Lanius cristatus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黑尾地鸦</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Podoces hendersoni</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草兔</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Lepus capensis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小五趾跳鼠</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Allactage elater</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eastAsia"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小家鼠</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Mus musculus</w:t>
                  </w:r>
                </w:p>
              </w:tc>
              <w:tc>
                <w:tcPr>
                  <w:tcW w:w="612" w:type="pct"/>
                  <w:tcBorders>
                    <w:tl2br w:val="nil"/>
                    <w:tr2bl w:val="nil"/>
                  </w:tcBorders>
                  <w:noWrap w:val="0"/>
                  <w:vAlign w:val="center"/>
                </w:tcPr>
                <w:p>
                  <w:pPr>
                    <w:spacing w:line="240" w:lineRule="auto"/>
                    <w:ind w:left="-1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1672" w:type="pc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子午沙鼠</w:t>
                  </w:r>
                </w:p>
              </w:tc>
              <w:tc>
                <w:tcPr>
                  <w:tcW w:w="2232" w:type="pct"/>
                  <w:tcBorders>
                    <w:tl2br w:val="nil"/>
                    <w:tr2bl w:val="nil"/>
                  </w:tcBorders>
                  <w:noWrap w:val="0"/>
                  <w:vAlign w:val="center"/>
                </w:tcPr>
                <w:p>
                  <w:pPr>
                    <w:spacing w:line="240" w:lineRule="auto"/>
                    <w:ind w:left="-120" w:right="-120" w:firstLine="420"/>
                    <w:jc w:val="center"/>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Meriones meridianus</w:t>
                  </w:r>
                </w:p>
              </w:tc>
              <w:tc>
                <w:tcPr>
                  <w:tcW w:w="612" w:type="pct"/>
                  <w:tcBorders>
                    <w:tl2br w:val="nil"/>
                    <w:tr2bl w:val="nil"/>
                  </w:tcBorders>
                  <w:noWrap w:val="0"/>
                  <w:vAlign w:val="center"/>
                </w:tcPr>
                <w:p>
                  <w:pPr>
                    <w:spacing w:line="240" w:lineRule="auto"/>
                    <w:ind w:left="-12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eastAsia" w:cs="Times New Roman"/>
                      <w:color w:val="auto"/>
                      <w:sz w:val="21"/>
                      <w:szCs w:val="21"/>
                      <w:lang w:val="en-US" w:eastAsia="zh-CN"/>
                    </w:rPr>
                    <w:t>+</w:t>
                  </w:r>
                </w:p>
              </w:tc>
            </w:tr>
          </w:tbl>
          <w:p>
            <w:pPr>
              <w:adjustRightInd/>
              <w:snapToGrid/>
              <w:spacing w:line="360" w:lineRule="auto"/>
              <w:ind w:firstLine="480" w:firstLineChars="200"/>
              <w:jc w:val="left"/>
              <w:rPr>
                <w:rFonts w:hint="default" w:ascii="Times New Roman" w:hAnsi="Times New Roman" w:cs="Times New Roman"/>
                <w:color w:val="auto"/>
              </w:rPr>
            </w:pPr>
            <w:r>
              <w:rPr>
                <w:rFonts w:hint="default" w:ascii="Times New Roman" w:hAnsi="Times New Roman" w:cs="Times New Roman"/>
                <w:snapToGrid w:val="0"/>
                <w:color w:val="auto"/>
                <w:kern w:val="0"/>
              </w:rPr>
              <w:t>在项目区域尚未发现国家和自治区已颁布的保护动物。</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1.4</w:t>
            </w:r>
            <w:r>
              <w:rPr>
                <w:rFonts w:hint="eastAsia" w:cs="Times New Roman"/>
                <w:color w:val="auto"/>
                <w:sz w:val="24"/>
                <w:szCs w:val="24"/>
                <w:lang w:val="en-US" w:eastAsia="zh-CN"/>
              </w:rPr>
              <w:t xml:space="preserve"> </w:t>
            </w:r>
            <w:r>
              <w:rPr>
                <w:rFonts w:ascii="Times New Roman" w:hAnsi="Times New Roman" w:eastAsia="宋体" w:cs="Times New Roman"/>
                <w:color w:val="auto"/>
                <w:sz w:val="24"/>
                <w:szCs w:val="24"/>
              </w:rPr>
              <w:t>土壤现状调查与评价</w:t>
            </w:r>
          </w:p>
          <w:bookmarkEnd w:id="41"/>
          <w:p>
            <w:pPr>
              <w:pStyle w:val="16"/>
              <w:spacing w:after="0" w:line="360" w:lineRule="auto"/>
              <w:ind w:firstLine="496" w:firstLineChars="200"/>
              <w:jc w:val="left"/>
              <w:rPr>
                <w:rFonts w:hint="default" w:ascii="Times New Roman" w:hAnsi="Times New Roman" w:cs="Times New Roman"/>
                <w:bCs/>
                <w:color w:val="auto"/>
                <w:spacing w:val="4"/>
              </w:rPr>
            </w:pPr>
            <w:r>
              <w:rPr>
                <w:rFonts w:hint="default" w:ascii="Times New Roman" w:hAnsi="Times New Roman" w:cs="Times New Roman"/>
                <w:bCs/>
                <w:color w:val="auto"/>
                <w:spacing w:val="4"/>
              </w:rPr>
              <w:t>根据现场踏勘，评价区土壤类型主要为</w:t>
            </w:r>
            <w:r>
              <w:rPr>
                <w:rFonts w:hint="eastAsia" w:cs="Times New Roman"/>
                <w:bCs/>
                <w:color w:val="auto"/>
                <w:spacing w:val="4"/>
                <w:lang w:val="en-US" w:eastAsia="zh-CN"/>
              </w:rPr>
              <w:t>灰棕漠土</w:t>
            </w:r>
            <w:r>
              <w:rPr>
                <w:rFonts w:hint="default" w:ascii="Times New Roman" w:hAnsi="Times New Roman" w:cs="Times New Roman"/>
                <w:bCs/>
                <w:color w:val="auto"/>
                <w:spacing w:val="4"/>
              </w:rPr>
              <w:t>。灰棕漠土是在新疆温带地区干旱荒漠气候条件和粗骨质（砾质-砂质）成土母质上形成的，它的形成与分布与大风的作用密切相关。灰棕漠土分布区的风速多在4-6m/s，最大风速可达20-50m/s，平均大风日数多在70-160d。在大风的作用下，地表细颗粒物质被强大的风力搬运殆尽，存留的砾石和砂粒在风和短暂暴雨的作用下，互相镶嵌形成部分较密实的砾幕，也就是黑褐色的荒漠漆皮。因而其生产性能较差，植物生长极少。仅有的少量植被主要为旱生和超旱生的灌木、半灌木如梭梭、假木贼等，植被盖度一般在10-15%以下，部分区域甚至为不毛之地。</w:t>
            </w:r>
          </w:p>
          <w:p>
            <w:pPr>
              <w:pStyle w:val="16"/>
              <w:spacing w:after="0" w:line="360" w:lineRule="auto"/>
              <w:ind w:firstLine="496" w:firstLineChars="200"/>
              <w:jc w:val="left"/>
              <w:rPr>
                <w:rFonts w:hint="default" w:ascii="Times New Roman" w:hAnsi="Times New Roman" w:cs="Times New Roman"/>
                <w:bCs/>
                <w:color w:val="auto"/>
                <w:spacing w:val="4"/>
              </w:rPr>
            </w:pPr>
            <w:r>
              <w:rPr>
                <w:rFonts w:hint="default" w:ascii="Times New Roman" w:hAnsi="Times New Roman" w:cs="Times New Roman"/>
                <w:bCs/>
                <w:color w:val="auto"/>
                <w:spacing w:val="4"/>
              </w:rPr>
              <w:t>在灰棕漠土的形成过程中，砾质化作用起了主导性的作用，砾质化过程是土壤矿物质的弱风化作用与大风吹蚀作用相互结合的过程。在干旱气候条件下，成土母质的细土物质特别是粉粒和粘粒含量本来就不高，在不断遭受大风吹蚀后，致使砾石和砂粒在土壤表层的比重越来越大，粗骨性越来越强，当地表细颗粒被强大的风力搬运殆尽时，大小砾石和砂粒在风力和短暂暴雨作用下互相镶嵌形成部分较密实的砾幕。在灰棕漠土的形成过程中，生物积累作用小，土壤表层的有机质含量仅为3-5g/kg，在剖面中无明显聚积层，土壤肥力甚低。</w:t>
            </w:r>
          </w:p>
          <w:p>
            <w:pPr>
              <w:pStyle w:val="16"/>
              <w:spacing w:after="0" w:line="360" w:lineRule="auto"/>
              <w:ind w:firstLine="496" w:firstLineChars="200"/>
              <w:jc w:val="left"/>
              <w:rPr>
                <w:rFonts w:hint="default" w:ascii="Times New Roman" w:hAnsi="Times New Roman" w:cs="Times New Roman"/>
                <w:color w:val="auto"/>
              </w:rPr>
            </w:pPr>
            <w:r>
              <w:rPr>
                <w:rFonts w:hint="default" w:ascii="Times New Roman" w:hAnsi="Times New Roman" w:cs="Times New Roman"/>
                <w:bCs/>
                <w:color w:val="auto"/>
                <w:spacing w:val="4"/>
              </w:rPr>
              <w:t>灰棕漠土的剖面特征为：地表具有黑褐色的荒漠漆皮和部分砾幕。由于地下水位较深，降水稀少，土体非常干燥，表层有2-3cm孔状结皮，并混生有砾石和碎石。</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1.5</w:t>
            </w:r>
            <w:r>
              <w:rPr>
                <w:rFonts w:hint="eastAsia" w:cs="Times New Roman"/>
                <w:color w:val="auto"/>
                <w:sz w:val="24"/>
                <w:szCs w:val="24"/>
                <w:lang w:val="en-US" w:eastAsia="zh-CN"/>
              </w:rPr>
              <w:t xml:space="preserve"> </w:t>
            </w:r>
            <w:r>
              <w:rPr>
                <w:rFonts w:ascii="Times New Roman" w:hAnsi="Times New Roman" w:eastAsia="宋体" w:cs="Times New Roman"/>
                <w:color w:val="auto"/>
                <w:sz w:val="24"/>
                <w:szCs w:val="24"/>
              </w:rPr>
              <w:t>土地利用现状调查与评价</w:t>
            </w:r>
          </w:p>
          <w:p>
            <w:pPr>
              <w:pStyle w:val="4"/>
              <w:rPr>
                <w:color w:val="auto"/>
              </w:rPr>
            </w:pPr>
            <w:bookmarkStart w:id="42" w:name="_Hlk81848019"/>
            <w:r>
              <w:rPr>
                <w:color w:val="auto"/>
              </w:rPr>
              <w:t>根据</w:t>
            </w:r>
            <w:r>
              <w:rPr>
                <w:color w:val="auto"/>
                <w:spacing w:val="4"/>
              </w:rPr>
              <w:t>现场调查，本项目</w:t>
            </w:r>
            <w:r>
              <w:rPr>
                <w:color w:val="auto"/>
              </w:rPr>
              <w:t>临时占地类型为</w:t>
            </w:r>
            <w:r>
              <w:rPr>
                <w:rFonts w:hint="eastAsia"/>
                <w:color w:val="auto"/>
                <w:lang w:val="en-US" w:eastAsia="zh-CN"/>
              </w:rPr>
              <w:t>戈壁</w:t>
            </w:r>
            <w:r>
              <w:rPr>
                <w:color w:val="auto"/>
              </w:rPr>
              <w:t>，不占用基本农田。</w:t>
            </w:r>
            <w:r>
              <w:rPr>
                <w:rFonts w:hint="eastAsia"/>
                <w:color w:val="auto"/>
                <w:kern w:val="0"/>
                <w:sz w:val="24"/>
                <w:highlight w:val="none"/>
              </w:rPr>
              <w:t>本项目对临时占用地应依法办理征地手续。</w:t>
            </w:r>
          </w:p>
          <w:bookmarkEnd w:id="42"/>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jc w:val="lef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w:t>
            </w:r>
            <w:r>
              <w:rPr>
                <w:rFonts w:hint="eastAsia"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rPr>
              <w:t>区域环境质量现状</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2.1</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环境空气质量现状调查与评价</w:t>
            </w:r>
          </w:p>
          <w:p>
            <w:pPr>
              <w:pStyle w:val="4"/>
              <w:rPr>
                <w:color w:val="auto"/>
              </w:rPr>
            </w:pPr>
            <w:r>
              <w:rPr>
                <w:rFonts w:hint="eastAsia"/>
                <w:color w:val="auto"/>
              </w:rPr>
              <w:t>根据《环境影响评价技术导则-大气环境》（H.J2.2-2018）对环境质量现状数据的要求，采用20</w:t>
            </w:r>
            <w:r>
              <w:rPr>
                <w:color w:val="auto"/>
              </w:rPr>
              <w:t>20</w:t>
            </w:r>
            <w:r>
              <w:rPr>
                <w:rFonts w:hint="eastAsia"/>
                <w:color w:val="auto"/>
              </w:rPr>
              <w:t>年</w:t>
            </w:r>
            <w:r>
              <w:rPr>
                <w:rFonts w:hint="eastAsia"/>
                <w:color w:val="auto"/>
                <w:lang w:val="en-US" w:eastAsia="zh-CN"/>
              </w:rPr>
              <w:t>吉木萨尔</w:t>
            </w:r>
            <w:r>
              <w:rPr>
                <w:rFonts w:hint="eastAsia"/>
                <w:color w:val="auto"/>
              </w:rPr>
              <w:t>县环境监测站的监测数据，作为本项目环境空气现状评价基本污染物SO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、PM</w:t>
            </w:r>
            <w:r>
              <w:rPr>
                <w:rFonts w:hint="eastAsia"/>
                <w:color w:val="auto"/>
                <w:vertAlign w:val="subscript"/>
              </w:rPr>
              <w:t>10</w:t>
            </w:r>
            <w:r>
              <w:rPr>
                <w:rFonts w:hint="eastAsia"/>
                <w:color w:val="auto"/>
              </w:rPr>
              <w:t>、PM</w:t>
            </w:r>
            <w:r>
              <w:rPr>
                <w:rFonts w:hint="eastAsia"/>
                <w:color w:val="auto"/>
                <w:vertAlign w:val="subscript"/>
              </w:rPr>
              <w:t>2.5</w:t>
            </w:r>
            <w:r>
              <w:rPr>
                <w:rFonts w:hint="eastAsia"/>
                <w:color w:val="auto"/>
              </w:rPr>
              <w:t>、CO和O</w:t>
            </w:r>
            <w:r>
              <w:rPr>
                <w:rFonts w:hint="eastAsia"/>
                <w:color w:val="auto"/>
                <w:vertAlign w:val="subscript"/>
              </w:rPr>
              <w:t>3</w:t>
            </w:r>
            <w:r>
              <w:rPr>
                <w:rFonts w:hint="eastAsia"/>
                <w:color w:val="auto"/>
              </w:rPr>
              <w:t>的数据来源，所使用的大气现状监测数据满足本项目的分析要求。基本污染物环境空气质量现状评价结果见表3-</w:t>
            </w:r>
            <w:r>
              <w:rPr>
                <w:rFonts w:hint="eastAsia"/>
                <w:color w:val="auto"/>
                <w:lang w:val="en-US" w:eastAsia="zh-CN"/>
              </w:rPr>
              <w:t>3</w:t>
            </w:r>
            <w:r>
              <w:rPr>
                <w:rFonts w:hint="eastAsia"/>
                <w:color w:val="auto"/>
              </w:rPr>
              <w:t>。</w:t>
            </w:r>
          </w:p>
          <w:p>
            <w:pPr>
              <w:pStyle w:val="27"/>
              <w:ind w:firstLine="422"/>
              <w:rPr>
                <w:color w:val="auto"/>
                <w:sz w:val="24"/>
                <w:szCs w:val="24"/>
              </w:rPr>
            </w:pPr>
            <w:r>
              <w:rPr>
                <w:color w:val="auto"/>
              </w:rPr>
              <w:t>表3</w:t>
            </w:r>
            <w:r>
              <w:rPr>
                <w:rFonts w:hint="eastAsia"/>
                <w:color w:val="auto"/>
              </w:rPr>
              <w:t>-</w:t>
            </w:r>
            <w:r>
              <w:rPr>
                <w:rFonts w:hint="eastAsia"/>
                <w:color w:val="auto"/>
                <w:lang w:val="en-US" w:eastAsia="zh-CN"/>
              </w:rPr>
              <w:t>3</w:t>
            </w:r>
            <w:r>
              <w:rPr>
                <w:color w:val="auto"/>
              </w:rPr>
              <w:t xml:space="preserve">     区域空气质量现状评价表          （单位：μg/m</w:t>
            </w:r>
            <w:r>
              <w:rPr>
                <w:color w:val="auto"/>
                <w:vertAlign w:val="superscript"/>
              </w:rPr>
              <w:t>3</w:t>
            </w:r>
            <w:r>
              <w:rPr>
                <w:color w:val="auto"/>
              </w:rPr>
              <w:t>）</w:t>
            </w:r>
          </w:p>
          <w:tbl>
            <w:tblPr>
              <w:tblStyle w:val="17"/>
              <w:tblW w:w="5000" w:type="pct"/>
              <w:tblInd w:w="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825"/>
              <w:gridCol w:w="1316"/>
              <w:gridCol w:w="1015"/>
              <w:gridCol w:w="1400"/>
              <w:gridCol w:w="915"/>
              <w:gridCol w:w="9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0" w:type="dxa"/>
                  <w:shd w:val="clear" w:color="auto" w:fill="auto"/>
                  <w:noWrap w:val="0"/>
                  <w:vAlign w:val="center"/>
                </w:tcPr>
                <w:p>
                  <w:pPr>
                    <w:pStyle w:val="28"/>
                    <w:ind w:left="-105" w:right="-105"/>
                    <w:rPr>
                      <w:color w:val="auto"/>
                    </w:rPr>
                  </w:pPr>
                  <w:r>
                    <w:rPr>
                      <w:color w:val="auto"/>
                    </w:rPr>
                    <w:t>项目</w:t>
                  </w:r>
                </w:p>
              </w:tc>
              <w:tc>
                <w:tcPr>
                  <w:tcW w:w="1825" w:type="dxa"/>
                  <w:shd w:val="clear" w:color="auto" w:fill="auto"/>
                  <w:noWrap w:val="0"/>
                  <w:vAlign w:val="center"/>
                </w:tcPr>
                <w:p>
                  <w:pPr>
                    <w:pStyle w:val="28"/>
                    <w:ind w:left="-105" w:right="-105"/>
                    <w:rPr>
                      <w:color w:val="auto"/>
                    </w:rPr>
                  </w:pPr>
                  <w:r>
                    <w:rPr>
                      <w:color w:val="auto"/>
                    </w:rPr>
                    <w:t>平均时段</w:t>
                  </w:r>
                </w:p>
              </w:tc>
              <w:tc>
                <w:tcPr>
                  <w:tcW w:w="1316" w:type="dxa"/>
                  <w:shd w:val="clear" w:color="auto" w:fill="auto"/>
                  <w:noWrap w:val="0"/>
                  <w:vAlign w:val="center"/>
                </w:tcPr>
                <w:p>
                  <w:pPr>
                    <w:pStyle w:val="28"/>
                    <w:ind w:left="-105" w:right="-105"/>
                    <w:rPr>
                      <w:rFonts w:hint="eastAsia" w:eastAsia="宋体"/>
                      <w:color w:val="auto"/>
                      <w:lang w:eastAsia="zh-CN"/>
                    </w:rPr>
                  </w:pPr>
                  <w:r>
                    <w:rPr>
                      <w:color w:val="auto"/>
                    </w:rPr>
                    <w:t>现状浓度</w:t>
                  </w:r>
                </w:p>
              </w:tc>
              <w:tc>
                <w:tcPr>
                  <w:tcW w:w="1015" w:type="dxa"/>
                  <w:shd w:val="clear" w:color="auto" w:fill="auto"/>
                  <w:noWrap w:val="0"/>
                  <w:vAlign w:val="center"/>
                </w:tcPr>
                <w:p>
                  <w:pPr>
                    <w:pStyle w:val="28"/>
                    <w:ind w:left="-105" w:right="-105"/>
                    <w:rPr>
                      <w:color w:val="auto"/>
                    </w:rPr>
                  </w:pPr>
                  <w:r>
                    <w:rPr>
                      <w:color w:val="auto"/>
                    </w:rPr>
                    <w:t>标准值</w:t>
                  </w:r>
                </w:p>
              </w:tc>
              <w:tc>
                <w:tcPr>
                  <w:tcW w:w="1400" w:type="dxa"/>
                  <w:shd w:val="clear" w:color="auto" w:fill="auto"/>
                  <w:noWrap w:val="0"/>
                  <w:vAlign w:val="center"/>
                </w:tcPr>
                <w:p>
                  <w:pPr>
                    <w:pStyle w:val="28"/>
                    <w:ind w:left="-105" w:right="-105"/>
                    <w:rPr>
                      <w:color w:val="auto"/>
                    </w:rPr>
                  </w:pPr>
                  <w:r>
                    <w:rPr>
                      <w:color w:val="auto"/>
                    </w:rPr>
                    <w:t>占标率（%）</w:t>
                  </w:r>
                </w:p>
              </w:tc>
              <w:tc>
                <w:tcPr>
                  <w:tcW w:w="915" w:type="dxa"/>
                  <w:shd w:val="clear" w:color="auto" w:fill="auto"/>
                  <w:noWrap w:val="0"/>
                  <w:vAlign w:val="center"/>
                </w:tcPr>
                <w:p>
                  <w:pPr>
                    <w:pStyle w:val="28"/>
                    <w:ind w:left="-105" w:right="-105"/>
                    <w:rPr>
                      <w:color w:val="auto"/>
                    </w:rPr>
                  </w:pPr>
                  <w:r>
                    <w:rPr>
                      <w:color w:val="auto"/>
                    </w:rPr>
                    <w:t>超标倍数</w:t>
                  </w:r>
                </w:p>
              </w:tc>
              <w:tc>
                <w:tcPr>
                  <w:tcW w:w="976" w:type="dxa"/>
                  <w:shd w:val="clear" w:color="auto" w:fill="auto"/>
                  <w:noWrap w:val="0"/>
                  <w:vAlign w:val="center"/>
                </w:tcPr>
                <w:p>
                  <w:pPr>
                    <w:pStyle w:val="28"/>
                    <w:ind w:left="-105" w:right="-105"/>
                    <w:rPr>
                      <w:color w:val="auto"/>
                    </w:rPr>
                  </w:pPr>
                  <w:r>
                    <w:rPr>
                      <w:color w:val="auto"/>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0" w:type="dxa"/>
                  <w:shd w:val="clear" w:color="auto" w:fill="auto"/>
                  <w:noWrap w:val="0"/>
                  <w:vAlign w:val="center"/>
                </w:tcPr>
                <w:p>
                  <w:pPr>
                    <w:pStyle w:val="28"/>
                    <w:ind w:left="-105" w:right="-105"/>
                    <w:rPr>
                      <w:color w:val="auto"/>
                    </w:rPr>
                  </w:pPr>
                  <w:r>
                    <w:rPr>
                      <w:color w:val="auto"/>
                    </w:rPr>
                    <w:t>SO</w:t>
                  </w:r>
                  <w:r>
                    <w:rPr>
                      <w:color w:val="auto"/>
                      <w:vertAlign w:val="subscript"/>
                    </w:rPr>
                    <w:t>2</w:t>
                  </w:r>
                </w:p>
              </w:tc>
              <w:tc>
                <w:tcPr>
                  <w:tcW w:w="1825" w:type="dxa"/>
                  <w:shd w:val="clear" w:color="auto" w:fill="auto"/>
                  <w:noWrap w:val="0"/>
                  <w:vAlign w:val="center"/>
                </w:tcPr>
                <w:p>
                  <w:pPr>
                    <w:pStyle w:val="28"/>
                    <w:ind w:left="-105" w:right="-105"/>
                    <w:rPr>
                      <w:color w:val="auto"/>
                    </w:rPr>
                  </w:pPr>
                  <w:r>
                    <w:rPr>
                      <w:color w:val="auto"/>
                    </w:rPr>
                    <w:t>年平均</w:t>
                  </w:r>
                </w:p>
              </w:tc>
              <w:tc>
                <w:tcPr>
                  <w:tcW w:w="131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6</w:t>
                  </w:r>
                </w:p>
              </w:tc>
              <w:tc>
                <w:tcPr>
                  <w:tcW w:w="10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60</w:t>
                  </w:r>
                </w:p>
              </w:tc>
              <w:tc>
                <w:tcPr>
                  <w:tcW w:w="1400"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lang w:bidi="ar"/>
                    </w:rPr>
                    <w:t>10</w:t>
                  </w:r>
                </w:p>
              </w:tc>
              <w:tc>
                <w:tcPr>
                  <w:tcW w:w="9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w:t>
                  </w:r>
                </w:p>
              </w:tc>
              <w:tc>
                <w:tcPr>
                  <w:tcW w:w="97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0" w:type="dxa"/>
                  <w:shd w:val="clear" w:color="auto" w:fill="auto"/>
                  <w:noWrap w:val="0"/>
                  <w:vAlign w:val="center"/>
                </w:tcPr>
                <w:p>
                  <w:pPr>
                    <w:pStyle w:val="28"/>
                    <w:ind w:left="-105" w:right="-105"/>
                    <w:rPr>
                      <w:color w:val="auto"/>
                    </w:rPr>
                  </w:pPr>
                  <w:r>
                    <w:rPr>
                      <w:color w:val="auto"/>
                    </w:rPr>
                    <w:t>NO</w:t>
                  </w:r>
                  <w:r>
                    <w:rPr>
                      <w:color w:val="auto"/>
                      <w:vertAlign w:val="subscript"/>
                    </w:rPr>
                    <w:t>2</w:t>
                  </w:r>
                </w:p>
              </w:tc>
              <w:tc>
                <w:tcPr>
                  <w:tcW w:w="1825" w:type="dxa"/>
                  <w:shd w:val="clear" w:color="auto" w:fill="auto"/>
                  <w:noWrap w:val="0"/>
                  <w:vAlign w:val="center"/>
                </w:tcPr>
                <w:p>
                  <w:pPr>
                    <w:pStyle w:val="28"/>
                    <w:ind w:left="-105" w:right="-105"/>
                    <w:rPr>
                      <w:color w:val="auto"/>
                    </w:rPr>
                  </w:pPr>
                  <w:r>
                    <w:rPr>
                      <w:color w:val="auto"/>
                    </w:rPr>
                    <w:t>年平均</w:t>
                  </w:r>
                </w:p>
              </w:tc>
              <w:tc>
                <w:tcPr>
                  <w:tcW w:w="131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16</w:t>
                  </w:r>
                </w:p>
              </w:tc>
              <w:tc>
                <w:tcPr>
                  <w:tcW w:w="10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40</w:t>
                  </w:r>
                </w:p>
              </w:tc>
              <w:tc>
                <w:tcPr>
                  <w:tcW w:w="1400"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lang w:bidi="ar"/>
                    </w:rPr>
                    <w:t>40</w:t>
                  </w:r>
                </w:p>
              </w:tc>
              <w:tc>
                <w:tcPr>
                  <w:tcW w:w="9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w:t>
                  </w:r>
                </w:p>
              </w:tc>
              <w:tc>
                <w:tcPr>
                  <w:tcW w:w="97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0" w:type="dxa"/>
                  <w:shd w:val="clear" w:color="auto" w:fill="auto"/>
                  <w:noWrap w:val="0"/>
                  <w:vAlign w:val="center"/>
                </w:tcPr>
                <w:p>
                  <w:pPr>
                    <w:pStyle w:val="28"/>
                    <w:ind w:left="-105" w:right="-105"/>
                    <w:rPr>
                      <w:color w:val="auto"/>
                    </w:rPr>
                  </w:pPr>
                  <w:r>
                    <w:rPr>
                      <w:color w:val="auto"/>
                    </w:rPr>
                    <w:t>PM</w:t>
                  </w:r>
                  <w:r>
                    <w:rPr>
                      <w:color w:val="auto"/>
                      <w:vertAlign w:val="subscript"/>
                    </w:rPr>
                    <w:t>10</w:t>
                  </w:r>
                </w:p>
              </w:tc>
              <w:tc>
                <w:tcPr>
                  <w:tcW w:w="1825" w:type="dxa"/>
                  <w:shd w:val="clear" w:color="auto" w:fill="auto"/>
                  <w:noWrap w:val="0"/>
                  <w:vAlign w:val="center"/>
                </w:tcPr>
                <w:p>
                  <w:pPr>
                    <w:pStyle w:val="28"/>
                    <w:ind w:left="-105" w:right="-105"/>
                    <w:rPr>
                      <w:color w:val="auto"/>
                    </w:rPr>
                  </w:pPr>
                  <w:r>
                    <w:rPr>
                      <w:color w:val="auto"/>
                    </w:rPr>
                    <w:t>年平均</w:t>
                  </w:r>
                </w:p>
              </w:tc>
              <w:tc>
                <w:tcPr>
                  <w:tcW w:w="131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88</w:t>
                  </w:r>
                </w:p>
              </w:tc>
              <w:tc>
                <w:tcPr>
                  <w:tcW w:w="10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70</w:t>
                  </w:r>
                </w:p>
              </w:tc>
              <w:tc>
                <w:tcPr>
                  <w:tcW w:w="1400"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lang w:bidi="ar"/>
                    </w:rPr>
                    <w:t>125.71</w:t>
                  </w:r>
                </w:p>
              </w:tc>
              <w:tc>
                <w:tcPr>
                  <w:tcW w:w="9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0.26</w:t>
                  </w:r>
                </w:p>
              </w:tc>
              <w:tc>
                <w:tcPr>
                  <w:tcW w:w="97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770" w:type="dxa"/>
                  <w:shd w:val="clear" w:color="auto" w:fill="auto"/>
                  <w:noWrap w:val="0"/>
                  <w:vAlign w:val="center"/>
                </w:tcPr>
                <w:p>
                  <w:pPr>
                    <w:pStyle w:val="28"/>
                    <w:ind w:left="-105" w:right="-105"/>
                    <w:rPr>
                      <w:color w:val="auto"/>
                    </w:rPr>
                  </w:pPr>
                  <w:r>
                    <w:rPr>
                      <w:color w:val="auto"/>
                    </w:rPr>
                    <w:t>PM</w:t>
                  </w:r>
                  <w:r>
                    <w:rPr>
                      <w:color w:val="auto"/>
                      <w:vertAlign w:val="subscript"/>
                    </w:rPr>
                    <w:t>2.5</w:t>
                  </w:r>
                </w:p>
              </w:tc>
              <w:tc>
                <w:tcPr>
                  <w:tcW w:w="1825" w:type="dxa"/>
                  <w:shd w:val="clear" w:color="auto" w:fill="auto"/>
                  <w:noWrap w:val="0"/>
                  <w:vAlign w:val="center"/>
                </w:tcPr>
                <w:p>
                  <w:pPr>
                    <w:pStyle w:val="28"/>
                    <w:ind w:left="-105" w:right="-105"/>
                    <w:rPr>
                      <w:color w:val="auto"/>
                    </w:rPr>
                  </w:pPr>
                  <w:r>
                    <w:rPr>
                      <w:color w:val="auto"/>
                    </w:rPr>
                    <w:t>年平均</w:t>
                  </w:r>
                </w:p>
              </w:tc>
              <w:tc>
                <w:tcPr>
                  <w:tcW w:w="131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51</w:t>
                  </w:r>
                </w:p>
              </w:tc>
              <w:tc>
                <w:tcPr>
                  <w:tcW w:w="10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35</w:t>
                  </w:r>
                </w:p>
              </w:tc>
              <w:tc>
                <w:tcPr>
                  <w:tcW w:w="1400"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lang w:bidi="ar"/>
                    </w:rPr>
                    <w:t>145.71</w:t>
                  </w:r>
                </w:p>
              </w:tc>
              <w:tc>
                <w:tcPr>
                  <w:tcW w:w="9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0.46</w:t>
                  </w:r>
                </w:p>
              </w:tc>
              <w:tc>
                <w:tcPr>
                  <w:tcW w:w="97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0" w:type="dxa"/>
                  <w:shd w:val="clear" w:color="auto" w:fill="auto"/>
                  <w:noWrap w:val="0"/>
                  <w:vAlign w:val="center"/>
                </w:tcPr>
                <w:p>
                  <w:pPr>
                    <w:pStyle w:val="28"/>
                    <w:ind w:left="-105" w:right="-105"/>
                    <w:rPr>
                      <w:color w:val="auto"/>
                    </w:rPr>
                  </w:pPr>
                  <w:r>
                    <w:rPr>
                      <w:color w:val="auto"/>
                    </w:rPr>
                    <w:t>CO</w:t>
                  </w:r>
                </w:p>
              </w:tc>
              <w:tc>
                <w:tcPr>
                  <w:tcW w:w="1825" w:type="dxa"/>
                  <w:shd w:val="clear" w:color="auto" w:fill="auto"/>
                  <w:noWrap w:val="0"/>
                  <w:vAlign w:val="center"/>
                </w:tcPr>
                <w:p>
                  <w:pPr>
                    <w:pStyle w:val="28"/>
                    <w:ind w:left="-105" w:right="-105"/>
                    <w:rPr>
                      <w:color w:val="auto"/>
                    </w:rPr>
                  </w:pPr>
                  <w:r>
                    <w:rPr>
                      <w:color w:val="auto"/>
                    </w:rPr>
                    <w:t>24小时平均第95百分位数</w:t>
                  </w:r>
                </w:p>
              </w:tc>
              <w:tc>
                <w:tcPr>
                  <w:tcW w:w="131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1200</w:t>
                  </w:r>
                </w:p>
              </w:tc>
              <w:tc>
                <w:tcPr>
                  <w:tcW w:w="10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4000</w:t>
                  </w:r>
                </w:p>
              </w:tc>
              <w:tc>
                <w:tcPr>
                  <w:tcW w:w="1400"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lang w:bidi="ar"/>
                    </w:rPr>
                    <w:t>30</w:t>
                  </w:r>
                </w:p>
              </w:tc>
              <w:tc>
                <w:tcPr>
                  <w:tcW w:w="9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w:t>
                  </w:r>
                </w:p>
              </w:tc>
              <w:tc>
                <w:tcPr>
                  <w:tcW w:w="97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0" w:type="dxa"/>
                  <w:shd w:val="clear" w:color="auto" w:fill="auto"/>
                  <w:noWrap w:val="0"/>
                  <w:vAlign w:val="center"/>
                </w:tcPr>
                <w:p>
                  <w:pPr>
                    <w:pStyle w:val="28"/>
                    <w:ind w:left="-105" w:right="-105"/>
                    <w:rPr>
                      <w:color w:val="auto"/>
                    </w:rPr>
                  </w:pPr>
                  <w:r>
                    <w:rPr>
                      <w:color w:val="auto"/>
                    </w:rPr>
                    <w:t>O</w:t>
                  </w:r>
                  <w:r>
                    <w:rPr>
                      <w:color w:val="auto"/>
                      <w:vertAlign w:val="subscript"/>
                    </w:rPr>
                    <w:t>3</w:t>
                  </w:r>
                </w:p>
              </w:tc>
              <w:tc>
                <w:tcPr>
                  <w:tcW w:w="1825" w:type="dxa"/>
                  <w:shd w:val="clear" w:color="auto" w:fill="auto"/>
                  <w:noWrap w:val="0"/>
                  <w:vAlign w:val="center"/>
                </w:tcPr>
                <w:p>
                  <w:pPr>
                    <w:pStyle w:val="28"/>
                    <w:ind w:left="-105" w:right="-105"/>
                    <w:rPr>
                      <w:color w:val="auto"/>
                    </w:rPr>
                  </w:pPr>
                  <w:r>
                    <w:rPr>
                      <w:color w:val="auto"/>
                    </w:rPr>
                    <w:t>8小时平均第90百分位数</w:t>
                  </w:r>
                </w:p>
              </w:tc>
              <w:tc>
                <w:tcPr>
                  <w:tcW w:w="131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79</w:t>
                  </w:r>
                </w:p>
              </w:tc>
              <w:tc>
                <w:tcPr>
                  <w:tcW w:w="10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160</w:t>
                  </w:r>
                </w:p>
              </w:tc>
              <w:tc>
                <w:tcPr>
                  <w:tcW w:w="1400"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lang w:bidi="ar"/>
                    </w:rPr>
                    <w:t>49.38</w:t>
                  </w:r>
                </w:p>
              </w:tc>
              <w:tc>
                <w:tcPr>
                  <w:tcW w:w="915"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w:t>
                  </w:r>
                </w:p>
              </w:tc>
              <w:tc>
                <w:tcPr>
                  <w:tcW w:w="976" w:type="dxa"/>
                  <w:shd w:val="clear" w:color="auto" w:fill="auto"/>
                  <w:noWrap w:val="0"/>
                  <w:vAlign w:val="center"/>
                </w:tcPr>
                <w:p>
                  <w:pPr>
                    <w:pStyle w:val="28"/>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color w:val="auto"/>
                    </w:rPr>
                  </w:pPr>
                  <w:r>
                    <w:rPr>
                      <w:rFonts w:hint="default" w:ascii="Times New Roman" w:hAnsi="Times New Roman" w:cs="Times New Roman"/>
                      <w:color w:val="auto"/>
                    </w:rPr>
                    <w:t>达标</w:t>
                  </w:r>
                </w:p>
              </w:tc>
            </w:tr>
          </w:tbl>
          <w:p>
            <w:pPr>
              <w:pStyle w:val="4"/>
              <w:rPr>
                <w:color w:val="auto"/>
              </w:rPr>
            </w:pPr>
            <w:bookmarkStart w:id="43" w:name="_Hlk81848090"/>
            <w:r>
              <w:rPr>
                <w:color w:val="auto"/>
              </w:rPr>
              <w:t>根据表3-</w:t>
            </w:r>
            <w:r>
              <w:rPr>
                <w:rFonts w:hint="eastAsia"/>
                <w:color w:val="auto"/>
                <w:lang w:val="en-US" w:eastAsia="zh-CN"/>
              </w:rPr>
              <w:t>3</w:t>
            </w:r>
            <w:r>
              <w:rPr>
                <w:color w:val="auto"/>
              </w:rPr>
              <w:t>对基本污染物的年评价指标分析结果，2020年</w:t>
            </w:r>
            <w:r>
              <w:rPr>
                <w:rFonts w:hint="eastAsia"/>
                <w:color w:val="auto"/>
                <w:lang w:val="en-US" w:eastAsia="zh-CN"/>
              </w:rPr>
              <w:t>吉木萨尔</w:t>
            </w:r>
            <w:r>
              <w:rPr>
                <w:color w:val="auto"/>
              </w:rPr>
              <w:t>县SO</w:t>
            </w:r>
            <w:r>
              <w:rPr>
                <w:color w:val="auto"/>
                <w:vertAlign w:val="subscript"/>
              </w:rPr>
              <w:t>2</w:t>
            </w:r>
            <w:r>
              <w:rPr>
                <w:color w:val="auto"/>
              </w:rPr>
              <w:t>、NO</w:t>
            </w:r>
            <w:r>
              <w:rPr>
                <w:color w:val="auto"/>
                <w:vertAlign w:val="subscript"/>
              </w:rPr>
              <w:t>2</w:t>
            </w:r>
            <w:r>
              <w:rPr>
                <w:color w:val="auto"/>
              </w:rPr>
              <w:t>、CO、O</w:t>
            </w:r>
            <w:r>
              <w:rPr>
                <w:color w:val="auto"/>
                <w:vertAlign w:val="subscript"/>
              </w:rPr>
              <w:t>3</w:t>
            </w:r>
            <w:r>
              <w:rPr>
                <w:rFonts w:hint="eastAsia"/>
                <w:color w:val="auto"/>
              </w:rPr>
              <w:t>年评价指标</w:t>
            </w:r>
            <w:r>
              <w:rPr>
                <w:color w:val="auto"/>
              </w:rPr>
              <w:t>均可满足《环境空气质量标准》（GB3095-2012）二级标准</w:t>
            </w:r>
            <w:r>
              <w:rPr>
                <w:rFonts w:hint="eastAsia"/>
                <w:color w:val="auto"/>
              </w:rPr>
              <w:t>限值</w:t>
            </w:r>
            <w:r>
              <w:rPr>
                <w:color w:val="auto"/>
              </w:rPr>
              <w:t>，PM</w:t>
            </w:r>
            <w:r>
              <w:rPr>
                <w:color w:val="auto"/>
                <w:vertAlign w:val="subscript"/>
              </w:rPr>
              <w:t>10</w:t>
            </w:r>
            <w:r>
              <w:rPr>
                <w:color w:val="auto"/>
              </w:rPr>
              <w:t>、PM</w:t>
            </w:r>
            <w:r>
              <w:rPr>
                <w:color w:val="auto"/>
                <w:vertAlign w:val="subscript"/>
              </w:rPr>
              <w:t>2.5</w:t>
            </w:r>
            <w:r>
              <w:rPr>
                <w:rFonts w:hint="eastAsia"/>
                <w:color w:val="auto"/>
              </w:rPr>
              <w:t>年评价指标</w:t>
            </w:r>
            <w:r>
              <w:rPr>
                <w:color w:val="auto"/>
              </w:rPr>
              <w:t>超过《环境空气质量标准》（GB3095-2012）中二级标准</w:t>
            </w:r>
            <w:r>
              <w:rPr>
                <w:rFonts w:hint="eastAsia"/>
                <w:color w:val="auto"/>
              </w:rPr>
              <w:t>限值</w:t>
            </w:r>
            <w:r>
              <w:rPr>
                <w:color w:val="auto"/>
              </w:rPr>
              <w:t>，本项目所在区域为</w:t>
            </w:r>
            <w:r>
              <w:rPr>
                <w:rFonts w:hint="eastAsia"/>
                <w:color w:val="auto"/>
              </w:rPr>
              <w:t>不</w:t>
            </w:r>
            <w:r>
              <w:rPr>
                <w:color w:val="auto"/>
              </w:rPr>
              <w:t>达标区。</w:t>
            </w:r>
          </w:p>
          <w:bookmarkEnd w:id="43"/>
          <w:p>
            <w:pPr>
              <w:spacing w:line="360" w:lineRule="auto"/>
              <w:ind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rPr>
              <w:t>为切实做好吉木萨尔县环境保护工作，进一步改善环境空气质量，吉木萨尔县人民政府先后制定了《吉木萨尔县建筑施工现场扬尘污染治理工作方案》、《关于立即开展道路运输抛洒污染、扬尘专项治理工作实施方案》、《吉木萨尔县砂石粘土矿扬尘管控方案》等文件。通过加强工业企业粉尘整治、强化移动源污染治理、综合整治城市扬尘、严格落实巡查监管等一系列措施，吉木萨尔县环境空气质量将会得到改善。</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2.2</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水环境质量现状</w:t>
            </w:r>
          </w:p>
          <w:p>
            <w:pPr>
              <w:pStyle w:val="4"/>
              <w:rPr>
                <w:color w:val="auto"/>
              </w:rPr>
            </w:pPr>
            <w:bookmarkStart w:id="44" w:name="_Hlk47367754"/>
            <w:r>
              <w:rPr>
                <w:rFonts w:hint="eastAsia"/>
                <w:color w:val="auto"/>
              </w:rPr>
              <w:t>本项目钻井期间钻井</w:t>
            </w:r>
            <w:r>
              <w:rPr>
                <w:rFonts w:hint="eastAsia"/>
                <w:color w:val="auto"/>
                <w:lang w:val="en-US" w:eastAsia="zh-CN"/>
              </w:rPr>
              <w:t>液</w:t>
            </w:r>
            <w:r>
              <w:rPr>
                <w:rFonts w:hint="eastAsia"/>
                <w:color w:val="auto"/>
              </w:rPr>
              <w:t>循环利用，</w:t>
            </w:r>
            <w:r>
              <w:rPr>
                <w:rFonts w:hint="eastAsia"/>
                <w:color w:val="auto"/>
              </w:rPr>
              <w:t>生活污水定期拉运至</w:t>
            </w:r>
            <w:r>
              <w:rPr>
                <w:rFonts w:hint="eastAsia"/>
                <w:color w:val="auto"/>
                <w:lang w:val="en-US" w:eastAsia="zh-CN"/>
              </w:rPr>
              <w:t>五彩湾生产服务区污水处理厂</w:t>
            </w:r>
            <w:r>
              <w:rPr>
                <w:rFonts w:hint="eastAsia"/>
                <w:color w:val="auto"/>
              </w:rPr>
              <w:t>，</w:t>
            </w:r>
            <w:r>
              <w:rPr>
                <w:rFonts w:hint="eastAsia"/>
                <w:color w:val="auto"/>
              </w:rPr>
              <w:t>不直接向外环境排放，不与周边地表水体发生水力联系，且项目区附近无地表水体，因此未进行地表水环境质量现状监测。</w:t>
            </w:r>
          </w:p>
          <w:p>
            <w:pPr>
              <w:pStyle w:val="4"/>
              <w:rPr>
                <w:color w:val="auto"/>
              </w:rPr>
            </w:pPr>
            <w:bookmarkStart w:id="45" w:name="_Hlk38380761"/>
            <w:r>
              <w:rPr>
                <w:rFonts w:hint="eastAsia"/>
                <w:color w:val="auto"/>
              </w:rPr>
              <w:t xml:space="preserve">本项目为预探井钻井试油工程，根据《环境影响评价技术导则 地下水环境》（HJ610-2016）附录A，本项目属于“C地质勘查 </w:t>
            </w:r>
            <w:r>
              <w:rPr>
                <w:color w:val="auto"/>
              </w:rPr>
              <w:t>24</w:t>
            </w:r>
            <w:r>
              <w:rPr>
                <w:rFonts w:hint="eastAsia"/>
                <w:color w:val="auto"/>
              </w:rPr>
              <w:t>、矿产资源地质勘查（包含勘探活动）中的报告表类项目”，地下水环境影响评价项目类别为Ⅳ类，可不开展地下水环境影响评价，因此本环评不进行地下水环境质量现状调查</w:t>
            </w:r>
            <w:r>
              <w:rPr>
                <w:color w:val="auto"/>
              </w:rPr>
              <w:t>。</w:t>
            </w:r>
          </w:p>
          <w:bookmarkEnd w:id="44"/>
          <w:bookmarkEnd w:id="45"/>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2.3</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声环境质量现状</w:t>
            </w:r>
          </w:p>
          <w:p>
            <w:pPr>
              <w:pStyle w:val="4"/>
              <w:rPr>
                <w:snapToGrid w:val="0"/>
                <w:color w:val="auto"/>
              </w:rPr>
            </w:pPr>
            <w:bookmarkStart w:id="46" w:name="OLE_LINK64"/>
            <w:bookmarkStart w:id="47" w:name="OLE_LINK65"/>
            <w:r>
              <w:rPr>
                <w:rFonts w:hint="eastAsia"/>
                <w:color w:val="auto"/>
              </w:rPr>
              <w:t>根据《昌吉州2020年环境状况公报》，</w:t>
            </w:r>
            <w:r>
              <w:rPr>
                <w:color w:val="auto"/>
              </w:rPr>
              <w:t>2020</w:t>
            </w:r>
            <w:r>
              <w:rPr>
                <w:rFonts w:hint="eastAsia"/>
                <w:color w:val="auto"/>
              </w:rPr>
              <w:t>年全州</w:t>
            </w:r>
            <w:r>
              <w:rPr>
                <w:color w:val="auto"/>
              </w:rPr>
              <w:t>7</w:t>
            </w:r>
            <w:r>
              <w:rPr>
                <w:rFonts w:hint="eastAsia"/>
                <w:color w:val="auto"/>
              </w:rPr>
              <w:t>个县（市）进行了昼间区域声环境质量监测，共设置了</w:t>
            </w:r>
            <w:r>
              <w:rPr>
                <w:color w:val="auto"/>
              </w:rPr>
              <w:t>747</w:t>
            </w:r>
            <w:r>
              <w:rPr>
                <w:rFonts w:hint="eastAsia"/>
                <w:color w:val="auto"/>
              </w:rPr>
              <w:t>个点位，覆盖面积</w:t>
            </w:r>
            <w:r>
              <w:rPr>
                <w:color w:val="auto"/>
              </w:rPr>
              <w:t>130.74</w:t>
            </w:r>
            <w:r>
              <w:rPr>
                <w:rFonts w:hint="eastAsia"/>
                <w:color w:val="auto"/>
              </w:rPr>
              <w:t>公里，昼间区域声环境质量平均等效声级范围在</w:t>
            </w:r>
            <w:r>
              <w:rPr>
                <w:color w:val="auto"/>
              </w:rPr>
              <w:t>38.8-52.5dB</w:t>
            </w:r>
            <w:r>
              <w:rPr>
                <w:rFonts w:hint="eastAsia"/>
                <w:color w:val="auto"/>
              </w:rPr>
              <w:t>（</w:t>
            </w:r>
            <w:r>
              <w:rPr>
                <w:color w:val="auto"/>
              </w:rPr>
              <w:t>A</w:t>
            </w:r>
            <w:r>
              <w:rPr>
                <w:rFonts w:hint="eastAsia"/>
                <w:color w:val="auto"/>
              </w:rPr>
              <w:t>）之间，平均值为</w:t>
            </w:r>
            <w:r>
              <w:rPr>
                <w:color w:val="auto"/>
              </w:rPr>
              <w:t>48.6dB</w:t>
            </w:r>
            <w:r>
              <w:rPr>
                <w:rFonts w:hint="eastAsia"/>
                <w:color w:val="auto"/>
              </w:rPr>
              <w:t>（</w:t>
            </w:r>
            <w:r>
              <w:rPr>
                <w:color w:val="auto"/>
              </w:rPr>
              <w:t>A</w:t>
            </w:r>
            <w:r>
              <w:rPr>
                <w:rFonts w:hint="eastAsia"/>
                <w:color w:val="auto"/>
              </w:rPr>
              <w:t>），</w:t>
            </w:r>
            <w:r>
              <w:rPr>
                <w:rFonts w:hint="eastAsia"/>
                <w:snapToGrid w:val="0"/>
                <w:color w:val="auto"/>
              </w:rPr>
              <w:t>均符合国家《声环境质量标准》。</w:t>
            </w:r>
            <w:r>
              <w:rPr>
                <w:rFonts w:hint="eastAsia"/>
                <w:color w:val="auto"/>
              </w:rPr>
              <w:t>全州</w:t>
            </w:r>
            <w:r>
              <w:rPr>
                <w:color w:val="auto"/>
              </w:rPr>
              <w:t>7</w:t>
            </w:r>
            <w:r>
              <w:rPr>
                <w:rFonts w:hint="eastAsia"/>
                <w:color w:val="auto"/>
              </w:rPr>
              <w:t>个县市中，有</w:t>
            </w:r>
            <w:r>
              <w:rPr>
                <w:color w:val="auto"/>
              </w:rPr>
              <w:t>3</w:t>
            </w:r>
            <w:r>
              <w:rPr>
                <w:rFonts w:hint="eastAsia"/>
                <w:color w:val="auto"/>
              </w:rPr>
              <w:t>个县（市）（呼图壁县、木垒县和吉木萨尔县）昼间区域声环境质量为好，占</w:t>
            </w:r>
            <w:r>
              <w:rPr>
                <w:color w:val="auto"/>
              </w:rPr>
              <w:t>42.9%</w:t>
            </w:r>
            <w:r>
              <w:rPr>
                <w:rFonts w:hint="eastAsia"/>
                <w:color w:val="auto"/>
              </w:rPr>
              <w:t>；有</w:t>
            </w:r>
            <w:r>
              <w:rPr>
                <w:color w:val="auto"/>
              </w:rPr>
              <w:t>4</w:t>
            </w:r>
            <w:r>
              <w:rPr>
                <w:rFonts w:hint="eastAsia"/>
                <w:color w:val="auto"/>
              </w:rPr>
              <w:t>个县（市）（昌吉市、阜康市、玛纳斯县和奇台县）较好，占</w:t>
            </w:r>
            <w:r>
              <w:rPr>
                <w:color w:val="auto"/>
              </w:rPr>
              <w:t>57.1%</w:t>
            </w:r>
            <w:r>
              <w:rPr>
                <w:rFonts w:hint="eastAsia"/>
                <w:color w:val="auto"/>
              </w:rPr>
              <w:t>。</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2.4</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土壤环境质量评价</w:t>
            </w:r>
          </w:p>
          <w:p>
            <w:pPr>
              <w:pStyle w:val="4"/>
              <w:rPr>
                <w:rFonts w:hint="eastAsia"/>
                <w:color w:val="auto"/>
              </w:rPr>
            </w:pPr>
            <w:bookmarkStart w:id="48" w:name="_Hlk47367778"/>
            <w:r>
              <w:rPr>
                <w:rFonts w:hint="eastAsia"/>
                <w:color w:val="auto"/>
              </w:rPr>
              <w:t>本项目属于矿产资源勘查活动，</w:t>
            </w:r>
            <w:r>
              <w:rPr>
                <w:color w:val="auto"/>
              </w:rPr>
              <w:t>根据《环境影响评价技术导则 土壤环境》（HJ964-2018），本项目为污染影响型建设项目，根据附录A，本项目</w:t>
            </w:r>
            <w:r>
              <w:rPr>
                <w:rFonts w:hint="eastAsia"/>
                <w:color w:val="auto"/>
              </w:rPr>
              <w:t>为“其他行业”，项目类别为</w:t>
            </w:r>
            <w:r>
              <w:rPr>
                <w:color w:val="auto"/>
              </w:rPr>
              <w:fldChar w:fldCharType="begin"/>
            </w:r>
            <w:r>
              <w:rPr>
                <w:color w:val="auto"/>
              </w:rPr>
              <w:instrText xml:space="preserve"> = 4 \* ROMAN \* MERGEFORMAT </w:instrText>
            </w:r>
            <w:r>
              <w:rPr>
                <w:color w:val="auto"/>
              </w:rPr>
              <w:fldChar w:fldCharType="separate"/>
            </w:r>
            <w:r>
              <w:rPr>
                <w:color w:val="auto"/>
              </w:rPr>
              <w:t>IV</w:t>
            </w:r>
            <w:r>
              <w:rPr>
                <w:color w:val="auto"/>
              </w:rPr>
              <w:fldChar w:fldCharType="end"/>
            </w:r>
            <w:r>
              <w:rPr>
                <w:color w:val="auto"/>
              </w:rPr>
              <w:t>类，根据导则判定本项目可不开展土壤环境影响评价工作。</w:t>
            </w:r>
            <w:bookmarkEnd w:id="46"/>
            <w:bookmarkEnd w:id="47"/>
            <w:bookmarkEnd w:id="4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724" w:type="dxa"/>
            <w:noWrap w:val="0"/>
            <w:vAlign w:val="center"/>
          </w:tcPr>
          <w:p>
            <w:pPr>
              <w:rPr>
                <w:color w:val="auto"/>
                <w:kern w:val="0"/>
                <w:szCs w:val="21"/>
              </w:rPr>
            </w:pPr>
            <w:r>
              <w:rPr>
                <w:bCs/>
                <w:color w:val="auto"/>
                <w:szCs w:val="21"/>
              </w:rPr>
              <w:t>与项目有关的原有环境污染和生态破坏问题</w:t>
            </w:r>
          </w:p>
        </w:tc>
        <w:tc>
          <w:tcPr>
            <w:tcW w:w="8433" w:type="dxa"/>
            <w:noWrap w:val="0"/>
            <w:vAlign w:val="center"/>
          </w:tcPr>
          <w:p>
            <w:pPr>
              <w:rPr>
                <w:rFonts w:hint="eastAsia"/>
                <w:color w:val="auto"/>
              </w:rPr>
            </w:pPr>
            <w:r>
              <w:rPr>
                <w:color w:val="auto"/>
              </w:rPr>
              <w:t>本项目为前期勘探工程，不存在原有环境问题。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4" w:type="dxa"/>
            <w:noWrap w:val="0"/>
            <w:vAlign w:val="center"/>
          </w:tcPr>
          <w:p>
            <w:pPr>
              <w:rPr>
                <w:bCs/>
                <w:color w:val="auto"/>
                <w:szCs w:val="21"/>
              </w:rPr>
            </w:pPr>
            <w:r>
              <w:rPr>
                <w:color w:val="auto"/>
                <w:kern w:val="0"/>
                <w:szCs w:val="21"/>
              </w:rPr>
              <w:t>生态环境保护目标</w:t>
            </w:r>
          </w:p>
        </w:tc>
        <w:tc>
          <w:tcPr>
            <w:tcW w:w="8433" w:type="dxa"/>
            <w:noWrap w:val="0"/>
            <w:vAlign w:val="center"/>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1 环境保护目标</w:t>
            </w:r>
          </w:p>
          <w:p>
            <w:pPr>
              <w:pStyle w:val="4"/>
              <w:rPr>
                <w:color w:val="auto"/>
              </w:rPr>
            </w:pPr>
            <w:r>
              <w:rPr>
                <w:rFonts w:hint="eastAsia"/>
                <w:color w:val="auto"/>
              </w:rPr>
              <w:t>根据现场调查，</w:t>
            </w:r>
            <w:r>
              <w:rPr>
                <w:rFonts w:hint="eastAsia"/>
                <w:color w:val="auto"/>
                <w:lang w:val="en-US" w:eastAsia="zh-CN"/>
              </w:rPr>
              <w:t>项目区西侧6.3km为卡山保护区实验区，项目</w:t>
            </w:r>
            <w:r>
              <w:rPr>
                <w:rFonts w:hint="default" w:ascii="Times New Roman" w:hAnsi="Times New Roman" w:cs="Times New Roman"/>
                <w:color w:val="auto"/>
                <w:lang w:val="en-US" w:eastAsia="zh-CN"/>
              </w:rPr>
              <w:t>周边500m范围内无自然保护区、风景名胜区、居住区、文化区、人群较集中的区域，周边50m范围内无声环境保护目标，周边500m范围内无地下水集中式饮用水水源和热水、矿泉水、温泉等特殊地下水资源。</w:t>
            </w:r>
            <w:r>
              <w:rPr>
                <w:rFonts w:hint="eastAsia"/>
                <w:color w:val="auto"/>
              </w:rPr>
              <w:t>本项目环境保护目标具体情况见表3-</w:t>
            </w:r>
            <w:r>
              <w:rPr>
                <w:rFonts w:hint="eastAsia"/>
                <w:color w:val="auto"/>
                <w:lang w:val="en-US" w:eastAsia="zh-CN"/>
              </w:rPr>
              <w:t>4</w:t>
            </w:r>
            <w:r>
              <w:rPr>
                <w:rFonts w:hint="eastAsia"/>
                <w:color w:val="auto"/>
              </w:rPr>
              <w:t>。</w:t>
            </w:r>
          </w:p>
          <w:p>
            <w:pPr>
              <w:pStyle w:val="27"/>
              <w:rPr>
                <w:color w:val="auto"/>
              </w:rPr>
            </w:pPr>
            <w:bookmarkStart w:id="49" w:name="_Hlk48507087"/>
            <w:bookmarkStart w:id="50" w:name="_Hlk81848291"/>
            <w:r>
              <w:rPr>
                <w:color w:val="auto"/>
              </w:rPr>
              <w:t>表3</w:t>
            </w:r>
            <w:r>
              <w:rPr>
                <w:rFonts w:hint="eastAsia"/>
                <w:color w:val="auto"/>
              </w:rPr>
              <w:t>-</w:t>
            </w:r>
            <w:r>
              <w:rPr>
                <w:rFonts w:hint="eastAsia"/>
                <w:color w:val="auto"/>
                <w:lang w:val="en-US" w:eastAsia="zh-CN"/>
              </w:rPr>
              <w:t>4</w:t>
            </w:r>
            <w:r>
              <w:rPr>
                <w:rFonts w:hint="eastAsia"/>
                <w:color w:val="auto"/>
              </w:rPr>
              <w:t xml:space="preserve">  </w:t>
            </w:r>
            <w:r>
              <w:rPr>
                <w:color w:val="auto"/>
              </w:rPr>
              <w:t>主要环境敏感目标一览表</w:t>
            </w:r>
          </w:p>
          <w:tbl>
            <w:tblPr>
              <w:tblStyle w:val="17"/>
              <w:tblW w:w="488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63"/>
              <w:gridCol w:w="2185"/>
              <w:gridCol w:w="31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shd w:val="clear" w:color="auto" w:fill="auto"/>
                  <w:noWrap w:val="0"/>
                  <w:vAlign w:val="center"/>
                </w:tcPr>
                <w:p>
                  <w:pPr>
                    <w:pStyle w:val="28"/>
                    <w:spacing w:line="240" w:lineRule="auto"/>
                    <w:rPr>
                      <w:color w:val="auto"/>
                      <w:kern w:val="2"/>
                    </w:rPr>
                  </w:pPr>
                  <w:r>
                    <w:rPr>
                      <w:color w:val="auto"/>
                    </w:rPr>
                    <w:t>环境要素</w:t>
                  </w:r>
                </w:p>
              </w:tc>
              <w:tc>
                <w:tcPr>
                  <w:tcW w:w="972" w:type="pct"/>
                  <w:shd w:val="clear" w:color="auto" w:fill="auto"/>
                  <w:noWrap w:val="0"/>
                  <w:vAlign w:val="center"/>
                </w:tcPr>
                <w:p>
                  <w:pPr>
                    <w:pStyle w:val="28"/>
                    <w:spacing w:line="240" w:lineRule="auto"/>
                    <w:rPr>
                      <w:color w:val="auto"/>
                      <w:kern w:val="2"/>
                    </w:rPr>
                  </w:pPr>
                  <w:r>
                    <w:rPr>
                      <w:color w:val="auto"/>
                    </w:rPr>
                    <w:t>环境保护目标</w:t>
                  </w:r>
                </w:p>
              </w:tc>
              <w:tc>
                <w:tcPr>
                  <w:tcW w:w="1359" w:type="pct"/>
                  <w:shd w:val="clear" w:color="auto" w:fill="auto"/>
                  <w:noWrap w:val="0"/>
                  <w:vAlign w:val="center"/>
                </w:tcPr>
                <w:p>
                  <w:pPr>
                    <w:pStyle w:val="28"/>
                    <w:spacing w:line="240" w:lineRule="auto"/>
                    <w:rPr>
                      <w:color w:val="auto"/>
                      <w:kern w:val="2"/>
                    </w:rPr>
                  </w:pPr>
                  <w:r>
                    <w:rPr>
                      <w:color w:val="auto"/>
                    </w:rPr>
                    <w:t>工程与敏感目标的关系</w:t>
                  </w:r>
                </w:p>
              </w:tc>
              <w:tc>
                <w:tcPr>
                  <w:tcW w:w="1982" w:type="pct"/>
                  <w:shd w:val="clear" w:color="auto" w:fill="auto"/>
                  <w:noWrap w:val="0"/>
                  <w:vAlign w:val="center"/>
                </w:tcPr>
                <w:p>
                  <w:pPr>
                    <w:pStyle w:val="28"/>
                    <w:spacing w:line="240" w:lineRule="auto"/>
                    <w:rPr>
                      <w:color w:val="auto"/>
                      <w:kern w:val="2"/>
                    </w:rPr>
                  </w:pPr>
                  <w:r>
                    <w:rPr>
                      <w:color w:val="auto"/>
                    </w:rPr>
                    <w:t>环境保护要求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5" w:type="pct"/>
                  <w:shd w:val="clear" w:color="auto" w:fill="auto"/>
                  <w:noWrap w:val="0"/>
                  <w:vAlign w:val="center"/>
                </w:tcPr>
                <w:p>
                  <w:pPr>
                    <w:pStyle w:val="28"/>
                    <w:spacing w:line="240" w:lineRule="auto"/>
                    <w:rPr>
                      <w:color w:val="auto"/>
                      <w:kern w:val="2"/>
                    </w:rPr>
                  </w:pPr>
                  <w:r>
                    <w:rPr>
                      <w:color w:val="auto"/>
                    </w:rPr>
                    <w:t>大气环境</w:t>
                  </w:r>
                </w:p>
              </w:tc>
              <w:tc>
                <w:tcPr>
                  <w:tcW w:w="972" w:type="pct"/>
                  <w:shd w:val="clear" w:color="auto" w:fill="auto"/>
                  <w:noWrap w:val="0"/>
                  <w:vAlign w:val="center"/>
                </w:tcPr>
                <w:p>
                  <w:pPr>
                    <w:pStyle w:val="28"/>
                    <w:spacing w:line="240" w:lineRule="auto"/>
                    <w:rPr>
                      <w:color w:val="auto"/>
                      <w:kern w:val="2"/>
                    </w:rPr>
                  </w:pPr>
                  <w:r>
                    <w:rPr>
                      <w:color w:val="auto"/>
                    </w:rPr>
                    <w:t>项目区大气</w:t>
                  </w:r>
                </w:p>
              </w:tc>
              <w:tc>
                <w:tcPr>
                  <w:tcW w:w="1359" w:type="pct"/>
                  <w:shd w:val="clear" w:color="auto" w:fill="auto"/>
                  <w:noWrap w:val="0"/>
                  <w:vAlign w:val="center"/>
                </w:tcPr>
                <w:p>
                  <w:pPr>
                    <w:pStyle w:val="28"/>
                    <w:spacing w:line="240" w:lineRule="auto"/>
                    <w:rPr>
                      <w:color w:val="auto"/>
                      <w:kern w:val="2"/>
                    </w:rPr>
                  </w:pPr>
                  <w:r>
                    <w:rPr>
                      <w:rFonts w:hint="eastAsia"/>
                      <w:color w:val="auto"/>
                    </w:rPr>
                    <w:t>项目区</w:t>
                  </w:r>
                </w:p>
              </w:tc>
              <w:tc>
                <w:tcPr>
                  <w:tcW w:w="1982" w:type="pct"/>
                  <w:shd w:val="clear" w:color="auto" w:fill="auto"/>
                  <w:noWrap w:val="0"/>
                  <w:vAlign w:val="center"/>
                </w:tcPr>
                <w:p>
                  <w:pPr>
                    <w:pStyle w:val="28"/>
                    <w:spacing w:line="240" w:lineRule="auto"/>
                    <w:rPr>
                      <w:color w:val="auto"/>
                      <w:kern w:val="2"/>
                    </w:rPr>
                  </w:pPr>
                  <w:r>
                    <w:rPr>
                      <w:color w:val="auto"/>
                    </w:rPr>
                    <w:t>保持现有空气质量级别，不因本项目的建设降低环境空气质量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shd w:val="clear" w:color="auto" w:fill="auto"/>
                  <w:noWrap w:val="0"/>
                  <w:vAlign w:val="center"/>
                </w:tcPr>
                <w:p>
                  <w:pPr>
                    <w:pStyle w:val="28"/>
                    <w:spacing w:line="240" w:lineRule="auto"/>
                    <w:rPr>
                      <w:color w:val="auto"/>
                      <w:kern w:val="2"/>
                    </w:rPr>
                  </w:pPr>
                  <w:r>
                    <w:rPr>
                      <w:color w:val="auto"/>
                    </w:rPr>
                    <w:t>水环境</w:t>
                  </w:r>
                </w:p>
              </w:tc>
              <w:tc>
                <w:tcPr>
                  <w:tcW w:w="972" w:type="pct"/>
                  <w:shd w:val="clear" w:color="auto" w:fill="auto"/>
                  <w:noWrap w:val="0"/>
                  <w:vAlign w:val="center"/>
                </w:tcPr>
                <w:p>
                  <w:pPr>
                    <w:pStyle w:val="28"/>
                    <w:spacing w:line="240" w:lineRule="auto"/>
                    <w:rPr>
                      <w:color w:val="auto"/>
                      <w:kern w:val="2"/>
                    </w:rPr>
                  </w:pPr>
                  <w:r>
                    <w:rPr>
                      <w:color w:val="auto"/>
                    </w:rPr>
                    <w:t>地下水</w:t>
                  </w:r>
                </w:p>
              </w:tc>
              <w:tc>
                <w:tcPr>
                  <w:tcW w:w="1359" w:type="pct"/>
                  <w:shd w:val="clear" w:color="auto" w:fill="auto"/>
                  <w:noWrap w:val="0"/>
                  <w:vAlign w:val="center"/>
                </w:tcPr>
                <w:p>
                  <w:pPr>
                    <w:pStyle w:val="28"/>
                    <w:spacing w:line="240" w:lineRule="auto"/>
                    <w:rPr>
                      <w:color w:val="auto"/>
                      <w:kern w:val="2"/>
                    </w:rPr>
                  </w:pPr>
                  <w:r>
                    <w:rPr>
                      <w:rFonts w:hint="eastAsia"/>
                      <w:color w:val="auto"/>
                    </w:rPr>
                    <w:t>项目区</w:t>
                  </w:r>
                </w:p>
              </w:tc>
              <w:tc>
                <w:tcPr>
                  <w:tcW w:w="1982" w:type="pct"/>
                  <w:shd w:val="clear" w:color="auto" w:fill="auto"/>
                  <w:noWrap w:val="0"/>
                  <w:vAlign w:val="center"/>
                </w:tcPr>
                <w:p>
                  <w:pPr>
                    <w:pStyle w:val="28"/>
                    <w:spacing w:line="240" w:lineRule="auto"/>
                    <w:rPr>
                      <w:color w:val="auto"/>
                      <w:kern w:val="2"/>
                    </w:rPr>
                  </w:pPr>
                  <w:r>
                    <w:rPr>
                      <w:color w:val="auto"/>
                    </w:rPr>
                    <w:t>确保地下水不受污染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restart"/>
                  <w:shd w:val="clear" w:color="auto" w:fill="auto"/>
                  <w:noWrap w:val="0"/>
                  <w:vAlign w:val="center"/>
                </w:tcPr>
                <w:p>
                  <w:pPr>
                    <w:pStyle w:val="28"/>
                    <w:spacing w:line="240" w:lineRule="auto"/>
                    <w:rPr>
                      <w:color w:val="auto"/>
                      <w:kern w:val="2"/>
                    </w:rPr>
                  </w:pPr>
                  <w:r>
                    <w:rPr>
                      <w:color w:val="auto"/>
                    </w:rPr>
                    <w:t>生态环境</w:t>
                  </w:r>
                </w:p>
              </w:tc>
              <w:tc>
                <w:tcPr>
                  <w:tcW w:w="972" w:type="pct"/>
                  <w:shd w:val="clear" w:color="auto" w:fill="auto"/>
                  <w:noWrap w:val="0"/>
                  <w:vAlign w:val="center"/>
                </w:tcPr>
                <w:p>
                  <w:pPr>
                    <w:pStyle w:val="28"/>
                    <w:spacing w:line="240" w:lineRule="auto"/>
                    <w:rPr>
                      <w:color w:val="auto"/>
                      <w:kern w:val="2"/>
                    </w:rPr>
                  </w:pPr>
                  <w:r>
                    <w:rPr>
                      <w:rFonts w:hint="eastAsia"/>
                      <w:color w:val="auto"/>
                      <w:lang w:val="en-US" w:eastAsia="zh-CN"/>
                    </w:rPr>
                    <w:t>井场区</w:t>
                  </w:r>
                  <w:r>
                    <w:rPr>
                      <w:color w:val="auto"/>
                    </w:rPr>
                    <w:t>土壤、植被</w:t>
                  </w:r>
                </w:p>
              </w:tc>
              <w:tc>
                <w:tcPr>
                  <w:tcW w:w="1359" w:type="pct"/>
                  <w:shd w:val="clear" w:color="auto" w:fill="auto"/>
                  <w:noWrap w:val="0"/>
                  <w:vAlign w:val="center"/>
                </w:tcPr>
                <w:p>
                  <w:pPr>
                    <w:pStyle w:val="28"/>
                    <w:spacing w:line="240" w:lineRule="auto"/>
                    <w:rPr>
                      <w:color w:val="auto"/>
                      <w:kern w:val="2"/>
                    </w:rPr>
                  </w:pPr>
                  <w:r>
                    <w:rPr>
                      <w:rFonts w:hint="eastAsia"/>
                      <w:color w:val="auto"/>
                    </w:rPr>
                    <w:t>项目</w:t>
                  </w:r>
                  <w:r>
                    <w:rPr>
                      <w:color w:val="auto"/>
                    </w:rPr>
                    <w:t>占地</w:t>
                  </w:r>
                  <w:r>
                    <w:rPr>
                      <w:rFonts w:hint="eastAsia"/>
                      <w:color w:val="auto"/>
                    </w:rPr>
                    <w:t>范围</w:t>
                  </w:r>
                </w:p>
              </w:tc>
              <w:tc>
                <w:tcPr>
                  <w:tcW w:w="1982" w:type="pct"/>
                  <w:shd w:val="clear" w:color="auto" w:fill="auto"/>
                  <w:noWrap w:val="0"/>
                  <w:vAlign w:val="center"/>
                </w:tcPr>
                <w:p>
                  <w:pPr>
                    <w:pStyle w:val="28"/>
                    <w:spacing w:line="240" w:lineRule="auto"/>
                    <w:rPr>
                      <w:color w:val="auto"/>
                      <w:kern w:val="2"/>
                    </w:rPr>
                  </w:pPr>
                  <w:r>
                    <w:rPr>
                      <w:rFonts w:hint="default" w:ascii="Times New Roman" w:hAnsi="Times New Roman" w:cs="Times New Roman"/>
                      <w:color w:val="auto"/>
                      <w:lang w:val="en-US" w:eastAsia="zh-CN"/>
                    </w:rPr>
                    <w:t>按规定进行补偿；临时占地3-5年可基本恢复到自然状态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continue"/>
                  <w:shd w:val="clear" w:color="auto" w:fill="auto"/>
                  <w:noWrap w:val="0"/>
                  <w:vAlign w:val="center"/>
                </w:tcPr>
                <w:p>
                  <w:pPr>
                    <w:pStyle w:val="28"/>
                    <w:spacing w:line="240" w:lineRule="auto"/>
                    <w:rPr>
                      <w:color w:val="auto"/>
                    </w:rPr>
                  </w:pPr>
                </w:p>
              </w:tc>
              <w:tc>
                <w:tcPr>
                  <w:tcW w:w="972" w:type="pct"/>
                  <w:shd w:val="clear" w:color="auto" w:fill="auto"/>
                  <w:noWrap w:val="0"/>
                  <w:vAlign w:val="center"/>
                </w:tcPr>
                <w:p>
                  <w:pPr>
                    <w:pStyle w:val="28"/>
                    <w:spacing w:line="240" w:lineRule="auto"/>
                    <w:rPr>
                      <w:rFonts w:hint="eastAsia"/>
                      <w:color w:val="auto"/>
                      <w:lang w:val="en-US" w:eastAsia="zh-CN"/>
                    </w:rPr>
                  </w:pPr>
                  <w:r>
                    <w:rPr>
                      <w:rFonts w:hint="default" w:ascii="Times New Roman" w:hAnsi="Times New Roman" w:eastAsia="宋体" w:cs="Times New Roman"/>
                      <w:color w:val="auto"/>
                      <w:kern w:val="0"/>
                      <w:szCs w:val="21"/>
                    </w:rPr>
                    <w:t>卡拉麦里山有蹄类野生动物自然保护区</w:t>
                  </w:r>
                </w:p>
              </w:tc>
              <w:tc>
                <w:tcPr>
                  <w:tcW w:w="1359" w:type="pct"/>
                  <w:shd w:val="clear" w:color="auto" w:fill="auto"/>
                  <w:noWrap w:val="0"/>
                  <w:vAlign w:val="center"/>
                </w:tcPr>
                <w:p>
                  <w:pPr>
                    <w:pStyle w:val="28"/>
                    <w:spacing w:line="240" w:lineRule="auto"/>
                    <w:rPr>
                      <w:rFonts w:hint="default" w:eastAsia="宋体"/>
                      <w:color w:val="auto"/>
                      <w:lang w:val="en-US" w:eastAsia="zh-CN"/>
                    </w:rPr>
                  </w:pPr>
                  <w:r>
                    <w:rPr>
                      <w:rFonts w:hint="eastAsia"/>
                      <w:color w:val="auto"/>
                      <w:lang w:val="en-US" w:eastAsia="zh-CN"/>
                    </w:rPr>
                    <w:t>项目区西侧6.3km</w:t>
                  </w:r>
                </w:p>
              </w:tc>
              <w:tc>
                <w:tcPr>
                  <w:tcW w:w="1982" w:type="pct"/>
                  <w:shd w:val="clear" w:color="auto" w:fill="auto"/>
                  <w:noWrap w:val="0"/>
                  <w:vAlign w:val="center"/>
                </w:tcPr>
                <w:p>
                  <w:pPr>
                    <w:pStyle w:val="28"/>
                    <w:spacing w:line="240" w:lineRule="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0"/>
                      <w:szCs w:val="21"/>
                      <w:lang w:val="en-US" w:eastAsia="zh-CN"/>
                    </w:rPr>
                    <w:t>保护</w:t>
                  </w:r>
                  <w:r>
                    <w:rPr>
                      <w:rFonts w:hint="default" w:ascii="Times New Roman" w:hAnsi="Times New Roman" w:eastAsia="宋体" w:cs="Times New Roman"/>
                      <w:color w:val="auto"/>
                      <w:kern w:val="0"/>
                      <w:szCs w:val="21"/>
                    </w:rPr>
                    <w:t>野生动物的种群规模及栖息生境</w:t>
                  </w:r>
                </w:p>
              </w:tc>
            </w:tr>
            <w:bookmarkEnd w:id="49"/>
            <w:bookmarkEnd w:id="50"/>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 保护要求</w:t>
            </w:r>
          </w:p>
          <w:p>
            <w:pPr>
              <w:pStyle w:val="4"/>
              <w:rPr>
                <w:rFonts w:hint="default" w:ascii="Times New Roman" w:hAnsi="Times New Roman" w:cs="Times New Roman"/>
                <w:color w:val="auto"/>
              </w:rPr>
            </w:pPr>
            <w:r>
              <w:rPr>
                <w:rFonts w:hint="default" w:ascii="Times New Roman" w:hAnsi="Times New Roman" w:cs="Times New Roman"/>
                <w:color w:val="auto"/>
              </w:rPr>
              <w:t>（1）保护项目所在区域的空气质量，保持现有空气质量级别，不因本项目的建设降低环境空气质量；</w:t>
            </w:r>
          </w:p>
          <w:p>
            <w:pPr>
              <w:pStyle w:val="4"/>
              <w:rPr>
                <w:rFonts w:hint="default" w:ascii="Times New Roman" w:hAnsi="Times New Roman" w:cs="Times New Roman"/>
                <w:color w:val="auto"/>
              </w:rPr>
            </w:pPr>
            <w:r>
              <w:rPr>
                <w:rFonts w:hint="default" w:ascii="Times New Roman" w:hAnsi="Times New Roman" w:cs="Times New Roman"/>
                <w:color w:val="auto"/>
              </w:rPr>
              <w:t>（2）保护项目所在区域地下水质量保持在现有水平，不受本项目所排废水的影响，保证其满足《地下水质量标准》（GB/T14848-2017）中Ⅲ类标准；</w:t>
            </w:r>
          </w:p>
          <w:p>
            <w:pPr>
              <w:pStyle w:val="4"/>
              <w:rPr>
                <w:rFonts w:hint="default" w:ascii="Times New Roman" w:hAnsi="Times New Roman" w:cs="Times New Roman"/>
                <w:color w:val="auto"/>
              </w:rPr>
            </w:pPr>
            <w:r>
              <w:rPr>
                <w:rFonts w:hint="default" w:ascii="Times New Roman" w:hAnsi="Times New Roman" w:cs="Times New Roman"/>
                <w:color w:val="auto"/>
              </w:rPr>
              <w:t>（3）保护项目区声环境质量现状，符合《声环境质量标准》（GB3096-2008）的2类声环境功能限值；</w:t>
            </w:r>
          </w:p>
          <w:p>
            <w:pPr>
              <w:pStyle w:val="4"/>
              <w:rPr>
                <w:rFonts w:hint="default" w:ascii="Times New Roman" w:hAnsi="Times New Roman" w:cs="Times New Roman"/>
                <w:color w:val="auto"/>
              </w:rPr>
            </w:pPr>
            <w:r>
              <w:rPr>
                <w:rFonts w:hint="default" w:ascii="Times New Roman" w:hAnsi="Times New Roman" w:cs="Times New Roman"/>
                <w:color w:val="auto"/>
              </w:rPr>
              <w:t>（4）生态环境保护目标：本项目需保护项目区生态环境，使项目的建成不对项目区生态环境产生不利影响。</w:t>
            </w:r>
          </w:p>
          <w:p>
            <w:pPr>
              <w:pStyle w:val="4"/>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3" w:hRule="atLeast"/>
          <w:jc w:val="center"/>
        </w:trPr>
        <w:tc>
          <w:tcPr>
            <w:tcW w:w="724" w:type="dxa"/>
            <w:noWrap w:val="0"/>
            <w:vAlign w:val="center"/>
          </w:tcPr>
          <w:p>
            <w:pPr>
              <w:rPr>
                <w:color w:val="auto"/>
                <w:kern w:val="0"/>
                <w:szCs w:val="21"/>
              </w:rPr>
            </w:pPr>
            <w:r>
              <w:rPr>
                <w:color w:val="auto"/>
                <w:kern w:val="0"/>
                <w:szCs w:val="21"/>
              </w:rPr>
              <w:t>评价</w:t>
            </w:r>
          </w:p>
          <w:p>
            <w:pPr>
              <w:rPr>
                <w:color w:val="auto"/>
                <w:kern w:val="0"/>
                <w:szCs w:val="21"/>
              </w:rPr>
            </w:pPr>
            <w:r>
              <w:rPr>
                <w:color w:val="auto"/>
                <w:kern w:val="0"/>
                <w:szCs w:val="21"/>
              </w:rPr>
              <w:t>标准</w:t>
            </w:r>
          </w:p>
        </w:tc>
        <w:tc>
          <w:tcPr>
            <w:tcW w:w="8433" w:type="dxa"/>
            <w:noWrap w:val="0"/>
            <w:vAlign w:val="center"/>
          </w:tcPr>
          <w:p>
            <w:pPr>
              <w:spacing w:line="360" w:lineRule="auto"/>
              <w:jc w:val="left"/>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1</w:t>
            </w:r>
            <w:r>
              <w:rPr>
                <w:rFonts w:hint="eastAsia" w:cs="Times New Roman"/>
                <w:b/>
                <w:bCs/>
                <w:color w:val="auto"/>
                <w:sz w:val="28"/>
                <w:szCs w:val="28"/>
                <w:lang w:val="en-US" w:eastAsia="zh-CN"/>
              </w:rPr>
              <w:t xml:space="preserve"> </w:t>
            </w:r>
            <w:r>
              <w:rPr>
                <w:rFonts w:hint="default" w:ascii="Times New Roman" w:hAnsi="Times New Roman" w:cs="Times New Roman"/>
                <w:b/>
                <w:bCs/>
                <w:color w:val="auto"/>
                <w:sz w:val="28"/>
                <w:szCs w:val="28"/>
              </w:rPr>
              <w:t>环境质量标准</w:t>
            </w:r>
          </w:p>
          <w:p>
            <w:pPr>
              <w:spacing w:line="360" w:lineRule="auto"/>
              <w:jc w:val="left"/>
              <w:rPr>
                <w:rFonts w:hint="default" w:ascii="Times New Roman" w:hAnsi="Times New Roman" w:cs="Times New Roman"/>
                <w:color w:val="auto"/>
              </w:rPr>
            </w:pPr>
            <w:r>
              <w:rPr>
                <w:rFonts w:hint="default" w:ascii="Times New Roman" w:hAnsi="Times New Roman" w:cs="Times New Roman"/>
                <w:color w:val="auto"/>
              </w:rPr>
              <w:t>（1）大气环境：《环境空气质量标准》（GB3095-2012）中二级标准及修改单，SO</w:t>
            </w:r>
            <w:r>
              <w:rPr>
                <w:rFonts w:hint="default" w:ascii="Times New Roman" w:hAnsi="Times New Roman" w:cs="Times New Roman"/>
                <w:color w:val="auto"/>
                <w:vertAlign w:val="subscript"/>
              </w:rPr>
              <w:t>2</w:t>
            </w:r>
            <w:r>
              <w:rPr>
                <w:rFonts w:hint="default" w:ascii="Times New Roman" w:hAnsi="Times New Roman" w:cs="Times New Roman"/>
                <w:color w:val="auto"/>
              </w:rPr>
              <w:t>60μg/m</w:t>
            </w:r>
            <w:r>
              <w:rPr>
                <w:rFonts w:hint="default" w:ascii="Times New Roman" w:hAnsi="Times New Roman" w:cs="Times New Roman"/>
                <w:color w:val="auto"/>
                <w:vertAlign w:val="superscript"/>
              </w:rPr>
              <w:t>3</w:t>
            </w:r>
            <w:r>
              <w:rPr>
                <w:rFonts w:hint="default" w:ascii="Times New Roman" w:hAnsi="Times New Roman" w:cs="Times New Roman"/>
                <w:color w:val="auto"/>
              </w:rPr>
              <w:t>、NO</w:t>
            </w:r>
            <w:r>
              <w:rPr>
                <w:rFonts w:hint="default" w:ascii="Times New Roman" w:hAnsi="Times New Roman" w:cs="Times New Roman"/>
                <w:color w:val="auto"/>
                <w:vertAlign w:val="subscript"/>
              </w:rPr>
              <w:t>2</w:t>
            </w:r>
            <w:r>
              <w:rPr>
                <w:rFonts w:hint="default" w:ascii="Times New Roman" w:hAnsi="Times New Roman" w:cs="Times New Roman"/>
                <w:color w:val="auto"/>
              </w:rPr>
              <w:t>40μg/m</w:t>
            </w:r>
            <w:r>
              <w:rPr>
                <w:rFonts w:hint="default" w:ascii="Times New Roman" w:hAnsi="Times New Roman" w:cs="Times New Roman"/>
                <w:color w:val="auto"/>
                <w:vertAlign w:val="superscript"/>
              </w:rPr>
              <w:t>3</w:t>
            </w:r>
            <w:r>
              <w:rPr>
                <w:rFonts w:hint="default" w:ascii="Times New Roman" w:hAnsi="Times New Roman" w:cs="Times New Roman"/>
                <w:color w:val="auto"/>
              </w:rPr>
              <w:t>、PM</w:t>
            </w:r>
            <w:r>
              <w:rPr>
                <w:rFonts w:hint="default" w:ascii="Times New Roman" w:hAnsi="Times New Roman" w:cs="Times New Roman"/>
                <w:color w:val="auto"/>
                <w:vertAlign w:val="subscript"/>
              </w:rPr>
              <w:t>10</w:t>
            </w:r>
            <w:r>
              <w:rPr>
                <w:rFonts w:hint="default" w:ascii="Times New Roman" w:hAnsi="Times New Roman" w:cs="Times New Roman"/>
                <w:color w:val="auto"/>
              </w:rPr>
              <w:t>70μg/m</w:t>
            </w:r>
            <w:r>
              <w:rPr>
                <w:rFonts w:hint="default" w:ascii="Times New Roman" w:hAnsi="Times New Roman" w:cs="Times New Roman"/>
                <w:color w:val="auto"/>
                <w:vertAlign w:val="superscript"/>
              </w:rPr>
              <w:t>3</w:t>
            </w:r>
            <w:r>
              <w:rPr>
                <w:rFonts w:hint="default" w:ascii="Times New Roman" w:hAnsi="Times New Roman" w:cs="Times New Roman"/>
                <w:color w:val="auto"/>
              </w:rPr>
              <w:t>、PM</w:t>
            </w:r>
            <w:r>
              <w:rPr>
                <w:rFonts w:hint="default" w:ascii="Times New Roman" w:hAnsi="Times New Roman" w:cs="Times New Roman"/>
                <w:color w:val="auto"/>
                <w:vertAlign w:val="subscript"/>
              </w:rPr>
              <w:t>2.5</w:t>
            </w:r>
            <w:r>
              <w:rPr>
                <w:rFonts w:hint="default" w:ascii="Times New Roman" w:hAnsi="Times New Roman" w:cs="Times New Roman"/>
                <w:color w:val="auto"/>
              </w:rPr>
              <w:t>35μg/m</w:t>
            </w:r>
            <w:r>
              <w:rPr>
                <w:rFonts w:hint="default" w:ascii="Times New Roman" w:hAnsi="Times New Roman" w:cs="Times New Roman"/>
                <w:color w:val="auto"/>
                <w:vertAlign w:val="superscript"/>
              </w:rPr>
              <w:t>3</w:t>
            </w:r>
            <w:r>
              <w:rPr>
                <w:rFonts w:hint="default" w:ascii="Times New Roman" w:hAnsi="Times New Roman" w:cs="Times New Roman"/>
                <w:color w:val="auto"/>
              </w:rPr>
              <w:t>、CO4000μg/m</w:t>
            </w:r>
            <w:r>
              <w:rPr>
                <w:rFonts w:hint="default" w:ascii="Times New Roman" w:hAnsi="Times New Roman" w:cs="Times New Roman"/>
                <w:color w:val="auto"/>
                <w:vertAlign w:val="superscript"/>
              </w:rPr>
              <w:t>3</w:t>
            </w:r>
            <w:r>
              <w:rPr>
                <w:rFonts w:hint="default" w:ascii="Times New Roman" w:hAnsi="Times New Roman" w:cs="Times New Roman"/>
                <w:color w:val="auto"/>
              </w:rPr>
              <w:t>、O</w:t>
            </w:r>
            <w:r>
              <w:rPr>
                <w:rFonts w:hint="default" w:ascii="Times New Roman" w:hAnsi="Times New Roman" w:cs="Times New Roman"/>
                <w:color w:val="auto"/>
                <w:vertAlign w:val="subscript"/>
              </w:rPr>
              <w:t>3</w:t>
            </w:r>
            <w:r>
              <w:rPr>
                <w:rFonts w:hint="default" w:ascii="Times New Roman" w:hAnsi="Times New Roman" w:cs="Times New Roman"/>
                <w:color w:val="auto"/>
              </w:rPr>
              <w:t>160μg/m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pStyle w:val="4"/>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（2）声环境：《声环境质量标准》（GB3096-2008）的2类标准限值，昼间60dB（A）、夜间50dB（A）。</w:t>
            </w:r>
          </w:p>
          <w:p>
            <w:pPr>
              <w:spacing w:line="360" w:lineRule="auto"/>
              <w:jc w:val="lef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w:t>
            </w:r>
            <w:r>
              <w:rPr>
                <w:rFonts w:hint="eastAsia" w:cs="Times New Roman"/>
                <w:b/>
                <w:bCs/>
                <w:color w:val="auto"/>
                <w:sz w:val="28"/>
                <w:szCs w:val="28"/>
                <w:lang w:val="en-US" w:eastAsia="zh-CN"/>
              </w:rPr>
              <w:t xml:space="preserve"> </w:t>
            </w:r>
            <w:r>
              <w:rPr>
                <w:rFonts w:hint="default" w:ascii="Times New Roman" w:hAnsi="Times New Roman" w:cs="Times New Roman"/>
                <w:b/>
                <w:bCs/>
                <w:color w:val="auto"/>
                <w:sz w:val="28"/>
                <w:szCs w:val="28"/>
              </w:rPr>
              <w:t>污染物排放标准</w:t>
            </w:r>
          </w:p>
          <w:p>
            <w:pPr>
              <w:pStyle w:val="4"/>
              <w:ind w:left="0" w:leftChars="0" w:firstLine="0" w:firstLineChars="0"/>
              <w:rPr>
                <w:color w:val="auto"/>
              </w:rPr>
            </w:pPr>
            <w:r>
              <w:rPr>
                <w:rFonts w:hint="eastAsia"/>
                <w:color w:val="auto"/>
              </w:rPr>
              <w:t>（1）</w:t>
            </w:r>
            <w:r>
              <w:rPr>
                <w:color w:val="auto"/>
              </w:rPr>
              <w:t>《大气污染物综合排放标准》（GB16297-1996）表2的颗粒物无组织排放限值；</w:t>
            </w:r>
          </w:p>
          <w:p>
            <w:pPr>
              <w:pStyle w:val="4"/>
              <w:ind w:left="0" w:leftChars="0" w:firstLine="0" w:firstLineChars="0"/>
              <w:rPr>
                <w:color w:val="auto"/>
              </w:rPr>
            </w:pPr>
            <w:r>
              <w:rPr>
                <w:rFonts w:hint="eastAsia"/>
                <w:color w:val="auto"/>
              </w:rPr>
              <w:t>（2）试油期无组织排放非甲烷总烃执行《陆上石油天然气开采工业大气污染物排放标准》（GB39728-2020）中企业边界污染物控制要求</w:t>
            </w:r>
            <w:r>
              <w:rPr>
                <w:color w:val="auto"/>
              </w:rPr>
              <w:t>；</w:t>
            </w:r>
          </w:p>
          <w:p>
            <w:pPr>
              <w:pStyle w:val="4"/>
              <w:ind w:left="0" w:leftChars="0" w:firstLine="0" w:firstLineChars="0"/>
              <w:rPr>
                <w:color w:val="auto"/>
              </w:rPr>
            </w:pPr>
            <w:bookmarkStart w:id="51" w:name="_Hlk47517844"/>
            <w:r>
              <w:rPr>
                <w:rFonts w:hint="eastAsia"/>
                <w:color w:val="auto"/>
              </w:rPr>
              <w:t>（3）</w:t>
            </w:r>
            <w:r>
              <w:rPr>
                <w:color w:val="auto"/>
              </w:rPr>
              <w:t>《碎屑岩油藏注水水质推荐指标及分析方法》（SY/T5329-2012）</w:t>
            </w:r>
            <w:r>
              <w:rPr>
                <w:rFonts w:hint="eastAsia"/>
                <w:color w:val="auto"/>
              </w:rPr>
              <w:t>；</w:t>
            </w:r>
          </w:p>
          <w:p>
            <w:pPr>
              <w:pStyle w:val="4"/>
              <w:ind w:left="0" w:leftChars="0" w:firstLine="0" w:firstLineChars="0"/>
              <w:rPr>
                <w:color w:val="auto"/>
              </w:rPr>
            </w:pPr>
            <w:r>
              <w:rPr>
                <w:rFonts w:hint="eastAsia"/>
                <w:color w:val="auto"/>
              </w:rPr>
              <w:t>（4）《污水综合排放标准》（G</w:t>
            </w:r>
            <w:r>
              <w:rPr>
                <w:color w:val="auto"/>
              </w:rPr>
              <w:t>B8978-1996</w:t>
            </w:r>
            <w:r>
              <w:rPr>
                <w:rFonts w:hint="eastAsia"/>
                <w:color w:val="auto"/>
              </w:rPr>
              <w:t>）表4三级标准；</w:t>
            </w:r>
          </w:p>
          <w:bookmarkEnd w:id="51"/>
          <w:p>
            <w:pPr>
              <w:pStyle w:val="4"/>
              <w:ind w:left="0" w:leftChars="0" w:firstLine="0" w:firstLineChars="0"/>
              <w:rPr>
                <w:color w:val="auto"/>
              </w:rPr>
            </w:pPr>
            <w:r>
              <w:rPr>
                <w:rFonts w:hint="eastAsia"/>
                <w:color w:val="auto"/>
              </w:rPr>
              <w:t>（</w:t>
            </w:r>
            <w:r>
              <w:rPr>
                <w:color w:val="auto"/>
              </w:rPr>
              <w:t>5</w:t>
            </w:r>
            <w:r>
              <w:rPr>
                <w:rFonts w:hint="eastAsia"/>
                <w:color w:val="auto"/>
              </w:rPr>
              <w:t>）</w:t>
            </w:r>
            <w:r>
              <w:rPr>
                <w:color w:val="auto"/>
              </w:rPr>
              <w:t>《建筑施工场界环境噪声排放标准》（GB12523-2011）；</w:t>
            </w:r>
          </w:p>
          <w:p>
            <w:pPr>
              <w:pStyle w:val="4"/>
              <w:ind w:left="0" w:leftChars="0" w:firstLine="0" w:firstLineChars="0"/>
              <w:rPr>
                <w:color w:val="auto"/>
              </w:rPr>
            </w:pPr>
            <w:bookmarkStart w:id="52" w:name="_Hlk66469030"/>
            <w:r>
              <w:rPr>
                <w:rFonts w:hint="eastAsia"/>
                <w:color w:val="auto"/>
              </w:rPr>
              <w:t>（</w:t>
            </w:r>
            <w:r>
              <w:rPr>
                <w:color w:val="auto"/>
              </w:rPr>
              <w:t>6</w:t>
            </w:r>
            <w:r>
              <w:rPr>
                <w:rFonts w:hint="eastAsia"/>
                <w:color w:val="auto"/>
              </w:rPr>
              <w:t>）</w:t>
            </w:r>
            <w:r>
              <w:rPr>
                <w:color w:val="auto"/>
              </w:rPr>
              <w:t>《</w:t>
            </w:r>
            <w:r>
              <w:rPr>
                <w:rFonts w:hint="eastAsia"/>
                <w:color w:val="auto"/>
              </w:rPr>
              <w:t>一般工业固体废物贮存和填埋污染控制标准</w:t>
            </w:r>
            <w:r>
              <w:rPr>
                <w:color w:val="auto"/>
              </w:rPr>
              <w:t>》（GB18599-2020）；</w:t>
            </w:r>
          </w:p>
          <w:bookmarkEnd w:id="52"/>
          <w:p>
            <w:pPr>
              <w:pStyle w:val="4"/>
              <w:ind w:left="0" w:leftChars="0" w:firstLine="0" w:firstLineChars="0"/>
              <w:rPr>
                <w:color w:val="auto"/>
              </w:rPr>
            </w:pPr>
            <w:bookmarkStart w:id="53" w:name="_Hlk48504214"/>
            <w:bookmarkStart w:id="54" w:name="_Hlk48510518"/>
            <w:r>
              <w:rPr>
                <w:rFonts w:hint="eastAsia"/>
                <w:color w:val="auto"/>
              </w:rPr>
              <w:t>（7）《陆上石油天然气开采含油污泥处理处置及污染控制技术规范》（SY/T7300-2016）</w:t>
            </w:r>
            <w:bookmarkEnd w:id="53"/>
            <w:r>
              <w:rPr>
                <w:rFonts w:hint="eastAsia"/>
                <w:color w:val="auto"/>
              </w:rPr>
              <w:t>；</w:t>
            </w:r>
          </w:p>
          <w:p>
            <w:pPr>
              <w:pStyle w:val="4"/>
              <w:ind w:left="0" w:leftChars="0" w:firstLine="0" w:firstLineChars="0"/>
              <w:rPr>
                <w:color w:val="auto"/>
              </w:rPr>
            </w:pPr>
            <w:r>
              <w:rPr>
                <w:rFonts w:hint="eastAsia"/>
                <w:color w:val="auto"/>
              </w:rPr>
              <w:t>（8）《危险废物贮存污染控制标准》（GB18597-2001)（及其修改单）；</w:t>
            </w:r>
          </w:p>
          <w:bookmarkEnd w:id="54"/>
          <w:p>
            <w:pPr>
              <w:pStyle w:val="4"/>
              <w:ind w:left="0" w:leftChars="0" w:firstLine="0" w:firstLineChars="0"/>
              <w:rPr>
                <w:rFonts w:hint="eastAsia"/>
                <w:color w:val="auto"/>
              </w:rPr>
            </w:pPr>
            <w:r>
              <w:rPr>
                <w:rFonts w:hint="eastAsia"/>
                <w:color w:val="auto"/>
              </w:rPr>
              <w:t>（</w:t>
            </w:r>
            <w:r>
              <w:rPr>
                <w:color w:val="auto"/>
              </w:rPr>
              <w:t>9</w:t>
            </w:r>
            <w:r>
              <w:rPr>
                <w:rFonts w:hint="eastAsia"/>
                <w:color w:val="auto"/>
              </w:rPr>
              <w:t>）</w:t>
            </w:r>
            <w:bookmarkStart w:id="55" w:name="_Hlk48504272"/>
            <w:r>
              <w:rPr>
                <w:rFonts w:hint="eastAsia"/>
                <w:color w:val="auto"/>
              </w:rPr>
              <w:t>《油气田钻井固体废物综合利用污染控制要求》（DB65/T 3997-2017）</w:t>
            </w:r>
            <w:bookmarkEnd w:id="55"/>
            <w:r>
              <w:rPr>
                <w:rFonts w:hint="eastAsia"/>
                <w:color w:val="auto"/>
              </w:rPr>
              <w:t>。</w:t>
            </w:r>
          </w:p>
          <w:p>
            <w:pPr>
              <w:pStyle w:val="4"/>
              <w:ind w:left="0" w:leftChars="0" w:firstLine="0" w:firstLineChars="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4" w:type="dxa"/>
            <w:noWrap w:val="0"/>
            <w:vAlign w:val="center"/>
          </w:tcPr>
          <w:p>
            <w:pPr>
              <w:rPr>
                <w:color w:val="auto"/>
                <w:kern w:val="0"/>
                <w:szCs w:val="21"/>
              </w:rPr>
            </w:pPr>
            <w:r>
              <w:rPr>
                <w:color w:val="auto"/>
                <w:kern w:val="0"/>
                <w:szCs w:val="21"/>
              </w:rPr>
              <w:t>其他</w:t>
            </w:r>
          </w:p>
        </w:tc>
        <w:tc>
          <w:tcPr>
            <w:tcW w:w="8433" w:type="dxa"/>
            <w:noWrap w:val="0"/>
            <w:vAlign w:val="center"/>
          </w:tcPr>
          <w:p>
            <w:pPr>
              <w:pStyle w:val="4"/>
              <w:spacing w:line="360" w:lineRule="auto"/>
              <w:ind w:firstLine="0" w:firstLineChars="0"/>
              <w:jc w:val="left"/>
              <w:rPr>
                <w:rFonts w:hint="default" w:ascii="Times New Roman" w:hAnsi="Times New Roman" w:cs="Times New Roman"/>
                <w:color w:val="auto"/>
                <w:lang w:val="en-US" w:eastAsia="zh-CN"/>
              </w:rPr>
            </w:pPr>
          </w:p>
          <w:p>
            <w:pPr>
              <w:pStyle w:val="4"/>
              <w:spacing w:line="360" w:lineRule="auto"/>
              <w:ind w:firstLine="0"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总量控制指标：</w:t>
            </w:r>
          </w:p>
          <w:p>
            <w:pPr>
              <w:pStyle w:val="4"/>
              <w:spacing w:line="360" w:lineRule="auto"/>
              <w:ind w:firstLine="48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本工程属于勘探井，钻井周期短，污染物产生量少，钻井期结束后影响即消失，故不设污染物排放总量控制指标。</w:t>
            </w:r>
          </w:p>
          <w:p>
            <w:pPr>
              <w:spacing w:line="360" w:lineRule="auto"/>
              <w:ind w:firstLine="480" w:firstLineChars="200"/>
              <w:jc w:val="left"/>
              <w:rPr>
                <w:color w:val="auto"/>
                <w:kern w:val="0"/>
                <w:szCs w:val="21"/>
              </w:rPr>
            </w:pPr>
          </w:p>
        </w:tc>
      </w:tr>
    </w:tbl>
    <w:p>
      <w:pPr>
        <w:pStyle w:val="15"/>
        <w:spacing w:before="0" w:beforeAutospacing="0" w:after="0" w:afterAutospacing="0" w:line="14" w:lineRule="auto"/>
        <w:jc w:val="center"/>
        <w:rPr>
          <w:rFonts w:ascii="Times New Roman" w:hAnsi="Times New Roman" w:eastAsia="黑体"/>
          <w:snapToGrid w:val="0"/>
          <w:color w:val="auto"/>
          <w:kern w:val="2"/>
          <w:sz w:val="36"/>
          <w:szCs w:val="36"/>
        </w:r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kern w:val="2"/>
          <w:sz w:val="36"/>
          <w:szCs w:val="36"/>
        </w:rPr>
        <w:br w:type="page"/>
      </w:r>
      <w:r>
        <w:rPr>
          <w:rFonts w:ascii="Times New Roman" w:hAnsi="Times New Roman" w:eastAsia="黑体"/>
          <w:snapToGrid w:val="0"/>
          <w:color w:val="auto"/>
          <w:sz w:val="30"/>
          <w:szCs w:val="30"/>
        </w:rPr>
        <w:t>四、生态环境影响分析</w:t>
      </w:r>
    </w:p>
    <w:tbl>
      <w:tblPr>
        <w:tblStyle w:val="17"/>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3" w:hRule="atLeast"/>
          <w:jc w:val="center"/>
        </w:trPr>
        <w:tc>
          <w:tcPr>
            <w:tcW w:w="879" w:type="dxa"/>
            <w:noWrap w:val="0"/>
            <w:tcMar>
              <w:left w:w="28" w:type="dxa"/>
              <w:right w:w="28" w:type="dxa"/>
            </w:tcMar>
            <w:vAlign w:val="center"/>
          </w:tcPr>
          <w:p>
            <w:pPr>
              <w:pStyle w:val="15"/>
              <w:spacing w:before="0" w:beforeAutospacing="0" w:after="0" w:afterAutospacing="0"/>
              <w:jc w:val="center"/>
              <w:rPr>
                <w:rFonts w:ascii="Times New Roman" w:hAnsi="Times New Roman"/>
                <w:bCs/>
                <w:color w:val="auto"/>
                <w:kern w:val="2"/>
              </w:rPr>
            </w:pPr>
            <w:bookmarkStart w:id="56" w:name="_Hlk49796138"/>
            <w:r>
              <w:rPr>
                <w:rFonts w:ascii="Times New Roman" w:hAnsi="Times New Roman"/>
                <w:bCs/>
                <w:color w:val="auto"/>
                <w:spacing w:val="10"/>
                <w:kern w:val="2"/>
              </w:rPr>
              <w:t>施工期生态环境影响分析</w:t>
            </w:r>
            <w:bookmarkEnd w:id="56"/>
          </w:p>
        </w:tc>
        <w:tc>
          <w:tcPr>
            <w:tcW w:w="8363" w:type="dxa"/>
            <w:noWrap w:val="0"/>
            <w:vAlign w:val="top"/>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施工期主要污染环节和因素：</w:t>
            </w:r>
          </w:p>
          <w:p>
            <w:pPr>
              <w:pStyle w:val="4"/>
              <w:rPr>
                <w:rFonts w:hint="eastAsia"/>
                <w:color w:val="auto"/>
              </w:rPr>
            </w:pPr>
            <w:r>
              <w:rPr>
                <w:rFonts w:hint="eastAsia"/>
                <w:color w:val="auto"/>
              </w:rPr>
              <w:t>本项目对环境的污染主要存在于钻井期、试油期三废排放。</w:t>
            </w:r>
          </w:p>
          <w:p>
            <w:pPr>
              <w:pStyle w:val="4"/>
              <w:rPr>
                <w:color w:val="auto"/>
              </w:rPr>
            </w:pPr>
            <w:r>
              <w:rPr>
                <w:rFonts w:hint="eastAsia"/>
                <w:color w:val="auto"/>
              </w:rPr>
              <w:t>本项目污染源按作业持续时间分为临时性污染源、连续性污染源和间歇性污染源三大类，主要污染物为：钻井岩屑、钻井泥浆等，见表</w:t>
            </w:r>
            <w:r>
              <w:rPr>
                <w:color w:val="auto"/>
              </w:rPr>
              <w:t>4</w:t>
            </w:r>
            <w:r>
              <w:rPr>
                <w:rFonts w:hint="eastAsia"/>
                <w:color w:val="auto"/>
              </w:rPr>
              <w:t>-</w:t>
            </w:r>
            <w:r>
              <w:rPr>
                <w:color w:val="auto"/>
              </w:rPr>
              <w:t>1</w:t>
            </w:r>
            <w:r>
              <w:rPr>
                <w:rFonts w:hint="eastAsia"/>
                <w:color w:val="auto"/>
              </w:rPr>
              <w:t>。</w:t>
            </w:r>
          </w:p>
          <w:p>
            <w:pPr>
              <w:pStyle w:val="27"/>
              <w:rPr>
                <w:color w:val="auto"/>
              </w:rPr>
            </w:pPr>
            <w:r>
              <w:rPr>
                <w:rFonts w:hint="eastAsia"/>
                <w:color w:val="auto"/>
              </w:rPr>
              <w:t>表</w:t>
            </w:r>
            <w:r>
              <w:rPr>
                <w:color w:val="auto"/>
              </w:rPr>
              <w:t>4</w:t>
            </w:r>
            <w:r>
              <w:rPr>
                <w:rFonts w:hint="eastAsia"/>
                <w:color w:val="auto"/>
              </w:rPr>
              <w:t>-</w:t>
            </w:r>
            <w:r>
              <w:rPr>
                <w:color w:val="auto"/>
              </w:rPr>
              <w:t>1</w:t>
            </w:r>
            <w:r>
              <w:rPr>
                <w:rFonts w:hint="eastAsia"/>
                <w:color w:val="auto"/>
              </w:rPr>
              <w:t xml:space="preserve">  本项目主要环境影响因素</w:t>
            </w:r>
          </w:p>
          <w:tbl>
            <w:tblPr>
              <w:tblStyle w:val="17"/>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61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shd w:val="clear" w:color="auto" w:fill="auto"/>
                  <w:noWrap w:val="0"/>
                  <w:vAlign w:val="center"/>
                </w:tcPr>
                <w:p>
                  <w:pPr>
                    <w:pStyle w:val="28"/>
                    <w:rPr>
                      <w:color w:val="auto"/>
                    </w:rPr>
                  </w:pPr>
                  <w:r>
                    <w:rPr>
                      <w:rFonts w:hint="eastAsia"/>
                      <w:color w:val="auto"/>
                    </w:rPr>
                    <w:t>阶段</w:t>
                  </w:r>
                </w:p>
              </w:tc>
              <w:tc>
                <w:tcPr>
                  <w:tcW w:w="6094" w:type="dxa"/>
                  <w:shd w:val="clear" w:color="auto" w:fill="auto"/>
                  <w:noWrap w:val="0"/>
                  <w:vAlign w:val="center"/>
                </w:tcPr>
                <w:p>
                  <w:pPr>
                    <w:pStyle w:val="28"/>
                    <w:rPr>
                      <w:color w:val="auto"/>
                    </w:rPr>
                  </w:pPr>
                  <w:r>
                    <w:rPr>
                      <w:rFonts w:hint="eastAsia"/>
                      <w:color w:val="auto"/>
                    </w:rPr>
                    <w:t>主要污染物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restart"/>
                  <w:shd w:val="clear" w:color="auto" w:fill="auto"/>
                  <w:noWrap w:val="0"/>
                  <w:vAlign w:val="center"/>
                </w:tcPr>
                <w:p>
                  <w:pPr>
                    <w:pStyle w:val="28"/>
                    <w:rPr>
                      <w:color w:val="auto"/>
                    </w:rPr>
                  </w:pPr>
                  <w:r>
                    <w:rPr>
                      <w:rFonts w:hint="eastAsia"/>
                      <w:color w:val="auto"/>
                    </w:rPr>
                    <w:t>钻井期</w:t>
                  </w:r>
                </w:p>
              </w:tc>
              <w:tc>
                <w:tcPr>
                  <w:tcW w:w="6094" w:type="dxa"/>
                  <w:shd w:val="clear" w:color="auto" w:fill="auto"/>
                  <w:noWrap w:val="0"/>
                  <w:vAlign w:val="center"/>
                </w:tcPr>
                <w:p>
                  <w:pPr>
                    <w:pStyle w:val="28"/>
                    <w:rPr>
                      <w:color w:val="auto"/>
                    </w:rPr>
                  </w:pPr>
                  <w:r>
                    <w:rPr>
                      <w:rFonts w:hint="eastAsia"/>
                      <w:color w:val="auto"/>
                    </w:rPr>
                    <w:t>施工扬尘、柴油燃烧废气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color w:val="auto"/>
                    </w:rPr>
                  </w:pPr>
                  <w:r>
                    <w:rPr>
                      <w:rFonts w:hint="eastAsia"/>
                      <w:color w:val="auto"/>
                    </w:rPr>
                    <w:t>钻井泥浆、岩屑及生活垃圾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color w:val="auto"/>
                    </w:rPr>
                  </w:pPr>
                  <w:r>
                    <w:rPr>
                      <w:rFonts w:hint="eastAsia"/>
                      <w:color w:val="auto"/>
                    </w:rPr>
                    <w:t>施工营地生活污水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color w:val="auto"/>
                    </w:rPr>
                  </w:pPr>
                  <w:r>
                    <w:rPr>
                      <w:rFonts w:hint="eastAsia"/>
                      <w:color w:val="auto"/>
                    </w:rPr>
                    <w:t>钻井机械噪声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color w:val="auto"/>
                    </w:rPr>
                  </w:pPr>
                  <w:r>
                    <w:rPr>
                      <w:rFonts w:hint="eastAsia"/>
                      <w:color w:val="auto"/>
                    </w:rPr>
                    <w:t>临时占用土地、破坏植被、扰动动植物生境等生态影响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restart"/>
                  <w:shd w:val="clear" w:color="auto" w:fill="auto"/>
                  <w:noWrap w:val="0"/>
                  <w:vAlign w:val="center"/>
                </w:tcPr>
                <w:p>
                  <w:pPr>
                    <w:pStyle w:val="28"/>
                    <w:rPr>
                      <w:color w:val="auto"/>
                    </w:rPr>
                  </w:pPr>
                  <w:r>
                    <w:rPr>
                      <w:rFonts w:hint="eastAsia"/>
                      <w:color w:val="auto"/>
                    </w:rPr>
                    <w:t>试油期</w:t>
                  </w:r>
                </w:p>
              </w:tc>
              <w:tc>
                <w:tcPr>
                  <w:tcW w:w="6094" w:type="dxa"/>
                  <w:shd w:val="clear" w:color="auto" w:fill="auto"/>
                  <w:noWrap w:val="0"/>
                  <w:vAlign w:val="center"/>
                </w:tcPr>
                <w:p>
                  <w:pPr>
                    <w:pStyle w:val="28"/>
                    <w:rPr>
                      <w:color w:val="auto"/>
                    </w:rPr>
                  </w:pPr>
                  <w:r>
                    <w:rPr>
                      <w:rFonts w:hint="eastAsia"/>
                      <w:color w:val="auto"/>
                    </w:rPr>
                    <w:t>伴生气燃烧废气、原油装载过程VOCs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rFonts w:hint="default" w:eastAsia="宋体"/>
                      <w:color w:val="auto"/>
                      <w:lang w:val="en-US" w:eastAsia="zh-CN"/>
                    </w:rPr>
                  </w:pPr>
                  <w:r>
                    <w:rPr>
                      <w:rFonts w:hint="eastAsia"/>
                      <w:color w:val="auto"/>
                      <w:lang w:val="en-US" w:eastAsia="zh-CN"/>
                    </w:rPr>
                    <w:t>洗井废水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color w:val="auto"/>
                    </w:rPr>
                  </w:pPr>
                  <w:r>
                    <w:rPr>
                      <w:rFonts w:hint="eastAsia"/>
                      <w:color w:val="auto"/>
                    </w:rPr>
                    <w:t>压裂返排液、事故状态下落地油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43" w:type="dxa"/>
                  <w:vMerge w:val="continue"/>
                  <w:shd w:val="clear" w:color="auto" w:fill="auto"/>
                  <w:noWrap w:val="0"/>
                  <w:vAlign w:val="center"/>
                </w:tcPr>
                <w:p>
                  <w:pPr>
                    <w:pStyle w:val="28"/>
                    <w:rPr>
                      <w:color w:val="auto"/>
                    </w:rPr>
                  </w:pPr>
                </w:p>
              </w:tc>
              <w:tc>
                <w:tcPr>
                  <w:tcW w:w="6094" w:type="dxa"/>
                  <w:shd w:val="clear" w:color="auto" w:fill="auto"/>
                  <w:noWrap w:val="0"/>
                  <w:vAlign w:val="center"/>
                </w:tcPr>
                <w:p>
                  <w:pPr>
                    <w:pStyle w:val="28"/>
                    <w:rPr>
                      <w:color w:val="auto"/>
                    </w:rPr>
                  </w:pPr>
                  <w:r>
                    <w:rPr>
                      <w:rFonts w:hint="eastAsia"/>
                      <w:color w:val="auto"/>
                    </w:rPr>
                    <w:t>试油机械噪声</w:t>
                  </w: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1 施工期废气影响分析</w:t>
            </w:r>
          </w:p>
          <w:p>
            <w:pPr>
              <w:pStyle w:val="4"/>
              <w:rPr>
                <w:color w:val="auto"/>
              </w:rPr>
            </w:pPr>
            <w:bookmarkStart w:id="57" w:name="_Hlk27231092"/>
            <w:bookmarkStart w:id="58" w:name="_Hlk2526104"/>
            <w:r>
              <w:rPr>
                <w:rFonts w:hint="eastAsia"/>
                <w:color w:val="auto"/>
              </w:rPr>
              <w:t>本项目施工期废气主要来源于柴油机组的燃烧废气、施工扬尘及试油期伴生气燃烧废气、原油装车过程V</w:t>
            </w:r>
            <w:r>
              <w:rPr>
                <w:color w:val="auto"/>
              </w:rPr>
              <w:t>OCs</w:t>
            </w:r>
            <w:r>
              <w:rPr>
                <w:rFonts w:hint="eastAsia"/>
                <w:color w:val="auto"/>
              </w:rPr>
              <w:t>。</w:t>
            </w:r>
          </w:p>
          <w:p>
            <w:pPr>
              <w:pStyle w:val="4"/>
              <w:rPr>
                <w:color w:val="auto"/>
              </w:rPr>
            </w:pPr>
            <w:r>
              <w:rPr>
                <w:rFonts w:hint="eastAsia"/>
                <w:color w:val="auto"/>
              </w:rPr>
              <w:t>（1）柴油机组燃烧废气</w:t>
            </w:r>
          </w:p>
          <w:p>
            <w:pPr>
              <w:pStyle w:val="4"/>
              <w:rPr>
                <w:color w:val="auto"/>
              </w:rPr>
            </w:pPr>
            <w:bookmarkStart w:id="59" w:name="_Hlk44521355"/>
            <w:r>
              <w:rPr>
                <w:rFonts w:hint="eastAsia"/>
                <w:color w:val="auto"/>
              </w:rPr>
              <w:t>本项目钻井期及试油期柴油耗量见表4-</w:t>
            </w:r>
            <w:r>
              <w:rPr>
                <w:color w:val="auto"/>
              </w:rPr>
              <w:t>2</w:t>
            </w:r>
            <w:r>
              <w:rPr>
                <w:rFonts w:hint="eastAsia"/>
                <w:color w:val="auto"/>
              </w:rPr>
              <w:t>。</w:t>
            </w:r>
            <w:bookmarkEnd w:id="59"/>
          </w:p>
          <w:p>
            <w:pPr>
              <w:pStyle w:val="27"/>
              <w:ind w:firstLine="422"/>
              <w:rPr>
                <w:color w:val="auto"/>
              </w:rPr>
            </w:pPr>
            <w:r>
              <w:rPr>
                <w:rFonts w:hint="eastAsia"/>
                <w:color w:val="auto"/>
              </w:rPr>
              <w:t>表</w:t>
            </w:r>
            <w:r>
              <w:rPr>
                <w:color w:val="auto"/>
              </w:rPr>
              <w:t>4</w:t>
            </w:r>
            <w:r>
              <w:rPr>
                <w:rFonts w:hint="eastAsia"/>
                <w:color w:val="auto"/>
              </w:rPr>
              <w:t>-</w:t>
            </w:r>
            <w:r>
              <w:rPr>
                <w:color w:val="auto"/>
              </w:rPr>
              <w:t>2</w:t>
            </w:r>
            <w:r>
              <w:rPr>
                <w:rFonts w:hint="eastAsia"/>
                <w:color w:val="auto"/>
              </w:rPr>
              <w:t xml:space="preserve">  柴油燃烧废气污染物产生量</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434"/>
              <w:gridCol w:w="2235"/>
              <w:gridCol w:w="24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73" w:type="pct"/>
                  <w:shd w:val="clear" w:color="auto" w:fill="auto"/>
                  <w:noWrap/>
                  <w:vAlign w:val="center"/>
                </w:tcPr>
                <w:p>
                  <w:pPr>
                    <w:pStyle w:val="28"/>
                    <w:rPr>
                      <w:rFonts w:hint="eastAsia"/>
                      <w:color w:val="auto"/>
                    </w:rPr>
                  </w:pPr>
                  <w:r>
                    <w:rPr>
                      <w:rFonts w:hint="eastAsia"/>
                      <w:color w:val="auto"/>
                    </w:rPr>
                    <w:t>阶段</w:t>
                  </w:r>
                </w:p>
              </w:tc>
              <w:tc>
                <w:tcPr>
                  <w:tcW w:w="880" w:type="pct"/>
                  <w:shd w:val="clear" w:color="auto" w:fill="auto"/>
                  <w:noWrap/>
                  <w:vAlign w:val="center"/>
                </w:tcPr>
                <w:p>
                  <w:pPr>
                    <w:pStyle w:val="28"/>
                    <w:rPr>
                      <w:rFonts w:hint="eastAsia"/>
                      <w:color w:val="auto"/>
                    </w:rPr>
                  </w:pPr>
                  <w:r>
                    <w:rPr>
                      <w:rFonts w:hint="eastAsia"/>
                      <w:color w:val="auto"/>
                    </w:rPr>
                    <w:t>周期（d）</w:t>
                  </w:r>
                </w:p>
              </w:tc>
              <w:tc>
                <w:tcPr>
                  <w:tcW w:w="1371" w:type="pct"/>
                  <w:shd w:val="clear" w:color="auto" w:fill="auto"/>
                  <w:noWrap/>
                  <w:vAlign w:val="center"/>
                </w:tcPr>
                <w:p>
                  <w:pPr>
                    <w:pStyle w:val="28"/>
                    <w:rPr>
                      <w:rFonts w:hint="eastAsia"/>
                      <w:color w:val="auto"/>
                    </w:rPr>
                  </w:pPr>
                  <w:r>
                    <w:rPr>
                      <w:rFonts w:hint="eastAsia"/>
                      <w:color w:val="auto"/>
                    </w:rPr>
                    <w:t>柴油消耗量（t/d）</w:t>
                  </w:r>
                </w:p>
              </w:tc>
              <w:tc>
                <w:tcPr>
                  <w:tcW w:w="1474" w:type="pct"/>
                  <w:shd w:val="clear" w:color="auto" w:fill="auto"/>
                  <w:noWrap w:val="0"/>
                  <w:vAlign w:val="center"/>
                </w:tcPr>
                <w:p>
                  <w:pPr>
                    <w:pStyle w:val="28"/>
                    <w:rPr>
                      <w:rFonts w:hint="eastAsia"/>
                      <w:color w:val="auto"/>
                    </w:rPr>
                  </w:pPr>
                  <w:r>
                    <w:rPr>
                      <w:rFonts w:hint="eastAsia"/>
                      <w:color w:val="auto"/>
                    </w:rPr>
                    <w:t>柴油消耗总量（t）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3" w:type="pct"/>
                  <w:shd w:val="clear" w:color="auto" w:fill="auto"/>
                  <w:noWrap/>
                  <w:vAlign w:val="center"/>
                </w:tcPr>
                <w:p>
                  <w:pPr>
                    <w:pStyle w:val="28"/>
                    <w:rPr>
                      <w:color w:val="auto"/>
                    </w:rPr>
                  </w:pPr>
                  <w:r>
                    <w:rPr>
                      <w:rFonts w:hint="eastAsia"/>
                      <w:color w:val="auto"/>
                    </w:rPr>
                    <w:t>钻井期</w:t>
                  </w:r>
                </w:p>
              </w:tc>
              <w:tc>
                <w:tcPr>
                  <w:tcW w:w="880" w:type="pct"/>
                  <w:shd w:val="clear" w:color="auto" w:fill="auto"/>
                  <w:noWrap/>
                  <w:vAlign w:val="center"/>
                </w:tcPr>
                <w:p>
                  <w:pPr>
                    <w:pStyle w:val="28"/>
                    <w:rPr>
                      <w:rFonts w:hint="default" w:eastAsia="宋体"/>
                      <w:color w:val="auto"/>
                      <w:lang w:val="en-US" w:eastAsia="zh-CN"/>
                    </w:rPr>
                  </w:pPr>
                  <w:r>
                    <w:rPr>
                      <w:rFonts w:hint="eastAsia"/>
                      <w:color w:val="auto"/>
                      <w:lang w:val="en-US" w:eastAsia="zh-CN"/>
                    </w:rPr>
                    <w:t>42</w:t>
                  </w:r>
                </w:p>
              </w:tc>
              <w:tc>
                <w:tcPr>
                  <w:tcW w:w="1371" w:type="pct"/>
                  <w:shd w:val="clear" w:color="auto" w:fill="auto"/>
                  <w:noWrap/>
                  <w:vAlign w:val="center"/>
                </w:tcPr>
                <w:p>
                  <w:pPr>
                    <w:pStyle w:val="28"/>
                    <w:rPr>
                      <w:rFonts w:hint="eastAsia"/>
                      <w:color w:val="auto"/>
                    </w:rPr>
                  </w:pPr>
                  <w:r>
                    <w:rPr>
                      <w:color w:val="auto"/>
                    </w:rPr>
                    <w:t>1.5</w:t>
                  </w:r>
                </w:p>
              </w:tc>
              <w:tc>
                <w:tcPr>
                  <w:tcW w:w="1474"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3" w:type="pct"/>
                  <w:shd w:val="clear" w:color="auto" w:fill="auto"/>
                  <w:noWrap/>
                  <w:vAlign w:val="center"/>
                </w:tcPr>
                <w:p>
                  <w:pPr>
                    <w:pStyle w:val="28"/>
                    <w:rPr>
                      <w:color w:val="auto"/>
                    </w:rPr>
                  </w:pPr>
                  <w:r>
                    <w:rPr>
                      <w:rFonts w:hint="eastAsia"/>
                      <w:color w:val="auto"/>
                    </w:rPr>
                    <w:t>试油期</w:t>
                  </w:r>
                </w:p>
              </w:tc>
              <w:tc>
                <w:tcPr>
                  <w:tcW w:w="880" w:type="pct"/>
                  <w:shd w:val="clear" w:color="auto" w:fill="auto"/>
                  <w:noWrap/>
                  <w:vAlign w:val="center"/>
                </w:tcPr>
                <w:p>
                  <w:pPr>
                    <w:pStyle w:val="28"/>
                    <w:rPr>
                      <w:rFonts w:hint="default" w:eastAsia="宋体"/>
                      <w:color w:val="auto"/>
                      <w:lang w:val="en-US" w:eastAsia="zh-CN"/>
                    </w:rPr>
                  </w:pPr>
                  <w:r>
                    <w:rPr>
                      <w:rFonts w:hint="eastAsia"/>
                      <w:color w:val="auto"/>
                      <w:lang w:val="en-US" w:eastAsia="zh-CN"/>
                    </w:rPr>
                    <w:t>180</w:t>
                  </w:r>
                </w:p>
              </w:tc>
              <w:tc>
                <w:tcPr>
                  <w:tcW w:w="1371" w:type="pct"/>
                  <w:shd w:val="clear" w:color="auto" w:fill="auto"/>
                  <w:noWrap/>
                  <w:vAlign w:val="center"/>
                </w:tcPr>
                <w:p>
                  <w:pPr>
                    <w:pStyle w:val="28"/>
                    <w:rPr>
                      <w:rFonts w:hint="eastAsia"/>
                      <w:color w:val="auto"/>
                    </w:rPr>
                  </w:pPr>
                  <w:r>
                    <w:rPr>
                      <w:color w:val="auto"/>
                    </w:rPr>
                    <w:t>0.16</w:t>
                  </w:r>
                </w:p>
              </w:tc>
              <w:tc>
                <w:tcPr>
                  <w:tcW w:w="1474"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5" w:type="pct"/>
                  <w:gridSpan w:val="3"/>
                  <w:shd w:val="clear" w:color="auto" w:fill="auto"/>
                  <w:noWrap/>
                  <w:vAlign w:val="center"/>
                </w:tcPr>
                <w:p>
                  <w:pPr>
                    <w:pStyle w:val="28"/>
                    <w:rPr>
                      <w:rFonts w:hint="eastAsia"/>
                      <w:color w:val="auto"/>
                    </w:rPr>
                  </w:pPr>
                  <w:r>
                    <w:rPr>
                      <w:rFonts w:hint="eastAsia"/>
                      <w:color w:val="auto"/>
                    </w:rPr>
                    <w:t>总计</w:t>
                  </w:r>
                </w:p>
              </w:tc>
              <w:tc>
                <w:tcPr>
                  <w:tcW w:w="1474" w:type="pct"/>
                  <w:shd w:val="clear" w:color="auto" w:fill="auto"/>
                  <w:noWrap w:val="0"/>
                  <w:vAlign w:val="center"/>
                </w:tcPr>
                <w:p>
                  <w:pPr>
                    <w:pStyle w:val="28"/>
                    <w:rPr>
                      <w:rFonts w:hint="default" w:eastAsia="宋体"/>
                      <w:color w:val="auto"/>
                      <w:lang w:val="en-US" w:eastAsia="zh-CN"/>
                    </w:rPr>
                  </w:pPr>
                  <w:r>
                    <w:rPr>
                      <w:rFonts w:hint="eastAsia"/>
                      <w:color w:val="auto"/>
                      <w:lang w:val="en-US" w:eastAsia="zh-CN"/>
                    </w:rPr>
                    <w:t>91.8</w:t>
                  </w:r>
                </w:p>
              </w:tc>
            </w:tr>
          </w:tbl>
          <w:p>
            <w:pPr>
              <w:pStyle w:val="4"/>
              <w:rPr>
                <w:rFonts w:ascii="Times New Roman" w:hAnsi="Times New Roman"/>
                <w:color w:val="auto"/>
                <w:sz w:val="24"/>
              </w:rPr>
            </w:pPr>
            <w:bookmarkStart w:id="60" w:name="_Hlk44521344"/>
            <w:r>
              <w:rPr>
                <w:rFonts w:ascii="Times New Roman" w:hAnsi="Times New Roman"/>
                <w:color w:val="auto"/>
                <w:sz w:val="24"/>
              </w:rPr>
              <w:t>根据《非道路移动污染源排放清单编制技术指南》，</w:t>
            </w:r>
            <w:r>
              <w:rPr>
                <w:rFonts w:hint="eastAsia" w:ascii="Times New Roman" w:hAnsi="Times New Roman"/>
                <w:color w:val="auto"/>
                <w:sz w:val="24"/>
              </w:rPr>
              <w:t>以及参照</w:t>
            </w:r>
            <w:r>
              <w:rPr>
                <w:rFonts w:ascii="Times New Roman" w:hAnsi="Times New Roman"/>
                <w:color w:val="auto"/>
                <w:sz w:val="24"/>
              </w:rPr>
              <w:t>《车用柴油》（GB19147-2016）规定，柴油中硫的含量≤10mg/kg。在此按柴油中硫含量为10mg/kg估算，</w:t>
            </w:r>
            <w:r>
              <w:rPr>
                <w:rFonts w:hint="eastAsia" w:ascii="Times New Roman" w:hAnsi="Times New Roman"/>
                <w:color w:val="auto"/>
                <w:sz w:val="24"/>
              </w:rPr>
              <w:t>本项目</w:t>
            </w:r>
            <w:r>
              <w:rPr>
                <w:rFonts w:ascii="Times New Roman" w:hAnsi="Times New Roman"/>
                <w:color w:val="auto"/>
                <w:sz w:val="24"/>
              </w:rPr>
              <w:t>柴油机污染物排放系数</w:t>
            </w:r>
            <w:r>
              <w:rPr>
                <w:rFonts w:hint="eastAsia" w:ascii="Times New Roman" w:hAnsi="Times New Roman"/>
                <w:color w:val="auto"/>
                <w:sz w:val="24"/>
              </w:rPr>
              <w:t>及各污染物产生情况详见表4-3。</w:t>
            </w:r>
          </w:p>
          <w:p>
            <w:pPr>
              <w:pStyle w:val="27"/>
              <w:ind w:firstLine="422"/>
              <w:rPr>
                <w:color w:val="auto"/>
              </w:rPr>
            </w:pPr>
            <w:r>
              <w:rPr>
                <w:rFonts w:hint="eastAsia"/>
                <w:color w:val="auto"/>
              </w:rPr>
              <w:t>表</w:t>
            </w:r>
            <w:r>
              <w:rPr>
                <w:color w:val="auto"/>
              </w:rPr>
              <w:t>4</w:t>
            </w:r>
            <w:r>
              <w:rPr>
                <w:rFonts w:hint="eastAsia"/>
                <w:color w:val="auto"/>
              </w:rPr>
              <w:t>-</w:t>
            </w:r>
            <w:r>
              <w:rPr>
                <w:color w:val="auto"/>
              </w:rPr>
              <w:t>3</w:t>
            </w:r>
            <w:r>
              <w:rPr>
                <w:rFonts w:hint="eastAsia"/>
                <w:color w:val="auto"/>
              </w:rPr>
              <w:t xml:space="preserve">  柴油燃烧废气污染物产生量</w:t>
            </w:r>
          </w:p>
          <w:tbl>
            <w:tblPr>
              <w:tblStyle w:val="17"/>
              <w:tblW w:w="88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491"/>
              <w:gridCol w:w="2128"/>
              <w:gridCol w:w="1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17" w:type="dxa"/>
                  <w:shd w:val="clear" w:color="auto" w:fill="auto"/>
                  <w:noWrap/>
                  <w:vAlign w:val="center"/>
                </w:tcPr>
                <w:p>
                  <w:pPr>
                    <w:pStyle w:val="28"/>
                    <w:rPr>
                      <w:color w:val="auto"/>
                      <w:sz w:val="21"/>
                      <w:szCs w:val="21"/>
                    </w:rPr>
                  </w:pPr>
                  <w:r>
                    <w:rPr>
                      <w:rFonts w:hint="eastAsia"/>
                      <w:color w:val="auto"/>
                      <w:sz w:val="21"/>
                      <w:szCs w:val="21"/>
                    </w:rPr>
                    <w:t>污染物</w:t>
                  </w:r>
                </w:p>
              </w:tc>
              <w:tc>
                <w:tcPr>
                  <w:tcW w:w="2715" w:type="dxa"/>
                  <w:shd w:val="clear" w:color="auto" w:fill="auto"/>
                  <w:noWrap/>
                  <w:vAlign w:val="center"/>
                </w:tcPr>
                <w:p>
                  <w:pPr>
                    <w:pStyle w:val="28"/>
                    <w:rPr>
                      <w:rFonts w:hint="eastAsia"/>
                      <w:color w:val="auto"/>
                      <w:sz w:val="21"/>
                      <w:szCs w:val="21"/>
                    </w:rPr>
                  </w:pPr>
                  <w:r>
                    <w:rPr>
                      <w:rFonts w:hint="eastAsia"/>
                      <w:color w:val="auto"/>
                      <w:sz w:val="21"/>
                      <w:szCs w:val="21"/>
                    </w:rPr>
                    <w:t>排污系数kg/t</w:t>
                  </w:r>
                </w:p>
              </w:tc>
              <w:tc>
                <w:tcPr>
                  <w:tcW w:w="2316" w:type="dxa"/>
                  <w:shd w:val="clear" w:color="auto" w:fill="auto"/>
                  <w:noWrap/>
                  <w:vAlign w:val="center"/>
                </w:tcPr>
                <w:p>
                  <w:pPr>
                    <w:pStyle w:val="28"/>
                    <w:rPr>
                      <w:rFonts w:hint="eastAsia"/>
                      <w:color w:val="auto"/>
                      <w:sz w:val="21"/>
                      <w:szCs w:val="21"/>
                    </w:rPr>
                  </w:pPr>
                  <w:r>
                    <w:rPr>
                      <w:rFonts w:hint="eastAsia"/>
                      <w:color w:val="auto"/>
                      <w:sz w:val="21"/>
                      <w:szCs w:val="21"/>
                    </w:rPr>
                    <w:t xml:space="preserve">柴油用量t </w:t>
                  </w:r>
                </w:p>
              </w:tc>
              <w:tc>
                <w:tcPr>
                  <w:tcW w:w="1917" w:type="dxa"/>
                  <w:shd w:val="clear" w:color="auto" w:fill="auto"/>
                  <w:noWrap/>
                  <w:vAlign w:val="center"/>
                </w:tcPr>
                <w:p>
                  <w:pPr>
                    <w:pStyle w:val="28"/>
                    <w:rPr>
                      <w:rFonts w:hint="eastAsia"/>
                      <w:color w:val="auto"/>
                      <w:sz w:val="21"/>
                      <w:szCs w:val="21"/>
                    </w:rPr>
                  </w:pPr>
                  <w:r>
                    <w:rPr>
                      <w:rFonts w:hint="eastAsia"/>
                      <w:color w:val="auto"/>
                      <w:sz w:val="21"/>
                      <w:szCs w:val="21"/>
                    </w:rPr>
                    <w:t>排放量t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17" w:type="dxa"/>
                  <w:shd w:val="clear" w:color="auto" w:fill="auto"/>
                  <w:noWrap w:val="0"/>
                  <w:vAlign w:val="center"/>
                </w:tcPr>
                <w:p>
                  <w:pPr>
                    <w:widowControl/>
                    <w:jc w:val="center"/>
                    <w:textAlignment w:val="center"/>
                    <w:rPr>
                      <w:rFonts w:hint="eastAsia"/>
                      <w:color w:val="auto"/>
                      <w:sz w:val="21"/>
                      <w:szCs w:val="21"/>
                    </w:rPr>
                  </w:pPr>
                  <w:r>
                    <w:rPr>
                      <w:color w:val="auto"/>
                      <w:kern w:val="0"/>
                      <w:sz w:val="21"/>
                      <w:szCs w:val="21"/>
                      <w:lang w:bidi="ar"/>
                    </w:rPr>
                    <w:t>CO</w:t>
                  </w:r>
                </w:p>
              </w:tc>
              <w:tc>
                <w:tcPr>
                  <w:tcW w:w="2715" w:type="dxa"/>
                  <w:shd w:val="clear" w:color="auto" w:fill="auto"/>
                  <w:noWrap/>
                  <w:vAlign w:val="center"/>
                </w:tcPr>
                <w:p>
                  <w:pPr>
                    <w:widowControl/>
                    <w:jc w:val="center"/>
                    <w:textAlignment w:val="center"/>
                    <w:rPr>
                      <w:color w:val="auto"/>
                      <w:sz w:val="21"/>
                      <w:szCs w:val="21"/>
                    </w:rPr>
                  </w:pPr>
                  <w:r>
                    <w:rPr>
                      <w:color w:val="auto"/>
                      <w:kern w:val="0"/>
                      <w:sz w:val="21"/>
                      <w:szCs w:val="21"/>
                      <w:lang w:bidi="ar"/>
                    </w:rPr>
                    <w:t>10.722</w:t>
                  </w:r>
                </w:p>
              </w:tc>
              <w:tc>
                <w:tcPr>
                  <w:tcW w:w="2316"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91.8</w:t>
                  </w:r>
                </w:p>
              </w:tc>
              <w:tc>
                <w:tcPr>
                  <w:tcW w:w="1917"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0.98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17" w:type="dxa"/>
                  <w:shd w:val="clear" w:color="auto" w:fill="auto"/>
                  <w:noWrap w:val="0"/>
                  <w:vAlign w:val="center"/>
                </w:tcPr>
                <w:p>
                  <w:pPr>
                    <w:widowControl/>
                    <w:jc w:val="center"/>
                    <w:textAlignment w:val="center"/>
                    <w:rPr>
                      <w:rFonts w:hint="eastAsia"/>
                      <w:color w:val="auto"/>
                      <w:sz w:val="21"/>
                      <w:szCs w:val="21"/>
                    </w:rPr>
                  </w:pPr>
                  <w:r>
                    <w:rPr>
                      <w:color w:val="auto"/>
                      <w:kern w:val="0"/>
                      <w:sz w:val="21"/>
                      <w:szCs w:val="21"/>
                      <w:lang w:bidi="ar"/>
                    </w:rPr>
                    <w:t>NO</w:t>
                  </w:r>
                  <w:r>
                    <w:rPr>
                      <w:color w:val="auto"/>
                      <w:kern w:val="0"/>
                      <w:sz w:val="21"/>
                      <w:szCs w:val="21"/>
                      <w:vertAlign w:val="subscript"/>
                      <w:lang w:bidi="ar"/>
                    </w:rPr>
                    <w:t>X</w:t>
                  </w:r>
                </w:p>
              </w:tc>
              <w:tc>
                <w:tcPr>
                  <w:tcW w:w="2715" w:type="dxa"/>
                  <w:shd w:val="clear" w:color="auto" w:fill="auto"/>
                  <w:noWrap/>
                  <w:vAlign w:val="center"/>
                </w:tcPr>
                <w:p>
                  <w:pPr>
                    <w:widowControl/>
                    <w:jc w:val="center"/>
                    <w:textAlignment w:val="center"/>
                    <w:rPr>
                      <w:color w:val="auto"/>
                      <w:sz w:val="21"/>
                      <w:szCs w:val="21"/>
                    </w:rPr>
                  </w:pPr>
                  <w:r>
                    <w:rPr>
                      <w:color w:val="auto"/>
                      <w:kern w:val="0"/>
                      <w:sz w:val="21"/>
                      <w:szCs w:val="21"/>
                      <w:lang w:bidi="ar"/>
                    </w:rPr>
                    <w:t>32.792</w:t>
                  </w:r>
                </w:p>
              </w:tc>
              <w:tc>
                <w:tcPr>
                  <w:tcW w:w="2316"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91.8</w:t>
                  </w:r>
                </w:p>
              </w:tc>
              <w:tc>
                <w:tcPr>
                  <w:tcW w:w="1917"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3.01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17" w:type="dxa"/>
                  <w:shd w:val="clear" w:color="auto" w:fill="auto"/>
                  <w:noWrap w:val="0"/>
                  <w:vAlign w:val="center"/>
                </w:tcPr>
                <w:p>
                  <w:pPr>
                    <w:widowControl/>
                    <w:jc w:val="center"/>
                    <w:textAlignment w:val="center"/>
                    <w:rPr>
                      <w:rFonts w:hint="eastAsia"/>
                      <w:color w:val="auto"/>
                      <w:sz w:val="21"/>
                      <w:szCs w:val="21"/>
                    </w:rPr>
                  </w:pPr>
                  <w:r>
                    <w:rPr>
                      <w:color w:val="auto"/>
                      <w:kern w:val="0"/>
                      <w:sz w:val="21"/>
                      <w:szCs w:val="21"/>
                      <w:lang w:bidi="ar"/>
                    </w:rPr>
                    <w:t>THC</w:t>
                  </w:r>
                </w:p>
              </w:tc>
              <w:tc>
                <w:tcPr>
                  <w:tcW w:w="2715" w:type="dxa"/>
                  <w:shd w:val="clear" w:color="auto" w:fill="auto"/>
                  <w:noWrap/>
                  <w:vAlign w:val="center"/>
                </w:tcPr>
                <w:p>
                  <w:pPr>
                    <w:widowControl/>
                    <w:jc w:val="center"/>
                    <w:textAlignment w:val="center"/>
                    <w:rPr>
                      <w:rFonts w:hint="eastAsia"/>
                      <w:color w:val="auto"/>
                      <w:sz w:val="21"/>
                      <w:szCs w:val="21"/>
                    </w:rPr>
                  </w:pPr>
                  <w:r>
                    <w:rPr>
                      <w:color w:val="auto"/>
                      <w:kern w:val="0"/>
                      <w:sz w:val="21"/>
                      <w:szCs w:val="21"/>
                      <w:lang w:bidi="ar"/>
                    </w:rPr>
                    <w:t>3.385</w:t>
                  </w:r>
                </w:p>
              </w:tc>
              <w:tc>
                <w:tcPr>
                  <w:tcW w:w="2316"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91.8</w:t>
                  </w:r>
                </w:p>
              </w:tc>
              <w:tc>
                <w:tcPr>
                  <w:tcW w:w="1917"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17" w:type="dxa"/>
                  <w:shd w:val="clear" w:color="auto" w:fill="auto"/>
                  <w:noWrap w:val="0"/>
                  <w:vAlign w:val="center"/>
                </w:tcPr>
                <w:p>
                  <w:pPr>
                    <w:widowControl/>
                    <w:jc w:val="center"/>
                    <w:textAlignment w:val="center"/>
                    <w:rPr>
                      <w:rFonts w:hint="eastAsia"/>
                      <w:color w:val="auto"/>
                      <w:sz w:val="21"/>
                      <w:szCs w:val="21"/>
                    </w:rPr>
                  </w:pPr>
                  <w:r>
                    <w:rPr>
                      <w:color w:val="auto"/>
                      <w:kern w:val="0"/>
                      <w:sz w:val="21"/>
                      <w:szCs w:val="21"/>
                      <w:lang w:bidi="ar"/>
                    </w:rPr>
                    <w:t>SO</w:t>
                  </w:r>
                  <w:r>
                    <w:rPr>
                      <w:color w:val="auto"/>
                      <w:kern w:val="0"/>
                      <w:sz w:val="21"/>
                      <w:szCs w:val="21"/>
                      <w:vertAlign w:val="subscript"/>
                      <w:lang w:bidi="ar"/>
                    </w:rPr>
                    <w:t>2</w:t>
                  </w:r>
                </w:p>
              </w:tc>
              <w:tc>
                <w:tcPr>
                  <w:tcW w:w="2715" w:type="dxa"/>
                  <w:shd w:val="clear" w:color="auto" w:fill="auto"/>
                  <w:noWrap/>
                  <w:vAlign w:val="center"/>
                </w:tcPr>
                <w:p>
                  <w:pPr>
                    <w:widowControl/>
                    <w:jc w:val="center"/>
                    <w:textAlignment w:val="center"/>
                    <w:rPr>
                      <w:color w:val="auto"/>
                      <w:sz w:val="21"/>
                      <w:szCs w:val="21"/>
                    </w:rPr>
                  </w:pPr>
                  <w:r>
                    <w:rPr>
                      <w:color w:val="auto"/>
                      <w:kern w:val="0"/>
                      <w:sz w:val="21"/>
                      <w:szCs w:val="21"/>
                      <w:lang w:bidi="ar"/>
                    </w:rPr>
                    <w:t>0.0</w:t>
                  </w:r>
                  <w:r>
                    <w:rPr>
                      <w:rFonts w:hint="eastAsia"/>
                      <w:color w:val="auto"/>
                      <w:kern w:val="0"/>
                      <w:sz w:val="21"/>
                      <w:szCs w:val="21"/>
                      <w:lang w:bidi="ar"/>
                    </w:rPr>
                    <w:t>2</w:t>
                  </w:r>
                </w:p>
              </w:tc>
              <w:tc>
                <w:tcPr>
                  <w:tcW w:w="2316"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91.8</w:t>
                  </w:r>
                </w:p>
              </w:tc>
              <w:tc>
                <w:tcPr>
                  <w:tcW w:w="1917" w:type="dxa"/>
                  <w:shd w:val="clear" w:color="auto" w:fill="auto"/>
                  <w:noWrap/>
                  <w:vAlign w:val="center"/>
                </w:tcPr>
                <w:p>
                  <w:pPr>
                    <w:pStyle w:val="28"/>
                    <w:rPr>
                      <w:rFonts w:hint="default" w:eastAsia="宋体"/>
                      <w:color w:val="auto"/>
                      <w:sz w:val="21"/>
                      <w:szCs w:val="21"/>
                      <w:lang w:val="en-US" w:eastAsia="zh-CN"/>
                    </w:rPr>
                  </w:pPr>
                  <w:r>
                    <w:rPr>
                      <w:rFonts w:hint="eastAsia"/>
                      <w:color w:val="auto"/>
                      <w:sz w:val="21"/>
                      <w:szCs w:val="21"/>
                      <w:lang w:val="en-US" w:eastAsia="zh-CN"/>
                    </w:rPr>
                    <w:t>0.0018</w:t>
                  </w:r>
                </w:p>
              </w:tc>
            </w:tr>
            <w:bookmarkEnd w:id="60"/>
          </w:tbl>
          <w:p>
            <w:pPr>
              <w:pStyle w:val="4"/>
              <w:rPr>
                <w:color w:val="auto"/>
                <w:sz w:val="21"/>
                <w:szCs w:val="21"/>
              </w:rPr>
            </w:pPr>
            <w:r>
              <w:rPr>
                <w:color w:val="auto"/>
              </w:rPr>
              <w:t>本环评要求钻井期间定期对柴油机等设备进行维护，并且采用高品质的柴油、添加柴油助燃剂等措施，在很大程度上可降低柴油燃烧污染物的排放，使其污染物达标排放</w:t>
            </w:r>
            <w:r>
              <w:rPr>
                <w:rFonts w:hint="eastAsia"/>
                <w:color w:val="auto"/>
              </w:rPr>
              <w:t>，对周围环境影响较小</w:t>
            </w:r>
            <w:r>
              <w:rPr>
                <w:color w:val="auto"/>
              </w:rPr>
              <w:t>。</w:t>
            </w:r>
            <w:r>
              <w:rPr>
                <w:rFonts w:hint="default" w:ascii="Times New Roman" w:hAnsi="Times New Roman" w:cs="Times New Roman"/>
                <w:color w:val="auto"/>
                <w:lang w:val="en-US" w:eastAsia="zh-CN"/>
              </w:rPr>
              <w:t>钻井期间排放的大气污染物将随钻井工程的结束而消失。</w:t>
            </w:r>
          </w:p>
          <w:p>
            <w:pPr>
              <w:pStyle w:val="4"/>
              <w:rPr>
                <w:color w:val="auto"/>
              </w:rPr>
            </w:pPr>
            <w:bookmarkStart w:id="61" w:name="_Hlk67915911"/>
            <w:r>
              <w:rPr>
                <w:rFonts w:hint="eastAsia"/>
                <w:color w:val="auto"/>
              </w:rPr>
              <w:t>（2）扬尘</w:t>
            </w:r>
          </w:p>
          <w:p>
            <w:pPr>
              <w:pStyle w:val="4"/>
              <w:rPr>
                <w:color w:val="auto"/>
              </w:rPr>
            </w:pPr>
            <w:r>
              <w:rPr>
                <w:color w:val="auto"/>
              </w:rPr>
              <w:t>施工扬尘污染主要造成大气中TSP值增高，建设期进场道路修建、施工营地及井场场地平整、运输车辆行驶均会产生扬尘，采用洒水降尘，在施工场地实施每天洒水抑尘作业1次，大风天气增加洒水次数，其扬尘造成的污染距离可缩小到20~50m范围，由此施工扬尘对周围环境影响较小。</w:t>
            </w:r>
          </w:p>
          <w:p>
            <w:pPr>
              <w:pStyle w:val="4"/>
              <w:rPr>
                <w:color w:val="auto"/>
              </w:rPr>
            </w:pPr>
            <w:r>
              <w:rPr>
                <w:color w:val="auto"/>
              </w:rPr>
              <w:t>项目钻井施工大量中型车辆出入，因此项目区内道路铺垫简易砂石路面，合理规划、选择最短的工区道路运输路线，对使用频繁的道路路面进行洒水处理，减少路面沙尘的扬起和对公路两旁土地的扰动。</w:t>
            </w:r>
          </w:p>
          <w:bookmarkEnd w:id="61"/>
          <w:p>
            <w:pPr>
              <w:pStyle w:val="4"/>
              <w:rPr>
                <w:color w:val="auto"/>
              </w:rPr>
            </w:pPr>
            <w:bookmarkStart w:id="62" w:name="_Hlk85641728"/>
            <w:r>
              <w:rPr>
                <w:color w:val="auto"/>
              </w:rPr>
              <w:t>（3）</w:t>
            </w:r>
            <w:r>
              <w:rPr>
                <w:rFonts w:hint="eastAsia"/>
                <w:color w:val="auto"/>
              </w:rPr>
              <w:t>伴生气燃烧废气</w:t>
            </w:r>
          </w:p>
          <w:p>
            <w:pPr>
              <w:pStyle w:val="4"/>
              <w:rPr>
                <w:rFonts w:cs="宋体"/>
                <w:color w:val="auto"/>
                <w:kern w:val="0"/>
              </w:rPr>
            </w:pPr>
            <w:bookmarkStart w:id="63" w:name="_Hlk85650534"/>
            <w:r>
              <w:rPr>
                <w:color w:val="auto"/>
              </w:rPr>
              <w:t>为了解该井的油气产量，在钻至目的层后，需通过</w:t>
            </w:r>
            <w:r>
              <w:rPr>
                <w:rFonts w:hint="eastAsia"/>
                <w:color w:val="auto"/>
              </w:rPr>
              <w:t>试油</w:t>
            </w:r>
            <w:r>
              <w:rPr>
                <w:color w:val="auto"/>
              </w:rPr>
              <w:t>来确定其产能情况。</w:t>
            </w:r>
            <w:r>
              <w:rPr>
                <w:rFonts w:hint="eastAsia"/>
                <w:color w:val="auto"/>
              </w:rPr>
              <w:t>试油过程可能会出现伴生气排出地面的情况</w:t>
            </w:r>
            <w:r>
              <w:rPr>
                <w:color w:val="auto"/>
              </w:rPr>
              <w:t>。</w:t>
            </w:r>
            <w:r>
              <w:rPr>
                <w:rFonts w:hint="eastAsia"/>
                <w:color w:val="auto"/>
              </w:rPr>
              <w:t>由于勘探前油藏情况未明，伴生气产生量无法确定，</w:t>
            </w:r>
            <w:r>
              <w:rPr>
                <w:rFonts w:hint="eastAsia"/>
                <w:color w:val="auto"/>
              </w:rPr>
              <w:t>建设单位应根据试油阶段实际情况，</w:t>
            </w:r>
            <w:r>
              <w:rPr>
                <w:rFonts w:hint="eastAsia" w:cs="宋体"/>
                <w:color w:val="auto"/>
                <w:kern w:val="0"/>
              </w:rPr>
              <w:t>如试油过程中伴生气气量较小，不具备回收利用的条件时，根据《陆上石油天然气开采工业大气污染物排放标准》（</w:t>
            </w:r>
            <w:r>
              <w:rPr>
                <w:color w:val="auto"/>
                <w:kern w:val="0"/>
              </w:rPr>
              <w:t>GB39728-2020</w:t>
            </w:r>
            <w:r>
              <w:rPr>
                <w:rFonts w:hint="eastAsia" w:cs="宋体"/>
                <w:color w:val="auto"/>
                <w:kern w:val="0"/>
              </w:rPr>
              <w:t>）要求，应通过放散管充分燃烧放空。</w:t>
            </w:r>
            <w:bookmarkStart w:id="64" w:name="_Hlk85641806"/>
            <w:r>
              <w:rPr>
                <w:rFonts w:hint="eastAsia" w:cs="宋体"/>
                <w:color w:val="auto"/>
                <w:kern w:val="0"/>
              </w:rPr>
              <w:t>若天然气量较大时，应采取撬装天然气回收装置进行回收。</w:t>
            </w:r>
          </w:p>
          <w:bookmarkEnd w:id="64"/>
          <w:p>
            <w:pPr>
              <w:pStyle w:val="4"/>
              <w:rPr>
                <w:rFonts w:hint="eastAsia"/>
                <w:color w:val="auto"/>
              </w:rPr>
            </w:pPr>
            <w:r>
              <w:rPr>
                <w:rFonts w:hint="eastAsia"/>
                <w:color w:val="auto"/>
              </w:rPr>
              <w:t>根据钻井设计，该区目前已完钻井在钻探过程中和生产过程中均未监测到H</w:t>
            </w:r>
            <w:r>
              <w:rPr>
                <w:rFonts w:hint="eastAsia"/>
                <w:color w:val="auto"/>
                <w:vertAlign w:val="subscript"/>
              </w:rPr>
              <w:t>2</w:t>
            </w:r>
            <w:r>
              <w:rPr>
                <w:rFonts w:hint="eastAsia"/>
                <w:color w:val="auto"/>
              </w:rPr>
              <w:t>S等有害气体。根据周边探井试油情况推断，</w:t>
            </w:r>
            <w:r>
              <w:rPr>
                <w:rFonts w:hint="eastAsia"/>
                <w:color w:val="auto"/>
                <w:lang w:val="en-US" w:eastAsia="zh-CN"/>
              </w:rPr>
              <w:t>伴生气</w:t>
            </w:r>
            <w:r>
              <w:rPr>
                <w:rFonts w:hint="eastAsia"/>
                <w:color w:val="auto"/>
              </w:rPr>
              <w:t>产生量较少，其成分性质属于天然气，燃烧</w:t>
            </w:r>
            <w:r>
              <w:rPr>
                <w:color w:val="auto"/>
              </w:rPr>
              <w:t>排放污染物主要为NOx和颗粒物</w:t>
            </w:r>
            <w:r>
              <w:rPr>
                <w:rFonts w:hint="eastAsia"/>
                <w:color w:val="auto"/>
              </w:rPr>
              <w:t>。伴生气放空属于偶发工况（</w:t>
            </w:r>
            <w:r>
              <w:rPr>
                <w:color w:val="auto"/>
              </w:rPr>
              <w:t>一般为4-6h</w:t>
            </w:r>
            <w:r>
              <w:rPr>
                <w:rFonts w:hint="eastAsia"/>
                <w:color w:val="auto"/>
              </w:rPr>
              <w:t>），燃烧后污染物排放浓度很小，污染物排放量少，排放时间短，对环境空气质量影响小。</w:t>
            </w:r>
            <w:r>
              <w:rPr>
                <w:rFonts w:hint="eastAsia" w:ascii="宋体" w:cs="宋体"/>
                <w:color w:val="auto"/>
                <w:kern w:val="0"/>
              </w:rPr>
              <w:t>通过放散管放空产生的污染物较少，随试油期结束而终止。</w:t>
            </w:r>
            <w:r>
              <w:rPr>
                <w:rFonts w:hint="eastAsia"/>
                <w:color w:val="auto"/>
              </w:rPr>
              <w:t>本项目周边无居民区等环境敏感点，且</w:t>
            </w:r>
            <w:r>
              <w:rPr>
                <w:color w:val="auto"/>
              </w:rPr>
              <w:t>地势空旷，便于废气扩散</w:t>
            </w:r>
            <w:r>
              <w:rPr>
                <w:rFonts w:hint="eastAsia"/>
                <w:color w:val="auto"/>
              </w:rPr>
              <w:t>，对周围环境影响较小</w:t>
            </w:r>
            <w:r>
              <w:rPr>
                <w:color w:val="auto"/>
              </w:rPr>
              <w:t>。</w:t>
            </w:r>
          </w:p>
          <w:p>
            <w:pPr>
              <w:pStyle w:val="4"/>
              <w:rPr>
                <w:color w:val="auto"/>
              </w:rPr>
            </w:pPr>
            <w:r>
              <w:rPr>
                <w:rFonts w:hint="eastAsia"/>
                <w:color w:val="auto"/>
              </w:rPr>
              <w:t>（</w:t>
            </w:r>
            <w:r>
              <w:rPr>
                <w:color w:val="auto"/>
              </w:rPr>
              <w:t>4</w:t>
            </w:r>
            <w:r>
              <w:rPr>
                <w:rFonts w:hint="eastAsia"/>
                <w:color w:val="auto"/>
              </w:rPr>
              <w:t>）原油装载过程V</w:t>
            </w:r>
            <w:r>
              <w:rPr>
                <w:color w:val="auto"/>
              </w:rPr>
              <w:t>OCs</w:t>
            </w:r>
          </w:p>
          <w:p>
            <w:pPr>
              <w:pStyle w:val="4"/>
              <w:rPr>
                <w:color w:val="auto"/>
              </w:rPr>
            </w:pPr>
            <w:r>
              <w:rPr>
                <w:rFonts w:hint="eastAsia"/>
                <w:color w:val="auto"/>
              </w:rPr>
              <w:t>本项目试油期采出原油暂存于井场6</w:t>
            </w:r>
            <w:r>
              <w:rPr>
                <w:color w:val="auto"/>
              </w:rPr>
              <w:t>0m</w:t>
            </w:r>
            <w:r>
              <w:rPr>
                <w:color w:val="auto"/>
                <w:vertAlign w:val="superscript"/>
              </w:rPr>
              <w:t>3</w:t>
            </w:r>
            <w:r>
              <w:rPr>
                <w:rFonts w:hint="eastAsia"/>
                <w:color w:val="auto"/>
              </w:rPr>
              <w:t>原油储罐中，由罐车定期拉运至吉祥联合站处理，原油装车过程中会产生V</w:t>
            </w:r>
            <w:r>
              <w:rPr>
                <w:color w:val="auto"/>
              </w:rPr>
              <w:t>OCs</w:t>
            </w:r>
            <w:r>
              <w:rPr>
                <w:rFonts w:hint="eastAsia"/>
                <w:color w:val="auto"/>
              </w:rPr>
              <w:t>，根据《石化行业V</w:t>
            </w:r>
            <w:r>
              <w:rPr>
                <w:color w:val="auto"/>
              </w:rPr>
              <w:t>OC</w:t>
            </w:r>
            <w:r>
              <w:rPr>
                <w:color w:val="auto"/>
                <w:vertAlign w:val="subscript"/>
              </w:rPr>
              <w:t>S</w:t>
            </w:r>
            <w:r>
              <w:rPr>
                <w:rFonts w:hint="eastAsia"/>
                <w:color w:val="auto"/>
              </w:rPr>
              <w:t>污染源排查工作指南》，装载过程V</w:t>
            </w:r>
            <w:r>
              <w:rPr>
                <w:color w:val="auto"/>
              </w:rPr>
              <w:t>OCs</w:t>
            </w:r>
            <w:r>
              <w:rPr>
                <w:rFonts w:hint="eastAsia"/>
                <w:color w:val="auto"/>
              </w:rPr>
              <w:t>排放量与物料年周转量、装载温度、装载物料的真实蒸气压等因素有关。由于</w:t>
            </w:r>
            <w:r>
              <w:rPr>
                <w:rFonts w:hint="eastAsia" w:hAnsi="宋体"/>
                <w:color w:val="auto"/>
              </w:rPr>
              <w:t>试油过程具有很大的不确定性，无法确定试油阶段原油产能情况，因此本评价仅对装载过程产生的</w:t>
            </w:r>
            <w:r>
              <w:rPr>
                <w:rFonts w:hint="eastAsia"/>
                <w:color w:val="auto"/>
              </w:rPr>
              <w:t>V</w:t>
            </w:r>
            <w:r>
              <w:rPr>
                <w:color w:val="auto"/>
              </w:rPr>
              <w:t>OCs</w:t>
            </w:r>
            <w:r>
              <w:rPr>
                <w:rFonts w:hint="eastAsia"/>
                <w:color w:val="auto"/>
              </w:rPr>
              <w:t>进行定性分析，不进行定量计算。本环评要求建设单位在试油阶段原油装载应符合《陆上石油天然气开采工业大气污染物排放标准》（G</w:t>
            </w:r>
            <w:r>
              <w:rPr>
                <w:color w:val="auto"/>
              </w:rPr>
              <w:t>B39728-2020</w:t>
            </w:r>
            <w:r>
              <w:rPr>
                <w:rFonts w:hint="eastAsia"/>
                <w:color w:val="auto"/>
              </w:rPr>
              <w:t>）要求，采用底部装载或顶部浸没式装载方式，采用顶部浸没式装载的，出口管口距离罐底部高度应小于2</w:t>
            </w:r>
            <w:r>
              <w:rPr>
                <w:color w:val="auto"/>
              </w:rPr>
              <w:t>00mm</w:t>
            </w:r>
            <w:r>
              <w:rPr>
                <w:rFonts w:hint="eastAsia"/>
                <w:color w:val="auto"/>
              </w:rPr>
              <w:t>。原油装载仅在试油期进行，随试油期结束而终止。</w:t>
            </w:r>
          </w:p>
          <w:bookmarkEnd w:id="62"/>
          <w:bookmarkEnd w:id="63"/>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 施工期废水影响分析</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 正常运营状态下水环境影响分析</w:t>
            </w:r>
          </w:p>
          <w:p>
            <w:pPr>
              <w:pStyle w:val="4"/>
              <w:rPr>
                <w:color w:val="auto"/>
              </w:rPr>
            </w:pPr>
            <w:bookmarkStart w:id="65" w:name="_Hlk47368712"/>
            <w:r>
              <w:rPr>
                <w:rFonts w:hint="eastAsia"/>
                <w:color w:val="auto"/>
              </w:rPr>
              <w:t>本项目在钻井施工过程中采用“钻井泥浆不落地技术”，分离出的液相循环使用，无钻井废水产生。本项目废水主要为井下作业废水和生活污水。</w:t>
            </w:r>
          </w:p>
          <w:bookmarkEnd w:id="65"/>
          <w:p>
            <w:pPr>
              <w:pStyle w:val="4"/>
              <w:rPr>
                <w:color w:val="auto"/>
              </w:rPr>
            </w:pPr>
            <w:bookmarkStart w:id="66" w:name="_Hlk44517595"/>
            <w:r>
              <w:rPr>
                <w:rFonts w:hint="eastAsia"/>
                <w:color w:val="auto"/>
              </w:rPr>
              <w:t>（1）井下作业废水</w:t>
            </w:r>
          </w:p>
          <w:p>
            <w:pPr>
              <w:pStyle w:val="4"/>
              <w:rPr>
                <w:color w:val="auto"/>
              </w:rPr>
            </w:pPr>
            <w:r>
              <w:rPr>
                <w:rFonts w:hint="eastAsia" w:cs="宋体"/>
                <w:color w:val="auto"/>
              </w:rPr>
              <w:t>根据《排放源统计调查产排污核算方法和系数手册2021》</w:t>
            </w:r>
            <w:r>
              <w:rPr>
                <w:rFonts w:ascii="Times New Roman" w:hAnsi="Times New Roman"/>
                <w:color w:val="auto"/>
                <w:sz w:val="24"/>
                <w:highlight w:val="none"/>
              </w:rPr>
              <w:t>（公告2021年第24号）</w:t>
            </w:r>
            <w:r>
              <w:rPr>
                <w:rFonts w:hint="eastAsia" w:cs="宋体"/>
                <w:color w:val="auto"/>
              </w:rPr>
              <w:t>中</w:t>
            </w:r>
            <w:r>
              <w:rPr>
                <w:rFonts w:ascii="Times New Roman" w:hAnsi="Times New Roman"/>
                <w:color w:val="auto"/>
                <w:sz w:val="24"/>
                <w:highlight w:val="none"/>
              </w:rPr>
              <w:t>与石油和天然气开采有关的服务活动</w:t>
            </w:r>
            <w:r>
              <w:rPr>
                <w:rFonts w:hint="eastAsia" w:cs="宋体"/>
                <w:color w:val="auto"/>
              </w:rPr>
              <w:t>产排污系数</w:t>
            </w:r>
            <w:r>
              <w:rPr>
                <w:rFonts w:hint="default" w:ascii="Times New Roman" w:hAnsi="Times New Roman" w:cs="Times New Roman"/>
                <w:color w:val="auto"/>
                <w:lang w:val="en-US" w:eastAsia="zh-CN"/>
              </w:rPr>
              <w:t>计算井下作业废水的产生量</w:t>
            </w:r>
            <w:r>
              <w:rPr>
                <w:rFonts w:hint="eastAsia"/>
                <w:color w:val="auto"/>
              </w:rPr>
              <w:t>，见表</w:t>
            </w:r>
            <w:r>
              <w:rPr>
                <w:color w:val="auto"/>
              </w:rPr>
              <w:t>4</w:t>
            </w:r>
            <w:r>
              <w:rPr>
                <w:rFonts w:hint="eastAsia"/>
                <w:color w:val="auto"/>
              </w:rPr>
              <w:t>-</w:t>
            </w:r>
            <w:r>
              <w:rPr>
                <w:color w:val="auto"/>
              </w:rPr>
              <w:t>4</w:t>
            </w:r>
            <w:r>
              <w:rPr>
                <w:rFonts w:hint="eastAsia"/>
                <w:color w:val="auto"/>
              </w:rPr>
              <w:t>。</w:t>
            </w:r>
            <w:bookmarkStart w:id="67" w:name="_Hlk5211222"/>
          </w:p>
          <w:bookmarkEnd w:id="67"/>
          <w:p>
            <w:pPr>
              <w:pStyle w:val="27"/>
              <w:rPr>
                <w:color w:val="auto"/>
                <w:lang w:bidi="ar"/>
              </w:rPr>
            </w:pPr>
            <w:r>
              <w:rPr>
                <w:rFonts w:hint="eastAsia"/>
                <w:color w:val="auto"/>
                <w:lang w:bidi="ar"/>
              </w:rPr>
              <w:t>表</w:t>
            </w:r>
            <w:r>
              <w:rPr>
                <w:color w:val="auto"/>
              </w:rPr>
              <w:t>4</w:t>
            </w:r>
            <w:r>
              <w:rPr>
                <w:rFonts w:hint="eastAsia"/>
                <w:color w:val="auto"/>
              </w:rPr>
              <w:t>-</w:t>
            </w:r>
            <w:r>
              <w:rPr>
                <w:color w:val="auto"/>
              </w:rPr>
              <w:t>4</w:t>
            </w:r>
            <w:r>
              <w:rPr>
                <w:rFonts w:hint="eastAsia"/>
                <w:color w:val="auto"/>
                <w:lang w:bidi="ar"/>
              </w:rPr>
              <w:t xml:space="preserve"> </w:t>
            </w:r>
            <w:r>
              <w:rPr>
                <w:color w:val="auto"/>
                <w:lang w:bidi="ar"/>
              </w:rPr>
              <w:t xml:space="preserve"> </w:t>
            </w:r>
            <w:r>
              <w:rPr>
                <w:rFonts w:hint="eastAsia"/>
                <w:color w:val="auto"/>
                <w:lang w:bidi="ar"/>
              </w:rPr>
              <w:t>与石油和天然气开采有关的服务活动产排污系数一览表</w:t>
            </w:r>
          </w:p>
          <w:tbl>
            <w:tblPr>
              <w:tblStyle w:val="17"/>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05"/>
              <w:gridCol w:w="797"/>
              <w:gridCol w:w="599"/>
              <w:gridCol w:w="1244"/>
              <w:gridCol w:w="1283"/>
              <w:gridCol w:w="925"/>
              <w:gridCol w:w="1132"/>
              <w:gridCol w:w="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shd w:val="clear" w:color="auto" w:fill="auto"/>
                  <w:noWrap w:val="0"/>
                  <w:vAlign w:val="center"/>
                </w:tcPr>
                <w:p>
                  <w:pPr>
                    <w:pStyle w:val="28"/>
                    <w:rPr>
                      <w:color w:val="auto"/>
                      <w:lang w:bidi="ar"/>
                    </w:rPr>
                  </w:pPr>
                  <w:r>
                    <w:rPr>
                      <w:rFonts w:hint="eastAsia"/>
                      <w:color w:val="auto"/>
                      <w:lang w:bidi="ar"/>
                    </w:rPr>
                    <w:t>产品</w:t>
                  </w:r>
                </w:p>
                <w:p>
                  <w:pPr>
                    <w:pStyle w:val="28"/>
                    <w:rPr>
                      <w:color w:val="auto"/>
                      <w:lang w:bidi="ar"/>
                    </w:rPr>
                  </w:pPr>
                  <w:r>
                    <w:rPr>
                      <w:rFonts w:hint="eastAsia"/>
                      <w:color w:val="auto"/>
                      <w:lang w:bidi="ar"/>
                    </w:rPr>
                    <w:t>名称</w:t>
                  </w:r>
                </w:p>
              </w:tc>
              <w:tc>
                <w:tcPr>
                  <w:tcW w:w="432" w:type="pct"/>
                  <w:shd w:val="clear" w:color="auto" w:fill="auto"/>
                  <w:noWrap w:val="0"/>
                  <w:vAlign w:val="center"/>
                </w:tcPr>
                <w:p>
                  <w:pPr>
                    <w:pStyle w:val="28"/>
                    <w:rPr>
                      <w:color w:val="auto"/>
                      <w:lang w:bidi="ar"/>
                    </w:rPr>
                  </w:pPr>
                  <w:r>
                    <w:rPr>
                      <w:rFonts w:hint="eastAsia"/>
                      <w:color w:val="auto"/>
                      <w:lang w:bidi="ar"/>
                    </w:rPr>
                    <w:t>原料</w:t>
                  </w:r>
                </w:p>
                <w:p>
                  <w:pPr>
                    <w:pStyle w:val="28"/>
                    <w:rPr>
                      <w:color w:val="auto"/>
                      <w:lang w:bidi="ar"/>
                    </w:rPr>
                  </w:pPr>
                  <w:r>
                    <w:rPr>
                      <w:rFonts w:hint="eastAsia"/>
                      <w:color w:val="auto"/>
                      <w:lang w:bidi="ar"/>
                    </w:rPr>
                    <w:t>名称</w:t>
                  </w:r>
                </w:p>
              </w:tc>
              <w:tc>
                <w:tcPr>
                  <w:tcW w:w="489" w:type="pct"/>
                  <w:shd w:val="clear" w:color="auto" w:fill="auto"/>
                  <w:noWrap w:val="0"/>
                  <w:vAlign w:val="center"/>
                </w:tcPr>
                <w:p>
                  <w:pPr>
                    <w:pStyle w:val="28"/>
                    <w:rPr>
                      <w:color w:val="auto"/>
                      <w:lang w:bidi="ar"/>
                    </w:rPr>
                  </w:pPr>
                  <w:r>
                    <w:rPr>
                      <w:rFonts w:hint="eastAsia"/>
                      <w:color w:val="auto"/>
                      <w:lang w:bidi="ar"/>
                    </w:rPr>
                    <w:t>工艺名称</w:t>
                  </w:r>
                </w:p>
              </w:tc>
              <w:tc>
                <w:tcPr>
                  <w:tcW w:w="367" w:type="pct"/>
                  <w:shd w:val="clear" w:color="auto" w:fill="auto"/>
                  <w:noWrap w:val="0"/>
                  <w:vAlign w:val="center"/>
                </w:tcPr>
                <w:p>
                  <w:pPr>
                    <w:pStyle w:val="28"/>
                    <w:rPr>
                      <w:color w:val="auto"/>
                      <w:lang w:bidi="ar"/>
                    </w:rPr>
                  </w:pPr>
                  <w:r>
                    <w:rPr>
                      <w:rFonts w:hint="eastAsia"/>
                      <w:color w:val="auto"/>
                      <w:lang w:bidi="ar"/>
                    </w:rPr>
                    <w:t>规模等级</w:t>
                  </w:r>
                </w:p>
              </w:tc>
              <w:tc>
                <w:tcPr>
                  <w:tcW w:w="763" w:type="pct"/>
                  <w:shd w:val="clear" w:color="auto" w:fill="auto"/>
                  <w:noWrap w:val="0"/>
                  <w:vAlign w:val="center"/>
                </w:tcPr>
                <w:p>
                  <w:pPr>
                    <w:pStyle w:val="28"/>
                    <w:rPr>
                      <w:color w:val="auto"/>
                      <w:lang w:bidi="ar"/>
                    </w:rPr>
                  </w:pPr>
                  <w:r>
                    <w:rPr>
                      <w:rFonts w:hint="eastAsia"/>
                      <w:color w:val="auto"/>
                      <w:lang w:bidi="ar"/>
                    </w:rPr>
                    <w:t>污染物指标</w:t>
                  </w:r>
                </w:p>
              </w:tc>
              <w:tc>
                <w:tcPr>
                  <w:tcW w:w="787" w:type="pct"/>
                  <w:shd w:val="clear" w:color="auto" w:fill="auto"/>
                  <w:noWrap w:val="0"/>
                  <w:vAlign w:val="center"/>
                </w:tcPr>
                <w:p>
                  <w:pPr>
                    <w:pStyle w:val="28"/>
                    <w:rPr>
                      <w:color w:val="auto"/>
                      <w:lang w:bidi="ar"/>
                    </w:rPr>
                  </w:pPr>
                  <w:r>
                    <w:rPr>
                      <w:rFonts w:hint="eastAsia"/>
                      <w:color w:val="auto"/>
                      <w:lang w:bidi="ar"/>
                    </w:rPr>
                    <w:t>单位</w:t>
                  </w:r>
                </w:p>
              </w:tc>
              <w:tc>
                <w:tcPr>
                  <w:tcW w:w="567" w:type="pct"/>
                  <w:shd w:val="clear" w:color="auto" w:fill="auto"/>
                  <w:noWrap w:val="0"/>
                  <w:vAlign w:val="center"/>
                </w:tcPr>
                <w:p>
                  <w:pPr>
                    <w:pStyle w:val="28"/>
                    <w:rPr>
                      <w:color w:val="auto"/>
                      <w:lang w:bidi="ar"/>
                    </w:rPr>
                  </w:pPr>
                  <w:r>
                    <w:rPr>
                      <w:rFonts w:hint="eastAsia"/>
                      <w:color w:val="auto"/>
                      <w:lang w:bidi="ar"/>
                    </w:rPr>
                    <w:t>产污</w:t>
                  </w:r>
                </w:p>
                <w:p>
                  <w:pPr>
                    <w:pStyle w:val="28"/>
                    <w:rPr>
                      <w:color w:val="auto"/>
                      <w:lang w:bidi="ar"/>
                    </w:rPr>
                  </w:pPr>
                  <w:r>
                    <w:rPr>
                      <w:rFonts w:hint="eastAsia"/>
                      <w:color w:val="auto"/>
                      <w:lang w:bidi="ar"/>
                    </w:rPr>
                    <w:t>系数</w:t>
                  </w:r>
                </w:p>
              </w:tc>
              <w:tc>
                <w:tcPr>
                  <w:tcW w:w="694" w:type="pct"/>
                  <w:shd w:val="clear" w:color="auto" w:fill="auto"/>
                  <w:noWrap w:val="0"/>
                  <w:vAlign w:val="center"/>
                </w:tcPr>
                <w:p>
                  <w:pPr>
                    <w:pStyle w:val="28"/>
                    <w:rPr>
                      <w:color w:val="auto"/>
                      <w:lang w:bidi="ar"/>
                    </w:rPr>
                  </w:pPr>
                  <w:r>
                    <w:rPr>
                      <w:rFonts w:hint="eastAsia"/>
                      <w:color w:val="auto"/>
                      <w:lang w:bidi="ar"/>
                    </w:rPr>
                    <w:t>末端治理技术名称</w:t>
                  </w:r>
                </w:p>
              </w:tc>
              <w:tc>
                <w:tcPr>
                  <w:tcW w:w="429" w:type="pct"/>
                  <w:shd w:val="clear" w:color="auto" w:fill="auto"/>
                  <w:noWrap w:val="0"/>
                  <w:vAlign w:val="center"/>
                </w:tcPr>
                <w:p>
                  <w:pPr>
                    <w:pStyle w:val="28"/>
                    <w:rPr>
                      <w:color w:val="auto"/>
                      <w:lang w:bidi="ar"/>
                    </w:rPr>
                  </w:pPr>
                  <w:r>
                    <w:rPr>
                      <w:rFonts w:hint="eastAsia"/>
                      <w:color w:val="auto"/>
                      <w:lang w:bidi="ar"/>
                    </w:rPr>
                    <w:t>排污系数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noWrap w:val="0"/>
                  <w:vAlign w:val="center"/>
                </w:tcPr>
                <w:p>
                  <w:pPr>
                    <w:pStyle w:val="28"/>
                    <w:rPr>
                      <w:color w:val="auto"/>
                      <w:lang w:bidi="ar"/>
                    </w:rPr>
                  </w:pPr>
                  <w:r>
                    <w:rPr>
                      <w:rFonts w:hint="eastAsia"/>
                      <w:color w:val="auto"/>
                      <w:lang w:bidi="ar"/>
                    </w:rPr>
                    <w:t>井下作业</w:t>
                  </w:r>
                </w:p>
              </w:tc>
              <w:tc>
                <w:tcPr>
                  <w:tcW w:w="432" w:type="pct"/>
                  <w:vMerge w:val="restart"/>
                  <w:shd w:val="clear" w:color="auto" w:fill="auto"/>
                  <w:noWrap w:val="0"/>
                  <w:vAlign w:val="center"/>
                </w:tcPr>
                <w:p>
                  <w:pPr>
                    <w:pStyle w:val="28"/>
                    <w:rPr>
                      <w:color w:val="auto"/>
                      <w:lang w:bidi="ar"/>
                    </w:rPr>
                  </w:pPr>
                  <w:r>
                    <w:rPr>
                      <w:rFonts w:hint="eastAsia"/>
                      <w:color w:val="auto"/>
                      <w:lang w:bidi="ar"/>
                    </w:rPr>
                    <w:t>洗井液(水)</w:t>
                  </w:r>
                </w:p>
              </w:tc>
              <w:tc>
                <w:tcPr>
                  <w:tcW w:w="489" w:type="pct"/>
                  <w:vMerge w:val="restart"/>
                  <w:shd w:val="clear" w:color="auto" w:fill="auto"/>
                  <w:noWrap w:val="0"/>
                  <w:vAlign w:val="center"/>
                </w:tcPr>
                <w:p>
                  <w:pPr>
                    <w:pStyle w:val="28"/>
                    <w:rPr>
                      <w:color w:val="auto"/>
                      <w:lang w:bidi="ar"/>
                    </w:rPr>
                  </w:pPr>
                  <w:r>
                    <w:rPr>
                      <w:rFonts w:hint="eastAsia"/>
                      <w:color w:val="auto"/>
                      <w:lang w:bidi="ar"/>
                    </w:rPr>
                    <w:t>低渗透油井洗井作业</w:t>
                  </w:r>
                </w:p>
              </w:tc>
              <w:tc>
                <w:tcPr>
                  <w:tcW w:w="367" w:type="pct"/>
                  <w:vMerge w:val="restart"/>
                  <w:shd w:val="clear" w:color="auto" w:fill="auto"/>
                  <w:noWrap w:val="0"/>
                  <w:vAlign w:val="center"/>
                </w:tcPr>
                <w:p>
                  <w:pPr>
                    <w:pStyle w:val="28"/>
                    <w:rPr>
                      <w:color w:val="auto"/>
                      <w:lang w:bidi="ar"/>
                    </w:rPr>
                  </w:pPr>
                  <w:r>
                    <w:rPr>
                      <w:rFonts w:hint="eastAsia"/>
                      <w:color w:val="auto"/>
                      <w:lang w:bidi="ar"/>
                    </w:rPr>
                    <w:t>所有规模</w:t>
                  </w:r>
                </w:p>
              </w:tc>
              <w:tc>
                <w:tcPr>
                  <w:tcW w:w="763" w:type="pct"/>
                  <w:shd w:val="clear" w:color="auto" w:fill="auto"/>
                  <w:noWrap w:val="0"/>
                  <w:vAlign w:val="center"/>
                </w:tcPr>
                <w:p>
                  <w:pPr>
                    <w:pStyle w:val="28"/>
                    <w:rPr>
                      <w:color w:val="auto"/>
                      <w:lang w:bidi="ar"/>
                    </w:rPr>
                  </w:pPr>
                  <w:r>
                    <w:rPr>
                      <w:rFonts w:hint="eastAsia"/>
                      <w:color w:val="auto"/>
                      <w:lang w:bidi="ar"/>
                    </w:rPr>
                    <w:t>工业废水量</w:t>
                  </w:r>
                </w:p>
              </w:tc>
              <w:tc>
                <w:tcPr>
                  <w:tcW w:w="787" w:type="pct"/>
                  <w:shd w:val="clear" w:color="auto" w:fill="auto"/>
                  <w:noWrap w:val="0"/>
                  <w:vAlign w:val="center"/>
                </w:tcPr>
                <w:p>
                  <w:pPr>
                    <w:pStyle w:val="28"/>
                    <w:rPr>
                      <w:color w:val="auto"/>
                      <w:lang w:bidi="ar"/>
                    </w:rPr>
                  </w:pPr>
                  <w:r>
                    <w:rPr>
                      <w:rFonts w:hint="eastAsia"/>
                      <w:color w:val="auto"/>
                      <w:lang w:bidi="ar"/>
                    </w:rPr>
                    <w:t>t/井次-产品</w:t>
                  </w:r>
                </w:p>
              </w:tc>
              <w:tc>
                <w:tcPr>
                  <w:tcW w:w="567" w:type="pct"/>
                  <w:shd w:val="clear" w:color="auto" w:fill="auto"/>
                  <w:noWrap w:val="0"/>
                  <w:vAlign w:val="center"/>
                </w:tcPr>
                <w:p>
                  <w:pPr>
                    <w:pStyle w:val="28"/>
                    <w:rPr>
                      <w:color w:val="auto"/>
                      <w:lang w:bidi="ar"/>
                    </w:rPr>
                  </w:pPr>
                  <w:r>
                    <w:rPr>
                      <w:color w:val="auto"/>
                      <w:lang w:bidi="ar"/>
                    </w:rPr>
                    <w:t>27.13</w:t>
                  </w:r>
                </w:p>
              </w:tc>
              <w:tc>
                <w:tcPr>
                  <w:tcW w:w="694" w:type="pct"/>
                  <w:shd w:val="clear" w:color="auto" w:fill="auto"/>
                  <w:noWrap w:val="0"/>
                  <w:vAlign w:val="center"/>
                </w:tcPr>
                <w:p>
                  <w:pPr>
                    <w:pStyle w:val="28"/>
                    <w:rPr>
                      <w:color w:val="auto"/>
                      <w:lang w:bidi="ar"/>
                    </w:rPr>
                  </w:pPr>
                  <w:r>
                    <w:rPr>
                      <w:rFonts w:hint="eastAsia"/>
                      <w:color w:val="auto"/>
                      <w:lang w:bidi="ar"/>
                    </w:rPr>
                    <w:t>回收回注</w:t>
                  </w:r>
                </w:p>
              </w:tc>
              <w:tc>
                <w:tcPr>
                  <w:tcW w:w="429" w:type="pct"/>
                  <w:shd w:val="clear" w:color="auto" w:fill="auto"/>
                  <w:noWrap w:val="0"/>
                  <w:vAlign w:val="center"/>
                </w:tcPr>
                <w:p>
                  <w:pPr>
                    <w:pStyle w:val="28"/>
                    <w:rPr>
                      <w:color w:val="auto"/>
                      <w:lang w:bidi="ar"/>
                    </w:rPr>
                  </w:pPr>
                  <w:r>
                    <w:rPr>
                      <w:rFonts w:hint="eastAsia"/>
                      <w:color w:val="auto"/>
                      <w:lang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0"/>
                  <w:vAlign w:val="center"/>
                </w:tcPr>
                <w:p>
                  <w:pPr>
                    <w:pStyle w:val="28"/>
                    <w:rPr>
                      <w:color w:val="auto"/>
                      <w:lang w:bidi="ar"/>
                    </w:rPr>
                  </w:pPr>
                </w:p>
              </w:tc>
              <w:tc>
                <w:tcPr>
                  <w:tcW w:w="432" w:type="pct"/>
                  <w:vMerge w:val="continue"/>
                  <w:shd w:val="clear" w:color="auto" w:fill="auto"/>
                  <w:noWrap w:val="0"/>
                  <w:vAlign w:val="center"/>
                </w:tcPr>
                <w:p>
                  <w:pPr>
                    <w:pStyle w:val="28"/>
                    <w:rPr>
                      <w:color w:val="auto"/>
                      <w:lang w:bidi="ar"/>
                    </w:rPr>
                  </w:pPr>
                </w:p>
              </w:tc>
              <w:tc>
                <w:tcPr>
                  <w:tcW w:w="489" w:type="pct"/>
                  <w:vMerge w:val="continue"/>
                  <w:shd w:val="clear" w:color="auto" w:fill="auto"/>
                  <w:noWrap w:val="0"/>
                  <w:vAlign w:val="center"/>
                </w:tcPr>
                <w:p>
                  <w:pPr>
                    <w:pStyle w:val="28"/>
                    <w:rPr>
                      <w:color w:val="auto"/>
                      <w:lang w:bidi="ar"/>
                    </w:rPr>
                  </w:pPr>
                </w:p>
              </w:tc>
              <w:tc>
                <w:tcPr>
                  <w:tcW w:w="367" w:type="pct"/>
                  <w:vMerge w:val="continue"/>
                  <w:shd w:val="clear" w:color="auto" w:fill="auto"/>
                  <w:noWrap w:val="0"/>
                  <w:vAlign w:val="center"/>
                </w:tcPr>
                <w:p>
                  <w:pPr>
                    <w:pStyle w:val="28"/>
                    <w:rPr>
                      <w:color w:val="auto"/>
                      <w:lang w:bidi="ar"/>
                    </w:rPr>
                  </w:pPr>
                </w:p>
              </w:tc>
              <w:tc>
                <w:tcPr>
                  <w:tcW w:w="763" w:type="pct"/>
                  <w:shd w:val="clear" w:color="auto" w:fill="auto"/>
                  <w:noWrap w:val="0"/>
                  <w:vAlign w:val="center"/>
                </w:tcPr>
                <w:p>
                  <w:pPr>
                    <w:pStyle w:val="28"/>
                    <w:rPr>
                      <w:color w:val="auto"/>
                      <w:lang w:bidi="ar"/>
                    </w:rPr>
                  </w:pPr>
                  <w:r>
                    <w:rPr>
                      <w:rFonts w:hint="eastAsia"/>
                      <w:color w:val="auto"/>
                      <w:lang w:bidi="ar"/>
                    </w:rPr>
                    <w:t>化学需氧量</w:t>
                  </w:r>
                </w:p>
              </w:tc>
              <w:tc>
                <w:tcPr>
                  <w:tcW w:w="787" w:type="pct"/>
                  <w:shd w:val="clear" w:color="auto" w:fill="auto"/>
                  <w:noWrap w:val="0"/>
                  <w:vAlign w:val="center"/>
                </w:tcPr>
                <w:p>
                  <w:pPr>
                    <w:pStyle w:val="28"/>
                    <w:rPr>
                      <w:color w:val="auto"/>
                      <w:lang w:bidi="ar"/>
                    </w:rPr>
                  </w:pPr>
                  <w:r>
                    <w:rPr>
                      <w:rFonts w:hint="eastAsia"/>
                      <w:color w:val="auto"/>
                      <w:lang w:bidi="ar"/>
                    </w:rPr>
                    <w:t>g/井次-产品</w:t>
                  </w:r>
                </w:p>
              </w:tc>
              <w:tc>
                <w:tcPr>
                  <w:tcW w:w="567" w:type="pct"/>
                  <w:shd w:val="clear" w:color="auto" w:fill="auto"/>
                  <w:noWrap w:val="0"/>
                  <w:vAlign w:val="center"/>
                </w:tcPr>
                <w:p>
                  <w:pPr>
                    <w:pStyle w:val="28"/>
                    <w:rPr>
                      <w:color w:val="auto"/>
                      <w:lang w:bidi="ar"/>
                    </w:rPr>
                  </w:pPr>
                  <w:r>
                    <w:rPr>
                      <w:color w:val="auto"/>
                      <w:lang w:bidi="ar"/>
                    </w:rPr>
                    <w:t>34679</w:t>
                  </w:r>
                </w:p>
              </w:tc>
              <w:tc>
                <w:tcPr>
                  <w:tcW w:w="694" w:type="pct"/>
                  <w:shd w:val="clear" w:color="auto" w:fill="auto"/>
                  <w:noWrap w:val="0"/>
                  <w:vAlign w:val="center"/>
                </w:tcPr>
                <w:p>
                  <w:pPr>
                    <w:pStyle w:val="28"/>
                    <w:rPr>
                      <w:color w:val="auto"/>
                      <w:lang w:bidi="ar"/>
                    </w:rPr>
                  </w:pPr>
                  <w:r>
                    <w:rPr>
                      <w:rFonts w:hint="eastAsia"/>
                      <w:color w:val="auto"/>
                      <w:lang w:bidi="ar"/>
                    </w:rPr>
                    <w:t>回收回注</w:t>
                  </w:r>
                </w:p>
              </w:tc>
              <w:tc>
                <w:tcPr>
                  <w:tcW w:w="429" w:type="pct"/>
                  <w:shd w:val="clear" w:color="auto" w:fill="auto"/>
                  <w:noWrap w:val="0"/>
                  <w:vAlign w:val="center"/>
                </w:tcPr>
                <w:p>
                  <w:pPr>
                    <w:pStyle w:val="28"/>
                    <w:rPr>
                      <w:color w:val="auto"/>
                      <w:lang w:bidi="ar"/>
                    </w:rPr>
                  </w:pPr>
                  <w:r>
                    <w:rPr>
                      <w:rFonts w:hint="eastAsia"/>
                      <w:color w:val="auto"/>
                      <w:lang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shd w:val="clear" w:color="auto" w:fill="auto"/>
                  <w:noWrap w:val="0"/>
                  <w:vAlign w:val="center"/>
                </w:tcPr>
                <w:p>
                  <w:pPr>
                    <w:pStyle w:val="28"/>
                    <w:rPr>
                      <w:color w:val="auto"/>
                      <w:lang w:bidi="ar"/>
                    </w:rPr>
                  </w:pPr>
                </w:p>
              </w:tc>
              <w:tc>
                <w:tcPr>
                  <w:tcW w:w="432" w:type="pct"/>
                  <w:vMerge w:val="continue"/>
                  <w:shd w:val="clear" w:color="auto" w:fill="auto"/>
                  <w:noWrap w:val="0"/>
                  <w:vAlign w:val="center"/>
                </w:tcPr>
                <w:p>
                  <w:pPr>
                    <w:pStyle w:val="28"/>
                    <w:rPr>
                      <w:color w:val="auto"/>
                      <w:lang w:bidi="ar"/>
                    </w:rPr>
                  </w:pPr>
                </w:p>
              </w:tc>
              <w:tc>
                <w:tcPr>
                  <w:tcW w:w="489" w:type="pct"/>
                  <w:vMerge w:val="continue"/>
                  <w:shd w:val="clear" w:color="auto" w:fill="auto"/>
                  <w:noWrap w:val="0"/>
                  <w:vAlign w:val="center"/>
                </w:tcPr>
                <w:p>
                  <w:pPr>
                    <w:pStyle w:val="28"/>
                    <w:rPr>
                      <w:color w:val="auto"/>
                      <w:lang w:bidi="ar"/>
                    </w:rPr>
                  </w:pPr>
                </w:p>
              </w:tc>
              <w:tc>
                <w:tcPr>
                  <w:tcW w:w="367" w:type="pct"/>
                  <w:vMerge w:val="continue"/>
                  <w:shd w:val="clear" w:color="auto" w:fill="auto"/>
                  <w:noWrap w:val="0"/>
                  <w:vAlign w:val="center"/>
                </w:tcPr>
                <w:p>
                  <w:pPr>
                    <w:pStyle w:val="28"/>
                    <w:rPr>
                      <w:color w:val="auto"/>
                      <w:lang w:bidi="ar"/>
                    </w:rPr>
                  </w:pPr>
                </w:p>
              </w:tc>
              <w:tc>
                <w:tcPr>
                  <w:tcW w:w="763" w:type="pct"/>
                  <w:shd w:val="clear" w:color="auto" w:fill="auto"/>
                  <w:noWrap w:val="0"/>
                  <w:vAlign w:val="center"/>
                </w:tcPr>
                <w:p>
                  <w:pPr>
                    <w:pStyle w:val="28"/>
                    <w:rPr>
                      <w:color w:val="auto"/>
                      <w:lang w:bidi="ar"/>
                    </w:rPr>
                  </w:pPr>
                  <w:r>
                    <w:rPr>
                      <w:rFonts w:hint="eastAsia"/>
                      <w:color w:val="auto"/>
                      <w:lang w:bidi="ar"/>
                    </w:rPr>
                    <w:t>石油类</w:t>
                  </w:r>
                </w:p>
              </w:tc>
              <w:tc>
                <w:tcPr>
                  <w:tcW w:w="787" w:type="pct"/>
                  <w:shd w:val="clear" w:color="auto" w:fill="auto"/>
                  <w:noWrap w:val="0"/>
                  <w:vAlign w:val="center"/>
                </w:tcPr>
                <w:p>
                  <w:pPr>
                    <w:pStyle w:val="28"/>
                    <w:rPr>
                      <w:color w:val="auto"/>
                      <w:lang w:bidi="ar"/>
                    </w:rPr>
                  </w:pPr>
                  <w:r>
                    <w:rPr>
                      <w:rFonts w:hint="eastAsia"/>
                      <w:color w:val="auto"/>
                      <w:lang w:bidi="ar"/>
                    </w:rPr>
                    <w:t>g/井次-产品</w:t>
                  </w:r>
                </w:p>
              </w:tc>
              <w:tc>
                <w:tcPr>
                  <w:tcW w:w="567" w:type="pct"/>
                  <w:shd w:val="clear" w:color="auto" w:fill="auto"/>
                  <w:noWrap w:val="0"/>
                  <w:vAlign w:val="center"/>
                </w:tcPr>
                <w:p>
                  <w:pPr>
                    <w:pStyle w:val="28"/>
                    <w:rPr>
                      <w:color w:val="auto"/>
                      <w:lang w:bidi="ar"/>
                    </w:rPr>
                  </w:pPr>
                  <w:r>
                    <w:rPr>
                      <w:color w:val="auto"/>
                      <w:lang w:bidi="ar"/>
                    </w:rPr>
                    <w:t>6122</w:t>
                  </w:r>
                </w:p>
              </w:tc>
              <w:tc>
                <w:tcPr>
                  <w:tcW w:w="694" w:type="pct"/>
                  <w:shd w:val="clear" w:color="auto" w:fill="auto"/>
                  <w:noWrap w:val="0"/>
                  <w:vAlign w:val="center"/>
                </w:tcPr>
                <w:p>
                  <w:pPr>
                    <w:pStyle w:val="28"/>
                    <w:rPr>
                      <w:color w:val="auto"/>
                      <w:lang w:bidi="ar"/>
                    </w:rPr>
                  </w:pPr>
                  <w:r>
                    <w:rPr>
                      <w:rFonts w:hint="eastAsia"/>
                      <w:color w:val="auto"/>
                      <w:lang w:bidi="ar"/>
                    </w:rPr>
                    <w:t>回收回注</w:t>
                  </w:r>
                </w:p>
              </w:tc>
              <w:tc>
                <w:tcPr>
                  <w:tcW w:w="429" w:type="pct"/>
                  <w:shd w:val="clear" w:color="auto" w:fill="auto"/>
                  <w:noWrap w:val="0"/>
                  <w:vAlign w:val="center"/>
                </w:tcPr>
                <w:p>
                  <w:pPr>
                    <w:pStyle w:val="28"/>
                    <w:rPr>
                      <w:color w:val="auto"/>
                      <w:lang w:bidi="ar"/>
                    </w:rPr>
                  </w:pPr>
                  <w:r>
                    <w:rPr>
                      <w:rFonts w:hint="eastAsia"/>
                      <w:color w:val="auto"/>
                      <w:lang w:bidi="ar"/>
                    </w:rPr>
                    <w:t>0</w:t>
                  </w:r>
                </w:p>
              </w:tc>
            </w:tr>
            <w:bookmarkEnd w:id="66"/>
          </w:tbl>
          <w:p>
            <w:pPr>
              <w:pStyle w:val="4"/>
              <w:adjustRightInd/>
              <w:snapToGrid/>
              <w:rPr>
                <w:rFonts w:hint="default" w:ascii="Times New Roman" w:hAnsi="Times New Roman" w:cs="Times New Roman"/>
                <w:color w:val="auto"/>
                <w:lang w:val="en-US" w:eastAsia="zh-CN"/>
              </w:rPr>
            </w:pPr>
            <w:bookmarkStart w:id="68" w:name="_Hlk47545961"/>
            <w:r>
              <w:rPr>
                <w:rFonts w:hint="default" w:ascii="Times New Roman" w:hAnsi="Times New Roman" w:cs="Times New Roman"/>
                <w:color w:val="auto"/>
                <w:lang w:val="en-US" w:eastAsia="zh-CN"/>
              </w:rPr>
              <w:t>本项目</w:t>
            </w:r>
            <w:r>
              <w:rPr>
                <w:rFonts w:hint="eastAsia" w:cs="Times New Roman"/>
                <w:color w:val="auto"/>
                <w:lang w:val="en-US" w:eastAsia="zh-CN"/>
              </w:rPr>
              <w:t>1</w:t>
            </w:r>
            <w:r>
              <w:rPr>
                <w:rFonts w:hint="default" w:ascii="Times New Roman" w:hAnsi="Times New Roman" w:cs="Times New Roman"/>
                <w:color w:val="auto"/>
                <w:lang w:val="en-US" w:eastAsia="zh-CN"/>
              </w:rPr>
              <w:t>口新井完钻后须进行1次洗井作业，根据</w:t>
            </w:r>
            <w:r>
              <w:rPr>
                <w:rFonts w:hint="default" w:ascii="Times New Roman" w:hAnsi="Times New Roman" w:cs="Times New Roman"/>
                <w:color w:val="auto"/>
              </w:rPr>
              <w:t>《排放源统计调查产排污核算方法和系数手册》（公告2021年第24号）</w:t>
            </w:r>
            <w:r>
              <w:rPr>
                <w:rFonts w:hint="default" w:ascii="Times New Roman" w:hAnsi="Times New Roman" w:cs="Times New Roman"/>
                <w:color w:val="auto"/>
                <w:lang w:val="en-US" w:eastAsia="zh-CN"/>
              </w:rPr>
              <w:t>统计结果，</w:t>
            </w:r>
            <w:r>
              <w:rPr>
                <w:rFonts w:hint="eastAsia" w:ascii="Times New Roman" w:hAnsi="Times New Roman" w:cs="Times New Roman"/>
                <w:color w:val="auto"/>
                <w:szCs w:val="22"/>
                <w:lang w:val="en-US" w:eastAsia="zh-CN"/>
              </w:rPr>
              <w:t>本项目井下作业废水污染物产生量见表4-5</w:t>
            </w:r>
            <w:r>
              <w:rPr>
                <w:rFonts w:hint="default" w:ascii="Times New Roman" w:hAnsi="Times New Roman" w:cs="Times New Roman"/>
                <w:snapToGrid w:val="0"/>
                <w:color w:val="auto"/>
                <w:lang w:val="en-US" w:eastAsia="zh-CN"/>
              </w:rPr>
              <w:t>。</w:t>
            </w:r>
          </w:p>
          <w:p>
            <w:pPr>
              <w:pStyle w:val="27"/>
              <w:ind w:firstLine="422"/>
              <w:jc w:val="center"/>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表4-5  井下作业废水污染物产生量一览表</w:t>
            </w:r>
          </w:p>
          <w:tbl>
            <w:tblPr>
              <w:tblStyle w:val="1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114"/>
              <w:gridCol w:w="1246"/>
              <w:gridCol w:w="1587"/>
              <w:gridCol w:w="19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污染物</w:t>
                  </w:r>
                </w:p>
              </w:tc>
              <w:tc>
                <w:tcPr>
                  <w:tcW w:w="1298"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排污系数</w:t>
                  </w:r>
                </w:p>
              </w:tc>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井数（口）</w:t>
                  </w:r>
                </w:p>
              </w:tc>
              <w:tc>
                <w:tcPr>
                  <w:tcW w:w="974"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产生量（t/a）</w:t>
                  </w:r>
                </w:p>
              </w:tc>
              <w:tc>
                <w:tcPr>
                  <w:tcW w:w="1196"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产生浓度（mg/L）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洗井废水</w:t>
                  </w:r>
                </w:p>
              </w:tc>
              <w:tc>
                <w:tcPr>
                  <w:tcW w:w="1298"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27.13</w:t>
                  </w:r>
                  <w:r>
                    <w:rPr>
                      <w:rFonts w:hint="default" w:ascii="Times New Roman" w:hAnsi="Times New Roman" w:cs="Times New Roman"/>
                      <w:color w:val="auto"/>
                      <w:sz w:val="21"/>
                      <w:szCs w:val="21"/>
                      <w:lang w:val="en-US" w:eastAsia="zh-CN" w:bidi="ar"/>
                    </w:rPr>
                    <w:t>t/井次-产品</w:t>
                  </w:r>
                </w:p>
              </w:tc>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974"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lang w:val="en-US" w:eastAsia="zh-CN"/>
                    </w:rPr>
                    <w:t>27.13</w:t>
                  </w:r>
                </w:p>
              </w:tc>
              <w:tc>
                <w:tcPr>
                  <w:tcW w:w="1196"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snapToGrid w:val="0"/>
                      <w:color w:val="auto"/>
                      <w:sz w:val="21"/>
                      <w:szCs w:val="21"/>
                      <w:lang w:val="en-US" w:eastAsia="zh-CN"/>
                    </w:rPr>
                    <w:t>化学需氧量</w:t>
                  </w:r>
                </w:p>
              </w:tc>
              <w:tc>
                <w:tcPr>
                  <w:tcW w:w="1298"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34679</w:t>
                  </w:r>
                  <w:r>
                    <w:rPr>
                      <w:rFonts w:hint="default" w:ascii="Times New Roman" w:hAnsi="Times New Roman" w:cs="Times New Roman"/>
                      <w:color w:val="auto"/>
                      <w:sz w:val="21"/>
                      <w:szCs w:val="21"/>
                      <w:lang w:val="en-US" w:eastAsia="zh-CN" w:bidi="ar"/>
                    </w:rPr>
                    <w:t>g/井次-产品</w:t>
                  </w:r>
                </w:p>
              </w:tc>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974"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snapToGrid w:val="0"/>
                      <w:color w:val="auto"/>
                      <w:sz w:val="21"/>
                      <w:szCs w:val="21"/>
                      <w:lang w:val="en-US" w:eastAsia="zh-CN"/>
                    </w:rPr>
                    <w:t>0.035</w:t>
                  </w:r>
                </w:p>
              </w:tc>
              <w:tc>
                <w:tcPr>
                  <w:tcW w:w="1196"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snapToGrid w:val="0"/>
                      <w:color w:val="auto"/>
                      <w:sz w:val="21"/>
                      <w:szCs w:val="21"/>
                      <w:lang w:val="en-US" w:eastAsia="zh-CN"/>
                    </w:rPr>
                    <w:t>12</w:t>
                  </w:r>
                  <w:r>
                    <w:rPr>
                      <w:rFonts w:hint="eastAsia" w:cs="Times New Roman"/>
                      <w:snapToGrid w:val="0"/>
                      <w:color w:val="auto"/>
                      <w:sz w:val="21"/>
                      <w:szCs w:val="21"/>
                      <w:lang w:val="en-US" w:eastAsia="zh-CN"/>
                    </w:rPr>
                    <w:t>90.1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snapToGrid w:val="0"/>
                      <w:color w:val="auto"/>
                      <w:sz w:val="21"/>
                      <w:szCs w:val="21"/>
                      <w:lang w:val="en-US" w:eastAsia="zh-CN"/>
                    </w:rPr>
                    <w:t>石油类</w:t>
                  </w:r>
                </w:p>
              </w:tc>
              <w:tc>
                <w:tcPr>
                  <w:tcW w:w="1298"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6122</w:t>
                  </w:r>
                  <w:r>
                    <w:rPr>
                      <w:rFonts w:hint="default" w:ascii="Times New Roman" w:hAnsi="Times New Roman" w:cs="Times New Roman"/>
                      <w:color w:val="auto"/>
                      <w:sz w:val="21"/>
                      <w:szCs w:val="21"/>
                      <w:lang w:val="en-US" w:eastAsia="zh-CN" w:bidi="ar"/>
                    </w:rPr>
                    <w:t>g/井次-产品</w:t>
                  </w:r>
                </w:p>
              </w:tc>
              <w:tc>
                <w:tcPr>
                  <w:tcW w:w="765"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974"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snapToGrid w:val="0"/>
                      <w:color w:val="auto"/>
                      <w:sz w:val="21"/>
                      <w:szCs w:val="21"/>
                      <w:lang w:val="en-US" w:eastAsia="zh-CN"/>
                    </w:rPr>
                    <w:t>0.006</w:t>
                  </w:r>
                </w:p>
              </w:tc>
              <w:tc>
                <w:tcPr>
                  <w:tcW w:w="1196"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snapToGrid w:val="0"/>
                      <w:color w:val="auto"/>
                      <w:sz w:val="21"/>
                      <w:szCs w:val="21"/>
                      <w:lang w:val="en-US" w:eastAsia="zh-CN"/>
                    </w:rPr>
                    <w:t>221.2</w:t>
                  </w:r>
                </w:p>
              </w:tc>
            </w:tr>
          </w:tbl>
          <w:p>
            <w:pPr>
              <w:pStyle w:val="4"/>
              <w:adjustRightInd/>
              <w:snapToGrid/>
              <w:rPr>
                <w:color w:val="auto"/>
              </w:rPr>
            </w:pPr>
            <w:r>
              <w:rPr>
                <w:rFonts w:hint="default" w:ascii="Times New Roman" w:hAnsi="Times New Roman" w:cs="Times New Roman"/>
                <w:color w:val="auto"/>
                <w:szCs w:val="21"/>
                <w:lang w:val="en-US" w:eastAsia="zh-CN"/>
              </w:rPr>
              <w:t>试油期井下作业废水</w:t>
            </w:r>
            <w:r>
              <w:rPr>
                <w:rFonts w:hint="eastAsia" w:ascii="Times New Roman" w:hAnsi="Times New Roman" w:cs="Times New Roman"/>
                <w:color w:val="auto"/>
                <w:szCs w:val="21"/>
                <w:lang w:val="en-US" w:eastAsia="zh-CN"/>
              </w:rPr>
              <w:t>带罐作业，</w:t>
            </w:r>
            <w:r>
              <w:rPr>
                <w:rFonts w:hint="default" w:ascii="Times New Roman" w:hAnsi="Times New Roman" w:cs="Times New Roman"/>
                <w:color w:val="auto"/>
                <w:szCs w:val="21"/>
                <w:lang w:val="en-US" w:eastAsia="zh-CN"/>
              </w:rPr>
              <w:t>拉运至吉祥联合站污水处理系统处理后回注油藏，对环境影响较小。</w:t>
            </w:r>
          </w:p>
          <w:p>
            <w:pPr>
              <w:pStyle w:val="4"/>
              <w:rPr>
                <w:color w:val="auto"/>
              </w:rPr>
            </w:pPr>
            <w:r>
              <w:rPr>
                <w:rFonts w:hint="eastAsia"/>
                <w:color w:val="auto"/>
              </w:rPr>
              <w:t>（</w:t>
            </w:r>
            <w:r>
              <w:rPr>
                <w:color w:val="auto"/>
              </w:rPr>
              <w:t>2</w:t>
            </w:r>
            <w:r>
              <w:rPr>
                <w:rFonts w:hint="eastAsia"/>
                <w:color w:val="auto"/>
              </w:rPr>
              <w:t>）生活污水</w:t>
            </w:r>
          </w:p>
          <w:bookmarkEnd w:id="68"/>
          <w:p>
            <w:pPr>
              <w:pStyle w:val="4"/>
              <w:rPr>
                <w:rFonts w:ascii="Times New Roman" w:hAnsi="Times New Roman"/>
                <w:color w:val="auto"/>
              </w:rPr>
            </w:pPr>
            <w:r>
              <w:rPr>
                <w:color w:val="auto"/>
              </w:rPr>
              <w:t>本项目施工期设置施工营地，钻井期钻井人数40人，钻井期</w:t>
            </w:r>
            <w:r>
              <w:rPr>
                <w:rFonts w:hint="eastAsia"/>
                <w:color w:val="auto"/>
                <w:lang w:val="en-US" w:eastAsia="zh-CN"/>
              </w:rPr>
              <w:t>42</w:t>
            </w:r>
            <w:r>
              <w:rPr>
                <w:color w:val="auto"/>
              </w:rPr>
              <w:t>天，单人消耗水量80L（参考《新疆用水定额》），</w:t>
            </w:r>
            <w:r>
              <w:rPr>
                <w:rFonts w:hint="eastAsia"/>
                <w:color w:val="auto"/>
              </w:rPr>
              <w:t>钻井期</w:t>
            </w:r>
            <w:r>
              <w:rPr>
                <w:color w:val="auto"/>
              </w:rPr>
              <w:t>间生活用水量为</w:t>
            </w:r>
            <w:r>
              <w:rPr>
                <w:rFonts w:hint="eastAsia"/>
                <w:color w:val="auto"/>
                <w:lang w:val="en-US" w:eastAsia="zh-CN"/>
              </w:rPr>
              <w:t>134.4</w:t>
            </w:r>
            <w:r>
              <w:rPr>
                <w:color w:val="auto"/>
              </w:rPr>
              <w:t>m</w:t>
            </w:r>
            <w:r>
              <w:rPr>
                <w:color w:val="auto"/>
                <w:vertAlign w:val="superscript"/>
              </w:rPr>
              <w:t>3</w:t>
            </w:r>
            <w:r>
              <w:rPr>
                <w:color w:val="auto"/>
              </w:rPr>
              <w:t>，排水系数0.8，则生活污水产生量为</w:t>
            </w:r>
            <w:r>
              <w:rPr>
                <w:rFonts w:hint="eastAsia"/>
                <w:color w:val="auto"/>
                <w:lang w:val="en-US" w:eastAsia="zh-CN"/>
              </w:rPr>
              <w:t>107.52</w:t>
            </w:r>
            <w:r>
              <w:rPr>
                <w:color w:val="auto"/>
              </w:rPr>
              <w:t>m</w:t>
            </w:r>
            <w:r>
              <w:rPr>
                <w:color w:val="auto"/>
                <w:vertAlign w:val="superscript"/>
              </w:rPr>
              <w:t>3</w:t>
            </w:r>
            <w:r>
              <w:rPr>
                <w:rFonts w:hint="eastAsia"/>
                <w:color w:val="auto"/>
                <w:lang w:eastAsia="zh-CN"/>
              </w:rPr>
              <w:t>，</w:t>
            </w:r>
            <w:r>
              <w:rPr>
                <w:color w:val="auto"/>
              </w:rPr>
              <w:t>其排水水质与居民生活污水相近似，</w:t>
            </w:r>
            <w:r>
              <w:rPr>
                <w:rFonts w:hint="eastAsia" w:ascii="Times New Roman" w:hAnsi="Times New Roman"/>
                <w:color w:val="auto"/>
                <w:sz w:val="24"/>
              </w:rPr>
              <w:t>生活</w:t>
            </w:r>
            <w:r>
              <w:rPr>
                <w:rFonts w:hint="eastAsia"/>
                <w:color w:val="auto"/>
                <w:sz w:val="24"/>
                <w:lang w:val="en-US" w:eastAsia="zh-CN"/>
              </w:rPr>
              <w:t>污水</w:t>
            </w:r>
            <w:r>
              <w:rPr>
                <w:rFonts w:hint="eastAsia" w:ascii="Times New Roman" w:hAnsi="Times New Roman"/>
                <w:color w:val="auto"/>
                <w:sz w:val="24"/>
              </w:rPr>
              <w:t>污染物产生量见表4-6</w:t>
            </w:r>
            <w:r>
              <w:rPr>
                <w:rFonts w:ascii="Times New Roman" w:hAnsi="Times New Roman"/>
                <w:snapToGrid w:val="0"/>
                <w:color w:val="auto"/>
                <w:sz w:val="24"/>
              </w:rPr>
              <w:t>。</w:t>
            </w:r>
          </w:p>
          <w:p>
            <w:pPr>
              <w:pStyle w:val="27"/>
              <w:ind w:firstLine="422"/>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表4-6  生活</w:t>
            </w:r>
            <w:r>
              <w:rPr>
                <w:rFonts w:hint="eastAsia" w:eastAsia="宋体" w:cs="Times New Roman"/>
                <w:color w:val="auto"/>
                <w:szCs w:val="21"/>
                <w:lang w:val="en-US" w:eastAsia="zh-CN"/>
              </w:rPr>
              <w:t>污水</w:t>
            </w:r>
            <w:r>
              <w:rPr>
                <w:rFonts w:hint="eastAsia" w:ascii="Times New Roman" w:hAnsi="Times New Roman" w:eastAsia="宋体" w:cs="Times New Roman"/>
                <w:color w:val="auto"/>
                <w:szCs w:val="21"/>
              </w:rPr>
              <w:t>污染物产生量一览表</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68"/>
              <w:gridCol w:w="2985"/>
              <w:gridCol w:w="319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08" w:type="pct"/>
                  <w:noWrap/>
                  <w:vAlign w:val="center"/>
                </w:tcPr>
                <w:p>
                  <w:pPr>
                    <w:widowControl/>
                    <w:jc w:val="center"/>
                    <w:textAlignment w:val="center"/>
                    <w:rPr>
                      <w:color w:val="auto"/>
                      <w:sz w:val="21"/>
                      <w:szCs w:val="21"/>
                    </w:rPr>
                  </w:pPr>
                  <w:r>
                    <w:rPr>
                      <w:color w:val="auto"/>
                      <w:kern w:val="0"/>
                      <w:sz w:val="21"/>
                      <w:szCs w:val="21"/>
                      <w:lang w:bidi="ar"/>
                    </w:rPr>
                    <w:t>污染物</w:t>
                  </w:r>
                </w:p>
              </w:tc>
              <w:tc>
                <w:tcPr>
                  <w:tcW w:w="1832" w:type="pct"/>
                  <w:noWrap/>
                  <w:vAlign w:val="center"/>
                </w:tcPr>
                <w:p>
                  <w:pPr>
                    <w:widowControl/>
                    <w:jc w:val="center"/>
                    <w:textAlignment w:val="center"/>
                    <w:rPr>
                      <w:color w:val="auto"/>
                      <w:kern w:val="0"/>
                      <w:sz w:val="21"/>
                      <w:szCs w:val="21"/>
                      <w:lang w:bidi="ar"/>
                    </w:rPr>
                  </w:pPr>
                  <w:r>
                    <w:rPr>
                      <w:rFonts w:hint="eastAsia"/>
                      <w:color w:val="auto"/>
                      <w:kern w:val="0"/>
                      <w:sz w:val="21"/>
                      <w:szCs w:val="21"/>
                      <w:lang w:bidi="ar"/>
                    </w:rPr>
                    <w:t>产生量（t/a）</w:t>
                  </w:r>
                </w:p>
              </w:tc>
              <w:tc>
                <w:tcPr>
                  <w:tcW w:w="1958" w:type="pct"/>
                  <w:noWrap/>
                  <w:vAlign w:val="center"/>
                </w:tcPr>
                <w:p>
                  <w:pPr>
                    <w:widowControl/>
                    <w:jc w:val="center"/>
                    <w:textAlignment w:val="center"/>
                    <w:rPr>
                      <w:color w:val="auto"/>
                      <w:sz w:val="21"/>
                      <w:szCs w:val="21"/>
                    </w:rPr>
                  </w:pPr>
                  <w:r>
                    <w:rPr>
                      <w:rFonts w:hint="eastAsia"/>
                      <w:color w:val="auto"/>
                      <w:kern w:val="0"/>
                      <w:sz w:val="21"/>
                      <w:szCs w:val="21"/>
                      <w:lang w:bidi="ar"/>
                    </w:rPr>
                    <w:t>产生浓度（mg/L）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08" w:type="pct"/>
                  <w:noWrap/>
                  <w:vAlign w:val="center"/>
                </w:tcPr>
                <w:p>
                  <w:pPr>
                    <w:widowControl/>
                    <w:jc w:val="center"/>
                    <w:textAlignment w:val="center"/>
                    <w:rPr>
                      <w:rFonts w:hint="eastAsia" w:eastAsia="宋体"/>
                      <w:color w:val="auto"/>
                      <w:sz w:val="21"/>
                      <w:szCs w:val="21"/>
                      <w:lang w:eastAsia="zh-CN"/>
                    </w:rPr>
                  </w:pPr>
                  <w:r>
                    <w:rPr>
                      <w:rFonts w:hint="eastAsia"/>
                      <w:color w:val="auto"/>
                      <w:kern w:val="0"/>
                      <w:sz w:val="21"/>
                      <w:szCs w:val="21"/>
                      <w:lang w:bidi="ar"/>
                    </w:rPr>
                    <w:t>生活</w:t>
                  </w:r>
                  <w:r>
                    <w:rPr>
                      <w:rFonts w:hint="eastAsia"/>
                      <w:color w:val="auto"/>
                      <w:kern w:val="0"/>
                      <w:sz w:val="21"/>
                      <w:szCs w:val="21"/>
                      <w:lang w:val="en-US" w:eastAsia="zh-CN" w:bidi="ar"/>
                    </w:rPr>
                    <w:t>污水</w:t>
                  </w:r>
                </w:p>
              </w:tc>
              <w:tc>
                <w:tcPr>
                  <w:tcW w:w="1832" w:type="pct"/>
                  <w:noWrap/>
                  <w:vAlign w:val="center"/>
                </w:tcPr>
                <w:p>
                  <w:pPr>
                    <w:widowControl/>
                    <w:jc w:val="center"/>
                    <w:textAlignment w:val="center"/>
                    <w:rPr>
                      <w:rFonts w:hint="default" w:eastAsia="宋体"/>
                      <w:color w:val="auto"/>
                      <w:kern w:val="0"/>
                      <w:sz w:val="21"/>
                      <w:szCs w:val="21"/>
                      <w:lang w:val="en-US" w:eastAsia="zh-CN" w:bidi="ar"/>
                    </w:rPr>
                  </w:pPr>
                  <w:r>
                    <w:rPr>
                      <w:rFonts w:hint="eastAsia"/>
                      <w:color w:val="auto"/>
                      <w:sz w:val="21"/>
                      <w:szCs w:val="21"/>
                      <w:lang w:val="en-US" w:eastAsia="zh-CN"/>
                    </w:rPr>
                    <w:t>107.52</w:t>
                  </w:r>
                </w:p>
              </w:tc>
              <w:tc>
                <w:tcPr>
                  <w:tcW w:w="1958" w:type="pct"/>
                  <w:noWrap/>
                  <w:vAlign w:val="center"/>
                </w:tcPr>
                <w:p>
                  <w:pPr>
                    <w:widowControl/>
                    <w:jc w:val="center"/>
                    <w:textAlignment w:val="center"/>
                    <w:rPr>
                      <w:color w:val="auto"/>
                      <w:kern w:val="0"/>
                      <w:sz w:val="21"/>
                      <w:szCs w:val="21"/>
                      <w:lang w:bidi="ar"/>
                    </w:rPr>
                  </w:pPr>
                  <w:r>
                    <w:rPr>
                      <w:rFonts w:hint="eastAsia"/>
                      <w:color w:val="auto"/>
                      <w:kern w:val="0"/>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08" w:type="pct"/>
                  <w:noWrap/>
                  <w:vAlign w:val="center"/>
                </w:tcPr>
                <w:p>
                  <w:pPr>
                    <w:widowControl/>
                    <w:jc w:val="center"/>
                    <w:textAlignment w:val="center"/>
                    <w:rPr>
                      <w:color w:val="auto"/>
                      <w:sz w:val="21"/>
                      <w:szCs w:val="21"/>
                    </w:rPr>
                  </w:pPr>
                  <w:r>
                    <w:rPr>
                      <w:color w:val="auto"/>
                      <w:sz w:val="21"/>
                      <w:szCs w:val="21"/>
                    </w:rPr>
                    <w:t>COD</w:t>
                  </w:r>
                </w:p>
              </w:tc>
              <w:tc>
                <w:tcPr>
                  <w:tcW w:w="1832" w:type="pct"/>
                  <w:noWrap/>
                  <w:vAlign w:val="center"/>
                </w:tcPr>
                <w:p>
                  <w:pPr>
                    <w:widowControl/>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0.038</w:t>
                  </w:r>
                </w:p>
              </w:tc>
              <w:tc>
                <w:tcPr>
                  <w:tcW w:w="1958" w:type="pct"/>
                  <w:noWrap/>
                  <w:vAlign w:val="center"/>
                </w:tcPr>
                <w:p>
                  <w:pPr>
                    <w:widowControl/>
                    <w:jc w:val="center"/>
                    <w:textAlignment w:val="center"/>
                    <w:rPr>
                      <w:color w:val="auto"/>
                      <w:kern w:val="0"/>
                      <w:sz w:val="21"/>
                      <w:szCs w:val="21"/>
                      <w:lang w:bidi="ar"/>
                    </w:rPr>
                  </w:pPr>
                  <w:r>
                    <w:rPr>
                      <w:rFonts w:hint="eastAsia"/>
                      <w:snapToGrid w:val="0"/>
                      <w:color w:val="auto"/>
                      <w:sz w:val="21"/>
                      <w:szCs w:val="21"/>
                    </w:rPr>
                    <w:t>350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08" w:type="pct"/>
                  <w:noWrap/>
                  <w:vAlign w:val="center"/>
                </w:tcPr>
                <w:p>
                  <w:pPr>
                    <w:widowControl/>
                    <w:jc w:val="center"/>
                    <w:textAlignment w:val="center"/>
                    <w:rPr>
                      <w:color w:val="auto"/>
                      <w:sz w:val="21"/>
                      <w:szCs w:val="21"/>
                    </w:rPr>
                  </w:pPr>
                  <w:r>
                    <w:rPr>
                      <w:color w:val="auto"/>
                      <w:sz w:val="21"/>
                      <w:szCs w:val="21"/>
                    </w:rPr>
                    <w:t>BOD</w:t>
                  </w:r>
                  <w:r>
                    <w:rPr>
                      <w:color w:val="auto"/>
                      <w:sz w:val="21"/>
                      <w:szCs w:val="21"/>
                      <w:vertAlign w:val="subscript"/>
                    </w:rPr>
                    <w:t>5</w:t>
                  </w:r>
                </w:p>
              </w:tc>
              <w:tc>
                <w:tcPr>
                  <w:tcW w:w="1832" w:type="pct"/>
                  <w:noWrap/>
                  <w:vAlign w:val="center"/>
                </w:tcPr>
                <w:p>
                  <w:pPr>
                    <w:widowControl/>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0.032</w:t>
                  </w:r>
                </w:p>
              </w:tc>
              <w:tc>
                <w:tcPr>
                  <w:tcW w:w="1958" w:type="pct"/>
                  <w:noWrap/>
                  <w:vAlign w:val="center"/>
                </w:tcPr>
                <w:p>
                  <w:pPr>
                    <w:widowControl/>
                    <w:jc w:val="center"/>
                    <w:textAlignment w:val="center"/>
                    <w:rPr>
                      <w:color w:val="auto"/>
                      <w:kern w:val="0"/>
                      <w:sz w:val="21"/>
                      <w:szCs w:val="21"/>
                      <w:lang w:bidi="ar"/>
                    </w:rPr>
                  </w:pPr>
                  <w:r>
                    <w:rPr>
                      <w:rFonts w:hint="eastAsia"/>
                      <w:snapToGrid w:val="0"/>
                      <w:color w:val="auto"/>
                      <w:sz w:val="21"/>
                      <w:szCs w:val="21"/>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08" w:type="pct"/>
                  <w:noWrap/>
                  <w:vAlign w:val="center"/>
                </w:tcPr>
                <w:p>
                  <w:pPr>
                    <w:widowControl/>
                    <w:jc w:val="center"/>
                    <w:textAlignment w:val="center"/>
                    <w:rPr>
                      <w:color w:val="auto"/>
                      <w:sz w:val="21"/>
                      <w:szCs w:val="21"/>
                    </w:rPr>
                  </w:pPr>
                  <w:r>
                    <w:rPr>
                      <w:color w:val="auto"/>
                      <w:sz w:val="21"/>
                      <w:szCs w:val="21"/>
                    </w:rPr>
                    <w:t>SS</w:t>
                  </w:r>
                </w:p>
              </w:tc>
              <w:tc>
                <w:tcPr>
                  <w:tcW w:w="1832" w:type="pct"/>
                  <w:noWrap/>
                  <w:vAlign w:val="center"/>
                </w:tcPr>
                <w:p>
                  <w:pPr>
                    <w:widowControl/>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0.022</w:t>
                  </w:r>
                </w:p>
              </w:tc>
              <w:tc>
                <w:tcPr>
                  <w:tcW w:w="1958" w:type="pct"/>
                  <w:noWrap/>
                  <w:vAlign w:val="center"/>
                </w:tcPr>
                <w:p>
                  <w:pPr>
                    <w:widowControl/>
                    <w:jc w:val="center"/>
                    <w:textAlignment w:val="center"/>
                    <w:rPr>
                      <w:color w:val="auto"/>
                      <w:kern w:val="0"/>
                      <w:sz w:val="21"/>
                      <w:szCs w:val="21"/>
                      <w:lang w:bidi="ar"/>
                    </w:rPr>
                  </w:pPr>
                  <w:r>
                    <w:rPr>
                      <w:rFonts w:hint="eastAsia"/>
                      <w:color w:val="auto"/>
                      <w:kern w:val="0"/>
                      <w:sz w:val="21"/>
                      <w:szCs w:val="21"/>
                      <w:lang w:bidi="ar"/>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208" w:type="pct"/>
                  <w:noWrap/>
                  <w:vAlign w:val="center"/>
                </w:tcPr>
                <w:p>
                  <w:pPr>
                    <w:widowControl/>
                    <w:jc w:val="center"/>
                    <w:textAlignment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1832" w:type="pct"/>
                  <w:noWrap/>
                  <w:vAlign w:val="center"/>
                </w:tcPr>
                <w:p>
                  <w:pPr>
                    <w:widowControl/>
                    <w:jc w:val="center"/>
                    <w:textAlignment w:val="center"/>
                    <w:rPr>
                      <w:rFonts w:hint="default" w:eastAsia="宋体"/>
                      <w:color w:val="auto"/>
                      <w:sz w:val="21"/>
                      <w:szCs w:val="21"/>
                      <w:lang w:val="en-US" w:eastAsia="zh-CN"/>
                    </w:rPr>
                  </w:pPr>
                  <w:r>
                    <w:rPr>
                      <w:rFonts w:hint="eastAsia"/>
                      <w:color w:val="auto"/>
                      <w:sz w:val="21"/>
                      <w:szCs w:val="21"/>
                      <w:lang w:val="en-US" w:eastAsia="zh-CN"/>
                    </w:rPr>
                    <w:t>0.0032</w:t>
                  </w:r>
                </w:p>
              </w:tc>
              <w:tc>
                <w:tcPr>
                  <w:tcW w:w="1958" w:type="pct"/>
                  <w:noWrap/>
                  <w:vAlign w:val="center"/>
                </w:tcPr>
                <w:p>
                  <w:pPr>
                    <w:widowControl/>
                    <w:jc w:val="center"/>
                    <w:textAlignment w:val="center"/>
                    <w:rPr>
                      <w:color w:val="auto"/>
                      <w:kern w:val="0"/>
                      <w:sz w:val="21"/>
                      <w:szCs w:val="21"/>
                      <w:lang w:bidi="ar"/>
                    </w:rPr>
                  </w:pPr>
                  <w:r>
                    <w:rPr>
                      <w:rFonts w:hint="eastAsia"/>
                      <w:color w:val="auto"/>
                      <w:kern w:val="0"/>
                      <w:sz w:val="21"/>
                      <w:szCs w:val="21"/>
                      <w:lang w:bidi="ar"/>
                    </w:rPr>
                    <w:t>30</w:t>
                  </w:r>
                </w:p>
              </w:tc>
            </w:tr>
          </w:tbl>
          <w:p>
            <w:pPr>
              <w:pStyle w:val="4"/>
              <w:rPr>
                <w:color w:val="auto"/>
              </w:rPr>
            </w:pPr>
            <w:r>
              <w:rPr>
                <w:color w:val="auto"/>
              </w:rPr>
              <w:t>钻井队设生活营地，生活污水排入营地内防渗生活污水收集池，</w:t>
            </w:r>
            <w:r>
              <w:rPr>
                <w:color w:val="auto"/>
              </w:rPr>
              <w:t>定期清运至</w:t>
            </w:r>
            <w:r>
              <w:rPr>
                <w:rFonts w:hint="eastAsia"/>
                <w:color w:val="auto"/>
                <w:lang w:val="en-US" w:eastAsia="zh-CN"/>
              </w:rPr>
              <w:t>五彩湾生产服务区污水处理厂</w:t>
            </w:r>
            <w:r>
              <w:rPr>
                <w:color w:val="auto"/>
              </w:rPr>
              <w:t>处理</w:t>
            </w:r>
            <w:r>
              <w:rPr>
                <w:color w:val="auto"/>
              </w:rPr>
              <w:t>。</w:t>
            </w:r>
          </w:p>
          <w:p>
            <w:pPr>
              <w:pStyle w:val="31"/>
              <w:ind w:firstLine="480"/>
              <w:rPr>
                <w:rFonts w:cs="Times New Roman"/>
                <w:color w:val="auto"/>
                <w:szCs w:val="24"/>
              </w:rPr>
            </w:pPr>
            <w:r>
              <w:rPr>
                <w:rFonts w:cs="Times New Roman"/>
                <w:color w:val="auto"/>
                <w:szCs w:val="24"/>
              </w:rPr>
              <w:t>本项目施工期各类废水污染物统计情况见表4-</w:t>
            </w:r>
            <w:r>
              <w:rPr>
                <w:rFonts w:hint="eastAsia" w:cs="Times New Roman"/>
                <w:color w:val="auto"/>
                <w:szCs w:val="24"/>
              </w:rPr>
              <w:t>7</w:t>
            </w:r>
            <w:r>
              <w:rPr>
                <w:rFonts w:cs="Times New Roman"/>
                <w:color w:val="auto"/>
                <w:szCs w:val="24"/>
              </w:rPr>
              <w:t>。本项目废水合规处置，不会对</w:t>
            </w:r>
          </w:p>
          <w:p>
            <w:pPr>
              <w:pStyle w:val="31"/>
              <w:ind w:left="0" w:leftChars="0" w:firstLine="0" w:firstLineChars="0"/>
              <w:jc w:val="both"/>
              <w:rPr>
                <w:rFonts w:cs="Times New Roman"/>
                <w:color w:val="auto"/>
                <w:szCs w:val="24"/>
              </w:rPr>
            </w:pPr>
            <w:r>
              <w:rPr>
                <w:rFonts w:cs="Times New Roman"/>
                <w:color w:val="auto"/>
                <w:szCs w:val="24"/>
              </w:rPr>
              <w:t>区域水环境产生不利影响。</w:t>
            </w:r>
          </w:p>
          <w:p>
            <w:pPr>
              <w:pStyle w:val="32"/>
              <w:rPr>
                <w:color w:val="auto"/>
                <w:sz w:val="21"/>
                <w:szCs w:val="21"/>
              </w:rPr>
            </w:pPr>
            <w:bookmarkStart w:id="69" w:name="_Ref490401896"/>
            <w:r>
              <w:rPr>
                <w:color w:val="auto"/>
                <w:sz w:val="21"/>
                <w:szCs w:val="21"/>
              </w:rPr>
              <w:t>表</w:t>
            </w:r>
            <w:bookmarkEnd w:id="69"/>
            <w:r>
              <w:rPr>
                <w:color w:val="auto"/>
                <w:sz w:val="21"/>
                <w:szCs w:val="21"/>
              </w:rPr>
              <w:t>4-</w:t>
            </w:r>
            <w:r>
              <w:rPr>
                <w:rFonts w:hint="eastAsia"/>
                <w:color w:val="auto"/>
                <w:sz w:val="21"/>
                <w:szCs w:val="21"/>
              </w:rPr>
              <w:t xml:space="preserve">7  </w:t>
            </w:r>
            <w:r>
              <w:rPr>
                <w:color w:val="auto"/>
                <w:sz w:val="21"/>
                <w:szCs w:val="21"/>
              </w:rPr>
              <w:t>项目</w:t>
            </w:r>
            <w:r>
              <w:rPr>
                <w:color w:val="auto"/>
                <w:spacing w:val="4"/>
                <w:sz w:val="21"/>
                <w:szCs w:val="21"/>
              </w:rPr>
              <w:t>废水污染物产生量及去向</w:t>
            </w:r>
          </w:p>
          <w:tbl>
            <w:tblPr>
              <w:tblStyle w:val="17"/>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256"/>
              <w:gridCol w:w="1267"/>
              <w:gridCol w:w="49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blHeader/>
                <w:jc w:val="center"/>
              </w:trPr>
              <w:tc>
                <w:tcPr>
                  <w:tcW w:w="391" w:type="pct"/>
                  <w:vAlign w:val="center"/>
                </w:tcPr>
                <w:p>
                  <w:pPr>
                    <w:pStyle w:val="33"/>
                    <w:spacing w:line="240" w:lineRule="auto"/>
                    <w:rPr>
                      <w:b w:val="0"/>
                      <w:bCs/>
                      <w:color w:val="auto"/>
                      <w:sz w:val="21"/>
                      <w:szCs w:val="21"/>
                    </w:rPr>
                  </w:pPr>
                  <w:r>
                    <w:rPr>
                      <w:b w:val="0"/>
                      <w:bCs/>
                      <w:color w:val="auto"/>
                      <w:sz w:val="21"/>
                      <w:szCs w:val="21"/>
                    </w:rPr>
                    <w:t>序号</w:t>
                  </w:r>
                </w:p>
              </w:tc>
              <w:tc>
                <w:tcPr>
                  <w:tcW w:w="771" w:type="pct"/>
                  <w:vAlign w:val="center"/>
                </w:tcPr>
                <w:p>
                  <w:pPr>
                    <w:pStyle w:val="33"/>
                    <w:spacing w:line="240" w:lineRule="auto"/>
                    <w:rPr>
                      <w:b w:val="0"/>
                      <w:bCs/>
                      <w:color w:val="auto"/>
                      <w:sz w:val="21"/>
                      <w:szCs w:val="21"/>
                    </w:rPr>
                  </w:pPr>
                  <w:r>
                    <w:rPr>
                      <w:b w:val="0"/>
                      <w:bCs/>
                      <w:color w:val="auto"/>
                      <w:sz w:val="21"/>
                      <w:szCs w:val="21"/>
                    </w:rPr>
                    <w:t>污染源</w:t>
                  </w:r>
                </w:p>
              </w:tc>
              <w:tc>
                <w:tcPr>
                  <w:tcW w:w="778" w:type="pct"/>
                  <w:vAlign w:val="center"/>
                </w:tcPr>
                <w:p>
                  <w:pPr>
                    <w:pStyle w:val="33"/>
                    <w:spacing w:line="240" w:lineRule="auto"/>
                    <w:rPr>
                      <w:b w:val="0"/>
                      <w:bCs/>
                      <w:color w:val="auto"/>
                      <w:sz w:val="21"/>
                      <w:szCs w:val="21"/>
                    </w:rPr>
                  </w:pPr>
                  <w:r>
                    <w:rPr>
                      <w:b w:val="0"/>
                      <w:bCs/>
                      <w:color w:val="auto"/>
                      <w:sz w:val="21"/>
                      <w:szCs w:val="21"/>
                    </w:rPr>
                    <w:t>产生量</w:t>
                  </w:r>
                </w:p>
              </w:tc>
              <w:tc>
                <w:tcPr>
                  <w:tcW w:w="3058" w:type="pct"/>
                  <w:vAlign w:val="center"/>
                </w:tcPr>
                <w:p>
                  <w:pPr>
                    <w:pStyle w:val="33"/>
                    <w:spacing w:line="240" w:lineRule="auto"/>
                    <w:rPr>
                      <w:b w:val="0"/>
                      <w:bCs/>
                      <w:color w:val="auto"/>
                      <w:sz w:val="21"/>
                      <w:szCs w:val="21"/>
                    </w:rPr>
                  </w:pPr>
                  <w:r>
                    <w:rPr>
                      <w:b w:val="0"/>
                      <w:bCs/>
                      <w:color w:val="auto"/>
                      <w:sz w:val="21"/>
                      <w:szCs w:val="21"/>
                    </w:rPr>
                    <w:t>处置去向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391" w:type="pct"/>
                  <w:vAlign w:val="center"/>
                </w:tcPr>
                <w:p>
                  <w:pPr>
                    <w:pStyle w:val="33"/>
                    <w:spacing w:line="240" w:lineRule="auto"/>
                    <w:rPr>
                      <w:color w:val="auto"/>
                      <w:sz w:val="21"/>
                      <w:szCs w:val="21"/>
                    </w:rPr>
                  </w:pPr>
                  <w:r>
                    <w:rPr>
                      <w:color w:val="auto"/>
                      <w:sz w:val="21"/>
                      <w:szCs w:val="21"/>
                    </w:rPr>
                    <w:t>1</w:t>
                  </w:r>
                </w:p>
              </w:tc>
              <w:tc>
                <w:tcPr>
                  <w:tcW w:w="771" w:type="pct"/>
                  <w:vAlign w:val="center"/>
                </w:tcPr>
                <w:p>
                  <w:pPr>
                    <w:pStyle w:val="33"/>
                    <w:spacing w:line="240" w:lineRule="auto"/>
                    <w:rPr>
                      <w:color w:val="auto"/>
                      <w:sz w:val="21"/>
                      <w:szCs w:val="21"/>
                    </w:rPr>
                  </w:pPr>
                  <w:r>
                    <w:rPr>
                      <w:color w:val="auto"/>
                      <w:sz w:val="21"/>
                      <w:szCs w:val="21"/>
                    </w:rPr>
                    <w:t>洗井废水</w:t>
                  </w:r>
                </w:p>
              </w:tc>
              <w:tc>
                <w:tcPr>
                  <w:tcW w:w="778" w:type="pct"/>
                  <w:vAlign w:val="center"/>
                </w:tcPr>
                <w:p>
                  <w:pPr>
                    <w:pStyle w:val="33"/>
                    <w:spacing w:line="240" w:lineRule="auto"/>
                    <w:rPr>
                      <w:color w:val="auto"/>
                      <w:sz w:val="21"/>
                      <w:szCs w:val="21"/>
                    </w:rPr>
                  </w:pPr>
                  <w:r>
                    <w:rPr>
                      <w:rFonts w:hint="eastAsia"/>
                      <w:color w:val="auto"/>
                      <w:kern w:val="2"/>
                      <w:sz w:val="21"/>
                      <w:szCs w:val="21"/>
                      <w:lang w:val="en-US" w:eastAsia="zh-CN" w:bidi="ar"/>
                    </w:rPr>
                    <w:t>27.13</w:t>
                  </w:r>
                  <w:r>
                    <w:rPr>
                      <w:color w:val="auto"/>
                      <w:sz w:val="21"/>
                      <w:szCs w:val="21"/>
                    </w:rPr>
                    <w:t>m</w:t>
                  </w:r>
                  <w:r>
                    <w:rPr>
                      <w:color w:val="auto"/>
                      <w:sz w:val="21"/>
                      <w:szCs w:val="21"/>
                      <w:vertAlign w:val="superscript"/>
                    </w:rPr>
                    <w:t>3</w:t>
                  </w:r>
                </w:p>
              </w:tc>
              <w:tc>
                <w:tcPr>
                  <w:tcW w:w="3058" w:type="pct"/>
                  <w:vAlign w:val="center"/>
                </w:tcPr>
                <w:p>
                  <w:pPr>
                    <w:pStyle w:val="4"/>
                    <w:spacing w:line="240" w:lineRule="auto"/>
                    <w:ind w:left="0" w:leftChars="0" w:firstLine="0" w:firstLineChars="0"/>
                    <w:rPr>
                      <w:rFonts w:hint="eastAsia" w:ascii="Times New Roman" w:hAnsi="Times New Roman" w:eastAsia="宋体"/>
                      <w:color w:val="auto"/>
                      <w:kern w:val="0"/>
                      <w:sz w:val="21"/>
                      <w:szCs w:val="21"/>
                      <w:highlight w:val="yellow"/>
                      <w:lang w:eastAsia="zh-CN"/>
                    </w:rPr>
                  </w:pPr>
                  <w:r>
                    <w:rPr>
                      <w:rFonts w:hint="default" w:ascii="Times New Roman" w:hAnsi="Times New Roman" w:cs="Times New Roman"/>
                      <w:color w:val="auto"/>
                      <w:sz w:val="21"/>
                      <w:szCs w:val="21"/>
                    </w:rPr>
                    <w:t>井下作业过程中，作业单位自带回收罐回收作业废水，拉运至</w:t>
                  </w:r>
                  <w:r>
                    <w:rPr>
                      <w:rFonts w:hint="default" w:ascii="Times New Roman" w:hAnsi="Times New Roman" w:cs="Times New Roman"/>
                      <w:color w:val="auto"/>
                      <w:sz w:val="21"/>
                      <w:szCs w:val="21"/>
                      <w:lang w:eastAsia="zh-CN"/>
                    </w:rPr>
                    <w:t>吉祥联合站</w:t>
                  </w:r>
                  <w:r>
                    <w:rPr>
                      <w:rFonts w:hint="default" w:ascii="Times New Roman" w:hAnsi="Times New Roman" w:cs="Times New Roman"/>
                      <w:color w:val="auto"/>
                      <w:sz w:val="21"/>
                      <w:szCs w:val="21"/>
                    </w:rPr>
                    <w:t>污水处理系统处理后回注油藏</w:t>
                  </w:r>
                  <w:r>
                    <w:rPr>
                      <w:rFonts w:hint="eastAsia" w:cs="Times New Roman"/>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391" w:type="pct"/>
                  <w:vAlign w:val="center"/>
                </w:tcPr>
                <w:p>
                  <w:pPr>
                    <w:pStyle w:val="33"/>
                    <w:spacing w:line="240" w:lineRule="auto"/>
                    <w:rPr>
                      <w:rFonts w:hint="eastAsia" w:eastAsia="宋体"/>
                      <w:color w:val="auto"/>
                      <w:sz w:val="21"/>
                      <w:szCs w:val="21"/>
                      <w:lang w:eastAsia="zh-CN"/>
                    </w:rPr>
                  </w:pPr>
                  <w:r>
                    <w:rPr>
                      <w:rFonts w:hint="eastAsia"/>
                      <w:color w:val="auto"/>
                      <w:sz w:val="21"/>
                      <w:szCs w:val="21"/>
                      <w:lang w:val="en-US" w:eastAsia="zh-CN"/>
                    </w:rPr>
                    <w:t>2</w:t>
                  </w:r>
                </w:p>
              </w:tc>
              <w:tc>
                <w:tcPr>
                  <w:tcW w:w="771" w:type="pct"/>
                  <w:vAlign w:val="center"/>
                </w:tcPr>
                <w:p>
                  <w:pPr>
                    <w:pStyle w:val="33"/>
                    <w:spacing w:line="240" w:lineRule="auto"/>
                    <w:rPr>
                      <w:color w:val="auto"/>
                      <w:sz w:val="21"/>
                      <w:szCs w:val="21"/>
                    </w:rPr>
                  </w:pPr>
                  <w:r>
                    <w:rPr>
                      <w:color w:val="auto"/>
                      <w:sz w:val="21"/>
                      <w:szCs w:val="21"/>
                    </w:rPr>
                    <w:t>生活污水</w:t>
                  </w:r>
                </w:p>
              </w:tc>
              <w:tc>
                <w:tcPr>
                  <w:tcW w:w="778" w:type="pct"/>
                  <w:vAlign w:val="center"/>
                </w:tcPr>
                <w:p>
                  <w:pPr>
                    <w:pStyle w:val="33"/>
                    <w:spacing w:line="240" w:lineRule="auto"/>
                    <w:rPr>
                      <w:color w:val="auto"/>
                      <w:sz w:val="21"/>
                      <w:szCs w:val="21"/>
                    </w:rPr>
                  </w:pPr>
                  <w:r>
                    <w:rPr>
                      <w:rFonts w:hint="eastAsia"/>
                      <w:color w:val="auto"/>
                      <w:sz w:val="21"/>
                      <w:szCs w:val="21"/>
                      <w:lang w:val="en-US" w:eastAsia="zh-CN"/>
                    </w:rPr>
                    <w:t>107.52</w:t>
                  </w:r>
                  <w:r>
                    <w:rPr>
                      <w:color w:val="auto"/>
                      <w:sz w:val="21"/>
                      <w:szCs w:val="21"/>
                    </w:rPr>
                    <w:t>m</w:t>
                  </w:r>
                  <w:r>
                    <w:rPr>
                      <w:color w:val="auto"/>
                      <w:sz w:val="21"/>
                      <w:szCs w:val="21"/>
                      <w:vertAlign w:val="superscript"/>
                    </w:rPr>
                    <w:t>3</w:t>
                  </w:r>
                </w:p>
              </w:tc>
              <w:tc>
                <w:tcPr>
                  <w:tcW w:w="3058" w:type="pct"/>
                  <w:vAlign w:val="center"/>
                </w:tcPr>
                <w:p>
                  <w:pPr>
                    <w:pStyle w:val="4"/>
                    <w:spacing w:line="240" w:lineRule="auto"/>
                    <w:ind w:left="0" w:leftChars="0" w:firstLine="0" w:firstLineChars="0"/>
                    <w:rPr>
                      <w:rFonts w:hint="eastAsia" w:ascii="Times New Roman" w:hAnsi="Times New Roman" w:eastAsia="宋体"/>
                      <w:color w:val="auto"/>
                      <w:sz w:val="21"/>
                      <w:szCs w:val="21"/>
                      <w:lang w:val="en-US" w:eastAsia="zh-CN"/>
                    </w:rPr>
                  </w:pPr>
                  <w:r>
                    <w:rPr>
                      <w:rFonts w:hint="default" w:ascii="Times New Roman" w:hAnsi="Times New Roman" w:cs="Times New Roman"/>
                      <w:color w:val="auto"/>
                      <w:sz w:val="21"/>
                    </w:rPr>
                    <w:t>生活污水排入井场防渗收集池，定期由吸污车拉运至</w:t>
                  </w:r>
                  <w:r>
                    <w:rPr>
                      <w:rFonts w:hint="eastAsia" w:cs="Times New Roman"/>
                      <w:color w:val="auto"/>
                      <w:sz w:val="21"/>
                      <w:lang w:eastAsia="zh-CN"/>
                    </w:rPr>
                    <w:t>五彩湾生产服务区污水处理厂</w:t>
                  </w:r>
                  <w:r>
                    <w:rPr>
                      <w:rFonts w:hint="default" w:ascii="Times New Roman" w:hAnsi="Times New Roman" w:cs="Times New Roman"/>
                      <w:color w:val="auto"/>
                      <w:sz w:val="21"/>
                    </w:rPr>
                    <w:t>处理</w:t>
                  </w:r>
                  <w:r>
                    <w:rPr>
                      <w:rFonts w:hint="eastAsia" w:cs="Times New Roman"/>
                      <w:color w:val="auto"/>
                      <w:sz w:val="21"/>
                      <w:lang w:eastAsia="zh-CN"/>
                    </w:rPr>
                    <w:t>。</w:t>
                  </w:r>
                </w:p>
              </w:tc>
            </w:tr>
          </w:tbl>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 事故状态下水环境影响分析</w:t>
            </w:r>
          </w:p>
          <w:p>
            <w:pPr>
              <w:pStyle w:val="4"/>
              <w:rPr>
                <w:color w:val="auto"/>
              </w:rPr>
            </w:pPr>
            <w:r>
              <w:rPr>
                <w:color w:val="auto"/>
              </w:rPr>
              <w:t>（1）井漏事故的泥浆对地下水的影响</w:t>
            </w:r>
          </w:p>
          <w:p>
            <w:pPr>
              <w:pStyle w:val="4"/>
              <w:rPr>
                <w:color w:val="auto"/>
              </w:rPr>
            </w:pPr>
            <w:r>
              <w:rPr>
                <w:color w:val="auto"/>
              </w:rPr>
              <w:t>井漏事故对地下水的污染是钻井泥浆漏失于地下水含水层中，由于其含Ca、Na等离子，且pH、盐分较多，易造成地下含水层水质污染。</w:t>
            </w:r>
          </w:p>
          <w:p>
            <w:pPr>
              <w:pStyle w:val="4"/>
              <w:rPr>
                <w:color w:val="auto"/>
              </w:rPr>
            </w:pPr>
            <w:r>
              <w:rPr>
                <w:color w:val="auto"/>
              </w:rPr>
              <w:t>本项目采用下套管注水泥的方式进行固井，可对潜水和承压水所在的地层进行固封。在固井合格的前提下，可以有效隔离含水层与井内泥浆的交换，有效保护地下水层。</w:t>
            </w:r>
          </w:p>
          <w:p>
            <w:pPr>
              <w:pStyle w:val="4"/>
              <w:rPr>
                <w:color w:val="auto"/>
              </w:rPr>
            </w:pPr>
            <w:r>
              <w:rPr>
                <w:color w:val="auto"/>
              </w:rPr>
              <w:t>因此，推广使用清洁无害的泥浆，严格要求套管下入深度，可以有效控制钻井液在含水层中的漏失，减轻对地下水环境的影响。</w:t>
            </w:r>
          </w:p>
          <w:p>
            <w:pPr>
              <w:pStyle w:val="4"/>
              <w:rPr>
                <w:color w:val="auto"/>
              </w:rPr>
            </w:pPr>
            <w:r>
              <w:rPr>
                <w:color w:val="auto"/>
              </w:rPr>
              <w:t xml:space="preserve">（2）油水窜层对地下水的污染影响 </w:t>
            </w:r>
          </w:p>
          <w:p>
            <w:pPr>
              <w:pStyle w:val="4"/>
              <w:rPr>
                <w:color w:val="auto"/>
              </w:rPr>
            </w:pPr>
            <w:r>
              <w:rPr>
                <w:color w:val="auto"/>
              </w:rPr>
              <w:t>钻井完井后试油过程中原油窜层污染的主要原因是：</w:t>
            </w:r>
            <w:r>
              <w:rPr>
                <w:rFonts w:hint="eastAsia" w:ascii="宋体" w:hAnsi="宋体" w:cs="宋体"/>
                <w:color w:val="auto"/>
              </w:rPr>
              <w:t>①</w:t>
            </w:r>
            <w:r>
              <w:rPr>
                <w:color w:val="auto"/>
              </w:rPr>
              <w:t>下入的表层套管未封住含水层；</w:t>
            </w:r>
            <w:r>
              <w:rPr>
                <w:rFonts w:hint="eastAsia" w:ascii="宋体" w:hAnsi="宋体" w:cs="宋体"/>
                <w:color w:val="auto"/>
              </w:rPr>
              <w:t>②</w:t>
            </w:r>
            <w:r>
              <w:rPr>
                <w:color w:val="auto"/>
              </w:rPr>
              <w:t>固井质量差；</w:t>
            </w:r>
            <w:r>
              <w:rPr>
                <w:rFonts w:hint="eastAsia" w:ascii="宋体" w:hAnsi="宋体" w:cs="宋体"/>
                <w:color w:val="auto"/>
              </w:rPr>
              <w:t>③</w:t>
            </w:r>
            <w:r>
              <w:rPr>
                <w:color w:val="auto"/>
              </w:rPr>
              <w:t>工艺措施不合理或未实施。因此，为预防污染的发生和污染源的形成，表层套管必须严格封闭含水层，固井质量应符合环保要求。</w:t>
            </w:r>
          </w:p>
          <w:p>
            <w:pPr>
              <w:pStyle w:val="4"/>
              <w:rPr>
                <w:color w:val="auto"/>
              </w:rPr>
            </w:pPr>
            <w:r>
              <w:rPr>
                <w:color w:val="auto"/>
              </w:rPr>
              <w:t xml:space="preserve">（3）井喷事故对地下水的污染影响 </w:t>
            </w:r>
          </w:p>
          <w:p>
            <w:pPr>
              <w:pStyle w:val="4"/>
              <w:rPr>
                <w:color w:val="auto"/>
              </w:rPr>
            </w:pPr>
            <w:r>
              <w:rPr>
                <w:color w:val="auto"/>
              </w:rPr>
              <w:t>井喷事故一旦发生，大量的油气喷出井口，散落于井场周围，除造成重大经济损失外，还会造成严重的环境污染。根据测算，井喷发生后，一般需要1-2d才能得以控制。据类比资料显示，井喷污染范围在半径300m左右时，井喷持续时间2d，井喷范围内土壤表层可见有蜡状的原油喷散物，井喷的影响范围及影响程度较大。但从事故井区土壤剖面分析，井喷事故后石油类污染物主要聚集在土壤剖面1m以内，石油类污染物很难下渗到2m以下，井喷事故对环境的影响主要表现为对土壤的影响</w:t>
            </w:r>
            <w:r>
              <w:rPr>
                <w:rFonts w:hint="eastAsia"/>
                <w:color w:val="auto"/>
              </w:rPr>
              <w:t>。本项目所在区域地下水埋深约3</w:t>
            </w:r>
            <w:r>
              <w:rPr>
                <w:color w:val="auto"/>
              </w:rPr>
              <w:t>0m~140m</w:t>
            </w:r>
            <w:r>
              <w:rPr>
                <w:rFonts w:hint="eastAsia"/>
                <w:color w:val="auto"/>
              </w:rPr>
              <w:t>，井喷产生的原油一般不会下渗到含水层中，</w:t>
            </w:r>
            <w:r>
              <w:rPr>
                <w:color w:val="auto"/>
              </w:rPr>
              <w:t>井喷对地下水</w:t>
            </w:r>
            <w:r>
              <w:rPr>
                <w:rFonts w:hint="eastAsia"/>
                <w:color w:val="auto"/>
              </w:rPr>
              <w:t>影响极小</w:t>
            </w:r>
            <w:r>
              <w:rPr>
                <w:color w:val="auto"/>
              </w:rPr>
              <w:t>。</w:t>
            </w:r>
          </w:p>
          <w:bookmarkEnd w:id="57"/>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 施工期噪声影响分析</w:t>
            </w:r>
          </w:p>
          <w:p>
            <w:pPr>
              <w:pStyle w:val="4"/>
              <w:rPr>
                <w:color w:val="auto"/>
              </w:rPr>
            </w:pPr>
            <w:r>
              <w:rPr>
                <w:color w:val="auto"/>
              </w:rPr>
              <w:t>钻井噪声主要来源于钻井设备、泥浆泵、振动筛等连续性噪声，</w:t>
            </w:r>
            <w:r>
              <w:rPr>
                <w:rFonts w:hint="eastAsia"/>
                <w:color w:val="auto"/>
              </w:rPr>
              <w:t>试油期噪声来源于修井机，</w:t>
            </w:r>
            <w:r>
              <w:rPr>
                <w:color w:val="auto"/>
              </w:rPr>
              <w:t>噪声源强在85~100dB(A)。主要噪声源强及特性见表4-</w:t>
            </w:r>
            <w:r>
              <w:rPr>
                <w:rFonts w:hint="eastAsia"/>
                <w:color w:val="auto"/>
                <w:lang w:val="en-US" w:eastAsia="zh-CN"/>
              </w:rPr>
              <w:t>8</w:t>
            </w:r>
            <w:r>
              <w:rPr>
                <w:color w:val="auto"/>
              </w:rPr>
              <w:t>。</w:t>
            </w:r>
          </w:p>
          <w:p>
            <w:pPr>
              <w:pStyle w:val="29"/>
              <w:spacing w:line="240" w:lineRule="auto"/>
              <w:rPr>
                <w:color w:val="auto"/>
              </w:rPr>
            </w:pPr>
            <w:r>
              <w:rPr>
                <w:color w:val="auto"/>
              </w:rPr>
              <w:t>表4-</w:t>
            </w:r>
            <w:r>
              <w:rPr>
                <w:rFonts w:hint="eastAsia"/>
                <w:color w:val="auto"/>
                <w:lang w:val="en-US" w:eastAsia="zh-CN"/>
              </w:rPr>
              <w:t>8</w:t>
            </w:r>
            <w:r>
              <w:rPr>
                <w:color w:val="auto"/>
              </w:rPr>
              <w:t xml:space="preserve">  主要噪声源强特性     </w:t>
            </w:r>
            <w:r>
              <w:rPr>
                <w:rFonts w:hint="eastAsia"/>
                <w:color w:val="auto"/>
                <w:lang w:val="en-US" w:eastAsia="zh-CN"/>
              </w:rPr>
              <w:t xml:space="preserve">    </w:t>
            </w:r>
            <w:r>
              <w:rPr>
                <w:color w:val="auto"/>
              </w:rPr>
              <w:t>单位：dB(A)</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77"/>
              <w:gridCol w:w="502"/>
              <w:gridCol w:w="898"/>
              <w:gridCol w:w="699"/>
              <w:gridCol w:w="898"/>
              <w:gridCol w:w="1483"/>
              <w:gridCol w:w="8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shd w:val="clear" w:color="auto" w:fill="auto"/>
                  <w:noWrap w:val="0"/>
                  <w:vAlign w:val="center"/>
                </w:tcPr>
                <w:p>
                  <w:pPr>
                    <w:pStyle w:val="28"/>
                    <w:ind w:left="-105" w:right="-105"/>
                    <w:rPr>
                      <w:color w:val="auto"/>
                    </w:rPr>
                  </w:pPr>
                  <w:r>
                    <w:rPr>
                      <w:color w:val="auto"/>
                    </w:rPr>
                    <w:t>时段</w:t>
                  </w:r>
                </w:p>
              </w:tc>
              <w:tc>
                <w:tcPr>
                  <w:tcW w:w="1152" w:type="pct"/>
                  <w:shd w:val="clear" w:color="auto" w:fill="auto"/>
                  <w:noWrap w:val="0"/>
                  <w:vAlign w:val="center"/>
                </w:tcPr>
                <w:p>
                  <w:pPr>
                    <w:pStyle w:val="28"/>
                    <w:ind w:left="-105" w:right="-105"/>
                    <w:rPr>
                      <w:color w:val="auto"/>
                    </w:rPr>
                  </w:pPr>
                  <w:r>
                    <w:rPr>
                      <w:color w:val="auto"/>
                    </w:rPr>
                    <w:t>噪声设备</w:t>
                  </w:r>
                </w:p>
              </w:tc>
              <w:tc>
                <w:tcPr>
                  <w:tcW w:w="308" w:type="pct"/>
                  <w:shd w:val="clear" w:color="auto" w:fill="auto"/>
                  <w:noWrap w:val="0"/>
                  <w:vAlign w:val="center"/>
                </w:tcPr>
                <w:p>
                  <w:pPr>
                    <w:pStyle w:val="28"/>
                    <w:ind w:left="-105" w:right="-105"/>
                    <w:rPr>
                      <w:color w:val="auto"/>
                    </w:rPr>
                  </w:pPr>
                  <w:r>
                    <w:rPr>
                      <w:color w:val="auto"/>
                    </w:rPr>
                    <w:t>数量</w:t>
                  </w:r>
                </w:p>
              </w:tc>
              <w:tc>
                <w:tcPr>
                  <w:tcW w:w="551" w:type="pct"/>
                  <w:shd w:val="clear" w:color="auto" w:fill="auto"/>
                  <w:noWrap w:val="0"/>
                  <w:vAlign w:val="center"/>
                </w:tcPr>
                <w:p>
                  <w:pPr>
                    <w:pStyle w:val="28"/>
                    <w:ind w:left="-105" w:right="-105"/>
                    <w:rPr>
                      <w:color w:val="auto"/>
                    </w:rPr>
                  </w:pPr>
                  <w:r>
                    <w:rPr>
                      <w:color w:val="auto"/>
                    </w:rPr>
                    <w:t>单台源强</w:t>
                  </w:r>
                </w:p>
              </w:tc>
              <w:tc>
                <w:tcPr>
                  <w:tcW w:w="429" w:type="pct"/>
                  <w:shd w:val="clear" w:color="auto" w:fill="auto"/>
                  <w:noWrap w:val="0"/>
                  <w:vAlign w:val="center"/>
                </w:tcPr>
                <w:p>
                  <w:pPr>
                    <w:pStyle w:val="28"/>
                    <w:ind w:left="-105" w:right="-105"/>
                    <w:rPr>
                      <w:color w:val="auto"/>
                    </w:rPr>
                  </w:pPr>
                  <w:r>
                    <w:rPr>
                      <w:color w:val="auto"/>
                    </w:rPr>
                    <w:t>距声源</w:t>
                  </w:r>
                </w:p>
              </w:tc>
              <w:tc>
                <w:tcPr>
                  <w:tcW w:w="551" w:type="pct"/>
                  <w:shd w:val="clear" w:color="auto" w:fill="auto"/>
                  <w:noWrap w:val="0"/>
                  <w:vAlign w:val="center"/>
                </w:tcPr>
                <w:p>
                  <w:pPr>
                    <w:pStyle w:val="28"/>
                    <w:ind w:left="-105" w:right="-105"/>
                    <w:rPr>
                      <w:color w:val="auto"/>
                    </w:rPr>
                  </w:pPr>
                  <w:r>
                    <w:rPr>
                      <w:color w:val="auto"/>
                    </w:rPr>
                    <w:t>噪声特性</w:t>
                  </w:r>
                </w:p>
              </w:tc>
              <w:tc>
                <w:tcPr>
                  <w:tcW w:w="910" w:type="pct"/>
                  <w:shd w:val="clear" w:color="auto" w:fill="auto"/>
                  <w:noWrap w:val="0"/>
                  <w:vAlign w:val="center"/>
                </w:tcPr>
                <w:p>
                  <w:pPr>
                    <w:pStyle w:val="28"/>
                    <w:ind w:left="-105" w:right="-105"/>
                    <w:rPr>
                      <w:color w:val="auto"/>
                    </w:rPr>
                  </w:pPr>
                  <w:r>
                    <w:rPr>
                      <w:color w:val="auto"/>
                    </w:rPr>
                    <w:t>排放时间</w:t>
                  </w:r>
                </w:p>
              </w:tc>
              <w:tc>
                <w:tcPr>
                  <w:tcW w:w="551" w:type="pct"/>
                  <w:shd w:val="clear" w:color="auto" w:fill="auto"/>
                  <w:noWrap w:val="0"/>
                  <w:vAlign w:val="center"/>
                </w:tcPr>
                <w:p>
                  <w:pPr>
                    <w:pStyle w:val="28"/>
                    <w:ind w:left="-105" w:right="-105"/>
                    <w:rPr>
                      <w:color w:val="auto"/>
                    </w:rPr>
                  </w:pPr>
                  <w:r>
                    <w:rPr>
                      <w:color w:val="auto"/>
                    </w:rPr>
                    <w:t>声源种类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restart"/>
                  <w:shd w:val="clear" w:color="auto" w:fill="auto"/>
                  <w:noWrap w:val="0"/>
                  <w:vAlign w:val="center"/>
                </w:tcPr>
                <w:p>
                  <w:pPr>
                    <w:pStyle w:val="28"/>
                    <w:ind w:left="-105" w:right="-105"/>
                    <w:rPr>
                      <w:color w:val="auto"/>
                    </w:rPr>
                  </w:pPr>
                  <w:r>
                    <w:rPr>
                      <w:rFonts w:hint="eastAsia"/>
                      <w:color w:val="auto"/>
                    </w:rPr>
                    <w:t>钻井期</w:t>
                  </w:r>
                </w:p>
              </w:tc>
              <w:tc>
                <w:tcPr>
                  <w:tcW w:w="1152" w:type="pct"/>
                  <w:shd w:val="clear" w:color="auto" w:fill="auto"/>
                  <w:noWrap w:val="0"/>
                  <w:vAlign w:val="center"/>
                </w:tcPr>
                <w:p>
                  <w:pPr>
                    <w:pStyle w:val="28"/>
                    <w:ind w:left="-105" w:right="-105"/>
                    <w:rPr>
                      <w:color w:val="auto"/>
                    </w:rPr>
                  </w:pPr>
                  <w:r>
                    <w:rPr>
                      <w:color w:val="auto"/>
                    </w:rPr>
                    <w:t>钻井设备</w:t>
                  </w:r>
                </w:p>
              </w:tc>
              <w:tc>
                <w:tcPr>
                  <w:tcW w:w="308" w:type="pct"/>
                  <w:shd w:val="clear" w:color="auto" w:fill="auto"/>
                  <w:noWrap w:val="0"/>
                  <w:vAlign w:val="center"/>
                </w:tcPr>
                <w:p>
                  <w:pPr>
                    <w:pStyle w:val="28"/>
                    <w:ind w:left="-105" w:right="-105"/>
                    <w:rPr>
                      <w:color w:val="auto"/>
                    </w:rPr>
                  </w:pPr>
                  <w:r>
                    <w:rPr>
                      <w:color w:val="auto"/>
                    </w:rPr>
                    <w:t>1</w:t>
                  </w:r>
                </w:p>
              </w:tc>
              <w:tc>
                <w:tcPr>
                  <w:tcW w:w="551" w:type="pct"/>
                  <w:shd w:val="clear" w:color="auto" w:fill="auto"/>
                  <w:noWrap w:val="0"/>
                  <w:vAlign w:val="center"/>
                </w:tcPr>
                <w:p>
                  <w:pPr>
                    <w:pStyle w:val="28"/>
                    <w:ind w:left="-105" w:right="-105"/>
                    <w:rPr>
                      <w:color w:val="auto"/>
                    </w:rPr>
                  </w:pPr>
                  <w:r>
                    <w:rPr>
                      <w:color w:val="auto"/>
                    </w:rPr>
                    <w:t>90</w:t>
                  </w:r>
                </w:p>
              </w:tc>
              <w:tc>
                <w:tcPr>
                  <w:tcW w:w="429" w:type="pct"/>
                  <w:shd w:val="clear" w:color="auto" w:fill="auto"/>
                  <w:noWrap w:val="0"/>
                  <w:vAlign w:val="center"/>
                </w:tcPr>
                <w:p>
                  <w:pPr>
                    <w:pStyle w:val="28"/>
                    <w:ind w:left="-105" w:right="-105"/>
                    <w:rPr>
                      <w:color w:val="auto"/>
                    </w:rPr>
                  </w:pPr>
                  <w:r>
                    <w:rPr>
                      <w:color w:val="auto"/>
                    </w:rPr>
                    <w:t>1m</w:t>
                  </w:r>
                </w:p>
              </w:tc>
              <w:tc>
                <w:tcPr>
                  <w:tcW w:w="551" w:type="pct"/>
                  <w:shd w:val="clear" w:color="auto" w:fill="auto"/>
                  <w:noWrap w:val="0"/>
                  <w:vAlign w:val="center"/>
                </w:tcPr>
                <w:p>
                  <w:pPr>
                    <w:pStyle w:val="28"/>
                    <w:ind w:left="-105" w:right="-105"/>
                    <w:rPr>
                      <w:color w:val="auto"/>
                    </w:rPr>
                  </w:pPr>
                  <w:r>
                    <w:rPr>
                      <w:color w:val="auto"/>
                    </w:rPr>
                    <w:t>机械</w:t>
                  </w:r>
                </w:p>
              </w:tc>
              <w:tc>
                <w:tcPr>
                  <w:tcW w:w="910" w:type="pct"/>
                  <w:shd w:val="clear" w:color="auto" w:fill="auto"/>
                  <w:noWrap w:val="0"/>
                  <w:vAlign w:val="center"/>
                </w:tcPr>
                <w:p>
                  <w:pPr>
                    <w:pStyle w:val="28"/>
                    <w:ind w:left="-105" w:right="-105"/>
                    <w:rPr>
                      <w:color w:val="auto"/>
                    </w:rPr>
                  </w:pPr>
                  <w:r>
                    <w:rPr>
                      <w:color w:val="auto"/>
                    </w:rPr>
                    <w:t>昼夜连续</w:t>
                  </w:r>
                </w:p>
              </w:tc>
              <w:tc>
                <w:tcPr>
                  <w:tcW w:w="551" w:type="pct"/>
                  <w:shd w:val="clear" w:color="auto" w:fill="auto"/>
                  <w:noWrap w:val="0"/>
                  <w:vAlign w:val="center"/>
                </w:tcPr>
                <w:p>
                  <w:pPr>
                    <w:pStyle w:val="28"/>
                    <w:ind w:left="-105" w:right="-105"/>
                    <w:rPr>
                      <w:color w:val="auto"/>
                    </w:rPr>
                  </w:pPr>
                  <w:r>
                    <w:rPr>
                      <w:color w:val="auto"/>
                    </w:rPr>
                    <w:t>固定声源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shd w:val="clear" w:color="auto" w:fill="auto"/>
                  <w:noWrap w:val="0"/>
                  <w:vAlign w:val="center"/>
                </w:tcPr>
                <w:p>
                  <w:pPr>
                    <w:pStyle w:val="28"/>
                    <w:ind w:left="-105" w:right="-105"/>
                    <w:rPr>
                      <w:color w:val="auto"/>
                    </w:rPr>
                  </w:pPr>
                </w:p>
              </w:tc>
              <w:tc>
                <w:tcPr>
                  <w:tcW w:w="1152" w:type="pct"/>
                  <w:shd w:val="clear" w:color="auto" w:fill="auto"/>
                  <w:noWrap w:val="0"/>
                  <w:vAlign w:val="center"/>
                </w:tcPr>
                <w:p>
                  <w:pPr>
                    <w:pStyle w:val="28"/>
                    <w:ind w:left="-105" w:right="-105"/>
                    <w:rPr>
                      <w:color w:val="auto"/>
                    </w:rPr>
                  </w:pPr>
                  <w:r>
                    <w:rPr>
                      <w:color w:val="auto"/>
                    </w:rPr>
                    <w:t>泥浆泵</w:t>
                  </w:r>
                </w:p>
              </w:tc>
              <w:tc>
                <w:tcPr>
                  <w:tcW w:w="308" w:type="pct"/>
                  <w:shd w:val="clear" w:color="auto" w:fill="auto"/>
                  <w:noWrap w:val="0"/>
                  <w:vAlign w:val="center"/>
                </w:tcPr>
                <w:p>
                  <w:pPr>
                    <w:pStyle w:val="28"/>
                    <w:ind w:left="-105" w:right="-105"/>
                    <w:rPr>
                      <w:color w:val="auto"/>
                    </w:rPr>
                  </w:pPr>
                  <w:r>
                    <w:rPr>
                      <w:color w:val="auto"/>
                    </w:rPr>
                    <w:t>2</w:t>
                  </w:r>
                </w:p>
              </w:tc>
              <w:tc>
                <w:tcPr>
                  <w:tcW w:w="551" w:type="pct"/>
                  <w:shd w:val="clear" w:color="auto" w:fill="auto"/>
                  <w:noWrap w:val="0"/>
                  <w:vAlign w:val="center"/>
                </w:tcPr>
                <w:p>
                  <w:pPr>
                    <w:pStyle w:val="28"/>
                    <w:ind w:left="-105" w:right="-105"/>
                    <w:rPr>
                      <w:color w:val="auto"/>
                    </w:rPr>
                  </w:pPr>
                  <w:r>
                    <w:rPr>
                      <w:color w:val="auto"/>
                    </w:rPr>
                    <w:t>90</w:t>
                  </w:r>
                </w:p>
              </w:tc>
              <w:tc>
                <w:tcPr>
                  <w:tcW w:w="429" w:type="pct"/>
                  <w:shd w:val="clear" w:color="auto" w:fill="auto"/>
                  <w:noWrap w:val="0"/>
                  <w:vAlign w:val="center"/>
                </w:tcPr>
                <w:p>
                  <w:pPr>
                    <w:pStyle w:val="28"/>
                    <w:ind w:left="-105" w:right="-105"/>
                    <w:rPr>
                      <w:color w:val="auto"/>
                    </w:rPr>
                  </w:pPr>
                  <w:r>
                    <w:rPr>
                      <w:color w:val="auto"/>
                    </w:rPr>
                    <w:t>1m</w:t>
                  </w:r>
                </w:p>
              </w:tc>
              <w:tc>
                <w:tcPr>
                  <w:tcW w:w="551" w:type="pct"/>
                  <w:shd w:val="clear" w:color="auto" w:fill="auto"/>
                  <w:noWrap w:val="0"/>
                  <w:vAlign w:val="center"/>
                </w:tcPr>
                <w:p>
                  <w:pPr>
                    <w:pStyle w:val="28"/>
                    <w:ind w:left="-105" w:right="-105"/>
                    <w:rPr>
                      <w:color w:val="auto"/>
                    </w:rPr>
                  </w:pPr>
                  <w:r>
                    <w:rPr>
                      <w:color w:val="auto"/>
                    </w:rPr>
                    <w:t>机械</w:t>
                  </w:r>
                </w:p>
              </w:tc>
              <w:tc>
                <w:tcPr>
                  <w:tcW w:w="910" w:type="pct"/>
                  <w:shd w:val="clear" w:color="auto" w:fill="auto"/>
                  <w:noWrap w:val="0"/>
                  <w:vAlign w:val="center"/>
                </w:tcPr>
                <w:p>
                  <w:pPr>
                    <w:pStyle w:val="28"/>
                    <w:ind w:left="-105" w:right="-105"/>
                    <w:rPr>
                      <w:color w:val="auto"/>
                    </w:rPr>
                  </w:pPr>
                  <w:r>
                    <w:rPr>
                      <w:color w:val="auto"/>
                    </w:rPr>
                    <w:t>昼夜连续</w:t>
                  </w:r>
                </w:p>
              </w:tc>
              <w:tc>
                <w:tcPr>
                  <w:tcW w:w="551" w:type="pct"/>
                  <w:shd w:val="clear" w:color="auto" w:fill="auto"/>
                  <w:noWrap w:val="0"/>
                  <w:vAlign w:val="center"/>
                </w:tcPr>
                <w:p>
                  <w:pPr>
                    <w:pStyle w:val="28"/>
                    <w:ind w:left="-105" w:right="-105"/>
                    <w:rPr>
                      <w:color w:val="auto"/>
                    </w:rPr>
                  </w:pPr>
                  <w:r>
                    <w:rPr>
                      <w:color w:val="auto"/>
                    </w:rPr>
                    <w:t>固定声源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shd w:val="clear" w:color="auto" w:fill="auto"/>
                  <w:noWrap w:val="0"/>
                  <w:vAlign w:val="center"/>
                </w:tcPr>
                <w:p>
                  <w:pPr>
                    <w:pStyle w:val="28"/>
                    <w:ind w:left="-105" w:right="-105"/>
                    <w:rPr>
                      <w:color w:val="auto"/>
                    </w:rPr>
                  </w:pPr>
                </w:p>
              </w:tc>
              <w:tc>
                <w:tcPr>
                  <w:tcW w:w="1152" w:type="pct"/>
                  <w:shd w:val="clear" w:color="auto" w:fill="auto"/>
                  <w:noWrap w:val="0"/>
                  <w:vAlign w:val="center"/>
                </w:tcPr>
                <w:p>
                  <w:pPr>
                    <w:pStyle w:val="28"/>
                    <w:ind w:left="-105" w:right="-105"/>
                    <w:rPr>
                      <w:color w:val="auto"/>
                    </w:rPr>
                  </w:pPr>
                  <w:r>
                    <w:rPr>
                      <w:color w:val="auto"/>
                    </w:rPr>
                    <w:t>振动筛</w:t>
                  </w:r>
                </w:p>
              </w:tc>
              <w:tc>
                <w:tcPr>
                  <w:tcW w:w="308" w:type="pct"/>
                  <w:shd w:val="clear" w:color="auto" w:fill="auto"/>
                  <w:noWrap w:val="0"/>
                  <w:vAlign w:val="center"/>
                </w:tcPr>
                <w:p>
                  <w:pPr>
                    <w:pStyle w:val="28"/>
                    <w:ind w:left="-105" w:right="-105"/>
                    <w:rPr>
                      <w:color w:val="auto"/>
                    </w:rPr>
                  </w:pPr>
                  <w:r>
                    <w:rPr>
                      <w:color w:val="auto"/>
                    </w:rPr>
                    <w:t>1</w:t>
                  </w:r>
                </w:p>
              </w:tc>
              <w:tc>
                <w:tcPr>
                  <w:tcW w:w="551" w:type="pct"/>
                  <w:shd w:val="clear" w:color="auto" w:fill="auto"/>
                  <w:noWrap w:val="0"/>
                  <w:vAlign w:val="center"/>
                </w:tcPr>
                <w:p>
                  <w:pPr>
                    <w:pStyle w:val="28"/>
                    <w:ind w:left="-105" w:right="-105"/>
                    <w:rPr>
                      <w:color w:val="auto"/>
                    </w:rPr>
                  </w:pPr>
                  <w:r>
                    <w:rPr>
                      <w:color w:val="auto"/>
                    </w:rPr>
                    <w:t>85</w:t>
                  </w:r>
                </w:p>
              </w:tc>
              <w:tc>
                <w:tcPr>
                  <w:tcW w:w="429" w:type="pct"/>
                  <w:shd w:val="clear" w:color="auto" w:fill="auto"/>
                  <w:noWrap w:val="0"/>
                  <w:vAlign w:val="center"/>
                </w:tcPr>
                <w:p>
                  <w:pPr>
                    <w:pStyle w:val="28"/>
                    <w:ind w:left="-105" w:right="-105"/>
                    <w:rPr>
                      <w:color w:val="auto"/>
                    </w:rPr>
                  </w:pPr>
                  <w:r>
                    <w:rPr>
                      <w:color w:val="auto"/>
                    </w:rPr>
                    <w:t>1m</w:t>
                  </w:r>
                </w:p>
              </w:tc>
              <w:tc>
                <w:tcPr>
                  <w:tcW w:w="551" w:type="pct"/>
                  <w:shd w:val="clear" w:color="auto" w:fill="auto"/>
                  <w:noWrap w:val="0"/>
                  <w:vAlign w:val="center"/>
                </w:tcPr>
                <w:p>
                  <w:pPr>
                    <w:pStyle w:val="28"/>
                    <w:ind w:left="-105" w:right="-105"/>
                    <w:rPr>
                      <w:color w:val="auto"/>
                    </w:rPr>
                  </w:pPr>
                  <w:r>
                    <w:rPr>
                      <w:color w:val="auto"/>
                    </w:rPr>
                    <w:t>机械</w:t>
                  </w:r>
                </w:p>
              </w:tc>
              <w:tc>
                <w:tcPr>
                  <w:tcW w:w="910" w:type="pct"/>
                  <w:shd w:val="clear" w:color="auto" w:fill="auto"/>
                  <w:noWrap w:val="0"/>
                  <w:vAlign w:val="center"/>
                </w:tcPr>
                <w:p>
                  <w:pPr>
                    <w:pStyle w:val="28"/>
                    <w:ind w:left="-105" w:right="-105"/>
                    <w:rPr>
                      <w:color w:val="auto"/>
                    </w:rPr>
                  </w:pPr>
                  <w:r>
                    <w:rPr>
                      <w:color w:val="auto"/>
                    </w:rPr>
                    <w:t>昼夜连续</w:t>
                  </w:r>
                </w:p>
              </w:tc>
              <w:tc>
                <w:tcPr>
                  <w:tcW w:w="551" w:type="pct"/>
                  <w:shd w:val="clear" w:color="auto" w:fill="auto"/>
                  <w:noWrap w:val="0"/>
                  <w:vAlign w:val="center"/>
                </w:tcPr>
                <w:p>
                  <w:pPr>
                    <w:pStyle w:val="28"/>
                    <w:ind w:left="-105" w:right="-105"/>
                    <w:rPr>
                      <w:color w:val="auto"/>
                    </w:rPr>
                  </w:pPr>
                  <w:r>
                    <w:rPr>
                      <w:color w:val="auto"/>
                    </w:rPr>
                    <w:t>固定声源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restart"/>
                  <w:shd w:val="clear" w:color="auto" w:fill="auto"/>
                  <w:noWrap w:val="0"/>
                  <w:vAlign w:val="center"/>
                </w:tcPr>
                <w:p>
                  <w:pPr>
                    <w:pStyle w:val="28"/>
                    <w:ind w:left="-105" w:right="-105"/>
                    <w:rPr>
                      <w:rFonts w:hint="eastAsia"/>
                      <w:color w:val="auto"/>
                    </w:rPr>
                  </w:pPr>
                  <w:r>
                    <w:rPr>
                      <w:rFonts w:hint="eastAsia"/>
                      <w:color w:val="auto"/>
                    </w:rPr>
                    <w:t>钻井期、试油期</w:t>
                  </w:r>
                </w:p>
              </w:tc>
              <w:tc>
                <w:tcPr>
                  <w:tcW w:w="1152" w:type="pct"/>
                  <w:shd w:val="clear" w:color="auto" w:fill="auto"/>
                  <w:noWrap w:val="0"/>
                  <w:vAlign w:val="center"/>
                </w:tcPr>
                <w:p>
                  <w:pPr>
                    <w:pStyle w:val="28"/>
                    <w:ind w:left="-105" w:right="-105"/>
                    <w:rPr>
                      <w:color w:val="auto"/>
                    </w:rPr>
                  </w:pPr>
                  <w:r>
                    <w:rPr>
                      <w:color w:val="auto"/>
                    </w:rPr>
                    <w:t>柴油发电机</w:t>
                  </w:r>
                </w:p>
              </w:tc>
              <w:tc>
                <w:tcPr>
                  <w:tcW w:w="308" w:type="pct"/>
                  <w:shd w:val="clear" w:color="auto" w:fill="auto"/>
                  <w:noWrap w:val="0"/>
                  <w:vAlign w:val="center"/>
                </w:tcPr>
                <w:p>
                  <w:pPr>
                    <w:pStyle w:val="28"/>
                    <w:ind w:left="-105" w:right="-105"/>
                    <w:rPr>
                      <w:color w:val="auto"/>
                    </w:rPr>
                  </w:pPr>
                  <w:r>
                    <w:rPr>
                      <w:color w:val="auto"/>
                    </w:rPr>
                    <w:t>2</w:t>
                  </w:r>
                </w:p>
              </w:tc>
              <w:tc>
                <w:tcPr>
                  <w:tcW w:w="551" w:type="pct"/>
                  <w:shd w:val="clear" w:color="auto" w:fill="auto"/>
                  <w:noWrap w:val="0"/>
                  <w:vAlign w:val="center"/>
                </w:tcPr>
                <w:p>
                  <w:pPr>
                    <w:pStyle w:val="28"/>
                    <w:ind w:left="-105" w:right="-105"/>
                    <w:rPr>
                      <w:color w:val="auto"/>
                    </w:rPr>
                  </w:pPr>
                  <w:r>
                    <w:rPr>
                      <w:color w:val="auto"/>
                    </w:rPr>
                    <w:t>100</w:t>
                  </w:r>
                </w:p>
              </w:tc>
              <w:tc>
                <w:tcPr>
                  <w:tcW w:w="429" w:type="pct"/>
                  <w:shd w:val="clear" w:color="auto" w:fill="auto"/>
                  <w:noWrap w:val="0"/>
                  <w:vAlign w:val="center"/>
                </w:tcPr>
                <w:p>
                  <w:pPr>
                    <w:pStyle w:val="28"/>
                    <w:ind w:left="-105" w:right="-105"/>
                    <w:rPr>
                      <w:color w:val="auto"/>
                    </w:rPr>
                  </w:pPr>
                  <w:r>
                    <w:rPr>
                      <w:color w:val="auto"/>
                    </w:rPr>
                    <w:t>1m</w:t>
                  </w:r>
                </w:p>
              </w:tc>
              <w:tc>
                <w:tcPr>
                  <w:tcW w:w="551" w:type="pct"/>
                  <w:shd w:val="clear" w:color="auto" w:fill="auto"/>
                  <w:noWrap w:val="0"/>
                  <w:vAlign w:val="center"/>
                </w:tcPr>
                <w:p>
                  <w:pPr>
                    <w:pStyle w:val="28"/>
                    <w:ind w:left="-105" w:right="-105"/>
                    <w:rPr>
                      <w:color w:val="auto"/>
                    </w:rPr>
                  </w:pPr>
                  <w:r>
                    <w:rPr>
                      <w:color w:val="auto"/>
                    </w:rPr>
                    <w:t>机械</w:t>
                  </w:r>
                </w:p>
              </w:tc>
              <w:tc>
                <w:tcPr>
                  <w:tcW w:w="910" w:type="pct"/>
                  <w:shd w:val="clear" w:color="auto" w:fill="auto"/>
                  <w:noWrap w:val="0"/>
                  <w:vAlign w:val="center"/>
                </w:tcPr>
                <w:p>
                  <w:pPr>
                    <w:pStyle w:val="28"/>
                    <w:ind w:left="-105" w:right="-105"/>
                    <w:rPr>
                      <w:color w:val="auto"/>
                    </w:rPr>
                  </w:pPr>
                  <w:r>
                    <w:rPr>
                      <w:color w:val="auto"/>
                    </w:rPr>
                    <w:t>昼夜连续</w:t>
                  </w:r>
                </w:p>
              </w:tc>
              <w:tc>
                <w:tcPr>
                  <w:tcW w:w="551" w:type="pct"/>
                  <w:shd w:val="clear" w:color="auto" w:fill="auto"/>
                  <w:noWrap w:val="0"/>
                  <w:vAlign w:val="center"/>
                </w:tcPr>
                <w:p>
                  <w:pPr>
                    <w:pStyle w:val="28"/>
                    <w:ind w:left="-105" w:right="-105"/>
                    <w:rPr>
                      <w:color w:val="auto"/>
                    </w:rPr>
                  </w:pPr>
                  <w:r>
                    <w:rPr>
                      <w:color w:val="auto"/>
                    </w:rPr>
                    <w:t>固定声源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Merge w:val="continue"/>
                  <w:shd w:val="clear" w:color="auto" w:fill="auto"/>
                  <w:noWrap w:val="0"/>
                  <w:vAlign w:val="center"/>
                </w:tcPr>
                <w:p>
                  <w:pPr>
                    <w:pStyle w:val="28"/>
                    <w:ind w:left="-105" w:right="-105"/>
                    <w:rPr>
                      <w:color w:val="auto"/>
                    </w:rPr>
                  </w:pPr>
                </w:p>
              </w:tc>
              <w:tc>
                <w:tcPr>
                  <w:tcW w:w="1152" w:type="pct"/>
                  <w:shd w:val="clear" w:color="auto" w:fill="auto"/>
                  <w:noWrap w:val="0"/>
                  <w:vAlign w:val="center"/>
                </w:tcPr>
                <w:p>
                  <w:pPr>
                    <w:pStyle w:val="28"/>
                    <w:ind w:left="-105" w:right="-105"/>
                    <w:rPr>
                      <w:color w:val="auto"/>
                    </w:rPr>
                  </w:pPr>
                  <w:r>
                    <w:rPr>
                      <w:color w:val="auto"/>
                    </w:rPr>
                    <w:t>柴油动力机</w:t>
                  </w:r>
                </w:p>
              </w:tc>
              <w:tc>
                <w:tcPr>
                  <w:tcW w:w="308" w:type="pct"/>
                  <w:shd w:val="clear" w:color="auto" w:fill="auto"/>
                  <w:noWrap w:val="0"/>
                  <w:vAlign w:val="center"/>
                </w:tcPr>
                <w:p>
                  <w:pPr>
                    <w:pStyle w:val="28"/>
                    <w:ind w:left="-105" w:right="-105"/>
                    <w:rPr>
                      <w:color w:val="auto"/>
                    </w:rPr>
                  </w:pPr>
                  <w:r>
                    <w:rPr>
                      <w:color w:val="auto"/>
                    </w:rPr>
                    <w:t>3</w:t>
                  </w:r>
                </w:p>
              </w:tc>
              <w:tc>
                <w:tcPr>
                  <w:tcW w:w="551" w:type="pct"/>
                  <w:shd w:val="clear" w:color="auto" w:fill="auto"/>
                  <w:noWrap w:val="0"/>
                  <w:vAlign w:val="center"/>
                </w:tcPr>
                <w:p>
                  <w:pPr>
                    <w:pStyle w:val="28"/>
                    <w:ind w:left="-105" w:right="-105"/>
                    <w:rPr>
                      <w:color w:val="auto"/>
                    </w:rPr>
                  </w:pPr>
                  <w:r>
                    <w:rPr>
                      <w:color w:val="auto"/>
                    </w:rPr>
                    <w:t>95</w:t>
                  </w:r>
                </w:p>
              </w:tc>
              <w:tc>
                <w:tcPr>
                  <w:tcW w:w="429" w:type="pct"/>
                  <w:shd w:val="clear" w:color="auto" w:fill="auto"/>
                  <w:noWrap w:val="0"/>
                  <w:vAlign w:val="center"/>
                </w:tcPr>
                <w:p>
                  <w:pPr>
                    <w:pStyle w:val="28"/>
                    <w:ind w:left="-105" w:right="-105"/>
                    <w:rPr>
                      <w:color w:val="auto"/>
                    </w:rPr>
                  </w:pPr>
                  <w:r>
                    <w:rPr>
                      <w:color w:val="auto"/>
                    </w:rPr>
                    <w:t>1m</w:t>
                  </w:r>
                </w:p>
              </w:tc>
              <w:tc>
                <w:tcPr>
                  <w:tcW w:w="551" w:type="pct"/>
                  <w:shd w:val="clear" w:color="auto" w:fill="auto"/>
                  <w:noWrap w:val="0"/>
                  <w:vAlign w:val="center"/>
                </w:tcPr>
                <w:p>
                  <w:pPr>
                    <w:pStyle w:val="28"/>
                    <w:ind w:left="-105" w:right="-105"/>
                    <w:rPr>
                      <w:color w:val="auto"/>
                    </w:rPr>
                  </w:pPr>
                  <w:r>
                    <w:rPr>
                      <w:color w:val="auto"/>
                    </w:rPr>
                    <w:t>机械</w:t>
                  </w:r>
                </w:p>
              </w:tc>
              <w:tc>
                <w:tcPr>
                  <w:tcW w:w="910" w:type="pct"/>
                  <w:shd w:val="clear" w:color="auto" w:fill="auto"/>
                  <w:noWrap w:val="0"/>
                  <w:vAlign w:val="center"/>
                </w:tcPr>
                <w:p>
                  <w:pPr>
                    <w:pStyle w:val="28"/>
                    <w:ind w:left="-105" w:right="-105"/>
                    <w:rPr>
                      <w:color w:val="auto"/>
                    </w:rPr>
                  </w:pPr>
                  <w:r>
                    <w:rPr>
                      <w:color w:val="auto"/>
                    </w:rPr>
                    <w:t>昼夜连续</w:t>
                  </w:r>
                </w:p>
              </w:tc>
              <w:tc>
                <w:tcPr>
                  <w:tcW w:w="551" w:type="pct"/>
                  <w:shd w:val="clear" w:color="auto" w:fill="auto"/>
                  <w:noWrap w:val="0"/>
                  <w:vAlign w:val="center"/>
                </w:tcPr>
                <w:p>
                  <w:pPr>
                    <w:pStyle w:val="28"/>
                    <w:ind w:left="-105" w:right="-105"/>
                    <w:rPr>
                      <w:color w:val="auto"/>
                    </w:rPr>
                  </w:pPr>
                  <w:r>
                    <w:rPr>
                      <w:color w:val="auto"/>
                    </w:rPr>
                    <w:t>固定声源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shd w:val="clear" w:color="auto" w:fill="auto"/>
                  <w:noWrap w:val="0"/>
                  <w:vAlign w:val="center"/>
                </w:tcPr>
                <w:p>
                  <w:pPr>
                    <w:pStyle w:val="28"/>
                    <w:ind w:left="-105" w:right="-105"/>
                    <w:rPr>
                      <w:color w:val="auto"/>
                    </w:rPr>
                  </w:pPr>
                  <w:r>
                    <w:rPr>
                      <w:rFonts w:hint="eastAsia"/>
                      <w:color w:val="auto"/>
                    </w:rPr>
                    <w:t>试油期</w:t>
                  </w:r>
                </w:p>
              </w:tc>
              <w:tc>
                <w:tcPr>
                  <w:tcW w:w="1152" w:type="pct"/>
                  <w:shd w:val="clear" w:color="auto" w:fill="auto"/>
                  <w:noWrap w:val="0"/>
                  <w:vAlign w:val="center"/>
                </w:tcPr>
                <w:p>
                  <w:pPr>
                    <w:pStyle w:val="28"/>
                    <w:ind w:left="-105" w:right="-105"/>
                    <w:rPr>
                      <w:rFonts w:hint="eastAsia"/>
                      <w:color w:val="auto"/>
                    </w:rPr>
                  </w:pPr>
                  <w:r>
                    <w:rPr>
                      <w:rFonts w:hint="eastAsia"/>
                      <w:color w:val="auto"/>
                    </w:rPr>
                    <w:t>修井机</w:t>
                  </w:r>
                </w:p>
              </w:tc>
              <w:tc>
                <w:tcPr>
                  <w:tcW w:w="308" w:type="pct"/>
                  <w:shd w:val="clear" w:color="auto" w:fill="auto"/>
                  <w:noWrap w:val="0"/>
                  <w:vAlign w:val="center"/>
                </w:tcPr>
                <w:p>
                  <w:pPr>
                    <w:pStyle w:val="28"/>
                    <w:ind w:left="-105" w:right="-105"/>
                    <w:rPr>
                      <w:rFonts w:hint="eastAsia"/>
                      <w:color w:val="auto"/>
                    </w:rPr>
                  </w:pPr>
                  <w:r>
                    <w:rPr>
                      <w:rFonts w:hint="eastAsia"/>
                      <w:color w:val="auto"/>
                    </w:rPr>
                    <w:t>1</w:t>
                  </w:r>
                </w:p>
              </w:tc>
              <w:tc>
                <w:tcPr>
                  <w:tcW w:w="994" w:type="dxa"/>
                  <w:shd w:val="clear" w:color="auto" w:fill="auto"/>
                  <w:noWrap w:val="0"/>
                  <w:vAlign w:val="center"/>
                </w:tcPr>
                <w:p>
                  <w:pPr>
                    <w:pStyle w:val="28"/>
                    <w:ind w:left="-105" w:right="-105"/>
                    <w:rPr>
                      <w:color w:val="auto"/>
                    </w:rPr>
                  </w:pPr>
                  <w:r>
                    <w:rPr>
                      <w:rFonts w:hint="eastAsia"/>
                      <w:color w:val="auto"/>
                    </w:rPr>
                    <w:t>85</w:t>
                  </w:r>
                </w:p>
              </w:tc>
              <w:tc>
                <w:tcPr>
                  <w:tcW w:w="774" w:type="dxa"/>
                  <w:shd w:val="clear" w:color="auto" w:fill="auto"/>
                  <w:noWrap w:val="0"/>
                  <w:vAlign w:val="center"/>
                </w:tcPr>
                <w:p>
                  <w:pPr>
                    <w:pStyle w:val="28"/>
                    <w:ind w:left="-105" w:right="-105"/>
                    <w:rPr>
                      <w:color w:val="auto"/>
                    </w:rPr>
                  </w:pPr>
                  <w:r>
                    <w:rPr>
                      <w:color w:val="auto"/>
                    </w:rPr>
                    <w:t>1m</w:t>
                  </w:r>
                </w:p>
              </w:tc>
              <w:tc>
                <w:tcPr>
                  <w:tcW w:w="994" w:type="dxa"/>
                  <w:shd w:val="clear" w:color="auto" w:fill="auto"/>
                  <w:noWrap w:val="0"/>
                  <w:vAlign w:val="center"/>
                </w:tcPr>
                <w:p>
                  <w:pPr>
                    <w:pStyle w:val="28"/>
                    <w:ind w:left="-105" w:right="-105"/>
                    <w:rPr>
                      <w:color w:val="auto"/>
                    </w:rPr>
                  </w:pPr>
                  <w:r>
                    <w:rPr>
                      <w:color w:val="auto"/>
                    </w:rPr>
                    <w:t>机械</w:t>
                  </w:r>
                </w:p>
              </w:tc>
              <w:tc>
                <w:tcPr>
                  <w:tcW w:w="1643" w:type="dxa"/>
                  <w:shd w:val="clear" w:color="auto" w:fill="auto"/>
                  <w:noWrap w:val="0"/>
                  <w:vAlign w:val="center"/>
                </w:tcPr>
                <w:p>
                  <w:pPr>
                    <w:pStyle w:val="28"/>
                    <w:ind w:left="-105" w:right="-105"/>
                    <w:rPr>
                      <w:color w:val="auto"/>
                    </w:rPr>
                  </w:pPr>
                  <w:r>
                    <w:rPr>
                      <w:color w:val="auto"/>
                    </w:rPr>
                    <w:t>昼夜连续</w:t>
                  </w:r>
                </w:p>
              </w:tc>
              <w:tc>
                <w:tcPr>
                  <w:tcW w:w="995" w:type="dxa"/>
                  <w:shd w:val="clear" w:color="auto" w:fill="auto"/>
                  <w:noWrap w:val="0"/>
                  <w:vAlign w:val="center"/>
                </w:tcPr>
                <w:p>
                  <w:pPr>
                    <w:pStyle w:val="28"/>
                    <w:ind w:left="-105" w:right="-105"/>
                    <w:rPr>
                      <w:color w:val="auto"/>
                    </w:rPr>
                  </w:pPr>
                  <w:r>
                    <w:rPr>
                      <w:color w:val="auto"/>
                    </w:rPr>
                    <w:t>固定声源</w:t>
                  </w:r>
                </w:p>
              </w:tc>
            </w:tr>
          </w:tbl>
          <w:p>
            <w:pPr>
              <w:pStyle w:val="4"/>
              <w:rPr>
                <w:color w:val="auto"/>
              </w:rPr>
            </w:pPr>
            <w:r>
              <w:rPr>
                <w:color w:val="auto"/>
              </w:rPr>
              <w:t>钻井过程中，不同类型施工机械在不同距离处的噪声预测值见表4-</w:t>
            </w:r>
            <w:r>
              <w:rPr>
                <w:rFonts w:hint="eastAsia"/>
                <w:color w:val="auto"/>
                <w:lang w:val="en-US" w:eastAsia="zh-CN"/>
              </w:rPr>
              <w:t>9</w:t>
            </w:r>
            <w:r>
              <w:rPr>
                <w:color w:val="auto"/>
              </w:rPr>
              <w:t>。</w:t>
            </w:r>
          </w:p>
          <w:p>
            <w:pPr>
              <w:pStyle w:val="27"/>
              <w:ind w:firstLine="422"/>
              <w:rPr>
                <w:color w:val="auto"/>
              </w:rPr>
            </w:pPr>
            <w:r>
              <w:rPr>
                <w:color w:val="auto"/>
              </w:rPr>
              <w:t>表4-</w:t>
            </w:r>
            <w:r>
              <w:rPr>
                <w:rFonts w:hint="eastAsia"/>
                <w:color w:val="auto"/>
                <w:lang w:val="en-US" w:eastAsia="zh-CN"/>
              </w:rPr>
              <w:t>9</w:t>
            </w:r>
            <w:r>
              <w:rPr>
                <w:color w:val="auto"/>
              </w:rPr>
              <w:t xml:space="preserve">  各种施工机械在不同距离的噪声预测值    </w:t>
            </w:r>
            <w:r>
              <w:rPr>
                <w:rFonts w:hint="eastAsia"/>
                <w:color w:val="auto"/>
                <w:lang w:val="en-US" w:eastAsia="zh-CN"/>
              </w:rPr>
              <w:t xml:space="preserve">     </w:t>
            </w:r>
            <w:r>
              <w:rPr>
                <w:color w:val="auto"/>
              </w:rPr>
              <w:t>单位：dB（A）</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65"/>
              <w:gridCol w:w="740"/>
              <w:gridCol w:w="391"/>
              <w:gridCol w:w="391"/>
              <w:gridCol w:w="391"/>
              <w:gridCol w:w="391"/>
              <w:gridCol w:w="391"/>
              <w:gridCol w:w="391"/>
              <w:gridCol w:w="391"/>
              <w:gridCol w:w="391"/>
              <w:gridCol w:w="391"/>
              <w:gridCol w:w="488"/>
              <w:gridCol w:w="596"/>
              <w:gridCol w:w="593"/>
              <w:gridCol w:w="5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2" w:type="dxa"/>
                  <w:shd w:val="clear" w:color="auto" w:fill="auto"/>
                  <w:noWrap w:val="0"/>
                  <w:vAlign w:val="center"/>
                </w:tcPr>
                <w:p>
                  <w:pPr>
                    <w:pStyle w:val="12"/>
                    <w:ind w:left="0" w:firstLine="0"/>
                    <w:rPr>
                      <w:color w:val="auto"/>
                    </w:rPr>
                  </w:pPr>
                  <w:r>
                    <w:rPr>
                      <w:color w:val="auto"/>
                    </w:rPr>
                    <w:t>距离（m）</w:t>
                  </w:r>
                </w:p>
              </w:tc>
              <w:tc>
                <w:tcPr>
                  <w:tcW w:w="631" w:type="dxa"/>
                  <w:shd w:val="clear" w:color="auto" w:fill="auto"/>
                  <w:noWrap w:val="0"/>
                  <w:vAlign w:val="center"/>
                </w:tcPr>
                <w:p>
                  <w:pPr>
                    <w:pStyle w:val="12"/>
                    <w:ind w:left="0" w:firstLine="0"/>
                    <w:rPr>
                      <w:color w:val="auto"/>
                    </w:rPr>
                  </w:pPr>
                  <w:r>
                    <w:rPr>
                      <w:color w:val="auto"/>
                    </w:rPr>
                    <w:t>源强</w:t>
                  </w:r>
                </w:p>
              </w:tc>
              <w:tc>
                <w:tcPr>
                  <w:tcW w:w="840" w:type="dxa"/>
                  <w:shd w:val="clear" w:color="auto" w:fill="auto"/>
                  <w:noWrap w:val="0"/>
                  <w:vAlign w:val="center"/>
                </w:tcPr>
                <w:p>
                  <w:pPr>
                    <w:pStyle w:val="12"/>
                    <w:ind w:left="0" w:firstLine="0"/>
                    <w:rPr>
                      <w:color w:val="auto"/>
                    </w:rPr>
                  </w:pPr>
                  <w:r>
                    <w:rPr>
                      <w:color w:val="auto"/>
                    </w:rPr>
                    <w:t>隔声后</w:t>
                  </w:r>
                </w:p>
              </w:tc>
              <w:tc>
                <w:tcPr>
                  <w:tcW w:w="423" w:type="dxa"/>
                  <w:shd w:val="clear" w:color="auto" w:fill="auto"/>
                  <w:noWrap w:val="0"/>
                  <w:vAlign w:val="center"/>
                </w:tcPr>
                <w:p>
                  <w:pPr>
                    <w:pStyle w:val="12"/>
                    <w:ind w:left="0" w:firstLine="0"/>
                    <w:rPr>
                      <w:color w:val="auto"/>
                    </w:rPr>
                  </w:pPr>
                  <w:r>
                    <w:rPr>
                      <w:color w:val="auto"/>
                    </w:rPr>
                    <w:t>5</w:t>
                  </w:r>
                </w:p>
              </w:tc>
              <w:tc>
                <w:tcPr>
                  <w:tcW w:w="423" w:type="dxa"/>
                  <w:shd w:val="clear" w:color="auto" w:fill="auto"/>
                  <w:noWrap w:val="0"/>
                  <w:vAlign w:val="center"/>
                </w:tcPr>
                <w:p>
                  <w:pPr>
                    <w:pStyle w:val="12"/>
                    <w:ind w:left="0" w:firstLine="0"/>
                    <w:rPr>
                      <w:color w:val="auto"/>
                    </w:rPr>
                  </w:pPr>
                  <w:r>
                    <w:rPr>
                      <w:color w:val="auto"/>
                    </w:rPr>
                    <w:t>10</w:t>
                  </w:r>
                </w:p>
              </w:tc>
              <w:tc>
                <w:tcPr>
                  <w:tcW w:w="423" w:type="dxa"/>
                  <w:shd w:val="clear" w:color="auto" w:fill="auto"/>
                  <w:noWrap w:val="0"/>
                  <w:vAlign w:val="center"/>
                </w:tcPr>
                <w:p>
                  <w:pPr>
                    <w:pStyle w:val="12"/>
                    <w:ind w:left="0" w:firstLine="0"/>
                    <w:rPr>
                      <w:color w:val="auto"/>
                    </w:rPr>
                  </w:pPr>
                  <w:r>
                    <w:rPr>
                      <w:color w:val="auto"/>
                    </w:rPr>
                    <w:t>15</w:t>
                  </w:r>
                </w:p>
              </w:tc>
              <w:tc>
                <w:tcPr>
                  <w:tcW w:w="423" w:type="dxa"/>
                  <w:shd w:val="clear" w:color="auto" w:fill="auto"/>
                  <w:noWrap w:val="0"/>
                  <w:vAlign w:val="center"/>
                </w:tcPr>
                <w:p>
                  <w:pPr>
                    <w:pStyle w:val="12"/>
                    <w:ind w:left="0" w:firstLine="0"/>
                    <w:rPr>
                      <w:color w:val="auto"/>
                    </w:rPr>
                  </w:pPr>
                  <w:r>
                    <w:rPr>
                      <w:color w:val="auto"/>
                    </w:rPr>
                    <w:t>20</w:t>
                  </w:r>
                </w:p>
              </w:tc>
              <w:tc>
                <w:tcPr>
                  <w:tcW w:w="423" w:type="dxa"/>
                  <w:shd w:val="clear" w:color="auto" w:fill="auto"/>
                  <w:noWrap w:val="0"/>
                  <w:vAlign w:val="center"/>
                </w:tcPr>
                <w:p>
                  <w:pPr>
                    <w:pStyle w:val="12"/>
                    <w:ind w:left="0" w:firstLine="0"/>
                    <w:rPr>
                      <w:color w:val="auto"/>
                    </w:rPr>
                  </w:pPr>
                  <w:r>
                    <w:rPr>
                      <w:color w:val="auto"/>
                    </w:rPr>
                    <w:t>25</w:t>
                  </w:r>
                </w:p>
              </w:tc>
              <w:tc>
                <w:tcPr>
                  <w:tcW w:w="423" w:type="dxa"/>
                  <w:shd w:val="clear" w:color="auto" w:fill="auto"/>
                  <w:noWrap w:val="0"/>
                  <w:vAlign w:val="center"/>
                </w:tcPr>
                <w:p>
                  <w:pPr>
                    <w:pStyle w:val="12"/>
                    <w:ind w:left="0" w:firstLine="0"/>
                    <w:rPr>
                      <w:color w:val="auto"/>
                    </w:rPr>
                  </w:pPr>
                  <w:r>
                    <w:rPr>
                      <w:color w:val="auto"/>
                    </w:rPr>
                    <w:t>30</w:t>
                  </w:r>
                </w:p>
              </w:tc>
              <w:tc>
                <w:tcPr>
                  <w:tcW w:w="423" w:type="dxa"/>
                  <w:shd w:val="clear" w:color="auto" w:fill="auto"/>
                  <w:noWrap w:val="0"/>
                  <w:vAlign w:val="center"/>
                </w:tcPr>
                <w:p>
                  <w:pPr>
                    <w:pStyle w:val="12"/>
                    <w:ind w:left="0" w:firstLine="0"/>
                    <w:rPr>
                      <w:color w:val="auto"/>
                    </w:rPr>
                  </w:pPr>
                  <w:r>
                    <w:rPr>
                      <w:color w:val="auto"/>
                    </w:rPr>
                    <w:t>40</w:t>
                  </w:r>
                </w:p>
              </w:tc>
              <w:tc>
                <w:tcPr>
                  <w:tcW w:w="423" w:type="dxa"/>
                  <w:shd w:val="clear" w:color="auto" w:fill="auto"/>
                  <w:noWrap w:val="0"/>
                  <w:vAlign w:val="center"/>
                </w:tcPr>
                <w:p>
                  <w:pPr>
                    <w:pStyle w:val="12"/>
                    <w:ind w:left="0" w:firstLine="0"/>
                    <w:rPr>
                      <w:color w:val="auto"/>
                    </w:rPr>
                  </w:pPr>
                  <w:r>
                    <w:rPr>
                      <w:color w:val="auto"/>
                    </w:rPr>
                    <w:t>50</w:t>
                  </w:r>
                </w:p>
              </w:tc>
              <w:tc>
                <w:tcPr>
                  <w:tcW w:w="423" w:type="dxa"/>
                  <w:shd w:val="clear" w:color="auto" w:fill="auto"/>
                  <w:noWrap w:val="0"/>
                  <w:vAlign w:val="center"/>
                </w:tcPr>
                <w:p>
                  <w:pPr>
                    <w:pStyle w:val="12"/>
                    <w:ind w:left="0" w:firstLine="0"/>
                    <w:rPr>
                      <w:color w:val="auto"/>
                    </w:rPr>
                  </w:pPr>
                  <w:r>
                    <w:rPr>
                      <w:color w:val="auto"/>
                    </w:rPr>
                    <w:t>60</w:t>
                  </w:r>
                </w:p>
              </w:tc>
              <w:tc>
                <w:tcPr>
                  <w:tcW w:w="538" w:type="dxa"/>
                  <w:shd w:val="clear" w:color="auto" w:fill="auto"/>
                  <w:noWrap w:val="0"/>
                  <w:vAlign w:val="center"/>
                </w:tcPr>
                <w:p>
                  <w:pPr>
                    <w:pStyle w:val="12"/>
                    <w:ind w:left="0" w:firstLine="0"/>
                    <w:rPr>
                      <w:color w:val="auto"/>
                    </w:rPr>
                  </w:pPr>
                  <w:r>
                    <w:rPr>
                      <w:color w:val="auto"/>
                    </w:rPr>
                    <w:t>80</w:t>
                  </w:r>
                </w:p>
              </w:tc>
              <w:tc>
                <w:tcPr>
                  <w:tcW w:w="667" w:type="dxa"/>
                  <w:shd w:val="clear" w:color="auto" w:fill="auto"/>
                  <w:noWrap w:val="0"/>
                  <w:vAlign w:val="center"/>
                </w:tcPr>
                <w:p>
                  <w:pPr>
                    <w:pStyle w:val="12"/>
                    <w:ind w:left="0" w:firstLine="0"/>
                    <w:rPr>
                      <w:color w:val="auto"/>
                    </w:rPr>
                  </w:pPr>
                  <w:r>
                    <w:rPr>
                      <w:color w:val="auto"/>
                    </w:rPr>
                    <w:t>100</w:t>
                  </w:r>
                </w:p>
              </w:tc>
              <w:tc>
                <w:tcPr>
                  <w:tcW w:w="663" w:type="dxa"/>
                  <w:shd w:val="clear" w:color="auto" w:fill="auto"/>
                  <w:noWrap w:val="0"/>
                  <w:vAlign w:val="center"/>
                </w:tcPr>
                <w:p>
                  <w:pPr>
                    <w:pStyle w:val="12"/>
                    <w:ind w:left="0" w:firstLine="0"/>
                    <w:rPr>
                      <w:color w:val="auto"/>
                    </w:rPr>
                  </w:pPr>
                  <w:r>
                    <w:rPr>
                      <w:color w:val="auto"/>
                    </w:rPr>
                    <w:t>160</w:t>
                  </w:r>
                </w:p>
              </w:tc>
              <w:tc>
                <w:tcPr>
                  <w:tcW w:w="663" w:type="dxa"/>
                  <w:shd w:val="clear" w:color="auto" w:fill="auto"/>
                  <w:noWrap w:val="0"/>
                  <w:vAlign w:val="center"/>
                </w:tcPr>
                <w:p>
                  <w:pPr>
                    <w:pStyle w:val="12"/>
                    <w:ind w:left="0" w:firstLine="0"/>
                    <w:rPr>
                      <w:color w:val="auto"/>
                    </w:rPr>
                  </w:pPr>
                  <w:r>
                    <w:rPr>
                      <w:rFonts w:hint="eastAsia"/>
                      <w:color w:val="auto"/>
                    </w:rPr>
                    <w:t>320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2" w:type="dxa"/>
                  <w:shd w:val="clear" w:color="auto" w:fill="auto"/>
                  <w:noWrap w:val="0"/>
                  <w:vAlign w:val="center"/>
                </w:tcPr>
                <w:p>
                  <w:pPr>
                    <w:pStyle w:val="12"/>
                    <w:ind w:left="0" w:firstLine="0"/>
                    <w:rPr>
                      <w:color w:val="auto"/>
                    </w:rPr>
                  </w:pPr>
                  <w:r>
                    <w:rPr>
                      <w:color w:val="auto"/>
                    </w:rPr>
                    <w:t>钻机</w:t>
                  </w:r>
                </w:p>
              </w:tc>
              <w:tc>
                <w:tcPr>
                  <w:tcW w:w="631" w:type="dxa"/>
                  <w:shd w:val="clear" w:color="auto" w:fill="auto"/>
                  <w:noWrap w:val="0"/>
                  <w:vAlign w:val="center"/>
                </w:tcPr>
                <w:p>
                  <w:pPr>
                    <w:pStyle w:val="12"/>
                    <w:ind w:left="0" w:firstLine="0"/>
                    <w:rPr>
                      <w:color w:val="auto"/>
                    </w:rPr>
                  </w:pPr>
                  <w:r>
                    <w:rPr>
                      <w:color w:val="auto"/>
                    </w:rPr>
                    <w:t>120</w:t>
                  </w:r>
                </w:p>
              </w:tc>
              <w:tc>
                <w:tcPr>
                  <w:tcW w:w="840" w:type="dxa"/>
                  <w:shd w:val="clear" w:color="auto" w:fill="auto"/>
                  <w:noWrap w:val="0"/>
                  <w:vAlign w:val="center"/>
                </w:tcPr>
                <w:p>
                  <w:pPr>
                    <w:pStyle w:val="12"/>
                    <w:ind w:left="0" w:firstLine="0"/>
                    <w:rPr>
                      <w:color w:val="auto"/>
                    </w:rPr>
                  </w:pPr>
                  <w:r>
                    <w:rPr>
                      <w:color w:val="auto"/>
                    </w:rPr>
                    <w:t>105</w:t>
                  </w:r>
                </w:p>
              </w:tc>
              <w:tc>
                <w:tcPr>
                  <w:tcW w:w="423" w:type="dxa"/>
                  <w:shd w:val="clear" w:color="auto" w:fill="auto"/>
                  <w:noWrap w:val="0"/>
                  <w:vAlign w:val="center"/>
                </w:tcPr>
                <w:p>
                  <w:pPr>
                    <w:pStyle w:val="12"/>
                    <w:ind w:left="0" w:firstLine="0"/>
                    <w:rPr>
                      <w:color w:val="auto"/>
                    </w:rPr>
                  </w:pPr>
                  <w:r>
                    <w:rPr>
                      <w:color w:val="auto"/>
                    </w:rPr>
                    <w:t>91</w:t>
                  </w:r>
                </w:p>
              </w:tc>
              <w:tc>
                <w:tcPr>
                  <w:tcW w:w="423" w:type="dxa"/>
                  <w:shd w:val="clear" w:color="auto" w:fill="auto"/>
                  <w:noWrap w:val="0"/>
                  <w:vAlign w:val="center"/>
                </w:tcPr>
                <w:p>
                  <w:pPr>
                    <w:pStyle w:val="12"/>
                    <w:ind w:left="0" w:firstLine="0"/>
                    <w:rPr>
                      <w:color w:val="auto"/>
                    </w:rPr>
                  </w:pPr>
                  <w:r>
                    <w:rPr>
                      <w:color w:val="auto"/>
                    </w:rPr>
                    <w:t>85</w:t>
                  </w:r>
                </w:p>
              </w:tc>
              <w:tc>
                <w:tcPr>
                  <w:tcW w:w="423" w:type="dxa"/>
                  <w:shd w:val="clear" w:color="auto" w:fill="auto"/>
                  <w:noWrap w:val="0"/>
                  <w:vAlign w:val="center"/>
                </w:tcPr>
                <w:p>
                  <w:pPr>
                    <w:pStyle w:val="12"/>
                    <w:ind w:left="0" w:firstLine="0"/>
                    <w:rPr>
                      <w:color w:val="auto"/>
                    </w:rPr>
                  </w:pPr>
                  <w:r>
                    <w:rPr>
                      <w:color w:val="auto"/>
                    </w:rPr>
                    <w:t>81</w:t>
                  </w:r>
                </w:p>
              </w:tc>
              <w:tc>
                <w:tcPr>
                  <w:tcW w:w="423" w:type="dxa"/>
                  <w:shd w:val="clear" w:color="auto" w:fill="auto"/>
                  <w:noWrap w:val="0"/>
                  <w:vAlign w:val="center"/>
                </w:tcPr>
                <w:p>
                  <w:pPr>
                    <w:pStyle w:val="12"/>
                    <w:ind w:left="0" w:firstLine="0"/>
                    <w:rPr>
                      <w:color w:val="auto"/>
                    </w:rPr>
                  </w:pPr>
                  <w:r>
                    <w:rPr>
                      <w:color w:val="auto"/>
                    </w:rPr>
                    <w:t>79</w:t>
                  </w:r>
                </w:p>
              </w:tc>
              <w:tc>
                <w:tcPr>
                  <w:tcW w:w="423" w:type="dxa"/>
                  <w:shd w:val="clear" w:color="auto" w:fill="auto"/>
                  <w:noWrap w:val="0"/>
                  <w:vAlign w:val="center"/>
                </w:tcPr>
                <w:p>
                  <w:pPr>
                    <w:pStyle w:val="12"/>
                    <w:ind w:left="0" w:firstLine="0"/>
                    <w:rPr>
                      <w:color w:val="auto"/>
                    </w:rPr>
                  </w:pPr>
                  <w:r>
                    <w:rPr>
                      <w:color w:val="auto"/>
                    </w:rPr>
                    <w:t>77</w:t>
                  </w:r>
                </w:p>
              </w:tc>
              <w:tc>
                <w:tcPr>
                  <w:tcW w:w="423" w:type="dxa"/>
                  <w:shd w:val="clear" w:color="auto" w:fill="auto"/>
                  <w:noWrap w:val="0"/>
                  <w:vAlign w:val="center"/>
                </w:tcPr>
                <w:p>
                  <w:pPr>
                    <w:pStyle w:val="12"/>
                    <w:ind w:left="0" w:firstLine="0"/>
                    <w:rPr>
                      <w:color w:val="auto"/>
                    </w:rPr>
                  </w:pPr>
                  <w:r>
                    <w:rPr>
                      <w:color w:val="auto"/>
                    </w:rPr>
                    <w:t>75</w:t>
                  </w:r>
                </w:p>
              </w:tc>
              <w:tc>
                <w:tcPr>
                  <w:tcW w:w="423" w:type="dxa"/>
                  <w:shd w:val="clear" w:color="auto" w:fill="auto"/>
                  <w:noWrap w:val="0"/>
                  <w:vAlign w:val="center"/>
                </w:tcPr>
                <w:p>
                  <w:pPr>
                    <w:pStyle w:val="12"/>
                    <w:ind w:left="0" w:firstLine="0"/>
                    <w:rPr>
                      <w:color w:val="auto"/>
                    </w:rPr>
                  </w:pPr>
                  <w:r>
                    <w:rPr>
                      <w:color w:val="auto"/>
                    </w:rPr>
                    <w:t>73</w:t>
                  </w:r>
                </w:p>
              </w:tc>
              <w:tc>
                <w:tcPr>
                  <w:tcW w:w="423" w:type="dxa"/>
                  <w:shd w:val="clear" w:color="auto" w:fill="auto"/>
                  <w:noWrap w:val="0"/>
                  <w:vAlign w:val="center"/>
                </w:tcPr>
                <w:p>
                  <w:pPr>
                    <w:pStyle w:val="12"/>
                    <w:ind w:left="0" w:firstLine="0"/>
                    <w:rPr>
                      <w:color w:val="auto"/>
                    </w:rPr>
                  </w:pPr>
                  <w:r>
                    <w:rPr>
                      <w:color w:val="auto"/>
                    </w:rPr>
                    <w:t>71</w:t>
                  </w:r>
                </w:p>
              </w:tc>
              <w:tc>
                <w:tcPr>
                  <w:tcW w:w="423" w:type="dxa"/>
                  <w:shd w:val="clear" w:color="auto" w:fill="auto"/>
                  <w:noWrap w:val="0"/>
                  <w:vAlign w:val="center"/>
                </w:tcPr>
                <w:p>
                  <w:pPr>
                    <w:pStyle w:val="12"/>
                    <w:ind w:left="0" w:firstLine="0"/>
                    <w:rPr>
                      <w:color w:val="auto"/>
                    </w:rPr>
                  </w:pPr>
                  <w:r>
                    <w:rPr>
                      <w:color w:val="auto"/>
                    </w:rPr>
                    <w:t>69</w:t>
                  </w:r>
                </w:p>
              </w:tc>
              <w:tc>
                <w:tcPr>
                  <w:tcW w:w="538" w:type="dxa"/>
                  <w:shd w:val="clear" w:color="auto" w:fill="auto"/>
                  <w:noWrap w:val="0"/>
                  <w:vAlign w:val="center"/>
                </w:tcPr>
                <w:p>
                  <w:pPr>
                    <w:pStyle w:val="12"/>
                    <w:ind w:left="0" w:firstLine="0"/>
                    <w:rPr>
                      <w:color w:val="auto"/>
                    </w:rPr>
                  </w:pPr>
                  <w:r>
                    <w:rPr>
                      <w:color w:val="auto"/>
                    </w:rPr>
                    <w:t>67</w:t>
                  </w:r>
                </w:p>
              </w:tc>
              <w:tc>
                <w:tcPr>
                  <w:tcW w:w="667" w:type="dxa"/>
                  <w:shd w:val="clear" w:color="auto" w:fill="auto"/>
                  <w:noWrap w:val="0"/>
                  <w:vAlign w:val="center"/>
                </w:tcPr>
                <w:p>
                  <w:pPr>
                    <w:pStyle w:val="12"/>
                    <w:ind w:left="0" w:firstLine="0"/>
                    <w:rPr>
                      <w:color w:val="auto"/>
                    </w:rPr>
                  </w:pPr>
                  <w:r>
                    <w:rPr>
                      <w:color w:val="auto"/>
                    </w:rPr>
                    <w:t>65</w:t>
                  </w:r>
                </w:p>
              </w:tc>
              <w:tc>
                <w:tcPr>
                  <w:tcW w:w="663" w:type="dxa"/>
                  <w:shd w:val="clear" w:color="auto" w:fill="auto"/>
                  <w:noWrap w:val="0"/>
                  <w:vAlign w:val="center"/>
                </w:tcPr>
                <w:p>
                  <w:pPr>
                    <w:pStyle w:val="12"/>
                    <w:ind w:left="0" w:firstLine="0"/>
                    <w:rPr>
                      <w:color w:val="auto"/>
                    </w:rPr>
                  </w:pPr>
                  <w:r>
                    <w:rPr>
                      <w:color w:val="auto"/>
                    </w:rPr>
                    <w:t>61</w:t>
                  </w:r>
                </w:p>
              </w:tc>
              <w:tc>
                <w:tcPr>
                  <w:tcW w:w="663" w:type="dxa"/>
                  <w:shd w:val="clear" w:color="auto" w:fill="auto"/>
                  <w:noWrap w:val="0"/>
                  <w:vAlign w:val="center"/>
                </w:tcPr>
                <w:p>
                  <w:pPr>
                    <w:pStyle w:val="28"/>
                    <w:ind w:left="-105" w:right="-105"/>
                    <w:rPr>
                      <w:color w:val="auto"/>
                    </w:rPr>
                  </w:pPr>
                  <w:r>
                    <w:rPr>
                      <w:color w:val="auto"/>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2" w:type="dxa"/>
                  <w:shd w:val="clear" w:color="auto" w:fill="auto"/>
                  <w:noWrap w:val="0"/>
                  <w:vAlign w:val="center"/>
                </w:tcPr>
                <w:p>
                  <w:pPr>
                    <w:pStyle w:val="12"/>
                    <w:ind w:left="0" w:firstLine="0"/>
                    <w:rPr>
                      <w:color w:val="auto"/>
                    </w:rPr>
                  </w:pPr>
                  <w:r>
                    <w:rPr>
                      <w:color w:val="auto"/>
                    </w:rPr>
                    <w:t>泥浆泵</w:t>
                  </w:r>
                </w:p>
              </w:tc>
              <w:tc>
                <w:tcPr>
                  <w:tcW w:w="631" w:type="dxa"/>
                  <w:shd w:val="clear" w:color="auto" w:fill="auto"/>
                  <w:noWrap w:val="0"/>
                  <w:vAlign w:val="center"/>
                </w:tcPr>
                <w:p>
                  <w:pPr>
                    <w:pStyle w:val="12"/>
                    <w:ind w:left="0" w:firstLine="0"/>
                    <w:rPr>
                      <w:color w:val="auto"/>
                    </w:rPr>
                  </w:pPr>
                  <w:r>
                    <w:rPr>
                      <w:color w:val="auto"/>
                    </w:rPr>
                    <w:t>100</w:t>
                  </w:r>
                </w:p>
              </w:tc>
              <w:tc>
                <w:tcPr>
                  <w:tcW w:w="840" w:type="dxa"/>
                  <w:shd w:val="clear" w:color="auto" w:fill="auto"/>
                  <w:noWrap w:val="0"/>
                  <w:vAlign w:val="center"/>
                </w:tcPr>
                <w:p>
                  <w:pPr>
                    <w:pStyle w:val="12"/>
                    <w:ind w:left="0" w:firstLine="0"/>
                    <w:rPr>
                      <w:color w:val="auto"/>
                    </w:rPr>
                  </w:pPr>
                  <w:r>
                    <w:rPr>
                      <w:color w:val="auto"/>
                    </w:rPr>
                    <w:t>85</w:t>
                  </w:r>
                </w:p>
              </w:tc>
              <w:tc>
                <w:tcPr>
                  <w:tcW w:w="423" w:type="dxa"/>
                  <w:shd w:val="clear" w:color="auto" w:fill="auto"/>
                  <w:noWrap w:val="0"/>
                  <w:vAlign w:val="center"/>
                </w:tcPr>
                <w:p>
                  <w:pPr>
                    <w:pStyle w:val="12"/>
                    <w:ind w:left="0" w:firstLine="0"/>
                    <w:rPr>
                      <w:color w:val="auto"/>
                    </w:rPr>
                  </w:pPr>
                  <w:r>
                    <w:rPr>
                      <w:color w:val="auto"/>
                    </w:rPr>
                    <w:t>71</w:t>
                  </w:r>
                </w:p>
              </w:tc>
              <w:tc>
                <w:tcPr>
                  <w:tcW w:w="423" w:type="dxa"/>
                  <w:shd w:val="clear" w:color="auto" w:fill="auto"/>
                  <w:noWrap w:val="0"/>
                  <w:vAlign w:val="center"/>
                </w:tcPr>
                <w:p>
                  <w:pPr>
                    <w:pStyle w:val="12"/>
                    <w:ind w:left="0" w:firstLine="0"/>
                    <w:rPr>
                      <w:color w:val="auto"/>
                    </w:rPr>
                  </w:pPr>
                  <w:r>
                    <w:rPr>
                      <w:color w:val="auto"/>
                    </w:rPr>
                    <w:t>65</w:t>
                  </w:r>
                </w:p>
              </w:tc>
              <w:tc>
                <w:tcPr>
                  <w:tcW w:w="423" w:type="dxa"/>
                  <w:shd w:val="clear" w:color="auto" w:fill="auto"/>
                  <w:noWrap w:val="0"/>
                  <w:vAlign w:val="center"/>
                </w:tcPr>
                <w:p>
                  <w:pPr>
                    <w:pStyle w:val="12"/>
                    <w:ind w:left="0" w:firstLine="0"/>
                    <w:rPr>
                      <w:color w:val="auto"/>
                    </w:rPr>
                  </w:pPr>
                  <w:r>
                    <w:rPr>
                      <w:color w:val="auto"/>
                    </w:rPr>
                    <w:t>61</w:t>
                  </w:r>
                </w:p>
              </w:tc>
              <w:tc>
                <w:tcPr>
                  <w:tcW w:w="423" w:type="dxa"/>
                  <w:shd w:val="clear" w:color="auto" w:fill="auto"/>
                  <w:noWrap w:val="0"/>
                  <w:vAlign w:val="center"/>
                </w:tcPr>
                <w:p>
                  <w:pPr>
                    <w:pStyle w:val="12"/>
                    <w:ind w:left="0" w:firstLine="0"/>
                    <w:rPr>
                      <w:color w:val="auto"/>
                    </w:rPr>
                  </w:pPr>
                  <w:r>
                    <w:rPr>
                      <w:color w:val="auto"/>
                    </w:rPr>
                    <w:t>59</w:t>
                  </w:r>
                </w:p>
              </w:tc>
              <w:tc>
                <w:tcPr>
                  <w:tcW w:w="423" w:type="dxa"/>
                  <w:shd w:val="clear" w:color="auto" w:fill="auto"/>
                  <w:noWrap w:val="0"/>
                  <w:vAlign w:val="center"/>
                </w:tcPr>
                <w:p>
                  <w:pPr>
                    <w:pStyle w:val="12"/>
                    <w:ind w:left="0" w:firstLine="0"/>
                    <w:rPr>
                      <w:color w:val="auto"/>
                    </w:rPr>
                  </w:pPr>
                  <w:r>
                    <w:rPr>
                      <w:color w:val="auto"/>
                    </w:rPr>
                    <w:t>57</w:t>
                  </w:r>
                </w:p>
              </w:tc>
              <w:tc>
                <w:tcPr>
                  <w:tcW w:w="423" w:type="dxa"/>
                  <w:shd w:val="clear" w:color="auto" w:fill="auto"/>
                  <w:noWrap w:val="0"/>
                  <w:vAlign w:val="center"/>
                </w:tcPr>
                <w:p>
                  <w:pPr>
                    <w:pStyle w:val="12"/>
                    <w:ind w:left="0" w:firstLine="0"/>
                    <w:rPr>
                      <w:color w:val="auto"/>
                    </w:rPr>
                  </w:pPr>
                  <w:r>
                    <w:rPr>
                      <w:color w:val="auto"/>
                    </w:rPr>
                    <w:t>55</w:t>
                  </w:r>
                </w:p>
              </w:tc>
              <w:tc>
                <w:tcPr>
                  <w:tcW w:w="423" w:type="dxa"/>
                  <w:shd w:val="clear" w:color="auto" w:fill="auto"/>
                  <w:noWrap w:val="0"/>
                  <w:vAlign w:val="center"/>
                </w:tcPr>
                <w:p>
                  <w:pPr>
                    <w:pStyle w:val="12"/>
                    <w:ind w:left="0" w:firstLine="0"/>
                    <w:rPr>
                      <w:color w:val="auto"/>
                    </w:rPr>
                  </w:pPr>
                  <w:r>
                    <w:rPr>
                      <w:color w:val="auto"/>
                    </w:rPr>
                    <w:t>53</w:t>
                  </w:r>
                </w:p>
              </w:tc>
              <w:tc>
                <w:tcPr>
                  <w:tcW w:w="423" w:type="dxa"/>
                  <w:shd w:val="clear" w:color="auto" w:fill="auto"/>
                  <w:noWrap w:val="0"/>
                  <w:vAlign w:val="center"/>
                </w:tcPr>
                <w:p>
                  <w:pPr>
                    <w:pStyle w:val="12"/>
                    <w:ind w:left="0" w:firstLine="0"/>
                    <w:rPr>
                      <w:color w:val="auto"/>
                    </w:rPr>
                  </w:pPr>
                  <w:r>
                    <w:rPr>
                      <w:color w:val="auto"/>
                    </w:rPr>
                    <w:t>51</w:t>
                  </w:r>
                </w:p>
              </w:tc>
              <w:tc>
                <w:tcPr>
                  <w:tcW w:w="423" w:type="dxa"/>
                  <w:shd w:val="clear" w:color="auto" w:fill="auto"/>
                  <w:noWrap w:val="0"/>
                  <w:vAlign w:val="center"/>
                </w:tcPr>
                <w:p>
                  <w:pPr>
                    <w:pStyle w:val="12"/>
                    <w:ind w:left="0" w:firstLine="0"/>
                    <w:rPr>
                      <w:color w:val="auto"/>
                    </w:rPr>
                  </w:pPr>
                  <w:r>
                    <w:rPr>
                      <w:color w:val="auto"/>
                    </w:rPr>
                    <w:t>49</w:t>
                  </w:r>
                </w:p>
              </w:tc>
              <w:tc>
                <w:tcPr>
                  <w:tcW w:w="538" w:type="dxa"/>
                  <w:shd w:val="clear" w:color="auto" w:fill="auto"/>
                  <w:noWrap w:val="0"/>
                  <w:vAlign w:val="center"/>
                </w:tcPr>
                <w:p>
                  <w:pPr>
                    <w:pStyle w:val="12"/>
                    <w:ind w:left="0" w:firstLine="0"/>
                    <w:rPr>
                      <w:color w:val="auto"/>
                    </w:rPr>
                  </w:pPr>
                  <w:r>
                    <w:rPr>
                      <w:color w:val="auto"/>
                    </w:rPr>
                    <w:t>47</w:t>
                  </w:r>
                </w:p>
              </w:tc>
              <w:tc>
                <w:tcPr>
                  <w:tcW w:w="667" w:type="dxa"/>
                  <w:shd w:val="clear" w:color="auto" w:fill="auto"/>
                  <w:noWrap w:val="0"/>
                  <w:vAlign w:val="center"/>
                </w:tcPr>
                <w:p>
                  <w:pPr>
                    <w:pStyle w:val="12"/>
                    <w:ind w:left="0" w:firstLine="0"/>
                    <w:rPr>
                      <w:color w:val="auto"/>
                    </w:rPr>
                  </w:pPr>
                  <w:r>
                    <w:rPr>
                      <w:color w:val="auto"/>
                    </w:rPr>
                    <w:t>45</w:t>
                  </w:r>
                </w:p>
              </w:tc>
              <w:tc>
                <w:tcPr>
                  <w:tcW w:w="663" w:type="dxa"/>
                  <w:shd w:val="clear" w:color="auto" w:fill="auto"/>
                  <w:noWrap w:val="0"/>
                  <w:vAlign w:val="center"/>
                </w:tcPr>
                <w:p>
                  <w:pPr>
                    <w:pStyle w:val="12"/>
                    <w:ind w:left="0" w:firstLine="0"/>
                    <w:rPr>
                      <w:color w:val="auto"/>
                    </w:rPr>
                  </w:pPr>
                  <w:r>
                    <w:rPr>
                      <w:color w:val="auto"/>
                    </w:rPr>
                    <w:t>42</w:t>
                  </w:r>
                </w:p>
              </w:tc>
              <w:tc>
                <w:tcPr>
                  <w:tcW w:w="663" w:type="dxa"/>
                  <w:shd w:val="clear" w:color="auto" w:fill="auto"/>
                  <w:noWrap w:val="0"/>
                  <w:vAlign w:val="center"/>
                </w:tcPr>
                <w:p>
                  <w:pPr>
                    <w:pStyle w:val="28"/>
                    <w:ind w:left="-105" w:right="-105"/>
                    <w:rPr>
                      <w:color w:val="auto"/>
                    </w:rPr>
                  </w:pPr>
                  <w:r>
                    <w:rPr>
                      <w:color w:val="auto"/>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2" w:type="dxa"/>
                  <w:shd w:val="clear" w:color="auto" w:fill="auto"/>
                  <w:noWrap w:val="0"/>
                  <w:vAlign w:val="center"/>
                </w:tcPr>
                <w:p>
                  <w:pPr>
                    <w:pStyle w:val="12"/>
                    <w:ind w:left="0" w:firstLine="0"/>
                    <w:rPr>
                      <w:color w:val="auto"/>
                    </w:rPr>
                  </w:pPr>
                  <w:r>
                    <w:rPr>
                      <w:color w:val="auto"/>
                    </w:rPr>
                    <w:t>柴油机</w:t>
                  </w:r>
                </w:p>
              </w:tc>
              <w:tc>
                <w:tcPr>
                  <w:tcW w:w="631" w:type="dxa"/>
                  <w:shd w:val="clear" w:color="auto" w:fill="auto"/>
                  <w:noWrap w:val="0"/>
                  <w:vAlign w:val="center"/>
                </w:tcPr>
                <w:p>
                  <w:pPr>
                    <w:pStyle w:val="12"/>
                    <w:ind w:left="0" w:firstLine="0"/>
                    <w:rPr>
                      <w:color w:val="auto"/>
                    </w:rPr>
                  </w:pPr>
                  <w:r>
                    <w:rPr>
                      <w:color w:val="auto"/>
                    </w:rPr>
                    <w:t>105</w:t>
                  </w:r>
                </w:p>
              </w:tc>
              <w:tc>
                <w:tcPr>
                  <w:tcW w:w="840" w:type="dxa"/>
                  <w:shd w:val="clear" w:color="auto" w:fill="auto"/>
                  <w:noWrap w:val="0"/>
                  <w:vAlign w:val="center"/>
                </w:tcPr>
                <w:p>
                  <w:pPr>
                    <w:pStyle w:val="12"/>
                    <w:ind w:left="0" w:firstLine="0"/>
                    <w:rPr>
                      <w:color w:val="auto"/>
                    </w:rPr>
                  </w:pPr>
                  <w:r>
                    <w:rPr>
                      <w:color w:val="auto"/>
                    </w:rPr>
                    <w:t>90</w:t>
                  </w:r>
                </w:p>
              </w:tc>
              <w:tc>
                <w:tcPr>
                  <w:tcW w:w="423" w:type="dxa"/>
                  <w:shd w:val="clear" w:color="auto" w:fill="auto"/>
                  <w:noWrap w:val="0"/>
                  <w:vAlign w:val="center"/>
                </w:tcPr>
                <w:p>
                  <w:pPr>
                    <w:pStyle w:val="12"/>
                    <w:ind w:left="0" w:firstLine="0"/>
                    <w:rPr>
                      <w:color w:val="auto"/>
                    </w:rPr>
                  </w:pPr>
                  <w:r>
                    <w:rPr>
                      <w:color w:val="auto"/>
                    </w:rPr>
                    <w:t>76</w:t>
                  </w:r>
                </w:p>
              </w:tc>
              <w:tc>
                <w:tcPr>
                  <w:tcW w:w="423" w:type="dxa"/>
                  <w:shd w:val="clear" w:color="auto" w:fill="auto"/>
                  <w:noWrap w:val="0"/>
                  <w:vAlign w:val="center"/>
                </w:tcPr>
                <w:p>
                  <w:pPr>
                    <w:pStyle w:val="12"/>
                    <w:ind w:left="0" w:firstLine="0"/>
                    <w:rPr>
                      <w:color w:val="auto"/>
                    </w:rPr>
                  </w:pPr>
                  <w:r>
                    <w:rPr>
                      <w:color w:val="auto"/>
                    </w:rPr>
                    <w:t>70</w:t>
                  </w:r>
                </w:p>
              </w:tc>
              <w:tc>
                <w:tcPr>
                  <w:tcW w:w="423" w:type="dxa"/>
                  <w:shd w:val="clear" w:color="auto" w:fill="auto"/>
                  <w:noWrap w:val="0"/>
                  <w:vAlign w:val="center"/>
                </w:tcPr>
                <w:p>
                  <w:pPr>
                    <w:pStyle w:val="12"/>
                    <w:ind w:left="0" w:firstLine="0"/>
                    <w:rPr>
                      <w:color w:val="auto"/>
                    </w:rPr>
                  </w:pPr>
                  <w:r>
                    <w:rPr>
                      <w:color w:val="auto"/>
                    </w:rPr>
                    <w:t>67</w:t>
                  </w:r>
                </w:p>
              </w:tc>
              <w:tc>
                <w:tcPr>
                  <w:tcW w:w="423" w:type="dxa"/>
                  <w:shd w:val="clear" w:color="auto" w:fill="auto"/>
                  <w:noWrap w:val="0"/>
                  <w:vAlign w:val="center"/>
                </w:tcPr>
                <w:p>
                  <w:pPr>
                    <w:pStyle w:val="12"/>
                    <w:ind w:left="0" w:firstLine="0"/>
                    <w:rPr>
                      <w:color w:val="auto"/>
                    </w:rPr>
                  </w:pPr>
                  <w:r>
                    <w:rPr>
                      <w:color w:val="auto"/>
                    </w:rPr>
                    <w:t>65</w:t>
                  </w:r>
                </w:p>
              </w:tc>
              <w:tc>
                <w:tcPr>
                  <w:tcW w:w="423" w:type="dxa"/>
                  <w:shd w:val="clear" w:color="auto" w:fill="auto"/>
                  <w:noWrap w:val="0"/>
                  <w:vAlign w:val="center"/>
                </w:tcPr>
                <w:p>
                  <w:pPr>
                    <w:pStyle w:val="12"/>
                    <w:ind w:left="0" w:firstLine="0"/>
                    <w:rPr>
                      <w:color w:val="auto"/>
                    </w:rPr>
                  </w:pPr>
                  <w:r>
                    <w:rPr>
                      <w:color w:val="auto"/>
                    </w:rPr>
                    <w:t>63</w:t>
                  </w:r>
                </w:p>
              </w:tc>
              <w:tc>
                <w:tcPr>
                  <w:tcW w:w="423" w:type="dxa"/>
                  <w:shd w:val="clear" w:color="auto" w:fill="auto"/>
                  <w:noWrap w:val="0"/>
                  <w:vAlign w:val="center"/>
                </w:tcPr>
                <w:p>
                  <w:pPr>
                    <w:pStyle w:val="12"/>
                    <w:ind w:left="0" w:firstLine="0"/>
                    <w:rPr>
                      <w:color w:val="auto"/>
                    </w:rPr>
                  </w:pPr>
                  <w:r>
                    <w:rPr>
                      <w:color w:val="auto"/>
                    </w:rPr>
                    <w:t>61</w:t>
                  </w:r>
                </w:p>
              </w:tc>
              <w:tc>
                <w:tcPr>
                  <w:tcW w:w="423" w:type="dxa"/>
                  <w:shd w:val="clear" w:color="auto" w:fill="auto"/>
                  <w:noWrap w:val="0"/>
                  <w:vAlign w:val="center"/>
                </w:tcPr>
                <w:p>
                  <w:pPr>
                    <w:pStyle w:val="12"/>
                    <w:ind w:left="0" w:firstLine="0"/>
                    <w:rPr>
                      <w:color w:val="auto"/>
                    </w:rPr>
                  </w:pPr>
                  <w:r>
                    <w:rPr>
                      <w:color w:val="auto"/>
                    </w:rPr>
                    <w:t>59</w:t>
                  </w:r>
                </w:p>
              </w:tc>
              <w:tc>
                <w:tcPr>
                  <w:tcW w:w="423" w:type="dxa"/>
                  <w:shd w:val="clear" w:color="auto" w:fill="auto"/>
                  <w:noWrap w:val="0"/>
                  <w:vAlign w:val="center"/>
                </w:tcPr>
                <w:p>
                  <w:pPr>
                    <w:pStyle w:val="12"/>
                    <w:ind w:left="0" w:firstLine="0"/>
                    <w:rPr>
                      <w:color w:val="auto"/>
                    </w:rPr>
                  </w:pPr>
                  <w:r>
                    <w:rPr>
                      <w:color w:val="auto"/>
                    </w:rPr>
                    <w:t>57</w:t>
                  </w:r>
                </w:p>
              </w:tc>
              <w:tc>
                <w:tcPr>
                  <w:tcW w:w="423" w:type="dxa"/>
                  <w:shd w:val="clear" w:color="auto" w:fill="auto"/>
                  <w:noWrap w:val="0"/>
                  <w:vAlign w:val="center"/>
                </w:tcPr>
                <w:p>
                  <w:pPr>
                    <w:pStyle w:val="12"/>
                    <w:ind w:left="0" w:firstLine="0"/>
                    <w:rPr>
                      <w:color w:val="auto"/>
                    </w:rPr>
                  </w:pPr>
                  <w:r>
                    <w:rPr>
                      <w:color w:val="auto"/>
                    </w:rPr>
                    <w:t>55</w:t>
                  </w:r>
                </w:p>
              </w:tc>
              <w:tc>
                <w:tcPr>
                  <w:tcW w:w="538" w:type="dxa"/>
                  <w:shd w:val="clear" w:color="auto" w:fill="auto"/>
                  <w:noWrap w:val="0"/>
                  <w:vAlign w:val="center"/>
                </w:tcPr>
                <w:p>
                  <w:pPr>
                    <w:pStyle w:val="12"/>
                    <w:ind w:left="0" w:firstLine="0"/>
                    <w:rPr>
                      <w:color w:val="auto"/>
                    </w:rPr>
                  </w:pPr>
                  <w:r>
                    <w:rPr>
                      <w:color w:val="auto"/>
                    </w:rPr>
                    <w:t>53</w:t>
                  </w:r>
                </w:p>
              </w:tc>
              <w:tc>
                <w:tcPr>
                  <w:tcW w:w="667" w:type="dxa"/>
                  <w:shd w:val="clear" w:color="auto" w:fill="auto"/>
                  <w:noWrap w:val="0"/>
                  <w:vAlign w:val="center"/>
                </w:tcPr>
                <w:p>
                  <w:pPr>
                    <w:pStyle w:val="12"/>
                    <w:ind w:left="0" w:firstLine="0"/>
                    <w:rPr>
                      <w:color w:val="auto"/>
                    </w:rPr>
                  </w:pPr>
                  <w:r>
                    <w:rPr>
                      <w:color w:val="auto"/>
                    </w:rPr>
                    <w:t>51</w:t>
                  </w:r>
                </w:p>
              </w:tc>
              <w:tc>
                <w:tcPr>
                  <w:tcW w:w="663" w:type="dxa"/>
                  <w:shd w:val="clear" w:color="auto" w:fill="auto"/>
                  <w:noWrap w:val="0"/>
                  <w:vAlign w:val="center"/>
                </w:tcPr>
                <w:p>
                  <w:pPr>
                    <w:pStyle w:val="12"/>
                    <w:ind w:left="0" w:firstLine="0"/>
                    <w:rPr>
                      <w:color w:val="auto"/>
                    </w:rPr>
                  </w:pPr>
                  <w:r>
                    <w:rPr>
                      <w:color w:val="auto"/>
                    </w:rPr>
                    <w:t>47</w:t>
                  </w:r>
                </w:p>
              </w:tc>
              <w:tc>
                <w:tcPr>
                  <w:tcW w:w="663" w:type="dxa"/>
                  <w:shd w:val="clear" w:color="auto" w:fill="auto"/>
                  <w:noWrap w:val="0"/>
                  <w:vAlign w:val="center"/>
                </w:tcPr>
                <w:p>
                  <w:pPr>
                    <w:pStyle w:val="28"/>
                    <w:ind w:left="-105" w:right="-105"/>
                    <w:rPr>
                      <w:color w:val="auto"/>
                    </w:rPr>
                  </w:pPr>
                  <w:r>
                    <w:rPr>
                      <w:color w:val="auto"/>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2" w:type="dxa"/>
                  <w:shd w:val="clear" w:color="auto" w:fill="auto"/>
                  <w:noWrap w:val="0"/>
                  <w:vAlign w:val="center"/>
                </w:tcPr>
                <w:p>
                  <w:pPr>
                    <w:pStyle w:val="12"/>
                    <w:ind w:left="0" w:firstLine="0"/>
                    <w:rPr>
                      <w:color w:val="auto"/>
                    </w:rPr>
                  </w:pPr>
                  <w:r>
                    <w:rPr>
                      <w:rFonts w:hint="eastAsia"/>
                      <w:color w:val="auto"/>
                    </w:rPr>
                    <w:t>修井机</w:t>
                  </w:r>
                </w:p>
              </w:tc>
              <w:tc>
                <w:tcPr>
                  <w:tcW w:w="631" w:type="dxa"/>
                  <w:shd w:val="clear" w:color="auto" w:fill="auto"/>
                  <w:noWrap w:val="0"/>
                  <w:vAlign w:val="center"/>
                </w:tcPr>
                <w:p>
                  <w:pPr>
                    <w:pStyle w:val="12"/>
                    <w:ind w:left="0" w:firstLine="0"/>
                    <w:rPr>
                      <w:color w:val="auto"/>
                    </w:rPr>
                  </w:pPr>
                  <w:r>
                    <w:rPr>
                      <w:rFonts w:hint="eastAsia"/>
                      <w:color w:val="auto"/>
                    </w:rPr>
                    <w:t>85</w:t>
                  </w:r>
                </w:p>
              </w:tc>
              <w:tc>
                <w:tcPr>
                  <w:tcW w:w="840" w:type="dxa"/>
                  <w:shd w:val="clear" w:color="auto" w:fill="auto"/>
                  <w:noWrap w:val="0"/>
                  <w:vAlign w:val="center"/>
                </w:tcPr>
                <w:p>
                  <w:pPr>
                    <w:pStyle w:val="12"/>
                    <w:ind w:left="0" w:firstLine="0"/>
                    <w:rPr>
                      <w:color w:val="auto"/>
                    </w:rPr>
                  </w:pPr>
                  <w:r>
                    <w:rPr>
                      <w:rFonts w:hint="eastAsia"/>
                      <w:color w:val="auto"/>
                    </w:rPr>
                    <w:t>80</w:t>
                  </w:r>
                </w:p>
              </w:tc>
              <w:tc>
                <w:tcPr>
                  <w:tcW w:w="423" w:type="dxa"/>
                  <w:shd w:val="clear" w:color="auto" w:fill="auto"/>
                  <w:noWrap w:val="0"/>
                  <w:vAlign w:val="center"/>
                </w:tcPr>
                <w:p>
                  <w:pPr>
                    <w:pStyle w:val="12"/>
                    <w:ind w:left="0" w:firstLine="0"/>
                    <w:rPr>
                      <w:color w:val="auto"/>
                    </w:rPr>
                  </w:pPr>
                  <w:r>
                    <w:rPr>
                      <w:rFonts w:hint="eastAsia"/>
                      <w:color w:val="auto"/>
                    </w:rPr>
                    <w:t>86</w:t>
                  </w:r>
                </w:p>
              </w:tc>
              <w:tc>
                <w:tcPr>
                  <w:tcW w:w="423" w:type="dxa"/>
                  <w:shd w:val="clear" w:color="auto" w:fill="auto"/>
                  <w:noWrap w:val="0"/>
                  <w:vAlign w:val="center"/>
                </w:tcPr>
                <w:p>
                  <w:pPr>
                    <w:pStyle w:val="12"/>
                    <w:ind w:left="0" w:firstLine="0"/>
                    <w:rPr>
                      <w:color w:val="auto"/>
                    </w:rPr>
                  </w:pPr>
                  <w:r>
                    <w:rPr>
                      <w:rFonts w:hint="eastAsia"/>
                      <w:color w:val="auto"/>
                    </w:rPr>
                    <w:t>60</w:t>
                  </w:r>
                </w:p>
              </w:tc>
              <w:tc>
                <w:tcPr>
                  <w:tcW w:w="423" w:type="dxa"/>
                  <w:shd w:val="clear" w:color="auto" w:fill="auto"/>
                  <w:noWrap w:val="0"/>
                  <w:vAlign w:val="center"/>
                </w:tcPr>
                <w:p>
                  <w:pPr>
                    <w:pStyle w:val="12"/>
                    <w:ind w:left="0" w:firstLine="0"/>
                    <w:rPr>
                      <w:color w:val="auto"/>
                    </w:rPr>
                  </w:pPr>
                  <w:r>
                    <w:rPr>
                      <w:rFonts w:hint="eastAsia"/>
                      <w:color w:val="auto"/>
                    </w:rPr>
                    <w:t>56</w:t>
                  </w:r>
                </w:p>
              </w:tc>
              <w:tc>
                <w:tcPr>
                  <w:tcW w:w="423" w:type="dxa"/>
                  <w:shd w:val="clear" w:color="auto" w:fill="auto"/>
                  <w:noWrap w:val="0"/>
                  <w:vAlign w:val="center"/>
                </w:tcPr>
                <w:p>
                  <w:pPr>
                    <w:pStyle w:val="12"/>
                    <w:ind w:left="0" w:firstLine="0"/>
                    <w:rPr>
                      <w:color w:val="auto"/>
                    </w:rPr>
                  </w:pPr>
                  <w:r>
                    <w:rPr>
                      <w:rFonts w:hint="eastAsia"/>
                      <w:color w:val="auto"/>
                    </w:rPr>
                    <w:t>54</w:t>
                  </w:r>
                </w:p>
              </w:tc>
              <w:tc>
                <w:tcPr>
                  <w:tcW w:w="423" w:type="dxa"/>
                  <w:shd w:val="clear" w:color="auto" w:fill="auto"/>
                  <w:noWrap w:val="0"/>
                  <w:vAlign w:val="center"/>
                </w:tcPr>
                <w:p>
                  <w:pPr>
                    <w:pStyle w:val="12"/>
                    <w:ind w:left="0" w:firstLine="0"/>
                    <w:rPr>
                      <w:color w:val="auto"/>
                    </w:rPr>
                  </w:pPr>
                  <w:r>
                    <w:rPr>
                      <w:rFonts w:hint="eastAsia"/>
                      <w:color w:val="auto"/>
                    </w:rPr>
                    <w:t>52</w:t>
                  </w:r>
                </w:p>
              </w:tc>
              <w:tc>
                <w:tcPr>
                  <w:tcW w:w="423" w:type="dxa"/>
                  <w:shd w:val="clear" w:color="auto" w:fill="auto"/>
                  <w:noWrap w:val="0"/>
                  <w:vAlign w:val="center"/>
                </w:tcPr>
                <w:p>
                  <w:pPr>
                    <w:pStyle w:val="12"/>
                    <w:ind w:left="0" w:firstLine="0"/>
                    <w:rPr>
                      <w:color w:val="auto"/>
                    </w:rPr>
                  </w:pPr>
                  <w:r>
                    <w:rPr>
                      <w:rFonts w:hint="eastAsia"/>
                      <w:color w:val="auto"/>
                    </w:rPr>
                    <w:t>50</w:t>
                  </w:r>
                </w:p>
              </w:tc>
              <w:tc>
                <w:tcPr>
                  <w:tcW w:w="423" w:type="dxa"/>
                  <w:shd w:val="clear" w:color="auto" w:fill="auto"/>
                  <w:noWrap w:val="0"/>
                  <w:vAlign w:val="center"/>
                </w:tcPr>
                <w:p>
                  <w:pPr>
                    <w:pStyle w:val="12"/>
                    <w:ind w:left="0" w:firstLine="0"/>
                    <w:rPr>
                      <w:color w:val="auto"/>
                    </w:rPr>
                  </w:pPr>
                  <w:r>
                    <w:rPr>
                      <w:rFonts w:hint="eastAsia"/>
                      <w:color w:val="auto"/>
                    </w:rPr>
                    <w:t>47</w:t>
                  </w:r>
                </w:p>
              </w:tc>
              <w:tc>
                <w:tcPr>
                  <w:tcW w:w="423" w:type="dxa"/>
                  <w:shd w:val="clear" w:color="auto" w:fill="auto"/>
                  <w:noWrap w:val="0"/>
                  <w:vAlign w:val="center"/>
                </w:tcPr>
                <w:p>
                  <w:pPr>
                    <w:pStyle w:val="12"/>
                    <w:ind w:left="0" w:firstLine="0"/>
                    <w:rPr>
                      <w:color w:val="auto"/>
                    </w:rPr>
                  </w:pPr>
                  <w:r>
                    <w:rPr>
                      <w:rFonts w:hint="eastAsia"/>
                      <w:color w:val="auto"/>
                    </w:rPr>
                    <w:t>46</w:t>
                  </w:r>
                </w:p>
              </w:tc>
              <w:tc>
                <w:tcPr>
                  <w:tcW w:w="423" w:type="dxa"/>
                  <w:shd w:val="clear" w:color="auto" w:fill="auto"/>
                  <w:noWrap w:val="0"/>
                  <w:vAlign w:val="center"/>
                </w:tcPr>
                <w:p>
                  <w:pPr>
                    <w:pStyle w:val="12"/>
                    <w:ind w:left="0" w:firstLine="0"/>
                    <w:rPr>
                      <w:color w:val="auto"/>
                    </w:rPr>
                  </w:pPr>
                  <w:r>
                    <w:rPr>
                      <w:rFonts w:hint="eastAsia"/>
                      <w:color w:val="auto"/>
                    </w:rPr>
                    <w:t>44</w:t>
                  </w:r>
                </w:p>
              </w:tc>
              <w:tc>
                <w:tcPr>
                  <w:tcW w:w="538" w:type="dxa"/>
                  <w:shd w:val="clear" w:color="auto" w:fill="auto"/>
                  <w:noWrap w:val="0"/>
                  <w:vAlign w:val="center"/>
                </w:tcPr>
                <w:p>
                  <w:pPr>
                    <w:pStyle w:val="12"/>
                    <w:ind w:left="0" w:firstLine="0"/>
                    <w:rPr>
                      <w:color w:val="auto"/>
                    </w:rPr>
                  </w:pPr>
                  <w:r>
                    <w:rPr>
                      <w:rFonts w:hint="eastAsia"/>
                      <w:color w:val="auto"/>
                    </w:rPr>
                    <w:t>42</w:t>
                  </w:r>
                </w:p>
              </w:tc>
              <w:tc>
                <w:tcPr>
                  <w:tcW w:w="667" w:type="dxa"/>
                  <w:shd w:val="clear" w:color="auto" w:fill="auto"/>
                  <w:noWrap w:val="0"/>
                  <w:vAlign w:val="center"/>
                </w:tcPr>
                <w:p>
                  <w:pPr>
                    <w:pStyle w:val="12"/>
                    <w:ind w:left="0" w:firstLine="0"/>
                    <w:rPr>
                      <w:color w:val="auto"/>
                    </w:rPr>
                  </w:pPr>
                  <w:r>
                    <w:rPr>
                      <w:rFonts w:hint="eastAsia"/>
                      <w:color w:val="auto"/>
                    </w:rPr>
                    <w:t>40</w:t>
                  </w:r>
                </w:p>
              </w:tc>
              <w:tc>
                <w:tcPr>
                  <w:tcW w:w="663" w:type="dxa"/>
                  <w:shd w:val="clear" w:color="auto" w:fill="auto"/>
                  <w:noWrap w:val="0"/>
                  <w:vAlign w:val="center"/>
                </w:tcPr>
                <w:p>
                  <w:pPr>
                    <w:pStyle w:val="12"/>
                    <w:ind w:left="0" w:firstLine="0"/>
                    <w:rPr>
                      <w:color w:val="auto"/>
                    </w:rPr>
                  </w:pPr>
                  <w:r>
                    <w:rPr>
                      <w:rFonts w:hint="eastAsia"/>
                      <w:color w:val="auto"/>
                    </w:rPr>
                    <w:t>36</w:t>
                  </w:r>
                </w:p>
              </w:tc>
              <w:tc>
                <w:tcPr>
                  <w:tcW w:w="663" w:type="dxa"/>
                  <w:shd w:val="clear" w:color="auto" w:fill="auto"/>
                  <w:noWrap w:val="0"/>
                  <w:vAlign w:val="center"/>
                </w:tcPr>
                <w:p>
                  <w:pPr>
                    <w:pStyle w:val="12"/>
                    <w:ind w:left="0" w:firstLine="0"/>
                    <w:rPr>
                      <w:color w:val="auto"/>
                    </w:rPr>
                  </w:pPr>
                  <w:r>
                    <w:rPr>
                      <w:rFonts w:hint="eastAsia"/>
                      <w:color w:val="auto"/>
                    </w:rPr>
                    <w:t>30</w:t>
                  </w:r>
                </w:p>
              </w:tc>
            </w:tr>
          </w:tbl>
          <w:p>
            <w:pPr>
              <w:pStyle w:val="4"/>
              <w:rPr>
                <w:color w:val="auto"/>
              </w:rPr>
            </w:pPr>
            <w:r>
              <w:rPr>
                <w:color w:val="auto"/>
              </w:rPr>
              <w:t>根据预测结果，施工期间，钻机的噪声在施工场界外320m处时夜间噪声达《建筑施工场界环境噪声排放标准》（GB12523-2011）标准要求</w:t>
            </w:r>
            <w:r>
              <w:rPr>
                <w:rFonts w:hint="eastAsia"/>
                <w:color w:val="auto"/>
              </w:rPr>
              <w:t>（昼间70dB，夜间55dB）</w:t>
            </w:r>
            <w:r>
              <w:rPr>
                <w:color w:val="auto"/>
              </w:rPr>
              <w:t>。同时，对高噪声设备采取隔声措施，并加强机械设备的保养，保证机械设备的正常运转，以降低设备正常运转的噪声。进一步落实以上措施后，钻井噪声对周边环境及施工人员的影响将进一步减少，钻井期产生噪声对周边环境影响不大。</w:t>
            </w:r>
          </w:p>
          <w:p>
            <w:pPr>
              <w:pStyle w:val="4"/>
              <w:rPr>
                <w:color w:val="auto"/>
              </w:rPr>
            </w:pPr>
            <w:r>
              <w:rPr>
                <w:color w:val="auto"/>
              </w:rPr>
              <w:t>根据调查，项目区周边200m范围内无</w:t>
            </w:r>
            <w:r>
              <w:rPr>
                <w:rFonts w:hint="eastAsia"/>
                <w:color w:val="auto"/>
              </w:rPr>
              <w:t>居民区</w:t>
            </w:r>
            <w:r>
              <w:rPr>
                <w:color w:val="auto"/>
              </w:rPr>
              <w:t>，试油期</w:t>
            </w:r>
            <w:r>
              <w:rPr>
                <w:color w:val="auto"/>
                <w:kern w:val="0"/>
              </w:rPr>
              <w:t>时间短且产生噪声的设备少，试油期</w:t>
            </w:r>
            <w:r>
              <w:rPr>
                <w:color w:val="auto"/>
              </w:rPr>
              <w:t>产生噪声对周边环境影响不大。</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4 施工期固体废物影响分析</w:t>
            </w:r>
          </w:p>
          <w:p>
            <w:pPr>
              <w:pStyle w:val="4"/>
              <w:rPr>
                <w:color w:val="auto"/>
              </w:rPr>
            </w:pPr>
            <w:r>
              <w:rPr>
                <w:rFonts w:hint="eastAsia"/>
                <w:color w:val="auto"/>
              </w:rPr>
              <w:t>本项目在钻井期和试油期产生的固体废物为钻井泥浆、岩屑、压裂返排液、生活垃圾以及事故状态可能会产生的落地油。</w:t>
            </w:r>
          </w:p>
          <w:p>
            <w:pPr>
              <w:pStyle w:val="4"/>
              <w:rPr>
                <w:color w:val="auto"/>
              </w:rPr>
            </w:pPr>
            <w:r>
              <w:rPr>
                <w:rFonts w:hint="eastAsia"/>
                <w:color w:val="auto"/>
              </w:rPr>
              <w:t>（1）钻井泥浆</w:t>
            </w:r>
          </w:p>
          <w:p>
            <w:pPr>
              <w:pStyle w:val="4"/>
              <w:rPr>
                <w:color w:val="auto"/>
              </w:rPr>
            </w:pPr>
            <w:r>
              <w:rPr>
                <w:color w:val="auto"/>
              </w:rPr>
              <w:t>钻井泥浆的排放量依井的深度而增加，其排放量计算采用《油田开发环境影响评价文集》中的经验公式：</w:t>
            </w:r>
          </w:p>
          <w:p>
            <w:pPr>
              <w:adjustRightInd/>
              <w:snapToGrid/>
              <w:ind w:firstLine="480"/>
              <w:rPr>
                <w:color w:val="auto"/>
                <w:sz w:val="21"/>
                <w:szCs w:val="21"/>
              </w:rPr>
            </w:pPr>
            <w:r>
              <w:rPr>
                <w:rFonts w:hint="default" w:ascii="Times New Roman" w:hAnsi="Times New Roman" w:cs="Times New Roman"/>
                <w:color w:val="auto"/>
              </w:rPr>
              <w:drawing>
                <wp:inline distT="0" distB="0" distL="114300" distR="114300">
                  <wp:extent cx="2025015" cy="391795"/>
                  <wp:effectExtent l="0" t="0" r="0" b="7620"/>
                  <wp:docPr id="2" name="图片 2" descr="C:\DOCUME~1\ADMINI~1\LOCALS~1\Temp\ksohtml\wps_clip_imag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_clip_image1.wmf"/>
                          <pic:cNvPicPr>
                            <a:picLocks noChangeAspect="1"/>
                          </pic:cNvPicPr>
                        </pic:nvPicPr>
                        <pic:blipFill>
                          <a:blip r:embed="rId16"/>
                          <a:stretch>
                            <a:fillRect/>
                          </a:stretch>
                        </pic:blipFill>
                        <pic:spPr>
                          <a:xfrm>
                            <a:off x="0" y="0"/>
                            <a:ext cx="2025015" cy="391795"/>
                          </a:xfrm>
                          <a:prstGeom prst="rect">
                            <a:avLst/>
                          </a:prstGeom>
                          <a:noFill/>
                          <a:ln>
                            <a:noFill/>
                          </a:ln>
                        </pic:spPr>
                      </pic:pic>
                    </a:graphicData>
                  </a:graphic>
                </wp:inline>
              </w:drawing>
            </w:r>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式中：V－排到地面上的泥浆量（m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p>
          <w:p>
            <w:pPr>
              <w:pStyle w:val="4"/>
              <w:ind w:firstLine="1200" w:firstLineChars="50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D－井眼的直径（m）</w:t>
            </w:r>
            <w:r>
              <w:rPr>
                <w:rFonts w:hint="default" w:ascii="Times New Roman" w:hAnsi="Times New Roman" w:cs="Times New Roman"/>
                <w:color w:val="auto"/>
              </w:rPr>
              <w:t>；</w:t>
            </w:r>
            <w:r>
              <w:rPr>
                <w:rFonts w:hint="eastAsia" w:cs="Times New Roman"/>
                <w:color w:val="auto"/>
                <w:lang w:val="en-US" w:eastAsia="zh-CN"/>
              </w:rPr>
              <w:t>沙帐1井导眼直径0.660m，一开直径0.375m，二开直径0.216m。</w:t>
            </w:r>
          </w:p>
          <w:p>
            <w:pPr>
              <w:pStyle w:val="4"/>
              <w:ind w:firstLine="1200" w:firstLineChars="500"/>
              <w:rPr>
                <w:rFonts w:hint="default" w:ascii="Times New Roman" w:hAnsi="Times New Roman" w:cs="Times New Roman"/>
                <w:color w:val="auto"/>
                <w:highlight w:val="yellow"/>
                <w:lang w:val="en-US" w:eastAsia="zh-CN"/>
              </w:rPr>
            </w:pPr>
            <w:r>
              <w:rPr>
                <w:rFonts w:hint="default" w:ascii="Times New Roman" w:hAnsi="Times New Roman" w:cs="Times New Roman"/>
                <w:color w:val="auto"/>
                <w:lang w:val="en-US" w:eastAsia="zh-CN"/>
              </w:rPr>
              <w:t>h－井深（m）。</w:t>
            </w:r>
          </w:p>
          <w:p>
            <w:pPr>
              <w:pStyle w:val="4"/>
              <w:rPr>
                <w:rFonts w:hint="default" w:ascii="Times New Roman" w:hAnsi="Times New Roman" w:cs="Times New Roman"/>
                <w:color w:val="auto"/>
              </w:rPr>
            </w:pPr>
            <w:r>
              <w:rPr>
                <w:rFonts w:hint="default" w:ascii="Times New Roman" w:hAnsi="Times New Roman" w:cs="Times New Roman"/>
                <w:color w:val="auto"/>
              </w:rPr>
              <w:t>本工程新钻井</w:t>
            </w:r>
            <w:r>
              <w:rPr>
                <w:rFonts w:hint="eastAsia" w:cs="Times New Roman"/>
                <w:color w:val="auto"/>
                <w:lang w:val="en-US" w:eastAsia="zh-CN"/>
              </w:rPr>
              <w:t>1</w:t>
            </w:r>
            <w:r>
              <w:rPr>
                <w:rFonts w:hint="default" w:ascii="Times New Roman" w:hAnsi="Times New Roman" w:cs="Times New Roman"/>
                <w:color w:val="auto"/>
              </w:rPr>
              <w:t>口，钻井泥浆产生量见表4-</w:t>
            </w:r>
            <w:r>
              <w:rPr>
                <w:rFonts w:hint="eastAsia" w:ascii="Times New Roman" w:hAnsi="Times New Roman" w:cs="Times New Roman"/>
                <w:color w:val="auto"/>
                <w:lang w:val="en-US" w:eastAsia="zh-CN"/>
              </w:rPr>
              <w:t>10</w:t>
            </w:r>
            <w:r>
              <w:rPr>
                <w:rFonts w:hint="default" w:ascii="Times New Roman" w:hAnsi="Times New Roman" w:cs="Times New Roman"/>
                <w:color w:val="auto"/>
              </w:rPr>
              <w:t>。</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rPr>
              <w:t xml:space="preserve">    本工程钻井</w:t>
            </w:r>
            <w:r>
              <w:rPr>
                <w:rFonts w:hint="default" w:ascii="Times New Roman" w:hAnsi="Times New Roman" w:cs="Times New Roman"/>
                <w:b/>
                <w:bCs/>
                <w:color w:val="auto"/>
                <w:sz w:val="21"/>
                <w:szCs w:val="21"/>
                <w:highlight w:val="none"/>
              </w:rPr>
              <w:t>泥浆产生量</w:t>
            </w:r>
          </w:p>
          <w:tbl>
            <w:tblPr>
              <w:tblStyle w:val="18"/>
              <w:tblW w:w="4997" w:type="pct"/>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88"/>
              <w:gridCol w:w="3334"/>
              <w:gridCol w:w="402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047" w:type="pct"/>
                  <w:noWrap w:val="0"/>
                  <w:vAlign w:val="top"/>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开钻次序</w:t>
                  </w:r>
                </w:p>
              </w:tc>
              <w:tc>
                <w:tcPr>
                  <w:tcW w:w="2468"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泥浆量m</w:t>
                  </w:r>
                  <w:r>
                    <w:rPr>
                      <w:rFonts w:hint="default" w:ascii="Times New Roman" w:hAnsi="Times New Roman" w:cs="Times New Roman"/>
                      <w:color w:val="auto"/>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047"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导眼</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047"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一开</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047"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二开</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31" w:type="pct"/>
                  <w:gridSpan w:val="2"/>
                  <w:noWrap w:val="0"/>
                  <w:vAlign w:val="top"/>
                </w:tcPr>
                <w:p>
                  <w:pPr>
                    <w:pStyle w:val="4"/>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411.9</w:t>
                  </w:r>
                </w:p>
              </w:tc>
            </w:tr>
          </w:tbl>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计算得知：</w:t>
            </w:r>
            <w:r>
              <w:rPr>
                <w:rFonts w:hint="eastAsia" w:cs="Times New Roman"/>
                <w:color w:val="auto"/>
                <w:lang w:val="en-US" w:eastAsia="zh-CN"/>
              </w:rPr>
              <w:t>沙帐1井</w:t>
            </w:r>
            <w:r>
              <w:rPr>
                <w:rFonts w:hint="default" w:ascii="Times New Roman" w:hAnsi="Times New Roman" w:cs="Times New Roman"/>
                <w:color w:val="auto"/>
                <w:lang w:val="en-US" w:eastAsia="zh-CN"/>
              </w:rPr>
              <w:t>钻井泥浆产生量</w:t>
            </w:r>
            <w:r>
              <w:rPr>
                <w:rFonts w:hint="eastAsia" w:cs="Times New Roman"/>
                <w:color w:val="auto"/>
                <w:lang w:val="en-US" w:eastAsia="zh-CN"/>
              </w:rPr>
              <w:t>411.9</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，钻井泥浆通过储罐回收后随钻井队用于后续钻井使用。</w:t>
            </w:r>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（2）钻井岩屑</w:t>
            </w:r>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钻井过程中，岩石经钻头和泥浆的研磨而破碎成岩屑，并经泥浆携带至地面，进入不落地处理系统。钻井岩屑产生、排放量与井身结构等因素有关，岩屑产生量可按下式计算：</w:t>
            </w:r>
          </w:p>
          <w:p>
            <w:pPr>
              <w:pStyle w:val="4"/>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W=1/4×л×D</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×h×α</w:t>
            </w:r>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式中：W－钻井岩屑排放量，m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p>
          <w:p>
            <w:pPr>
              <w:pStyle w:val="4"/>
              <w:ind w:firstLine="1200" w:firstLineChars="5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D—井的直径（m）；</w:t>
            </w:r>
            <w:r>
              <w:rPr>
                <w:rFonts w:hint="eastAsia" w:cs="Times New Roman"/>
                <w:color w:val="auto"/>
                <w:lang w:val="en-US" w:eastAsia="zh-CN"/>
              </w:rPr>
              <w:t>沙帐1井导眼直径0.660m，一开直径0.375m，二开直径0.216m。</w:t>
            </w:r>
          </w:p>
          <w:p>
            <w:pPr>
              <w:pStyle w:val="4"/>
              <w:ind w:firstLine="1200" w:firstLineChars="5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h－井深（m）；</w:t>
            </w:r>
          </w:p>
          <w:p>
            <w:pPr>
              <w:spacing w:line="360" w:lineRule="auto"/>
              <w:ind w:firstLine="1200" w:firstLineChars="5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α－岩石膨胀系数，取2.2</w:t>
            </w:r>
            <w:r>
              <w:rPr>
                <w:rFonts w:hint="eastAsia" w:cs="Times New Roman"/>
                <w:color w:val="auto"/>
                <w:lang w:val="en-US" w:eastAsia="zh-CN"/>
              </w:rPr>
              <w:t>；</w:t>
            </w:r>
          </w:p>
          <w:p>
            <w:pPr>
              <w:pStyle w:val="4"/>
              <w:rPr>
                <w:rFonts w:hint="default" w:ascii="Times New Roman" w:hAnsi="Times New Roman" w:cs="Times New Roman"/>
                <w:color w:val="auto"/>
              </w:rPr>
            </w:pPr>
            <w:r>
              <w:rPr>
                <w:rFonts w:hint="default" w:ascii="Times New Roman" w:hAnsi="Times New Roman" w:cs="Times New Roman"/>
                <w:color w:val="auto"/>
              </w:rPr>
              <w:t>本工程产生岩屑量见表4-</w:t>
            </w:r>
            <w:r>
              <w:rPr>
                <w:rFonts w:hint="eastAsia" w:ascii="Times New Roman" w:hAnsi="Times New Roman" w:cs="Times New Roman"/>
                <w:color w:val="auto"/>
                <w:lang w:val="en-US" w:eastAsia="zh-CN"/>
              </w:rPr>
              <w:t>11</w:t>
            </w:r>
            <w:r>
              <w:rPr>
                <w:rFonts w:hint="default" w:ascii="Times New Roman" w:hAnsi="Times New Roman" w:cs="Times New Roman"/>
                <w:color w:val="auto"/>
              </w:rPr>
              <w:t>。</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表4-</w:t>
            </w:r>
            <w:r>
              <w:rPr>
                <w:rFonts w:hint="eastAsia" w:ascii="Times New Roman" w:hAnsi="Times New Roman" w:cs="Times New Roman"/>
                <w:b/>
                <w:bCs/>
                <w:color w:val="auto"/>
                <w:sz w:val="21"/>
                <w:szCs w:val="21"/>
                <w:lang w:val="en-US" w:eastAsia="zh-CN"/>
              </w:rPr>
              <w:t>11</w:t>
            </w:r>
            <w:r>
              <w:rPr>
                <w:rFonts w:hint="default" w:ascii="Times New Roman" w:hAnsi="Times New Roman" w:cs="Times New Roman"/>
                <w:b/>
                <w:bCs/>
                <w:color w:val="auto"/>
                <w:sz w:val="21"/>
                <w:szCs w:val="21"/>
              </w:rPr>
              <w:t xml:space="preserve">    本工程钻井岩屑产生量</w:t>
            </w:r>
          </w:p>
          <w:tbl>
            <w:tblPr>
              <w:tblStyle w:val="18"/>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334"/>
              <w:gridCol w:w="40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628" w:type="dxa"/>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开钻次序</w:t>
                  </w:r>
                </w:p>
              </w:tc>
              <w:tc>
                <w:tcPr>
                  <w:tcW w:w="2468" w:type="pct"/>
                  <w:noWrap w:val="0"/>
                  <w:vAlign w:val="top"/>
                </w:tcPr>
                <w:p>
                  <w:pPr>
                    <w:pStyle w:val="4"/>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岩屑量</w:t>
                  </w:r>
                  <w:r>
                    <w:rPr>
                      <w:rFonts w:hint="eastAsia" w:cs="Times New Roman"/>
                      <w:color w:val="auto"/>
                      <w:sz w:val="21"/>
                      <w:szCs w:val="21"/>
                      <w:lang w:val="en-US" w:eastAsia="zh-CN"/>
                    </w:rPr>
                    <w:t>m</w:t>
                  </w:r>
                  <w:r>
                    <w:rPr>
                      <w:rFonts w:hint="eastAsia" w:cs="Times New Roman"/>
                      <w:color w:val="auto"/>
                      <w:sz w:val="21"/>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624" w:type="dxa"/>
                  <w:noWrap w:val="0"/>
                  <w:vAlign w:val="center"/>
                </w:tcPr>
                <w:p>
                  <w:pPr>
                    <w:pStyle w:val="4"/>
                    <w:spacing w:line="240" w:lineRule="auto"/>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导眼</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624" w:type="dxa"/>
                  <w:noWrap w:val="0"/>
                  <w:vAlign w:val="center"/>
                </w:tcPr>
                <w:p>
                  <w:pPr>
                    <w:pStyle w:val="4"/>
                    <w:spacing w:line="240" w:lineRule="auto"/>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一开</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4" w:type="pct"/>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624" w:type="dxa"/>
                  <w:noWrap w:val="0"/>
                  <w:vAlign w:val="center"/>
                </w:tcPr>
                <w:p>
                  <w:pPr>
                    <w:pStyle w:val="4"/>
                    <w:spacing w:line="240" w:lineRule="auto"/>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二开</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31" w:type="pct"/>
                  <w:gridSpan w:val="2"/>
                  <w:noWrap w:val="0"/>
                  <w:vAlign w:val="top"/>
                </w:tcPr>
                <w:p>
                  <w:pPr>
                    <w:pStyle w:val="4"/>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合计</w:t>
                  </w:r>
                </w:p>
              </w:tc>
              <w:tc>
                <w:tcPr>
                  <w:tcW w:w="2468" w:type="pct"/>
                  <w:noWrap w:val="0"/>
                  <w:vAlign w:val="center"/>
                </w:tcPr>
                <w:p>
                  <w:pPr>
                    <w:pStyle w:val="4"/>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340.6</w:t>
                  </w:r>
                </w:p>
              </w:tc>
            </w:tr>
          </w:tbl>
          <w:p>
            <w:pPr>
              <w:spacing w:line="360" w:lineRule="auto"/>
              <w:ind w:firstLine="480" w:firstLineChars="200"/>
              <w:jc w:val="left"/>
              <w:rPr>
                <w:color w:val="auto"/>
                <w:kern w:val="0"/>
              </w:rPr>
            </w:pPr>
            <w:r>
              <w:rPr>
                <w:rFonts w:hint="default" w:ascii="Times New Roman" w:hAnsi="Times New Roman" w:cs="Times New Roman"/>
                <w:color w:val="auto"/>
                <w:lang w:val="en-US" w:eastAsia="zh-CN"/>
              </w:rPr>
              <w:t>计算得知：</w:t>
            </w:r>
            <w:r>
              <w:rPr>
                <w:rFonts w:hint="eastAsia" w:cs="Times New Roman"/>
                <w:color w:val="auto"/>
                <w:lang w:val="en-US" w:eastAsia="zh-CN"/>
              </w:rPr>
              <w:t>沙帐1</w:t>
            </w:r>
            <w:r>
              <w:rPr>
                <w:rFonts w:hint="default" w:ascii="Times New Roman" w:hAnsi="Times New Roman" w:cs="Times New Roman"/>
                <w:color w:val="auto"/>
                <w:lang w:val="en-US" w:eastAsia="zh-CN"/>
              </w:rPr>
              <w:t>井钻井岩屑产生</w:t>
            </w:r>
            <w:r>
              <w:rPr>
                <w:rFonts w:hint="eastAsia" w:ascii="Times New Roman" w:hAnsi="Times New Roman" w:cs="Times New Roman"/>
                <w:color w:val="auto"/>
                <w:lang w:val="en-US" w:eastAsia="zh-CN"/>
              </w:rPr>
              <w:t>量</w:t>
            </w:r>
            <w:r>
              <w:rPr>
                <w:rFonts w:hint="default" w:ascii="Times New Roman" w:hAnsi="Times New Roman" w:cs="Times New Roman"/>
                <w:color w:val="auto"/>
                <w:lang w:val="en-US" w:eastAsia="zh-CN"/>
              </w:rPr>
              <w:t>约</w:t>
            </w:r>
            <w:r>
              <w:rPr>
                <w:rFonts w:hint="eastAsia" w:cs="Times New Roman"/>
                <w:color w:val="auto"/>
                <w:lang w:val="en-US" w:eastAsia="zh-CN"/>
              </w:rPr>
              <w:t>340.6</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lang w:val="en-US" w:eastAsia="zh-CN"/>
              </w:rPr>
              <w:t>。</w:t>
            </w:r>
            <w:bookmarkStart w:id="70" w:name="_Hlk68100090"/>
          </w:p>
          <w:bookmarkEnd w:id="70"/>
          <w:p>
            <w:pPr>
              <w:pStyle w:val="4"/>
              <w:rPr>
                <w:rFonts w:hint="eastAsia"/>
                <w:color w:val="auto"/>
              </w:rPr>
            </w:pPr>
            <w:r>
              <w:rPr>
                <w:color w:val="auto"/>
              </w:rPr>
              <w:t>本项目钻井泥浆为</w:t>
            </w:r>
            <w:r>
              <w:rPr>
                <w:rFonts w:hint="eastAsia"/>
                <w:color w:val="auto"/>
                <w:lang w:val="en-US" w:eastAsia="zh-CN"/>
              </w:rPr>
              <w:t>环保型</w:t>
            </w:r>
            <w:r>
              <w:rPr>
                <w:rFonts w:hint="eastAsia"/>
                <w:color w:val="auto"/>
              </w:rPr>
              <w:t>水基</w:t>
            </w:r>
            <w:r>
              <w:rPr>
                <w:color w:val="auto"/>
              </w:rPr>
              <w:t>泥浆，</w:t>
            </w:r>
            <w:r>
              <w:rPr>
                <w:rFonts w:hint="eastAsia"/>
                <w:color w:val="auto"/>
                <w:kern w:val="0"/>
              </w:rPr>
              <w:t>钻井采用“泥浆不落地工艺”进行固液分离，</w:t>
            </w:r>
            <w:r>
              <w:rPr>
                <w:rFonts w:hint="eastAsia"/>
                <w:color w:val="auto"/>
              </w:rPr>
              <w:t>分离</w:t>
            </w:r>
            <w:r>
              <w:rPr>
                <w:rFonts w:hint="eastAsia"/>
                <w:color w:val="auto"/>
                <w:lang w:val="en-US" w:eastAsia="zh-CN"/>
              </w:rPr>
              <w:t>出</w:t>
            </w:r>
            <w:r>
              <w:rPr>
                <w:rFonts w:hint="eastAsia"/>
                <w:color w:val="auto"/>
              </w:rPr>
              <w:t>的液相回用于钻井液配备，</w:t>
            </w:r>
            <w:r>
              <w:rPr>
                <w:rFonts w:hint="eastAsia"/>
                <w:color w:val="auto"/>
                <w:kern w:val="0"/>
              </w:rPr>
              <w:t>完井后剩余泥浆由专业服务公司进行回收利用，不外排</w:t>
            </w:r>
            <w:r>
              <w:rPr>
                <w:rFonts w:hint="eastAsia"/>
                <w:color w:val="auto"/>
                <w:kern w:val="0"/>
                <w:lang w:eastAsia="zh-CN"/>
              </w:rPr>
              <w:t>；</w:t>
            </w:r>
            <w:r>
              <w:rPr>
                <w:rFonts w:hint="eastAsia"/>
                <w:color w:val="auto"/>
              </w:rPr>
              <w:t>分离</w:t>
            </w:r>
            <w:r>
              <w:rPr>
                <w:rFonts w:hint="eastAsia"/>
                <w:color w:val="auto"/>
                <w:lang w:val="en-US" w:eastAsia="zh-CN"/>
              </w:rPr>
              <w:t>出</w:t>
            </w:r>
            <w:r>
              <w:rPr>
                <w:rFonts w:hint="eastAsia"/>
                <w:color w:val="auto"/>
              </w:rPr>
              <w:t>的</w:t>
            </w:r>
            <w:r>
              <w:rPr>
                <w:rFonts w:hint="eastAsia"/>
                <w:color w:val="auto"/>
                <w:lang w:val="en-US" w:eastAsia="zh-CN"/>
              </w:rPr>
              <w:t>钻井岩屑</w:t>
            </w:r>
            <w:r>
              <w:rPr>
                <w:rFonts w:hint="eastAsia"/>
                <w:color w:val="auto"/>
              </w:rPr>
              <w:t>临时贮存在井场内的</w:t>
            </w:r>
            <w:r>
              <w:rPr>
                <w:rFonts w:hint="eastAsia"/>
                <w:color w:val="auto"/>
                <w:lang w:eastAsia="zh-CN"/>
              </w:rPr>
              <w:t>方形收集池（</w:t>
            </w:r>
            <w:r>
              <w:rPr>
                <w:rFonts w:hint="eastAsia"/>
                <w:color w:val="auto"/>
                <w:lang w:val="en-US" w:eastAsia="zh-CN"/>
              </w:rPr>
              <w:t>收集池容积200m</w:t>
            </w:r>
            <w:r>
              <w:rPr>
                <w:rFonts w:hint="eastAsia"/>
                <w:color w:val="auto"/>
                <w:vertAlign w:val="superscript"/>
                <w:lang w:val="en-US" w:eastAsia="zh-CN"/>
              </w:rPr>
              <w:t>3</w:t>
            </w:r>
            <w:r>
              <w:rPr>
                <w:rFonts w:hint="eastAsia"/>
                <w:color w:val="auto"/>
                <w:lang w:eastAsia="zh-CN"/>
              </w:rPr>
              <w:t>）</w:t>
            </w:r>
            <w:r>
              <w:rPr>
                <w:rFonts w:hint="eastAsia"/>
                <w:color w:val="auto"/>
              </w:rPr>
              <w:t>，经检测满足《油气田钻井固体废物综合利用污染控制要求》（DB65/T3997-2017）中</w:t>
            </w:r>
            <w:r>
              <w:rPr>
                <w:rFonts w:hint="eastAsia"/>
                <w:color w:val="auto"/>
                <w:lang w:val="en-US" w:eastAsia="zh-CN"/>
              </w:rPr>
              <w:t>综合利用</w:t>
            </w:r>
            <w:r>
              <w:rPr>
                <w:rFonts w:hint="eastAsia"/>
                <w:color w:val="auto"/>
              </w:rPr>
              <w:t>污染物限值后，用于铺垫井场等综合利用</w:t>
            </w:r>
            <w:r>
              <w:rPr>
                <w:rFonts w:hint="eastAsia"/>
                <w:color w:val="auto"/>
                <w:kern w:val="0"/>
              </w:rPr>
              <w:t>，检测不合格的岩屑委托有资质的单位处理</w:t>
            </w:r>
            <w:r>
              <w:rPr>
                <w:rFonts w:hint="eastAsia"/>
                <w:color w:val="auto"/>
              </w:rPr>
              <w:t>。</w:t>
            </w:r>
          </w:p>
          <w:p>
            <w:pPr>
              <w:pStyle w:val="4"/>
              <w:rPr>
                <w:color w:val="auto"/>
              </w:rPr>
            </w:pPr>
            <w:r>
              <w:rPr>
                <w:color w:val="auto"/>
              </w:rPr>
              <w:t>泥浆不落地处理是将钻井泥浆中的钻屑含水率进行控制，稳定液相性能，达到不落地的目的，使其液相在不破坏的情况下，满足二次利用要求。泥浆不落地处理系统能有效实现当前环保要求的社会价值，更大化实现钻井现场钻井液有效利用的经济价值。</w:t>
            </w:r>
          </w:p>
          <w:p>
            <w:pPr>
              <w:pStyle w:val="4"/>
              <w:rPr>
                <w:color w:val="auto"/>
              </w:rPr>
            </w:pPr>
            <w:r>
              <w:rPr>
                <w:rFonts w:hint="eastAsia"/>
                <w:color w:val="auto"/>
              </w:rPr>
              <w:t>（3）压裂返排液</w:t>
            </w:r>
          </w:p>
          <w:p>
            <w:pPr>
              <w:pStyle w:val="4"/>
              <w:rPr>
                <w:rFonts w:hint="eastAsia"/>
                <w:color w:val="auto"/>
              </w:rPr>
            </w:pPr>
            <w:r>
              <w:rPr>
                <w:rFonts w:hint="eastAsia" w:cs="宋体"/>
                <w:color w:val="auto"/>
              </w:rPr>
              <w:t>根据《排放源统计调查产排污核算方法和系数手册2021》</w:t>
            </w:r>
            <w:r>
              <w:rPr>
                <w:rFonts w:ascii="Times New Roman" w:hAnsi="Times New Roman"/>
                <w:color w:val="auto"/>
                <w:sz w:val="24"/>
                <w:highlight w:val="none"/>
              </w:rPr>
              <w:t>（公告2021年第24号）</w:t>
            </w:r>
            <w:r>
              <w:rPr>
                <w:rFonts w:hint="eastAsia" w:cs="宋体"/>
                <w:color w:val="auto"/>
                <w:lang w:val="en-US" w:eastAsia="zh-CN"/>
              </w:rPr>
              <w:t>结果</w:t>
            </w:r>
            <w:r>
              <w:rPr>
                <w:rFonts w:hint="eastAsia"/>
                <w:color w:val="auto"/>
              </w:rPr>
              <w:t>，压裂返排液产污系数</w:t>
            </w:r>
            <w:r>
              <w:rPr>
                <w:rFonts w:hint="eastAsia"/>
                <w:color w:val="auto"/>
                <w:lang w:val="en-US" w:eastAsia="zh-CN"/>
              </w:rPr>
              <w:t>153.21</w:t>
            </w:r>
            <w:r>
              <w:rPr>
                <w:rFonts w:hint="eastAsia"/>
                <w:color w:val="auto"/>
              </w:rPr>
              <w:t>m</w:t>
            </w:r>
            <w:r>
              <w:rPr>
                <w:color w:val="auto"/>
                <w:vertAlign w:val="superscript"/>
              </w:rPr>
              <w:t>3</w:t>
            </w:r>
            <w:r>
              <w:rPr>
                <w:rFonts w:hint="eastAsia"/>
                <w:color w:val="auto"/>
              </w:rPr>
              <w:t>/井，本项目</w:t>
            </w:r>
            <w:r>
              <w:rPr>
                <w:rFonts w:hint="eastAsia"/>
                <w:color w:val="auto"/>
                <w:lang w:val="en-US" w:eastAsia="zh-CN"/>
              </w:rPr>
              <w:t>1口井</w:t>
            </w:r>
            <w:r>
              <w:rPr>
                <w:rFonts w:hint="eastAsia"/>
                <w:color w:val="auto"/>
              </w:rPr>
              <w:t>试油期压裂1次，则压裂返排液产生量为</w:t>
            </w:r>
            <w:r>
              <w:rPr>
                <w:rFonts w:hint="eastAsia"/>
                <w:color w:val="auto"/>
                <w:lang w:val="en-US" w:eastAsia="zh-CN"/>
              </w:rPr>
              <w:t>153.21</w:t>
            </w:r>
            <w:r>
              <w:rPr>
                <w:rFonts w:hint="eastAsia"/>
                <w:color w:val="auto"/>
              </w:rPr>
              <w:t>m</w:t>
            </w:r>
            <w:r>
              <w:rPr>
                <w:color w:val="auto"/>
                <w:vertAlign w:val="superscript"/>
              </w:rPr>
              <w:t>3</w:t>
            </w:r>
            <w:r>
              <w:rPr>
                <w:rFonts w:hint="eastAsia"/>
                <w:color w:val="auto"/>
                <w:lang w:eastAsia="zh-CN"/>
              </w:rPr>
              <w:t>，</w:t>
            </w:r>
            <w:r>
              <w:rPr>
                <w:rFonts w:hint="eastAsia"/>
                <w:color w:val="auto"/>
              </w:rPr>
              <w:t>参考同地区压裂返排液污染物浓度调查，COD浓度1000~5000</w:t>
            </w:r>
            <w:r>
              <w:rPr>
                <w:color w:val="auto"/>
              </w:rPr>
              <w:t>mg/L</w:t>
            </w:r>
            <w:r>
              <w:rPr>
                <w:rFonts w:hint="eastAsia"/>
                <w:color w:val="auto"/>
              </w:rPr>
              <w:t>，石油类浓度200~500</w:t>
            </w:r>
            <w:r>
              <w:rPr>
                <w:color w:val="auto"/>
              </w:rPr>
              <w:t>mg/L。</w:t>
            </w:r>
            <w:r>
              <w:rPr>
                <w:rFonts w:hint="eastAsia"/>
                <w:color w:val="auto"/>
              </w:rPr>
              <w:t>进入罐车拉运至吉祥联合站</w:t>
            </w:r>
            <w:r>
              <w:rPr>
                <w:rFonts w:hint="eastAsia"/>
                <w:color w:val="auto"/>
                <w:lang w:eastAsia="zh-CN"/>
              </w:rPr>
              <w:t>，拉运过程中要求满足</w:t>
            </w:r>
            <w:r>
              <w:rPr>
                <w:rFonts w:hint="eastAsia" w:ascii="Times New Roman" w:hAnsi="Times New Roman" w:eastAsia="宋体" w:cs="Times New Roman"/>
                <w:i w:val="0"/>
                <w:color w:val="auto"/>
                <w:shd w:val="clear" w:color="auto" w:fill="auto"/>
              </w:rPr>
              <w:t>《危险废物收集 贮存 运输技术规范（H</w:t>
            </w:r>
            <w:r>
              <w:rPr>
                <w:rFonts w:hint="default" w:ascii="Times New Roman" w:hAnsi="Times New Roman" w:eastAsia="宋体" w:cs="Times New Roman"/>
                <w:i w:val="0"/>
                <w:color w:val="auto"/>
                <w:shd w:val="clear" w:color="auto" w:fill="auto"/>
              </w:rPr>
              <w:t>J 2025-2012</w:t>
            </w:r>
            <w:r>
              <w:rPr>
                <w:rFonts w:hint="eastAsia" w:ascii="Times New Roman" w:hAnsi="Times New Roman" w:eastAsia="宋体" w:cs="Times New Roman"/>
                <w:i w:val="0"/>
                <w:color w:val="auto"/>
                <w:shd w:val="clear" w:color="auto" w:fill="auto"/>
              </w:rPr>
              <w:t>）》</w:t>
            </w:r>
            <w:r>
              <w:rPr>
                <w:rFonts w:hint="eastAsia" w:ascii="Times New Roman" w:hAnsi="Times New Roman" w:eastAsia="宋体" w:cs="Times New Roman"/>
                <w:i w:val="0"/>
                <w:color w:val="auto"/>
                <w:shd w:val="clear" w:color="auto" w:fill="auto"/>
                <w:lang w:eastAsia="zh-CN"/>
              </w:rPr>
              <w:t>；</w:t>
            </w:r>
            <w:r>
              <w:rPr>
                <w:color w:val="auto"/>
              </w:rPr>
              <w:t>根据《新疆准葛尔盆地准东地区油气勘查区块内部流转协议》，</w:t>
            </w:r>
            <w:r>
              <w:rPr>
                <w:rFonts w:hint="eastAsia"/>
                <w:color w:val="auto"/>
                <w:lang w:eastAsia="zh-CN"/>
              </w:rPr>
              <w:t>本项目进入吉祥联合站属于内部流转；压裂返排液进入联合站暂存池，后期上清液进入污水处理系统处理；根据《固体废物鉴别标准</w:t>
            </w:r>
            <w:r>
              <w:rPr>
                <w:rFonts w:hint="eastAsia"/>
                <w:color w:val="auto"/>
                <w:lang w:val="en-US" w:eastAsia="zh-CN"/>
              </w:rPr>
              <w:t xml:space="preserve"> 通则</w:t>
            </w:r>
            <w:r>
              <w:rPr>
                <w:rFonts w:hint="eastAsia"/>
                <w:color w:val="auto"/>
                <w:lang w:eastAsia="zh-CN"/>
              </w:rPr>
              <w:t>》（</w:t>
            </w:r>
            <w:r>
              <w:rPr>
                <w:rFonts w:hint="eastAsia"/>
                <w:color w:val="auto"/>
                <w:lang w:val="en-US" w:eastAsia="zh-CN"/>
              </w:rPr>
              <w:t>GB 34330-2017</w:t>
            </w:r>
            <w:r>
              <w:rPr>
                <w:rFonts w:hint="eastAsia"/>
                <w:color w:val="auto"/>
                <w:lang w:eastAsia="zh-CN"/>
              </w:rPr>
              <w:t>）</w:t>
            </w:r>
            <w:r>
              <w:rPr>
                <w:rFonts w:hint="eastAsia"/>
                <w:color w:val="auto"/>
                <w:lang w:val="en-US" w:eastAsia="zh-CN"/>
              </w:rPr>
              <w:t>，本项目压裂返排液不作为固体废物管理；压裂返排液</w:t>
            </w:r>
            <w:r>
              <w:rPr>
                <w:rFonts w:hint="eastAsia"/>
                <w:color w:val="auto"/>
                <w:lang w:eastAsia="zh-CN"/>
              </w:rPr>
              <w:t>进入污水处理系统处理</w:t>
            </w:r>
            <w:r>
              <w:rPr>
                <w:color w:val="auto"/>
              </w:rPr>
              <w:t>污水处理后达到《碎屑岩油藏注水水质推荐指标及分析方法》（SY/T5329-2012）中标准限值后回注</w:t>
            </w:r>
            <w:r>
              <w:rPr>
                <w:rFonts w:hint="eastAsia"/>
                <w:color w:val="auto"/>
                <w:lang w:eastAsia="zh-CN"/>
              </w:rPr>
              <w:t>油藏；油泥等危险废物委托有资质单位进行处置。</w:t>
            </w:r>
          </w:p>
          <w:p>
            <w:pPr>
              <w:pStyle w:val="4"/>
              <w:rPr>
                <w:color w:val="auto"/>
              </w:rPr>
            </w:pPr>
            <w:r>
              <w:rPr>
                <w:rFonts w:hint="eastAsia"/>
                <w:color w:val="auto"/>
              </w:rPr>
              <w:t>（</w:t>
            </w:r>
            <w:r>
              <w:rPr>
                <w:color w:val="auto"/>
              </w:rPr>
              <w:t>4</w:t>
            </w:r>
            <w:r>
              <w:rPr>
                <w:rFonts w:hint="eastAsia"/>
                <w:color w:val="auto"/>
              </w:rPr>
              <w:t>）落地油</w:t>
            </w:r>
          </w:p>
          <w:p>
            <w:pPr>
              <w:pStyle w:val="4"/>
              <w:rPr>
                <w:color w:val="auto"/>
              </w:rPr>
            </w:pPr>
            <w:r>
              <w:rPr>
                <w:color w:val="auto"/>
              </w:rPr>
              <w:t>落地原油按照《国家危险废物名录》的划分为废矿物油与含矿物油废物类，其危险废物编号为HW08</w:t>
            </w:r>
            <w:r>
              <w:rPr>
                <w:rFonts w:hint="eastAsia"/>
                <w:color w:val="auto"/>
              </w:rPr>
              <w:t xml:space="preserve"> </w:t>
            </w:r>
            <w:r>
              <w:rPr>
                <w:color w:val="auto"/>
              </w:rPr>
              <w:t>900-249-08。本工程钻井期和试油期间</w:t>
            </w:r>
            <w:r>
              <w:rPr>
                <w:rFonts w:hint="eastAsia"/>
                <w:color w:val="auto"/>
              </w:rPr>
              <w:t>事故状态下</w:t>
            </w:r>
            <w:r>
              <w:rPr>
                <w:color w:val="auto"/>
              </w:rPr>
              <w:t>可能产生少量落地原油，落地油要求100%回收，并且采取了严格的防控措施，</w:t>
            </w:r>
            <w:r>
              <w:rPr>
                <w:color w:val="auto"/>
              </w:rPr>
              <w:t>产生的少量落地原油用专用罐收集，交由有危险废物处置资质的单位处置</w:t>
            </w:r>
            <w:r>
              <w:rPr>
                <w:rFonts w:hint="eastAsia"/>
                <w:color w:val="auto"/>
              </w:rPr>
              <w:t>，不在场区内暂存</w:t>
            </w:r>
            <w:r>
              <w:rPr>
                <w:color w:val="auto"/>
              </w:rPr>
              <w:t>。</w:t>
            </w:r>
          </w:p>
          <w:p>
            <w:pPr>
              <w:pStyle w:val="4"/>
              <w:rPr>
                <w:rFonts w:hint="default" w:eastAsia="宋体"/>
                <w:color w:val="auto"/>
                <w:lang w:val="en-US" w:eastAsia="zh-CN"/>
              </w:rPr>
            </w:pPr>
            <w:r>
              <w:rPr>
                <w:rFonts w:hint="eastAsia"/>
                <w:color w:val="auto"/>
              </w:rPr>
              <w:t>（5）废弃防渗膜</w:t>
            </w:r>
            <w:r>
              <w:rPr>
                <w:rFonts w:hint="eastAsia"/>
                <w:color w:val="auto"/>
                <w:lang w:eastAsia="zh-CN"/>
              </w:rPr>
              <w:t>、</w:t>
            </w:r>
            <w:r>
              <w:rPr>
                <w:rFonts w:hint="eastAsia"/>
                <w:color w:val="auto"/>
                <w:lang w:val="en-US" w:eastAsia="zh-CN"/>
              </w:rPr>
              <w:t>含油抹布、劳保用品</w:t>
            </w:r>
          </w:p>
          <w:p>
            <w:pPr>
              <w:pStyle w:val="4"/>
              <w:rPr>
                <w:color w:val="auto"/>
              </w:rPr>
            </w:pPr>
            <w:r>
              <w:rPr>
                <w:rFonts w:hint="eastAsia"/>
                <w:color w:val="auto"/>
              </w:rPr>
              <w:t>废弃防渗膜根据</w:t>
            </w:r>
            <w:r>
              <w:rPr>
                <w:color w:val="auto"/>
              </w:rPr>
              <w:t>《国家危险废物名录（2021年版）》</w:t>
            </w:r>
            <w:r>
              <w:rPr>
                <w:rFonts w:hint="eastAsia"/>
                <w:color w:val="auto"/>
              </w:rPr>
              <w:t>“</w:t>
            </w:r>
            <w:r>
              <w:rPr>
                <w:color w:val="auto"/>
              </w:rPr>
              <w:t>HW08废矿物油与含矿物油废物类</w:t>
            </w:r>
            <w:r>
              <w:rPr>
                <w:rFonts w:hint="eastAsia"/>
                <w:color w:val="auto"/>
              </w:rPr>
              <w:t>”</w:t>
            </w:r>
            <w:r>
              <w:rPr>
                <w:color w:val="auto"/>
              </w:rPr>
              <w:t>，</w:t>
            </w:r>
            <w:r>
              <w:rPr>
                <w:rFonts w:hint="eastAsia"/>
                <w:color w:val="auto"/>
              </w:rPr>
              <w:t>属于使用过程中沾染矿物油的废弃包装物，危废代码为900-249-08</w:t>
            </w:r>
            <w:r>
              <w:rPr>
                <w:color w:val="auto"/>
              </w:rPr>
              <w:t>。</w:t>
            </w:r>
            <w:r>
              <w:rPr>
                <w:rFonts w:hint="eastAsia"/>
                <w:color w:val="auto"/>
              </w:rPr>
              <w:t>本项目钻井施工期及试油作业期在施工区域铺垫防渗膜，防止施工过程中产生的废油污染土壤，防渗膜可重复利用，若使用过程中防渗膜破损无法再次利用，则沾满油泥的废弃防渗膜作为危险废物，委托有危废处置资质单位回收。</w:t>
            </w:r>
          </w:p>
          <w:p>
            <w:pPr>
              <w:pStyle w:val="4"/>
              <w:rPr>
                <w:rFonts w:hint="eastAsia"/>
                <w:color w:val="auto"/>
              </w:rPr>
            </w:pPr>
            <w:r>
              <w:rPr>
                <w:rFonts w:hint="eastAsia"/>
                <w:b w:val="0"/>
                <w:bCs w:val="0"/>
                <w:color w:val="auto"/>
                <w:sz w:val="24"/>
                <w:szCs w:val="24"/>
                <w:lang w:val="en-US" w:eastAsia="zh-CN"/>
              </w:rPr>
              <w:t>根据《国家危险废物名录（2021年版）》，废弃的含油抹布、劳保用品废物类别代码为900-041-49。</w:t>
            </w:r>
            <w:r>
              <w:rPr>
                <w:rFonts w:hint="eastAsia"/>
                <w:color w:val="auto"/>
              </w:rPr>
              <w:t>钻井施工期及试油作业期</w:t>
            </w:r>
            <w:r>
              <w:rPr>
                <w:rFonts w:hint="eastAsia"/>
                <w:color w:val="auto"/>
                <w:lang w:val="en-US" w:eastAsia="zh-CN"/>
              </w:rPr>
              <w:t>产生的含油抹布、劳保用品，</w:t>
            </w:r>
            <w:r>
              <w:rPr>
                <w:rFonts w:hint="eastAsia"/>
                <w:b w:val="0"/>
                <w:bCs w:val="0"/>
                <w:color w:val="auto"/>
                <w:sz w:val="24"/>
                <w:szCs w:val="24"/>
                <w:lang w:val="en-US" w:eastAsia="zh-CN"/>
              </w:rPr>
              <w:t>统一收集后</w:t>
            </w:r>
            <w:r>
              <w:rPr>
                <w:rFonts w:hint="eastAsia"/>
                <w:color w:val="auto"/>
              </w:rPr>
              <w:t>委托有危废处置资质单位回收</w:t>
            </w:r>
            <w:r>
              <w:rPr>
                <w:rFonts w:hint="eastAsia"/>
                <w:color w:val="auto"/>
                <w:lang w:val="en-US" w:eastAsia="zh-CN"/>
              </w:rPr>
              <w:t>处置</w:t>
            </w:r>
            <w:r>
              <w:rPr>
                <w:rFonts w:hint="eastAsia"/>
                <w:color w:val="auto"/>
              </w:rPr>
              <w:t>。</w:t>
            </w:r>
          </w:p>
          <w:p>
            <w:pPr>
              <w:pStyle w:val="4"/>
              <w:rPr>
                <w:color w:val="auto"/>
              </w:rPr>
            </w:pPr>
            <w:r>
              <w:rPr>
                <w:rFonts w:hint="eastAsia"/>
                <w:color w:val="auto"/>
              </w:rPr>
              <w:t>（</w:t>
            </w:r>
            <w:r>
              <w:rPr>
                <w:color w:val="auto"/>
              </w:rPr>
              <w:t>6</w:t>
            </w:r>
            <w:r>
              <w:rPr>
                <w:rFonts w:hint="eastAsia"/>
                <w:color w:val="auto"/>
              </w:rPr>
              <w:t>）生活垃圾</w:t>
            </w:r>
          </w:p>
          <w:p>
            <w:pPr>
              <w:pStyle w:val="4"/>
              <w:rPr>
                <w:color w:val="auto"/>
              </w:rPr>
            </w:pPr>
            <w:r>
              <w:rPr>
                <w:color w:val="auto"/>
              </w:rPr>
              <w:t>钻井期间生活垃圾按每人每天产生0.5kg计，钻井期钻井人数40人，钻井期</w:t>
            </w:r>
            <w:r>
              <w:rPr>
                <w:rFonts w:hint="eastAsia"/>
                <w:color w:val="auto"/>
                <w:lang w:val="en-US" w:eastAsia="zh-CN"/>
              </w:rPr>
              <w:t>42</w:t>
            </w:r>
            <w:r>
              <w:rPr>
                <w:color w:val="auto"/>
              </w:rPr>
              <w:t>天，本项目钻井阶段产生的生活垃圾约</w:t>
            </w:r>
            <w:r>
              <w:rPr>
                <w:rFonts w:hint="eastAsia"/>
                <w:color w:val="auto"/>
                <w:lang w:val="en-US" w:eastAsia="zh-CN"/>
              </w:rPr>
              <w:t>0.84</w:t>
            </w:r>
            <w:r>
              <w:rPr>
                <w:color w:val="auto"/>
              </w:rPr>
              <w:t>t。生活垃圾集中收集，定期拉运至</w:t>
            </w:r>
            <w:r>
              <w:rPr>
                <w:rFonts w:hint="eastAsia"/>
                <w:color w:val="auto"/>
                <w:lang w:val="en-US" w:eastAsia="zh-CN"/>
              </w:rPr>
              <w:t>吉木萨尔</w:t>
            </w:r>
            <w:r>
              <w:rPr>
                <w:rFonts w:hint="eastAsia"/>
                <w:color w:val="auto"/>
              </w:rPr>
              <w:t>县生活垃圾填埋场</w:t>
            </w:r>
            <w:r>
              <w:rPr>
                <w:color w:val="auto"/>
              </w:rPr>
              <w:t>处理。</w:t>
            </w:r>
          </w:p>
          <w:p>
            <w:pPr>
              <w:pStyle w:val="4"/>
              <w:rPr>
                <w:color w:val="auto"/>
              </w:rPr>
            </w:pPr>
            <w:r>
              <w:rPr>
                <w:rFonts w:hint="eastAsia"/>
                <w:color w:val="auto"/>
              </w:rPr>
              <w:t>（</w:t>
            </w:r>
            <w:r>
              <w:rPr>
                <w:color w:val="auto"/>
              </w:rPr>
              <w:t>7</w:t>
            </w:r>
            <w:r>
              <w:rPr>
                <w:rFonts w:hint="eastAsia"/>
                <w:color w:val="auto"/>
              </w:rPr>
              <w:t>）小结</w:t>
            </w:r>
          </w:p>
          <w:p>
            <w:pPr>
              <w:pStyle w:val="4"/>
              <w:rPr>
                <w:color w:val="auto"/>
              </w:rPr>
            </w:pPr>
            <w:r>
              <w:rPr>
                <w:rFonts w:hint="eastAsia"/>
                <w:color w:val="auto"/>
              </w:rPr>
              <w:t>本项目施工期固废的名称、类别、属性和数量等情况详见表</w:t>
            </w:r>
            <w:r>
              <w:rPr>
                <w:color w:val="auto"/>
              </w:rPr>
              <w:t>4</w:t>
            </w:r>
            <w:r>
              <w:rPr>
                <w:rFonts w:hint="eastAsia"/>
                <w:color w:val="auto"/>
              </w:rPr>
              <w:t>-</w:t>
            </w:r>
            <w:r>
              <w:rPr>
                <w:rFonts w:hint="eastAsia"/>
                <w:color w:val="auto"/>
                <w:lang w:val="en-US" w:eastAsia="zh-CN"/>
              </w:rPr>
              <w:t>12</w:t>
            </w:r>
            <w:r>
              <w:rPr>
                <w:rFonts w:hint="eastAsia"/>
                <w:color w:val="auto"/>
              </w:rPr>
              <w:t>。</w:t>
            </w:r>
          </w:p>
          <w:p>
            <w:pPr>
              <w:pStyle w:val="27"/>
              <w:rPr>
                <w:color w:val="auto"/>
              </w:rPr>
            </w:pPr>
            <w:r>
              <w:rPr>
                <w:rFonts w:hint="eastAsia"/>
                <w:color w:val="auto"/>
              </w:rPr>
              <w:t>表</w:t>
            </w:r>
            <w:r>
              <w:rPr>
                <w:color w:val="auto"/>
              </w:rPr>
              <w:t>4</w:t>
            </w:r>
            <w:r>
              <w:rPr>
                <w:rFonts w:hint="eastAsia"/>
                <w:color w:val="auto"/>
              </w:rPr>
              <w:t>-</w:t>
            </w:r>
            <w:r>
              <w:rPr>
                <w:rFonts w:hint="eastAsia"/>
                <w:color w:val="auto"/>
                <w:lang w:val="en-US" w:eastAsia="zh-CN"/>
              </w:rPr>
              <w:t>12</w:t>
            </w:r>
            <w:r>
              <w:rPr>
                <w:rFonts w:hint="eastAsia"/>
                <w:color w:val="auto"/>
              </w:rPr>
              <w:t xml:space="preserve">  施工期固废情况一览表</w:t>
            </w:r>
          </w:p>
          <w:tbl>
            <w:tblPr>
              <w:tblStyle w:val="17"/>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02"/>
              <w:gridCol w:w="859"/>
              <w:gridCol w:w="1338"/>
              <w:gridCol w:w="921"/>
              <w:gridCol w:w="36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center"/>
                </w:tcPr>
                <w:p>
                  <w:pPr>
                    <w:pStyle w:val="28"/>
                    <w:rPr>
                      <w:color w:val="auto"/>
                    </w:rPr>
                  </w:pPr>
                  <w:bookmarkStart w:id="71" w:name="_Hlk48510422"/>
                  <w:bookmarkStart w:id="72" w:name="_Hlk48503266"/>
                  <w:bookmarkStart w:id="73" w:name="_Ref458582815"/>
                  <w:r>
                    <w:rPr>
                      <w:rFonts w:hint="eastAsia"/>
                      <w:color w:val="auto"/>
                    </w:rPr>
                    <w:t>序号</w:t>
                  </w:r>
                </w:p>
              </w:tc>
              <w:tc>
                <w:tcPr>
                  <w:tcW w:w="902" w:type="dxa"/>
                  <w:shd w:val="clear" w:color="auto" w:fill="auto"/>
                  <w:noWrap w:val="0"/>
                  <w:vAlign w:val="center"/>
                </w:tcPr>
                <w:p>
                  <w:pPr>
                    <w:pStyle w:val="28"/>
                    <w:rPr>
                      <w:color w:val="auto"/>
                    </w:rPr>
                  </w:pPr>
                  <w:r>
                    <w:rPr>
                      <w:color w:val="auto"/>
                    </w:rPr>
                    <w:t>固废名称</w:t>
                  </w:r>
                </w:p>
              </w:tc>
              <w:tc>
                <w:tcPr>
                  <w:tcW w:w="859" w:type="dxa"/>
                  <w:shd w:val="clear" w:color="auto" w:fill="auto"/>
                  <w:noWrap w:val="0"/>
                  <w:vAlign w:val="center"/>
                </w:tcPr>
                <w:p>
                  <w:pPr>
                    <w:pStyle w:val="28"/>
                    <w:rPr>
                      <w:color w:val="auto"/>
                    </w:rPr>
                  </w:pPr>
                  <w:r>
                    <w:rPr>
                      <w:color w:val="auto"/>
                    </w:rPr>
                    <w:t>产生工序</w:t>
                  </w:r>
                </w:p>
              </w:tc>
              <w:tc>
                <w:tcPr>
                  <w:tcW w:w="1338" w:type="dxa"/>
                  <w:shd w:val="clear" w:color="auto" w:fill="auto"/>
                  <w:noWrap w:val="0"/>
                  <w:vAlign w:val="center"/>
                </w:tcPr>
                <w:p>
                  <w:pPr>
                    <w:pStyle w:val="28"/>
                    <w:rPr>
                      <w:color w:val="auto"/>
                    </w:rPr>
                  </w:pPr>
                  <w:r>
                    <w:rPr>
                      <w:rFonts w:hint="eastAsia"/>
                      <w:color w:val="auto"/>
                    </w:rPr>
                    <w:t>固废属性</w:t>
                  </w:r>
                </w:p>
              </w:tc>
              <w:tc>
                <w:tcPr>
                  <w:tcW w:w="921" w:type="dxa"/>
                  <w:shd w:val="clear" w:color="auto" w:fill="auto"/>
                  <w:noWrap w:val="0"/>
                  <w:vAlign w:val="center"/>
                </w:tcPr>
                <w:p>
                  <w:pPr>
                    <w:pStyle w:val="28"/>
                    <w:rPr>
                      <w:color w:val="auto"/>
                    </w:rPr>
                  </w:pPr>
                  <w:r>
                    <w:rPr>
                      <w:color w:val="auto"/>
                    </w:rPr>
                    <w:t>产生量</w:t>
                  </w:r>
                </w:p>
              </w:tc>
              <w:tc>
                <w:tcPr>
                  <w:tcW w:w="3688" w:type="dxa"/>
                  <w:shd w:val="clear" w:color="auto" w:fill="auto"/>
                  <w:noWrap w:val="0"/>
                  <w:vAlign w:val="center"/>
                </w:tcPr>
                <w:p>
                  <w:pPr>
                    <w:pStyle w:val="28"/>
                    <w:rPr>
                      <w:color w:val="auto"/>
                    </w:rPr>
                  </w:pPr>
                  <w:r>
                    <w:rPr>
                      <w:rFonts w:hint="eastAsia"/>
                      <w:color w:val="auto"/>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39" w:type="dxa"/>
                  <w:shd w:val="clear" w:color="auto" w:fill="auto"/>
                  <w:noWrap w:val="0"/>
                  <w:vAlign w:val="center"/>
                </w:tcPr>
                <w:p>
                  <w:pPr>
                    <w:pStyle w:val="28"/>
                    <w:rPr>
                      <w:color w:val="auto"/>
                    </w:rPr>
                  </w:pPr>
                  <w:r>
                    <w:rPr>
                      <w:rFonts w:hint="eastAsia"/>
                      <w:color w:val="auto"/>
                    </w:rPr>
                    <w:t>1</w:t>
                  </w:r>
                </w:p>
              </w:tc>
              <w:tc>
                <w:tcPr>
                  <w:tcW w:w="902" w:type="dxa"/>
                  <w:shd w:val="clear" w:color="auto" w:fill="auto"/>
                  <w:noWrap w:val="0"/>
                  <w:vAlign w:val="center"/>
                </w:tcPr>
                <w:p>
                  <w:pPr>
                    <w:pStyle w:val="28"/>
                    <w:rPr>
                      <w:color w:val="auto"/>
                    </w:rPr>
                  </w:pPr>
                  <w:r>
                    <w:rPr>
                      <w:rFonts w:hint="eastAsia"/>
                      <w:color w:val="auto"/>
                    </w:rPr>
                    <w:t>钻井</w:t>
                  </w:r>
                  <w:r>
                    <w:rPr>
                      <w:color w:val="auto"/>
                    </w:rPr>
                    <w:t>岩屑</w:t>
                  </w:r>
                </w:p>
              </w:tc>
              <w:tc>
                <w:tcPr>
                  <w:tcW w:w="859" w:type="dxa"/>
                  <w:shd w:val="clear" w:color="auto" w:fill="auto"/>
                  <w:noWrap w:val="0"/>
                  <w:vAlign w:val="center"/>
                </w:tcPr>
                <w:p>
                  <w:pPr>
                    <w:pStyle w:val="28"/>
                    <w:rPr>
                      <w:color w:val="auto"/>
                    </w:rPr>
                  </w:pPr>
                  <w:r>
                    <w:rPr>
                      <w:rFonts w:hint="eastAsia"/>
                      <w:color w:val="auto"/>
                    </w:rPr>
                    <w:t>钻井</w:t>
                  </w:r>
                </w:p>
              </w:tc>
              <w:tc>
                <w:tcPr>
                  <w:tcW w:w="1338" w:type="dxa"/>
                  <w:shd w:val="clear" w:color="auto" w:fill="auto"/>
                  <w:noWrap w:val="0"/>
                  <w:vAlign w:val="center"/>
                </w:tcPr>
                <w:p>
                  <w:pPr>
                    <w:pStyle w:val="28"/>
                    <w:rPr>
                      <w:color w:val="auto"/>
                    </w:rPr>
                  </w:pPr>
                  <w:r>
                    <w:rPr>
                      <w:rFonts w:hint="eastAsia"/>
                      <w:color w:val="auto"/>
                    </w:rPr>
                    <w:t>一般工业固废（代码：9</w:t>
                  </w:r>
                  <w:r>
                    <w:rPr>
                      <w:color w:val="auto"/>
                    </w:rPr>
                    <w:t>00</w:t>
                  </w:r>
                  <w:r>
                    <w:rPr>
                      <w:rFonts w:hint="eastAsia"/>
                      <w:color w:val="auto"/>
                    </w:rPr>
                    <w:t>-</w:t>
                  </w:r>
                  <w:r>
                    <w:rPr>
                      <w:color w:val="auto"/>
                    </w:rPr>
                    <w:t>999</w:t>
                  </w:r>
                  <w:r>
                    <w:rPr>
                      <w:rFonts w:hint="eastAsia"/>
                      <w:color w:val="auto"/>
                    </w:rPr>
                    <w:t>-</w:t>
                  </w:r>
                  <w:r>
                    <w:rPr>
                      <w:color w:val="auto"/>
                    </w:rPr>
                    <w:t>99</w:t>
                  </w:r>
                  <w:r>
                    <w:rPr>
                      <w:rFonts w:hint="eastAsia"/>
                      <w:color w:val="auto"/>
                    </w:rPr>
                    <w:t>）</w:t>
                  </w:r>
                </w:p>
              </w:tc>
              <w:tc>
                <w:tcPr>
                  <w:tcW w:w="921" w:type="dxa"/>
                  <w:shd w:val="clear" w:color="auto" w:fill="auto"/>
                  <w:noWrap w:val="0"/>
                  <w:vAlign w:val="center"/>
                </w:tcPr>
                <w:p>
                  <w:pPr>
                    <w:pStyle w:val="28"/>
                    <w:rPr>
                      <w:color w:val="auto"/>
                    </w:rPr>
                  </w:pPr>
                  <w:r>
                    <w:rPr>
                      <w:rFonts w:hint="eastAsia"/>
                      <w:color w:val="auto"/>
                      <w:lang w:val="en-US" w:eastAsia="zh-CN"/>
                    </w:rPr>
                    <w:t>340.6</w:t>
                  </w:r>
                  <w:r>
                    <w:rPr>
                      <w:rFonts w:hint="eastAsia"/>
                      <w:color w:val="auto"/>
                    </w:rPr>
                    <w:t>m</w:t>
                  </w:r>
                  <w:r>
                    <w:rPr>
                      <w:color w:val="auto"/>
                      <w:vertAlign w:val="superscript"/>
                    </w:rPr>
                    <w:t>3</w:t>
                  </w:r>
                </w:p>
              </w:tc>
              <w:tc>
                <w:tcPr>
                  <w:tcW w:w="3688" w:type="dxa"/>
                  <w:vMerge w:val="restart"/>
                  <w:shd w:val="clear" w:color="auto" w:fill="auto"/>
                  <w:noWrap w:val="0"/>
                  <w:vAlign w:val="center"/>
                </w:tcPr>
                <w:p>
                  <w:pPr>
                    <w:pStyle w:val="28"/>
                    <w:rPr>
                      <w:color w:val="auto"/>
                    </w:rPr>
                  </w:pPr>
                  <w:r>
                    <w:rPr>
                      <w:rFonts w:hint="eastAsia"/>
                      <w:color w:val="auto"/>
                    </w:rPr>
                    <w:t>钻井岩屑、泥浆经不落地系统处理实现固液分离，分离后的液相回用于钻井液配备，分离后的固相临时贮存在井场内的</w:t>
                  </w:r>
                  <w:r>
                    <w:rPr>
                      <w:rFonts w:hint="eastAsia"/>
                      <w:color w:val="auto"/>
                      <w:lang w:eastAsia="zh-CN"/>
                    </w:rPr>
                    <w:t>方形收集池</w:t>
                  </w:r>
                  <w:r>
                    <w:rPr>
                      <w:rFonts w:hint="eastAsia"/>
                      <w:color w:val="auto"/>
                    </w:rPr>
                    <w:t>，最终委托有资质单位进行无害化处置；经检测满足《油气田钻井固体废物综合利用污染控制要求》（DB65/T3997-2017）等国家及有关部门、地方相关标准和生态环境保护要求的后，</w:t>
                  </w:r>
                  <w:r>
                    <w:rPr>
                      <w:rFonts w:hint="eastAsia"/>
                      <w:color w:val="auto"/>
                      <w:lang w:eastAsia="zh-CN"/>
                    </w:rPr>
                    <w:t>由第三方自行利用。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center"/>
                </w:tcPr>
                <w:p>
                  <w:pPr>
                    <w:pStyle w:val="28"/>
                    <w:rPr>
                      <w:color w:val="auto"/>
                    </w:rPr>
                  </w:pPr>
                  <w:r>
                    <w:rPr>
                      <w:rFonts w:hint="eastAsia"/>
                      <w:color w:val="auto"/>
                    </w:rPr>
                    <w:t>2</w:t>
                  </w:r>
                </w:p>
              </w:tc>
              <w:tc>
                <w:tcPr>
                  <w:tcW w:w="902" w:type="dxa"/>
                  <w:shd w:val="clear" w:color="auto" w:fill="auto"/>
                  <w:noWrap w:val="0"/>
                  <w:vAlign w:val="center"/>
                </w:tcPr>
                <w:p>
                  <w:pPr>
                    <w:pStyle w:val="28"/>
                    <w:rPr>
                      <w:color w:val="auto"/>
                    </w:rPr>
                  </w:pPr>
                  <w:r>
                    <w:rPr>
                      <w:rFonts w:hint="eastAsia"/>
                      <w:color w:val="auto"/>
                    </w:rPr>
                    <w:t>钻井泥浆</w:t>
                  </w:r>
                </w:p>
              </w:tc>
              <w:tc>
                <w:tcPr>
                  <w:tcW w:w="859" w:type="dxa"/>
                  <w:shd w:val="clear" w:color="auto" w:fill="auto"/>
                  <w:noWrap w:val="0"/>
                  <w:vAlign w:val="center"/>
                </w:tcPr>
                <w:p>
                  <w:pPr>
                    <w:pStyle w:val="28"/>
                    <w:rPr>
                      <w:color w:val="auto"/>
                    </w:rPr>
                  </w:pPr>
                  <w:r>
                    <w:rPr>
                      <w:rFonts w:hint="eastAsia"/>
                      <w:color w:val="auto"/>
                    </w:rPr>
                    <w:t>钻井</w:t>
                  </w:r>
                </w:p>
              </w:tc>
              <w:tc>
                <w:tcPr>
                  <w:tcW w:w="1338" w:type="dxa"/>
                  <w:shd w:val="clear" w:color="auto" w:fill="auto"/>
                  <w:noWrap w:val="0"/>
                  <w:vAlign w:val="center"/>
                </w:tcPr>
                <w:p>
                  <w:pPr>
                    <w:pStyle w:val="28"/>
                    <w:rPr>
                      <w:color w:val="auto"/>
                    </w:rPr>
                  </w:pPr>
                  <w:r>
                    <w:rPr>
                      <w:rFonts w:hint="eastAsia"/>
                      <w:color w:val="auto"/>
                    </w:rPr>
                    <w:t>一般工业固废（代码：9</w:t>
                  </w:r>
                  <w:r>
                    <w:rPr>
                      <w:color w:val="auto"/>
                    </w:rPr>
                    <w:t>00</w:t>
                  </w:r>
                  <w:r>
                    <w:rPr>
                      <w:rFonts w:hint="eastAsia"/>
                      <w:color w:val="auto"/>
                    </w:rPr>
                    <w:t>-</w:t>
                  </w:r>
                  <w:r>
                    <w:rPr>
                      <w:color w:val="auto"/>
                    </w:rPr>
                    <w:t>999</w:t>
                  </w:r>
                  <w:r>
                    <w:rPr>
                      <w:rFonts w:hint="eastAsia"/>
                      <w:color w:val="auto"/>
                    </w:rPr>
                    <w:t>-</w:t>
                  </w:r>
                  <w:r>
                    <w:rPr>
                      <w:color w:val="auto"/>
                    </w:rPr>
                    <w:t>99</w:t>
                  </w:r>
                  <w:r>
                    <w:rPr>
                      <w:rFonts w:hint="eastAsia"/>
                      <w:color w:val="auto"/>
                    </w:rPr>
                    <w:t>）</w:t>
                  </w:r>
                </w:p>
              </w:tc>
              <w:tc>
                <w:tcPr>
                  <w:tcW w:w="921" w:type="dxa"/>
                  <w:shd w:val="clear" w:color="auto" w:fill="auto"/>
                  <w:noWrap w:val="0"/>
                  <w:vAlign w:val="center"/>
                </w:tcPr>
                <w:p>
                  <w:pPr>
                    <w:pStyle w:val="28"/>
                    <w:rPr>
                      <w:color w:val="auto"/>
                    </w:rPr>
                  </w:pPr>
                  <w:r>
                    <w:rPr>
                      <w:rFonts w:hint="eastAsia"/>
                      <w:color w:val="auto"/>
                      <w:lang w:val="en-US" w:eastAsia="zh-CN"/>
                    </w:rPr>
                    <w:t>411.9</w:t>
                  </w:r>
                  <w:r>
                    <w:rPr>
                      <w:color w:val="auto"/>
                    </w:rPr>
                    <w:t>m</w:t>
                  </w:r>
                  <w:r>
                    <w:rPr>
                      <w:color w:val="auto"/>
                      <w:vertAlign w:val="superscript"/>
                    </w:rPr>
                    <w:t>3</w:t>
                  </w:r>
                </w:p>
              </w:tc>
              <w:tc>
                <w:tcPr>
                  <w:tcW w:w="3688" w:type="dxa"/>
                  <w:vMerge w:val="continue"/>
                  <w:shd w:val="clear" w:color="auto" w:fill="auto"/>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center"/>
                </w:tcPr>
                <w:p>
                  <w:pPr>
                    <w:pStyle w:val="28"/>
                    <w:rPr>
                      <w:rFonts w:hint="eastAsia"/>
                      <w:color w:val="auto"/>
                    </w:rPr>
                  </w:pPr>
                  <w:r>
                    <w:rPr>
                      <w:rFonts w:hint="eastAsia"/>
                      <w:color w:val="auto"/>
                    </w:rPr>
                    <w:t>3</w:t>
                  </w:r>
                </w:p>
              </w:tc>
              <w:tc>
                <w:tcPr>
                  <w:tcW w:w="902" w:type="dxa"/>
                  <w:shd w:val="clear" w:color="auto" w:fill="auto"/>
                  <w:noWrap w:val="0"/>
                  <w:vAlign w:val="center"/>
                </w:tcPr>
                <w:p>
                  <w:pPr>
                    <w:pStyle w:val="28"/>
                    <w:rPr>
                      <w:rFonts w:hint="eastAsia"/>
                      <w:color w:val="auto"/>
                    </w:rPr>
                  </w:pPr>
                  <w:r>
                    <w:rPr>
                      <w:rFonts w:hint="eastAsia"/>
                      <w:color w:val="auto"/>
                    </w:rPr>
                    <w:t>压裂返排液</w:t>
                  </w:r>
                </w:p>
              </w:tc>
              <w:tc>
                <w:tcPr>
                  <w:tcW w:w="859" w:type="dxa"/>
                  <w:shd w:val="clear" w:color="auto" w:fill="auto"/>
                  <w:noWrap w:val="0"/>
                  <w:vAlign w:val="center"/>
                </w:tcPr>
                <w:p>
                  <w:pPr>
                    <w:pStyle w:val="28"/>
                    <w:rPr>
                      <w:rFonts w:hint="eastAsia"/>
                      <w:color w:val="auto"/>
                    </w:rPr>
                  </w:pPr>
                  <w:r>
                    <w:rPr>
                      <w:rFonts w:hint="eastAsia"/>
                      <w:color w:val="auto"/>
                    </w:rPr>
                    <w:t>压裂</w:t>
                  </w:r>
                </w:p>
              </w:tc>
              <w:tc>
                <w:tcPr>
                  <w:tcW w:w="1338" w:type="dxa"/>
                  <w:shd w:val="clear" w:color="auto" w:fill="auto"/>
                  <w:noWrap w:val="0"/>
                  <w:vAlign w:val="center"/>
                </w:tcPr>
                <w:p>
                  <w:pPr>
                    <w:pStyle w:val="28"/>
                    <w:rPr>
                      <w:rFonts w:hint="eastAsia"/>
                      <w:color w:val="auto"/>
                    </w:rPr>
                  </w:pPr>
                  <w:r>
                    <w:rPr>
                      <w:rFonts w:hint="eastAsia"/>
                      <w:color w:val="auto"/>
                    </w:rPr>
                    <w:t>危险废物（代码：</w:t>
                  </w:r>
                  <w:r>
                    <w:rPr>
                      <w:color w:val="auto"/>
                    </w:rPr>
                    <w:t>900-249-08</w:t>
                  </w:r>
                  <w:r>
                    <w:rPr>
                      <w:rFonts w:hint="eastAsia"/>
                      <w:color w:val="auto"/>
                    </w:rPr>
                    <w:t>）</w:t>
                  </w:r>
                </w:p>
              </w:tc>
              <w:tc>
                <w:tcPr>
                  <w:tcW w:w="921" w:type="dxa"/>
                  <w:shd w:val="clear" w:color="auto" w:fill="auto"/>
                  <w:noWrap w:val="0"/>
                  <w:vAlign w:val="center"/>
                </w:tcPr>
                <w:p>
                  <w:pPr>
                    <w:pStyle w:val="28"/>
                    <w:rPr>
                      <w:rFonts w:hint="default" w:eastAsia="宋体"/>
                      <w:color w:val="auto"/>
                      <w:lang w:val="en-US" w:eastAsia="zh-CN"/>
                    </w:rPr>
                  </w:pPr>
                  <w:r>
                    <w:rPr>
                      <w:rFonts w:hint="eastAsia"/>
                      <w:color w:val="auto"/>
                      <w:lang w:val="en-US" w:eastAsia="zh-CN"/>
                    </w:rPr>
                    <w:t>153.21</w:t>
                  </w:r>
                  <w:r>
                    <w:rPr>
                      <w:color w:val="auto"/>
                    </w:rPr>
                    <w:t>m</w:t>
                  </w:r>
                  <w:r>
                    <w:rPr>
                      <w:color w:val="auto"/>
                      <w:vertAlign w:val="superscript"/>
                    </w:rPr>
                    <w:t>3</w:t>
                  </w:r>
                </w:p>
              </w:tc>
              <w:tc>
                <w:tcPr>
                  <w:tcW w:w="3688" w:type="dxa"/>
                  <w:shd w:val="clear" w:color="auto" w:fill="auto"/>
                  <w:noWrap w:val="0"/>
                  <w:vAlign w:val="center"/>
                </w:tcPr>
                <w:p>
                  <w:pPr>
                    <w:pStyle w:val="28"/>
                    <w:rPr>
                      <w:color w:val="auto"/>
                    </w:rPr>
                  </w:pPr>
                  <w:r>
                    <w:rPr>
                      <w:rFonts w:hint="eastAsia"/>
                      <w:color w:val="auto"/>
                    </w:rPr>
                    <w:t>压裂返排液入方罐，拉运至吉祥联合站</w:t>
                  </w:r>
                  <w:r>
                    <w:rPr>
                      <w:rFonts w:hint="eastAsia"/>
                      <w:color w:val="auto"/>
                      <w:lang w:eastAsia="zh-CN"/>
                    </w:rPr>
                    <w:t>，上清液进入污水处理系统处理，</w:t>
                  </w:r>
                  <w:r>
                    <w:rPr>
                      <w:color w:val="auto"/>
                    </w:rPr>
                    <w:t>污水处理后达到《碎屑岩油藏注水水质推荐指标及分析方法》（SY/T5329-2012）中标准限值后回注</w:t>
                  </w:r>
                  <w:r>
                    <w:rPr>
                      <w:rFonts w:hint="eastAsia"/>
                      <w:color w:val="auto"/>
                      <w:lang w:eastAsia="zh-CN"/>
                    </w:rPr>
                    <w:t>油藏；油泥委托有资质单位</w:t>
                  </w:r>
                  <w:r>
                    <w:rPr>
                      <w:rFonts w:hint="eastAsia"/>
                      <w:color w:val="auto"/>
                    </w:rPr>
                    <w:t>合规处置。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center"/>
                </w:tcPr>
                <w:p>
                  <w:pPr>
                    <w:pStyle w:val="28"/>
                    <w:rPr>
                      <w:color w:val="auto"/>
                    </w:rPr>
                  </w:pPr>
                  <w:r>
                    <w:rPr>
                      <w:color w:val="auto"/>
                    </w:rPr>
                    <w:t>4</w:t>
                  </w:r>
                </w:p>
              </w:tc>
              <w:tc>
                <w:tcPr>
                  <w:tcW w:w="902" w:type="dxa"/>
                  <w:shd w:val="clear" w:color="auto" w:fill="auto"/>
                  <w:noWrap w:val="0"/>
                  <w:vAlign w:val="center"/>
                </w:tcPr>
                <w:p>
                  <w:pPr>
                    <w:pStyle w:val="28"/>
                    <w:rPr>
                      <w:color w:val="auto"/>
                    </w:rPr>
                  </w:pPr>
                  <w:r>
                    <w:rPr>
                      <w:rFonts w:hint="eastAsia"/>
                      <w:color w:val="auto"/>
                    </w:rPr>
                    <w:t>落地油</w:t>
                  </w:r>
                </w:p>
              </w:tc>
              <w:tc>
                <w:tcPr>
                  <w:tcW w:w="859" w:type="dxa"/>
                  <w:shd w:val="clear" w:color="auto" w:fill="auto"/>
                  <w:noWrap w:val="0"/>
                  <w:vAlign w:val="center"/>
                </w:tcPr>
                <w:p>
                  <w:pPr>
                    <w:pStyle w:val="28"/>
                    <w:rPr>
                      <w:color w:val="auto"/>
                    </w:rPr>
                  </w:pPr>
                  <w:r>
                    <w:rPr>
                      <w:rFonts w:hint="eastAsia"/>
                      <w:color w:val="auto"/>
                    </w:rPr>
                    <w:t>井下作业</w:t>
                  </w:r>
                </w:p>
              </w:tc>
              <w:tc>
                <w:tcPr>
                  <w:tcW w:w="1338" w:type="dxa"/>
                  <w:shd w:val="clear" w:color="auto" w:fill="auto"/>
                  <w:noWrap w:val="0"/>
                  <w:vAlign w:val="center"/>
                </w:tcPr>
                <w:p>
                  <w:pPr>
                    <w:pStyle w:val="28"/>
                    <w:rPr>
                      <w:color w:val="auto"/>
                    </w:rPr>
                  </w:pPr>
                  <w:r>
                    <w:rPr>
                      <w:rFonts w:hint="eastAsia"/>
                      <w:color w:val="auto"/>
                    </w:rPr>
                    <w:t>危险废物（代码：</w:t>
                  </w:r>
                  <w:r>
                    <w:rPr>
                      <w:color w:val="auto"/>
                    </w:rPr>
                    <w:t>900-249-08</w:t>
                  </w:r>
                  <w:r>
                    <w:rPr>
                      <w:rFonts w:hint="eastAsia"/>
                      <w:color w:val="auto"/>
                    </w:rPr>
                    <w:t>）</w:t>
                  </w:r>
                </w:p>
              </w:tc>
              <w:tc>
                <w:tcPr>
                  <w:tcW w:w="921" w:type="dxa"/>
                  <w:shd w:val="clear" w:color="auto" w:fill="auto"/>
                  <w:noWrap w:val="0"/>
                  <w:vAlign w:val="center"/>
                </w:tcPr>
                <w:p>
                  <w:pPr>
                    <w:pStyle w:val="28"/>
                    <w:rPr>
                      <w:color w:val="auto"/>
                    </w:rPr>
                  </w:pPr>
                  <w:r>
                    <w:rPr>
                      <w:rFonts w:hint="eastAsia"/>
                      <w:color w:val="auto"/>
                    </w:rPr>
                    <w:t>少量</w:t>
                  </w:r>
                </w:p>
              </w:tc>
              <w:tc>
                <w:tcPr>
                  <w:tcW w:w="3688" w:type="dxa"/>
                  <w:shd w:val="clear" w:color="auto" w:fill="auto"/>
                  <w:noWrap w:val="0"/>
                  <w:vAlign w:val="center"/>
                </w:tcPr>
                <w:p>
                  <w:pPr>
                    <w:pStyle w:val="28"/>
                    <w:rPr>
                      <w:color w:val="auto"/>
                    </w:rPr>
                  </w:pPr>
                  <w:r>
                    <w:rPr>
                      <w:rFonts w:hint="eastAsia"/>
                      <w:color w:val="auto"/>
                    </w:rPr>
                    <w:t>落地油100%回收，</w:t>
                  </w:r>
                  <w:r>
                    <w:rPr>
                      <w:color w:val="auto"/>
                    </w:rPr>
                    <w:t>用专用罐收集</w:t>
                  </w:r>
                  <w:r>
                    <w:rPr>
                      <w:rFonts w:hint="eastAsia"/>
                      <w:color w:val="auto"/>
                    </w:rPr>
                    <w:t>，交由有相应危险废物处理资质的单位处置。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center"/>
                </w:tcPr>
                <w:p>
                  <w:pPr>
                    <w:pStyle w:val="28"/>
                    <w:rPr>
                      <w:color w:val="auto"/>
                    </w:rPr>
                  </w:pPr>
                  <w:r>
                    <w:rPr>
                      <w:rFonts w:hint="eastAsia"/>
                      <w:color w:val="auto"/>
                    </w:rPr>
                    <w:t>5</w:t>
                  </w:r>
                </w:p>
              </w:tc>
              <w:tc>
                <w:tcPr>
                  <w:tcW w:w="902" w:type="dxa"/>
                  <w:shd w:val="clear" w:color="auto" w:fill="auto"/>
                  <w:noWrap w:val="0"/>
                  <w:vAlign w:val="center"/>
                </w:tcPr>
                <w:p>
                  <w:pPr>
                    <w:pStyle w:val="28"/>
                    <w:rPr>
                      <w:rFonts w:hint="default" w:eastAsia="宋体"/>
                      <w:color w:val="auto"/>
                      <w:lang w:val="en-US" w:eastAsia="zh-CN"/>
                    </w:rPr>
                  </w:pPr>
                  <w:r>
                    <w:rPr>
                      <w:rFonts w:hint="eastAsia"/>
                      <w:color w:val="auto"/>
                    </w:rPr>
                    <w:t>废弃防渗膜</w:t>
                  </w:r>
                  <w:r>
                    <w:rPr>
                      <w:rFonts w:hint="eastAsia"/>
                      <w:color w:val="auto"/>
                      <w:lang w:eastAsia="zh-CN"/>
                    </w:rPr>
                    <w:t>、</w:t>
                  </w:r>
                  <w:r>
                    <w:rPr>
                      <w:rFonts w:hint="eastAsia"/>
                      <w:color w:val="auto"/>
                      <w:lang w:val="en-US" w:eastAsia="zh-CN"/>
                    </w:rPr>
                    <w:t>含油抹布、劳保用品</w:t>
                  </w:r>
                </w:p>
              </w:tc>
              <w:tc>
                <w:tcPr>
                  <w:tcW w:w="859" w:type="dxa"/>
                  <w:shd w:val="clear" w:color="auto" w:fill="auto"/>
                  <w:noWrap w:val="0"/>
                  <w:vAlign w:val="center"/>
                </w:tcPr>
                <w:p>
                  <w:pPr>
                    <w:pStyle w:val="28"/>
                    <w:rPr>
                      <w:rFonts w:hint="eastAsia"/>
                      <w:color w:val="auto"/>
                    </w:rPr>
                  </w:pPr>
                  <w:r>
                    <w:rPr>
                      <w:rFonts w:hint="eastAsia"/>
                      <w:color w:val="auto"/>
                    </w:rPr>
                    <w:t>钻井、试油作业</w:t>
                  </w:r>
                </w:p>
              </w:tc>
              <w:tc>
                <w:tcPr>
                  <w:tcW w:w="1338" w:type="dxa"/>
                  <w:shd w:val="clear" w:color="auto" w:fill="auto"/>
                  <w:noWrap w:val="0"/>
                  <w:vAlign w:val="center"/>
                </w:tcPr>
                <w:p>
                  <w:pPr>
                    <w:pStyle w:val="28"/>
                    <w:rPr>
                      <w:rFonts w:hint="eastAsia"/>
                      <w:color w:val="auto"/>
                    </w:rPr>
                  </w:pPr>
                  <w:r>
                    <w:rPr>
                      <w:color w:val="auto"/>
                    </w:rPr>
                    <w:t>危险废物</w:t>
                  </w:r>
                  <w:r>
                    <w:rPr>
                      <w:rFonts w:hint="eastAsia"/>
                      <w:color w:val="auto"/>
                    </w:rPr>
                    <w:t>（代码：900-249-08</w:t>
                  </w:r>
                  <w:r>
                    <w:rPr>
                      <w:rFonts w:hint="eastAsia"/>
                      <w:color w:val="auto"/>
                      <w:lang w:eastAsia="zh-CN"/>
                    </w:rPr>
                    <w:t>、900-041-49</w:t>
                  </w:r>
                  <w:r>
                    <w:rPr>
                      <w:rFonts w:hint="eastAsia"/>
                      <w:color w:val="auto"/>
                    </w:rPr>
                    <w:t>）</w:t>
                  </w:r>
                </w:p>
              </w:tc>
              <w:tc>
                <w:tcPr>
                  <w:tcW w:w="921" w:type="dxa"/>
                  <w:shd w:val="clear" w:color="auto" w:fill="auto"/>
                  <w:noWrap w:val="0"/>
                  <w:vAlign w:val="center"/>
                </w:tcPr>
                <w:p>
                  <w:pPr>
                    <w:pStyle w:val="28"/>
                    <w:rPr>
                      <w:rFonts w:hint="eastAsia"/>
                      <w:color w:val="auto"/>
                    </w:rPr>
                  </w:pPr>
                  <w:r>
                    <w:rPr>
                      <w:rFonts w:hint="eastAsia"/>
                      <w:color w:val="auto"/>
                    </w:rPr>
                    <w:t>少量</w:t>
                  </w:r>
                </w:p>
              </w:tc>
              <w:tc>
                <w:tcPr>
                  <w:tcW w:w="3688" w:type="dxa"/>
                  <w:shd w:val="clear" w:color="auto" w:fill="auto"/>
                  <w:noWrap w:val="0"/>
                  <w:vAlign w:val="center"/>
                </w:tcPr>
                <w:p>
                  <w:pPr>
                    <w:pStyle w:val="28"/>
                    <w:rPr>
                      <w:rFonts w:hint="eastAsia"/>
                      <w:color w:val="auto"/>
                    </w:rPr>
                  </w:pPr>
                  <w:r>
                    <w:rPr>
                      <w:color w:val="auto"/>
                    </w:rPr>
                    <w:t>回收</w:t>
                  </w:r>
                  <w:r>
                    <w:rPr>
                      <w:rFonts w:hint="eastAsia"/>
                      <w:color w:val="auto"/>
                    </w:rPr>
                    <w:t>后</w:t>
                  </w:r>
                  <w:r>
                    <w:rPr>
                      <w:color w:val="auto"/>
                    </w:rPr>
                    <w:t>委托有危废处置资质单位处置。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 w:type="dxa"/>
                  <w:shd w:val="clear" w:color="auto" w:fill="auto"/>
                  <w:noWrap w:val="0"/>
                  <w:vAlign w:val="center"/>
                </w:tcPr>
                <w:p>
                  <w:pPr>
                    <w:pStyle w:val="28"/>
                    <w:rPr>
                      <w:color w:val="auto"/>
                    </w:rPr>
                  </w:pPr>
                  <w:r>
                    <w:rPr>
                      <w:color w:val="auto"/>
                    </w:rPr>
                    <w:t>6</w:t>
                  </w:r>
                </w:p>
              </w:tc>
              <w:tc>
                <w:tcPr>
                  <w:tcW w:w="902" w:type="dxa"/>
                  <w:shd w:val="clear" w:color="auto" w:fill="auto"/>
                  <w:noWrap w:val="0"/>
                  <w:vAlign w:val="center"/>
                </w:tcPr>
                <w:p>
                  <w:pPr>
                    <w:pStyle w:val="28"/>
                    <w:rPr>
                      <w:rFonts w:hint="eastAsia"/>
                      <w:color w:val="auto"/>
                    </w:rPr>
                  </w:pPr>
                  <w:r>
                    <w:rPr>
                      <w:rFonts w:hint="eastAsia"/>
                      <w:color w:val="auto"/>
                    </w:rPr>
                    <w:t>生活</w:t>
                  </w:r>
                </w:p>
                <w:p>
                  <w:pPr>
                    <w:pStyle w:val="28"/>
                    <w:rPr>
                      <w:color w:val="auto"/>
                    </w:rPr>
                  </w:pPr>
                  <w:r>
                    <w:rPr>
                      <w:rFonts w:hint="eastAsia"/>
                      <w:color w:val="auto"/>
                    </w:rPr>
                    <w:t>垃圾</w:t>
                  </w:r>
                </w:p>
              </w:tc>
              <w:tc>
                <w:tcPr>
                  <w:tcW w:w="859" w:type="dxa"/>
                  <w:shd w:val="clear" w:color="auto" w:fill="auto"/>
                  <w:noWrap w:val="0"/>
                  <w:vAlign w:val="center"/>
                </w:tcPr>
                <w:p>
                  <w:pPr>
                    <w:pStyle w:val="28"/>
                    <w:rPr>
                      <w:color w:val="auto"/>
                    </w:rPr>
                  </w:pPr>
                  <w:r>
                    <w:rPr>
                      <w:rFonts w:hint="eastAsia"/>
                      <w:color w:val="auto"/>
                    </w:rPr>
                    <w:t>施工生活</w:t>
                  </w:r>
                </w:p>
              </w:tc>
              <w:tc>
                <w:tcPr>
                  <w:tcW w:w="1338" w:type="dxa"/>
                  <w:shd w:val="clear" w:color="auto" w:fill="auto"/>
                  <w:noWrap w:val="0"/>
                  <w:vAlign w:val="center"/>
                </w:tcPr>
                <w:p>
                  <w:pPr>
                    <w:pStyle w:val="28"/>
                    <w:rPr>
                      <w:color w:val="auto"/>
                    </w:rPr>
                  </w:pPr>
                  <w:r>
                    <w:rPr>
                      <w:rFonts w:hint="eastAsia"/>
                      <w:color w:val="auto"/>
                    </w:rPr>
                    <w:t>生活垃圾</w:t>
                  </w:r>
                </w:p>
              </w:tc>
              <w:tc>
                <w:tcPr>
                  <w:tcW w:w="921" w:type="dxa"/>
                  <w:shd w:val="clear" w:color="auto" w:fill="auto"/>
                  <w:noWrap w:val="0"/>
                  <w:vAlign w:val="center"/>
                </w:tcPr>
                <w:p>
                  <w:pPr>
                    <w:pStyle w:val="28"/>
                    <w:rPr>
                      <w:color w:val="auto"/>
                    </w:rPr>
                  </w:pPr>
                  <w:r>
                    <w:rPr>
                      <w:rFonts w:hint="eastAsia"/>
                      <w:color w:val="auto"/>
                      <w:lang w:val="en-US" w:eastAsia="zh-CN"/>
                    </w:rPr>
                    <w:t>0.84</w:t>
                  </w:r>
                  <w:r>
                    <w:rPr>
                      <w:rFonts w:hint="eastAsia"/>
                      <w:color w:val="auto"/>
                    </w:rPr>
                    <w:t>t</w:t>
                  </w:r>
                </w:p>
              </w:tc>
              <w:tc>
                <w:tcPr>
                  <w:tcW w:w="3688" w:type="dxa"/>
                  <w:shd w:val="clear" w:color="auto" w:fill="auto"/>
                  <w:noWrap w:val="0"/>
                  <w:vAlign w:val="center"/>
                </w:tcPr>
                <w:p>
                  <w:pPr>
                    <w:pStyle w:val="28"/>
                    <w:rPr>
                      <w:color w:val="auto"/>
                    </w:rPr>
                  </w:pPr>
                  <w:r>
                    <w:rPr>
                      <w:rFonts w:hint="eastAsia"/>
                      <w:color w:val="auto"/>
                    </w:rPr>
                    <w:t>集中收集，统一拉运至</w:t>
                  </w:r>
                  <w:r>
                    <w:rPr>
                      <w:rFonts w:hint="eastAsia"/>
                      <w:color w:val="auto"/>
                      <w:lang w:val="en-US" w:eastAsia="zh-CN"/>
                    </w:rPr>
                    <w:t>吉木萨尔</w:t>
                  </w:r>
                  <w:r>
                    <w:rPr>
                      <w:rFonts w:hint="eastAsia"/>
                      <w:color w:val="auto"/>
                    </w:rPr>
                    <w:t>县生活垃圾填埋场进行填埋处理</w:t>
                  </w: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5 生态环境影响分析</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5.1生态环境影响因素及类型</w:t>
            </w:r>
          </w:p>
          <w:p>
            <w:pPr>
              <w:pStyle w:val="4"/>
              <w:rPr>
                <w:color w:val="auto"/>
              </w:rPr>
            </w:pPr>
            <w:r>
              <w:rPr>
                <w:rFonts w:hint="eastAsia"/>
                <w:color w:val="auto"/>
              </w:rPr>
              <w:t>本项目井场、道路及施工营地施工过程中不可避免地会对周围生态环境造成不同程度的污染和破坏。</w:t>
            </w:r>
          </w:p>
          <w:p>
            <w:pPr>
              <w:pStyle w:val="4"/>
              <w:rPr>
                <w:color w:val="auto"/>
              </w:rPr>
            </w:pPr>
            <w:bookmarkStart w:id="74" w:name="_Hlk44523827"/>
            <w:bookmarkEnd w:id="74"/>
            <w:r>
              <w:rPr>
                <w:rFonts w:hint="eastAsia"/>
                <w:color w:val="auto"/>
              </w:rPr>
              <w:t>（</w:t>
            </w:r>
            <w:r>
              <w:rPr>
                <w:color w:val="auto"/>
              </w:rPr>
              <w:t>1</w:t>
            </w:r>
            <w:r>
              <w:rPr>
                <w:rFonts w:hint="eastAsia"/>
                <w:color w:val="auto"/>
              </w:rPr>
              <w:t>）生态环境影响类型</w:t>
            </w:r>
          </w:p>
          <w:p>
            <w:pPr>
              <w:pStyle w:val="4"/>
              <w:rPr>
                <w:color w:val="auto"/>
              </w:rPr>
            </w:pPr>
            <w:r>
              <w:rPr>
                <w:rFonts w:hint="eastAsia"/>
                <w:color w:val="auto"/>
              </w:rPr>
              <w:t>①占地对地表土壤、植被影响</w:t>
            </w:r>
          </w:p>
          <w:p>
            <w:pPr>
              <w:pStyle w:val="4"/>
              <w:rPr>
                <w:color w:val="auto"/>
              </w:rPr>
            </w:pPr>
            <w:bookmarkStart w:id="75" w:name="_Hlk68139351"/>
            <w:r>
              <w:rPr>
                <w:rFonts w:hint="eastAsia"/>
                <w:color w:val="auto"/>
                <w:lang w:val="en-US" w:eastAsia="zh-CN"/>
              </w:rPr>
              <w:t>项目区无植被覆盖，项目占地对植被影响较小。</w:t>
            </w:r>
            <w:r>
              <w:rPr>
                <w:rFonts w:hint="eastAsia"/>
                <w:color w:val="auto"/>
              </w:rPr>
              <w:t>井场、道路、施工营地施工占地范围内土壤翻出，将破坏地表原有稳定砾石层，加剧风蚀，改变原有生态系统结构和功能，属暂时性影响。</w:t>
            </w:r>
            <w:bookmarkEnd w:id="75"/>
            <w:r>
              <w:rPr>
                <w:rFonts w:hint="eastAsia"/>
                <w:color w:val="auto"/>
              </w:rPr>
              <w:t>施工完成后，临时性占地和影响将消除，使被破坏的生态环境逐步恢复。预探井封井前井场将会在原来连续分布的生态环境中形成生态斑点，产生地表温度、水分等物理异常，以及干扰地面植被和野生动物繁殖、迁移和栖息，长久影响生态环境的类型和结构。</w:t>
            </w:r>
          </w:p>
          <w:p>
            <w:pPr>
              <w:pStyle w:val="4"/>
              <w:rPr>
                <w:color w:val="auto"/>
              </w:rPr>
            </w:pPr>
            <w:r>
              <w:rPr>
                <w:color w:val="auto"/>
              </w:rPr>
              <w:fldChar w:fldCharType="begin"/>
            </w:r>
            <w:r>
              <w:rPr>
                <w:color w:val="auto"/>
              </w:rPr>
              <w:instrText xml:space="preserve"> = 2 \* GB3 \* MERGEFORMAT </w:instrText>
            </w:r>
            <w:r>
              <w:rPr>
                <w:color w:val="auto"/>
              </w:rPr>
              <w:fldChar w:fldCharType="separate"/>
            </w:r>
            <w:r>
              <w:rPr>
                <w:rFonts w:hint="eastAsia" w:ascii="宋体" w:hAnsi="宋体" w:cs="宋体"/>
                <w:color w:val="auto"/>
              </w:rPr>
              <w:t>②</w:t>
            </w:r>
            <w:r>
              <w:rPr>
                <w:color w:val="auto"/>
              </w:rPr>
              <w:fldChar w:fldCharType="end"/>
            </w:r>
            <w:r>
              <w:rPr>
                <w:rFonts w:hint="eastAsia"/>
                <w:color w:val="auto"/>
              </w:rPr>
              <w:t>污染物排放对生态环境的影响</w:t>
            </w:r>
          </w:p>
          <w:p>
            <w:pPr>
              <w:pStyle w:val="4"/>
              <w:rPr>
                <w:color w:val="auto"/>
              </w:rPr>
            </w:pPr>
            <w:r>
              <w:rPr>
                <w:rFonts w:hint="eastAsia"/>
                <w:color w:val="auto"/>
              </w:rPr>
              <w:t>本工程主要污染源集中在钻井工程，其污染源排放源强小，污染因子简单，其对生态环境影响的途径和程度取决于水环境、空气环境、声环境被污染的程度和固废的产生量及处置方式。</w:t>
            </w:r>
          </w:p>
          <w:p>
            <w:pPr>
              <w:pStyle w:val="4"/>
              <w:rPr>
                <w:color w:val="auto"/>
              </w:rPr>
            </w:pPr>
            <w:r>
              <w:rPr>
                <w:rFonts w:hint="eastAsia"/>
                <w:color w:val="auto"/>
              </w:rPr>
              <w:t>（</w:t>
            </w:r>
            <w:r>
              <w:rPr>
                <w:color w:val="auto"/>
              </w:rPr>
              <w:t>2</w:t>
            </w:r>
            <w:r>
              <w:rPr>
                <w:rFonts w:hint="eastAsia"/>
                <w:color w:val="auto"/>
              </w:rPr>
              <w:t>）生态环境影响因素</w:t>
            </w:r>
          </w:p>
          <w:p>
            <w:pPr>
              <w:pStyle w:val="4"/>
              <w:rPr>
                <w:color w:val="auto"/>
              </w:rPr>
            </w:pPr>
            <w:r>
              <w:rPr>
                <w:rFonts w:hint="eastAsia"/>
                <w:color w:val="auto"/>
              </w:rPr>
              <w:t>本项目部署预探井1口，井场的平整会产生土方的扰动；钻井过程中废物的排放、钻井机械的运输等施工活动均可对地表原生结构造成破坏，对生态环境带来不利影响。在井场选址过程中，应尽量选择动土作业量小的地段，场地平整所产生的土方随地势进行处置，尽可能填入低洼地带；采用钻井泥浆不落地技术；井场材料整齐堆放，严格管理，不得随地洒落，完井后全部回收外运；施工机械划定运行线路，不得随意开行便道，以减少对地表原生结构的破坏。各种措施的采用，可有效减轻钻井过程对生态环境的影响。</w:t>
            </w:r>
          </w:p>
          <w:p>
            <w:pPr>
              <w:pStyle w:val="4"/>
              <w:rPr>
                <w:color w:val="auto"/>
              </w:rPr>
            </w:pPr>
            <w:r>
              <w:rPr>
                <w:rFonts w:hint="eastAsia"/>
                <w:color w:val="auto"/>
              </w:rPr>
              <w:t>生态环境影响因素见表</w:t>
            </w:r>
            <w:r>
              <w:rPr>
                <w:color w:val="auto"/>
              </w:rPr>
              <w:t>4</w:t>
            </w:r>
            <w:r>
              <w:rPr>
                <w:rFonts w:hint="eastAsia"/>
                <w:color w:val="auto"/>
              </w:rPr>
              <w:t>-</w:t>
            </w:r>
            <w:r>
              <w:rPr>
                <w:rFonts w:hint="eastAsia"/>
                <w:color w:val="auto"/>
                <w:lang w:val="en-US" w:eastAsia="zh-CN"/>
              </w:rPr>
              <w:t>13</w:t>
            </w:r>
            <w:r>
              <w:rPr>
                <w:rFonts w:hint="eastAsia"/>
                <w:color w:val="auto"/>
              </w:rPr>
              <w:t>。</w:t>
            </w:r>
          </w:p>
          <w:p>
            <w:pPr>
              <w:pStyle w:val="27"/>
              <w:ind w:firstLine="422"/>
              <w:rPr>
                <w:rFonts w:hint="eastAsia"/>
                <w:color w:val="auto"/>
              </w:rPr>
            </w:pPr>
            <w:bookmarkStart w:id="76" w:name="_Hlk47519731"/>
          </w:p>
          <w:p>
            <w:pPr>
              <w:pStyle w:val="27"/>
              <w:ind w:firstLine="422"/>
              <w:rPr>
                <w:color w:val="auto"/>
              </w:rPr>
            </w:pPr>
            <w:r>
              <w:rPr>
                <w:rFonts w:hint="eastAsia"/>
                <w:color w:val="auto"/>
              </w:rPr>
              <w:t>表</w:t>
            </w:r>
            <w:r>
              <w:rPr>
                <w:color w:val="auto"/>
              </w:rPr>
              <w:t>4</w:t>
            </w:r>
            <w:r>
              <w:rPr>
                <w:rFonts w:hint="eastAsia"/>
                <w:color w:val="auto"/>
              </w:rPr>
              <w:t>-</w:t>
            </w:r>
            <w:r>
              <w:rPr>
                <w:rFonts w:hint="eastAsia"/>
                <w:color w:val="auto"/>
                <w:lang w:val="en-US" w:eastAsia="zh-CN"/>
              </w:rPr>
              <w:t>13</w:t>
            </w:r>
            <w:r>
              <w:rPr>
                <w:rFonts w:hint="eastAsia"/>
                <w:color w:val="auto"/>
              </w:rPr>
              <w:t xml:space="preserve">  生态环境影响因素</w:t>
            </w:r>
          </w:p>
          <w:tbl>
            <w:tblPr>
              <w:tblStyle w:val="17"/>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62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5" w:type="dxa"/>
                  <w:shd w:val="clear" w:color="auto" w:fill="auto"/>
                  <w:noWrap w:val="0"/>
                  <w:vAlign w:val="center"/>
                </w:tcPr>
                <w:p>
                  <w:pPr>
                    <w:pStyle w:val="28"/>
                    <w:rPr>
                      <w:color w:val="auto"/>
                    </w:rPr>
                  </w:pPr>
                  <w:r>
                    <w:rPr>
                      <w:rFonts w:hint="eastAsia"/>
                      <w:color w:val="auto"/>
                    </w:rPr>
                    <w:t>工程活动</w:t>
                  </w:r>
                </w:p>
              </w:tc>
              <w:tc>
                <w:tcPr>
                  <w:tcW w:w="6831" w:type="dxa"/>
                  <w:shd w:val="clear" w:color="auto" w:fill="auto"/>
                  <w:noWrap w:val="0"/>
                  <w:vAlign w:val="center"/>
                </w:tcPr>
                <w:p>
                  <w:pPr>
                    <w:pStyle w:val="28"/>
                    <w:rPr>
                      <w:color w:val="auto"/>
                    </w:rPr>
                  </w:pPr>
                  <w:r>
                    <w:rPr>
                      <w:rFonts w:hint="eastAsia"/>
                      <w:color w:val="auto"/>
                    </w:rPr>
                    <w:t>主要影响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5" w:type="dxa"/>
                  <w:shd w:val="clear" w:color="auto" w:fill="auto"/>
                  <w:noWrap w:val="0"/>
                  <w:vAlign w:val="center"/>
                </w:tcPr>
                <w:p>
                  <w:pPr>
                    <w:pStyle w:val="28"/>
                    <w:rPr>
                      <w:color w:val="auto"/>
                    </w:rPr>
                  </w:pPr>
                  <w:r>
                    <w:rPr>
                      <w:rFonts w:hint="eastAsia"/>
                      <w:color w:val="auto"/>
                    </w:rPr>
                    <w:t>钻井工程</w:t>
                  </w:r>
                </w:p>
              </w:tc>
              <w:tc>
                <w:tcPr>
                  <w:tcW w:w="6831" w:type="dxa"/>
                  <w:shd w:val="clear" w:color="auto" w:fill="auto"/>
                  <w:noWrap w:val="0"/>
                  <w:vAlign w:val="center"/>
                </w:tcPr>
                <w:p>
                  <w:pPr>
                    <w:pStyle w:val="28"/>
                    <w:rPr>
                      <w:color w:val="auto"/>
                    </w:rPr>
                  </w:pPr>
                  <w:r>
                    <w:rPr>
                      <w:rFonts w:hint="eastAsia"/>
                      <w:color w:val="auto"/>
                    </w:rPr>
                    <w:t>1、对井场及周围植被的破坏影响。</w:t>
                  </w:r>
                </w:p>
                <w:p>
                  <w:pPr>
                    <w:pStyle w:val="28"/>
                    <w:rPr>
                      <w:color w:val="auto"/>
                    </w:rPr>
                  </w:pPr>
                  <w:r>
                    <w:rPr>
                      <w:color w:val="auto"/>
                    </w:rPr>
                    <w:t>2</w:t>
                  </w:r>
                  <w:r>
                    <w:rPr>
                      <w:rFonts w:hint="eastAsia"/>
                      <w:color w:val="auto"/>
                    </w:rPr>
                    <w:t>、对井场土壤产生的不利影响。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5" w:type="dxa"/>
                  <w:shd w:val="clear" w:color="auto" w:fill="auto"/>
                  <w:noWrap w:val="0"/>
                  <w:vAlign w:val="center"/>
                </w:tcPr>
                <w:p>
                  <w:pPr>
                    <w:pStyle w:val="28"/>
                    <w:rPr>
                      <w:color w:val="auto"/>
                    </w:rPr>
                  </w:pPr>
                  <w:r>
                    <w:rPr>
                      <w:rFonts w:hint="eastAsia"/>
                      <w:color w:val="auto"/>
                    </w:rPr>
                    <w:t>施工营地修建</w:t>
                  </w:r>
                </w:p>
              </w:tc>
              <w:tc>
                <w:tcPr>
                  <w:tcW w:w="6831" w:type="dxa"/>
                  <w:shd w:val="clear" w:color="auto" w:fill="auto"/>
                  <w:noWrap w:val="0"/>
                  <w:vAlign w:val="center"/>
                </w:tcPr>
                <w:p>
                  <w:pPr>
                    <w:pStyle w:val="28"/>
                    <w:rPr>
                      <w:color w:val="auto"/>
                    </w:rPr>
                  </w:pPr>
                  <w:r>
                    <w:rPr>
                      <w:rFonts w:hint="eastAsia"/>
                      <w:color w:val="auto"/>
                    </w:rPr>
                    <w:t>3、对施工营地及周围植被的破坏影响。</w:t>
                  </w:r>
                </w:p>
                <w:p>
                  <w:pPr>
                    <w:pStyle w:val="28"/>
                    <w:rPr>
                      <w:color w:val="auto"/>
                    </w:rPr>
                  </w:pPr>
                  <w:r>
                    <w:rPr>
                      <w:rFonts w:hint="eastAsia"/>
                      <w:color w:val="auto"/>
                    </w:rPr>
                    <w:t>4、对施工营地土壤产生的不利影响。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5" w:type="dxa"/>
                  <w:shd w:val="clear" w:color="auto" w:fill="auto"/>
                  <w:noWrap w:val="0"/>
                  <w:vAlign w:val="center"/>
                </w:tcPr>
                <w:p>
                  <w:pPr>
                    <w:pStyle w:val="28"/>
                    <w:rPr>
                      <w:color w:val="auto"/>
                    </w:rPr>
                  </w:pPr>
                  <w:r>
                    <w:rPr>
                      <w:rFonts w:hint="eastAsia"/>
                      <w:color w:val="auto"/>
                    </w:rPr>
                    <w:t>井场道路修建</w:t>
                  </w:r>
                </w:p>
              </w:tc>
              <w:tc>
                <w:tcPr>
                  <w:tcW w:w="6831" w:type="dxa"/>
                  <w:shd w:val="clear" w:color="auto" w:fill="auto"/>
                  <w:noWrap w:val="0"/>
                  <w:vAlign w:val="center"/>
                </w:tcPr>
                <w:p>
                  <w:pPr>
                    <w:pStyle w:val="28"/>
                    <w:rPr>
                      <w:color w:val="auto"/>
                    </w:rPr>
                  </w:pPr>
                  <w:r>
                    <w:rPr>
                      <w:color w:val="auto"/>
                    </w:rPr>
                    <w:t>5</w:t>
                  </w:r>
                  <w:r>
                    <w:rPr>
                      <w:rFonts w:hint="eastAsia"/>
                      <w:color w:val="auto"/>
                    </w:rPr>
                    <w:t>、施工过程对道路两侧植被和土壤产生不利影响。</w:t>
                  </w:r>
                </w:p>
              </w:tc>
            </w:tr>
            <w:bookmarkEnd w:id="76"/>
          </w:tbl>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rPr>
              <w:t>植被的影响分析</w:t>
            </w:r>
          </w:p>
          <w:p>
            <w:pPr>
              <w:pStyle w:val="4"/>
              <w:rPr>
                <w:color w:val="auto"/>
              </w:rPr>
            </w:pPr>
            <w:r>
              <w:rPr>
                <w:rFonts w:hint="eastAsia"/>
                <w:color w:val="auto"/>
              </w:rPr>
              <w:t>本项目钻井工程是造成植被破坏的主要原因。</w:t>
            </w:r>
          </w:p>
          <w:p>
            <w:pPr>
              <w:pStyle w:val="4"/>
              <w:rPr>
                <w:color w:val="auto"/>
              </w:rPr>
            </w:pPr>
            <w:bookmarkStart w:id="77" w:name="_Hlk85629031"/>
            <w:r>
              <w:rPr>
                <w:rFonts w:hint="eastAsia"/>
                <w:color w:val="auto"/>
              </w:rPr>
              <w:t>（</w:t>
            </w:r>
            <w:r>
              <w:rPr>
                <w:color w:val="auto"/>
              </w:rPr>
              <w:t>1</w:t>
            </w:r>
            <w:r>
              <w:rPr>
                <w:rFonts w:hint="eastAsia"/>
                <w:color w:val="auto"/>
              </w:rPr>
              <w:t>）工程占地对植被的影响</w:t>
            </w:r>
          </w:p>
          <w:p>
            <w:pPr>
              <w:pStyle w:val="4"/>
              <w:rPr>
                <w:rFonts w:ascii="宋体" w:hAnsi="宋体"/>
                <w:color w:val="auto"/>
              </w:rPr>
            </w:pPr>
            <w:bookmarkStart w:id="78" w:name="_Hlk43446974"/>
            <w:r>
              <w:rPr>
                <w:rFonts w:hint="eastAsia"/>
                <w:color w:val="auto"/>
                <w:lang w:val="en-US" w:eastAsia="zh-CN"/>
              </w:rPr>
              <w:t>项目区无植被覆盖，项目占地对植被影响较小。</w:t>
            </w:r>
            <w:bookmarkEnd w:id="78"/>
            <w:bookmarkStart w:id="79" w:name="_Hlk43447011"/>
            <w:bookmarkStart w:id="80" w:name="_Hlk27232478"/>
            <w:r>
              <w:rPr>
                <w:rFonts w:hint="eastAsia"/>
                <w:color w:val="auto"/>
              </w:rPr>
              <w:t>随着施工期的结束，被开挖部分将覆土回填，可以减少临时占地对植被的破坏程度。本次环评要求在井场、入场道路等临时占地选址过程中，应尽量选择动土作业量小的地段，场地平整所产生的土方随地势进行处置，尽可能填入低洼地带。运输车辆沿道路行驶，禁止乱压乱碾，只要加强施工管理，项目实施不会对项目区的生态环境造成太大影响。</w:t>
            </w:r>
          </w:p>
          <w:bookmarkEnd w:id="77"/>
          <w:p>
            <w:pPr>
              <w:pStyle w:val="4"/>
              <w:rPr>
                <w:color w:val="auto"/>
              </w:rPr>
            </w:pPr>
            <w:bookmarkStart w:id="81" w:name="_Hlk48504594"/>
            <w:r>
              <w:rPr>
                <w:rFonts w:hint="eastAsia"/>
                <w:color w:val="auto"/>
              </w:rPr>
              <w:t>（2）道路修建对植被的影响</w:t>
            </w:r>
          </w:p>
          <w:p>
            <w:pPr>
              <w:pStyle w:val="4"/>
              <w:rPr>
                <w:color w:val="auto"/>
              </w:rPr>
            </w:pPr>
            <w:r>
              <w:rPr>
                <w:rFonts w:hint="eastAsia"/>
                <w:color w:val="auto"/>
              </w:rPr>
              <w:t>本项目建设过程中需修建油区简易道路</w:t>
            </w:r>
            <w:r>
              <w:rPr>
                <w:rFonts w:hint="eastAsia"/>
                <w:color w:val="auto"/>
                <w:lang w:val="en-US" w:eastAsia="zh-CN"/>
              </w:rPr>
              <w:t>220</w:t>
            </w:r>
            <w:r>
              <w:rPr>
                <w:rFonts w:hint="eastAsia"/>
                <w:color w:val="auto"/>
              </w:rPr>
              <w:t>m。在道路修建过程中，主要影响是对土地的占用以及施工阶段清场过程中对地表植被的清理。施工完成后，由于区域内有冬季降雪，在融雪季节道路两侧有积水产生，有利于荒漠植被的自然恢复。</w:t>
            </w:r>
          </w:p>
          <w:bookmarkEnd w:id="79"/>
          <w:bookmarkEnd w:id="80"/>
          <w:bookmarkEnd w:id="81"/>
          <w:p>
            <w:pPr>
              <w:pStyle w:val="4"/>
              <w:rPr>
                <w:color w:val="auto"/>
              </w:rPr>
            </w:pPr>
            <w:r>
              <w:rPr>
                <w:rFonts w:hint="eastAsia"/>
                <w:color w:val="auto"/>
              </w:rPr>
              <w:t>（</w:t>
            </w:r>
            <w:r>
              <w:rPr>
                <w:color w:val="auto"/>
              </w:rPr>
              <w:t>3</w:t>
            </w:r>
            <w:r>
              <w:rPr>
                <w:rFonts w:hint="eastAsia"/>
                <w:color w:val="auto"/>
              </w:rPr>
              <w:t>）人类活动对植被的影响</w:t>
            </w:r>
          </w:p>
          <w:p>
            <w:pPr>
              <w:pStyle w:val="4"/>
              <w:rPr>
                <w:color w:val="auto"/>
              </w:rPr>
            </w:pPr>
            <w:r>
              <w:rPr>
                <w:rFonts w:hint="eastAsia"/>
                <w:color w:val="auto"/>
              </w:rPr>
              <w:t>项目施工过程对植被的影响主要表现在人类和机械对植物的碾压和砍伐，使原生植被生境发生较大变化。区域单位面积上人口密度的增加将导致工程开发范围内及边缘区域地表土壤被践踏、自然植被减少。但</w:t>
            </w:r>
            <w:r>
              <w:rPr>
                <w:rFonts w:hint="eastAsia"/>
                <w:color w:val="auto"/>
                <w:lang w:val="en-US" w:eastAsia="zh-CN"/>
              </w:rPr>
              <w:t>项目区植被</w:t>
            </w:r>
            <w:r>
              <w:rPr>
                <w:rFonts w:hint="eastAsia"/>
                <w:color w:val="auto"/>
              </w:rPr>
              <w:t>覆盖度较低，因此，人类活动对该区域天然植被产生的不良影响非常有限。</w:t>
            </w:r>
          </w:p>
          <w:p>
            <w:pPr>
              <w:pStyle w:val="4"/>
              <w:rPr>
                <w:color w:val="auto"/>
              </w:rPr>
            </w:pPr>
            <w:r>
              <w:rPr>
                <w:rFonts w:hint="eastAsia"/>
                <w:color w:val="auto"/>
              </w:rPr>
              <w:t>（</w:t>
            </w:r>
            <w:r>
              <w:rPr>
                <w:color w:val="auto"/>
              </w:rPr>
              <w:t>4</w:t>
            </w:r>
            <w:r>
              <w:rPr>
                <w:rFonts w:hint="eastAsia"/>
                <w:color w:val="auto"/>
              </w:rPr>
              <w:t>）突发性事故对植被的影响</w:t>
            </w:r>
          </w:p>
          <w:p>
            <w:pPr>
              <w:pStyle w:val="4"/>
              <w:rPr>
                <w:color w:val="auto"/>
              </w:rPr>
            </w:pPr>
            <w:r>
              <w:rPr>
                <w:rFonts w:hint="eastAsia"/>
                <w:color w:val="auto"/>
              </w:rPr>
              <w:t>项目施工过程中对生态环境造成严重破坏的主要事故类型为原油和含油污水泄漏，其产生的污染物排放均会对评价范围内的植被造成不同程度的影响，影响程度与发生事故时泄漏的油量及是否发生火灾有很大关系。植被体上附着的原油越多，植物死亡率就越高，而且草本植被比乔、灌木更敏感，更易受到致命的影响。如果发生火灾，则植被的地上部分会完全被毁，但如果土壤环境未被破坏，第二年植被将会重新生长。</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eastAsia" w:cs="Times New Roman"/>
                <w:color w:val="auto"/>
                <w:sz w:val="24"/>
                <w:szCs w:val="24"/>
                <w:lang w:val="en-US" w:eastAsia="zh-CN"/>
              </w:rPr>
              <w:t xml:space="preserve">3 </w:t>
            </w:r>
            <w:r>
              <w:rPr>
                <w:rFonts w:hint="eastAsia" w:ascii="Times New Roman" w:hAnsi="Times New Roman" w:eastAsia="宋体" w:cs="Times New Roman"/>
                <w:color w:val="auto"/>
                <w:sz w:val="24"/>
                <w:szCs w:val="24"/>
              </w:rPr>
              <w:t>对野生动物影响分析</w:t>
            </w:r>
          </w:p>
          <w:p>
            <w:pPr>
              <w:pStyle w:val="4"/>
              <w:rPr>
                <w:color w:val="auto"/>
              </w:rPr>
            </w:pPr>
            <w:r>
              <w:rPr>
                <w:rFonts w:hint="eastAsia"/>
                <w:color w:val="auto"/>
              </w:rPr>
              <w:t>本项目施工对野生动物的生存环境、分布范围和种群数量的影响主要分为直接影响和间接影响两个方面。直接影响主要表现为建设项目的占地，使野生动物的原始生存环境被破坏或改变；间接影响主要表现为由于植被的减少或污染破坏而引起野生动物食物来源的减少。</w:t>
            </w:r>
          </w:p>
          <w:p>
            <w:pPr>
              <w:pStyle w:val="4"/>
              <w:rPr>
                <w:color w:val="auto"/>
              </w:rPr>
            </w:pPr>
            <w:r>
              <w:rPr>
                <w:rFonts w:hint="eastAsia"/>
                <w:color w:val="auto"/>
              </w:rPr>
              <w:t>（</w:t>
            </w:r>
            <w:r>
              <w:rPr>
                <w:color w:val="auto"/>
              </w:rPr>
              <w:t>1</w:t>
            </w:r>
            <w:r>
              <w:rPr>
                <w:rFonts w:hint="eastAsia"/>
                <w:color w:val="auto"/>
              </w:rPr>
              <w:t>）施工期对野生动物的影响</w:t>
            </w:r>
          </w:p>
          <w:p>
            <w:pPr>
              <w:pStyle w:val="4"/>
              <w:rPr>
                <w:color w:val="auto"/>
              </w:rPr>
            </w:pPr>
            <w:r>
              <w:rPr>
                <w:rFonts w:hint="eastAsia"/>
                <w:color w:val="auto"/>
              </w:rPr>
              <w:t>井场建设、钻井过程中，由于机械设备的轰鸣惊扰，人群活动的增加，鸟类和哺乳类动物将远离施工现场，使区域内单位面积上的动物种群数量下降，但此类影响对爬行类和小型啮齿类动物的干扰不大。一些伴人型鸟类如麻雀、乌鸦等，一般在离作业区</w:t>
            </w:r>
            <w:r>
              <w:rPr>
                <w:color w:val="auto"/>
              </w:rPr>
              <w:t>30m</w:t>
            </w:r>
            <w:r>
              <w:rPr>
                <w:rFonts w:hint="eastAsia"/>
                <w:color w:val="auto"/>
              </w:rPr>
              <w:t>以外活动，待无噪声干扰时较常见于人类生活区附近。因此，随着钻井、试油各个过程的变化，该区域内野生动物的种类和数量将发生一定的变化，原有的荒漠型鸟类和哺乳类将逐渐避开人类活动的干扰迁至其它区域，而常见的伴人型野生动物种类有所增加。施工完成后，施工人员撤离作业区域，区域内的人为活动逐步减少，野生动物将逐步回归原有生境。</w:t>
            </w:r>
          </w:p>
          <w:p>
            <w:pPr>
              <w:pStyle w:val="4"/>
              <w:rPr>
                <w:color w:val="auto"/>
              </w:rPr>
            </w:pPr>
            <w:r>
              <w:rPr>
                <w:rFonts w:hint="eastAsia"/>
                <w:color w:val="auto"/>
              </w:rPr>
              <w:t>（</w:t>
            </w:r>
            <w:r>
              <w:rPr>
                <w:color w:val="auto"/>
              </w:rPr>
              <w:t>2</w:t>
            </w:r>
            <w:r>
              <w:rPr>
                <w:rFonts w:hint="eastAsia"/>
                <w:color w:val="auto"/>
              </w:rPr>
              <w:t>）事故对野生动物的影响</w:t>
            </w:r>
          </w:p>
          <w:p>
            <w:pPr>
              <w:pStyle w:val="4"/>
              <w:rPr>
                <w:color w:val="auto"/>
              </w:rPr>
            </w:pPr>
            <w:r>
              <w:rPr>
                <w:rFonts w:hint="eastAsia"/>
                <w:color w:val="auto"/>
              </w:rPr>
              <w:t>发生事故时常常导致原油及天然气的泄出和渗漏，从而可能影响工程区域内的野生脊椎动物的生存环境。事故类型的不同，对野生动物的影响范围和程度也有所不同。当发生井喷事故时，井场周围</w:t>
            </w:r>
            <w:r>
              <w:rPr>
                <w:color w:val="auto"/>
              </w:rPr>
              <w:t>200m-500m</w:t>
            </w:r>
            <w:r>
              <w:rPr>
                <w:rFonts w:hint="eastAsia"/>
                <w:color w:val="auto"/>
              </w:rPr>
              <w:t>范围以内的各种小型脊椎动物会因躲避不及造成死亡，局部区域可能影响到的只是一些啮齿类动物、爬行动物和小型鸟类，对大中型动物，特别是对保护动物不会造成影响。如果发生火灾事故，由于生态环境及空气环境的变化，短时间内会使事故周围动物的分布数量下降。</w:t>
            </w:r>
          </w:p>
          <w:p>
            <w:pPr>
              <w:pStyle w:val="4"/>
              <w:rPr>
                <w:color w:val="auto"/>
              </w:rPr>
            </w:pPr>
            <w:r>
              <w:rPr>
                <w:rFonts w:hint="eastAsia"/>
                <w:color w:val="auto"/>
              </w:rPr>
              <w:t>（</w:t>
            </w:r>
            <w:r>
              <w:rPr>
                <w:color w:val="auto"/>
              </w:rPr>
              <w:t>3</w:t>
            </w:r>
            <w:r>
              <w:rPr>
                <w:rFonts w:hint="eastAsia"/>
                <w:color w:val="auto"/>
              </w:rPr>
              <w:t>）对野生动物生境的影响</w:t>
            </w:r>
          </w:p>
          <w:p>
            <w:pPr>
              <w:pStyle w:val="4"/>
              <w:rPr>
                <w:color w:val="auto"/>
              </w:rPr>
            </w:pPr>
            <w:r>
              <w:rPr>
                <w:rFonts w:hint="eastAsia"/>
                <w:color w:val="auto"/>
              </w:rPr>
              <w:t>区域内各种野生动物经过长期的适应已形成较稳定的取食、饮水、栖息活动范围和分布，施工占地将使原有野生动物的分布、栖息活动范围受到压缩。人为活动的干扰使得区域上空活动的鸟类相对于未干扰时有所减少，而使得局部地段二、三级营养结构中的爬行类（啮齿类）和昆虫类数量有所增加或活动频度增大。这些占地影响对地面活动的野生动物种类产生隔离作用，使原分布区内的种类向外扩散，而钻井作业结束后，随着人类活动和占地的减少，原有生境将逐步恢复，野生动物对新环境适应后其活动和分布范围亦将恢复。</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bookmarkStart w:id="82" w:name="_Hlk48510044"/>
            <w:bookmarkEnd w:id="82"/>
            <w:r>
              <w:rPr>
                <w:rFonts w:hint="default" w:ascii="Times New Roman" w:hAnsi="Times New Roman" w:eastAsia="宋体" w:cs="Times New Roman"/>
                <w:color w:val="auto"/>
                <w:sz w:val="24"/>
                <w:szCs w:val="24"/>
              </w:rPr>
              <w:t>5.</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对土壤的影响分析</w:t>
            </w:r>
          </w:p>
          <w:p>
            <w:pPr>
              <w:pStyle w:val="4"/>
              <w:rPr>
                <w:color w:val="auto"/>
              </w:rPr>
            </w:pPr>
            <w:r>
              <w:rPr>
                <w:rFonts w:hint="eastAsia"/>
                <w:color w:val="auto"/>
              </w:rPr>
              <w:t>本项目属于“矿产资源地质勘查（含勘探活动和油气资源勘探）”，根据《环境影响评价技术导则土壤环境（试行）》（H</w:t>
            </w:r>
            <w:r>
              <w:rPr>
                <w:color w:val="auto"/>
              </w:rPr>
              <w:t>J 964-2018</w:t>
            </w:r>
            <w:r>
              <w:rPr>
                <w:rFonts w:hint="eastAsia"/>
                <w:color w:val="auto"/>
              </w:rPr>
              <w:t>）附录A，本项目为</w:t>
            </w:r>
            <w:r>
              <w:rPr>
                <w:rFonts w:hint="eastAsia" w:ascii="宋体" w:hAnsi="宋体"/>
                <w:color w:val="auto"/>
              </w:rPr>
              <w:t>Ⅳ</w:t>
            </w:r>
            <w:r>
              <w:rPr>
                <w:rFonts w:hint="eastAsia"/>
                <w:color w:val="auto"/>
              </w:rPr>
              <w:t>类项目，可不开展土壤环境影响评价，本次环评仅做简单分析。</w:t>
            </w:r>
          </w:p>
          <w:p>
            <w:pPr>
              <w:pStyle w:val="4"/>
              <w:rPr>
                <w:color w:val="auto"/>
              </w:rPr>
            </w:pPr>
            <w:r>
              <w:rPr>
                <w:rFonts w:hint="eastAsia"/>
                <w:color w:val="auto"/>
              </w:rPr>
              <w:t>（</w:t>
            </w:r>
            <w:r>
              <w:rPr>
                <w:color w:val="auto"/>
              </w:rPr>
              <w:t>1</w:t>
            </w:r>
            <w:r>
              <w:rPr>
                <w:rFonts w:hint="eastAsia"/>
                <w:color w:val="auto"/>
              </w:rPr>
              <w:t>）工程占地影响分析</w:t>
            </w:r>
          </w:p>
          <w:p>
            <w:pPr>
              <w:pStyle w:val="4"/>
              <w:rPr>
                <w:color w:val="auto"/>
              </w:rPr>
            </w:pPr>
            <w:r>
              <w:rPr>
                <w:color w:val="auto"/>
              </w:rPr>
              <w:t>本项目占地主要为井场、施工营地及临时道路，</w:t>
            </w:r>
            <w:r>
              <w:rPr>
                <w:rFonts w:hint="eastAsia"/>
                <w:color w:val="auto"/>
              </w:rPr>
              <w:t>施工期扰动总面积达</w:t>
            </w:r>
            <w:r>
              <w:rPr>
                <w:rFonts w:hint="eastAsia"/>
                <w:color w:val="auto"/>
                <w:lang w:val="en-US" w:eastAsia="zh-CN"/>
              </w:rPr>
              <w:t>10740</w:t>
            </w:r>
            <w:r>
              <w:rPr>
                <w:color w:val="auto"/>
              </w:rPr>
              <w:t>m</w:t>
            </w:r>
            <w:r>
              <w:rPr>
                <w:color w:val="auto"/>
                <w:vertAlign w:val="superscript"/>
              </w:rPr>
              <w:t>2</w:t>
            </w:r>
            <w:r>
              <w:rPr>
                <w:rFonts w:hint="eastAsia"/>
                <w:color w:val="auto"/>
              </w:rPr>
              <w:t>，</w:t>
            </w:r>
            <w:r>
              <w:rPr>
                <w:rFonts w:hint="eastAsia"/>
                <w:color w:val="auto"/>
                <w:lang w:val="en-US" w:eastAsia="zh-CN"/>
              </w:rPr>
              <w:t>均为临时占地，</w:t>
            </w:r>
            <w:r>
              <w:rPr>
                <w:rFonts w:hint="eastAsia"/>
                <w:color w:val="auto"/>
              </w:rPr>
              <w:t>最主要的危害是破坏了地表结构，增加了土壤风蚀量和沙漠化的可能性。</w:t>
            </w:r>
          </w:p>
          <w:p>
            <w:pPr>
              <w:pStyle w:val="4"/>
              <w:rPr>
                <w:color w:val="auto"/>
              </w:rPr>
            </w:pPr>
            <w:r>
              <w:rPr>
                <w:rFonts w:hint="eastAsia"/>
                <w:color w:val="auto"/>
              </w:rPr>
              <w:t>在进行井场施工时，将对作业范围内的土壤表层进行干扰和破坏，土壤表层结构（包括紧实度）、肥力将受到影响，土壤易受到侵蚀。</w:t>
            </w:r>
          </w:p>
          <w:p>
            <w:pPr>
              <w:pStyle w:val="4"/>
              <w:rPr>
                <w:color w:val="auto"/>
              </w:rPr>
            </w:pPr>
            <w:r>
              <w:rPr>
                <w:rFonts w:hint="eastAsia" w:hAnsi="宋体"/>
                <w:color w:val="auto"/>
              </w:rPr>
              <w:t>当施工结束后，人为活动的范围缩小，将使受到破坏的地表逐渐得到恢复，风蚀和荒漠化影响将随着天然植被的恢复逐渐得到控制。</w:t>
            </w:r>
          </w:p>
          <w:p>
            <w:pPr>
              <w:pStyle w:val="4"/>
              <w:rPr>
                <w:color w:val="auto"/>
              </w:rPr>
            </w:pPr>
            <w:r>
              <w:rPr>
                <w:rFonts w:hint="eastAsia"/>
                <w:color w:val="auto"/>
              </w:rPr>
              <w:t>（</w:t>
            </w:r>
            <w:r>
              <w:rPr>
                <w:color w:val="auto"/>
              </w:rPr>
              <w:t>2</w:t>
            </w:r>
            <w:r>
              <w:rPr>
                <w:rFonts w:hint="eastAsia"/>
                <w:color w:val="auto"/>
              </w:rPr>
              <w:t>）固体废物对土壤环境的影响</w:t>
            </w:r>
          </w:p>
          <w:p>
            <w:pPr>
              <w:pStyle w:val="4"/>
              <w:rPr>
                <w:color w:val="auto"/>
              </w:rPr>
            </w:pPr>
            <w:r>
              <w:rPr>
                <w:rFonts w:hint="eastAsia"/>
                <w:color w:val="auto"/>
              </w:rPr>
              <w:t>在钻井过程中会产生钻井泥浆和岩屑，本项目采用泥浆不落地技术，可以有效减缓钻井泥浆、岩屑对土壤的影响范围和程度。</w:t>
            </w:r>
          </w:p>
          <w:p>
            <w:pPr>
              <w:pStyle w:val="4"/>
              <w:rPr>
                <w:color w:val="auto"/>
              </w:rPr>
            </w:pPr>
            <w:r>
              <w:rPr>
                <w:rFonts w:hint="eastAsia"/>
                <w:color w:val="auto"/>
              </w:rPr>
              <w:t>（</w:t>
            </w:r>
            <w:r>
              <w:rPr>
                <w:color w:val="auto"/>
              </w:rPr>
              <w:t>3</w:t>
            </w:r>
            <w:r>
              <w:rPr>
                <w:rFonts w:hint="eastAsia"/>
                <w:color w:val="auto"/>
              </w:rPr>
              <w:t>）事故状态下对土壤环境的影响</w:t>
            </w:r>
          </w:p>
          <w:p>
            <w:pPr>
              <w:pStyle w:val="4"/>
              <w:rPr>
                <w:color w:val="auto"/>
              </w:rPr>
            </w:pPr>
            <w:r>
              <w:rPr>
                <w:rFonts w:hint="eastAsia"/>
                <w:color w:val="auto"/>
              </w:rPr>
              <w:t>井喷是油田开发过程中的意外事故，钻井和井下作业中均可能发生井喷。一次井喷可抛洒大量的天然气和原油，其中的轻组分挥发，而重组分油对土壤有一定的影响。井喷会造成大量原油覆盖在土壤表层，使土壤表层的土壤透气性下降，理化性状发生变化，对影响范围内的土壤表层造成严重的污染。</w:t>
            </w:r>
          </w:p>
          <w:p>
            <w:pPr>
              <w:pStyle w:val="4"/>
              <w:rPr>
                <w:color w:val="auto"/>
              </w:rPr>
            </w:pPr>
            <w:r>
              <w:rPr>
                <w:rFonts w:hint="eastAsia"/>
                <w:color w:val="auto"/>
              </w:rPr>
              <w:t>井喷持续时间越长，对土壤造成的污染越严重。但根据已有的相关资料，井喷事故主要影响事故区域内的表层土壤。</w:t>
            </w:r>
            <w:r>
              <w:rPr>
                <w:rFonts w:hint="default" w:ascii="Times New Roman" w:hAnsi="Times New Roman" w:cs="Times New Roman"/>
                <w:color w:val="auto"/>
                <w:lang w:val="en-US" w:eastAsia="zh-CN"/>
              </w:rPr>
              <w:t>若发生井喷事故，污染土壤应及时收集，并委托有危废处置资质单位处理。采取以上措施后，井喷对土壤的影响较小。</w:t>
            </w:r>
          </w:p>
          <w:p>
            <w:pPr>
              <w:spacing w:line="360" w:lineRule="auto"/>
              <w:jc w:val="left"/>
              <w:rPr>
                <w:b/>
                <w:bCs/>
                <w:color w:val="auto"/>
                <w:sz w:val="24"/>
                <w:highlight w:val="none"/>
              </w:rPr>
            </w:pPr>
            <w:r>
              <w:rPr>
                <w:b/>
                <w:bCs/>
                <w:color w:val="auto"/>
                <w:sz w:val="24"/>
                <w:highlight w:val="none"/>
              </w:rPr>
              <w:t>5.</w:t>
            </w:r>
            <w:r>
              <w:rPr>
                <w:rFonts w:hint="eastAsia"/>
                <w:b/>
                <w:bCs/>
                <w:color w:val="auto"/>
                <w:sz w:val="24"/>
                <w:highlight w:val="none"/>
                <w:lang w:val="en-US" w:eastAsia="zh-CN"/>
              </w:rPr>
              <w:t>5</w:t>
            </w:r>
            <w:r>
              <w:rPr>
                <w:b/>
                <w:bCs/>
                <w:color w:val="auto"/>
                <w:sz w:val="24"/>
                <w:highlight w:val="none"/>
              </w:rPr>
              <w:t xml:space="preserve"> 景观影响分析</w:t>
            </w:r>
          </w:p>
          <w:p>
            <w:pPr>
              <w:pStyle w:val="4"/>
              <w:rPr>
                <w:rFonts w:hint="eastAsia" w:ascii="Times New Roman" w:hAnsi="Times New Roman" w:eastAsia="宋体" w:cs="Times New Roman"/>
                <w:color w:val="auto"/>
              </w:rPr>
            </w:pPr>
            <w:r>
              <w:rPr>
                <w:rFonts w:hint="eastAsia" w:ascii="Times New Roman" w:hAnsi="Times New Roman" w:eastAsia="宋体" w:cs="Times New Roman"/>
                <w:color w:val="auto"/>
              </w:rPr>
              <w:t>景观是指地表空间相对稳定的景物或景象，是一个空间高度异质性的区域，由相互作用的景观元素或生态系统，按一定的空间组合规律及相似的形式重复出现而形成。</w:t>
            </w:r>
          </w:p>
          <w:p>
            <w:pPr>
              <w:adjustRightInd/>
              <w:snapToGrid/>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油田开发区属于景观生态等级自然体系和人工体系的复合体，它是由荒漠生态系统、道路、油田设施有规律地相间组成。拟建工程占地面积小，不会使景观发生太大变化，对景观生态影响较小。</w:t>
            </w:r>
          </w:p>
          <w:p>
            <w:pPr>
              <w:adjustRightInd/>
              <w:snapToGrid/>
              <w:spacing w:line="360" w:lineRule="auto"/>
              <w:jc w:val="left"/>
              <w:rPr>
                <w:b/>
                <w:bCs/>
                <w:color w:val="auto"/>
                <w:sz w:val="28"/>
                <w:szCs w:val="28"/>
              </w:rPr>
            </w:pPr>
            <w:r>
              <w:rPr>
                <w:b/>
                <w:bCs/>
                <w:color w:val="auto"/>
                <w:sz w:val="28"/>
                <w:szCs w:val="28"/>
              </w:rPr>
              <w:t>6</w:t>
            </w:r>
            <w:r>
              <w:rPr>
                <w:rFonts w:hint="eastAsia"/>
                <w:b/>
                <w:bCs/>
                <w:color w:val="auto"/>
                <w:sz w:val="28"/>
                <w:szCs w:val="28"/>
                <w:lang w:val="en-US" w:eastAsia="zh-CN"/>
              </w:rPr>
              <w:t xml:space="preserve"> </w:t>
            </w:r>
            <w:r>
              <w:rPr>
                <w:b/>
                <w:bCs/>
                <w:color w:val="auto"/>
                <w:sz w:val="28"/>
                <w:szCs w:val="28"/>
              </w:rPr>
              <w:t>环境风险分析</w:t>
            </w:r>
          </w:p>
          <w:p>
            <w:pPr>
              <w:pStyle w:val="4"/>
              <w:rPr>
                <w:color w:val="auto"/>
              </w:rPr>
            </w:pPr>
            <w:r>
              <w:rPr>
                <w:color w:val="auto"/>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rPr>
              <w:t>风险识别及评价等级判定</w:t>
            </w:r>
          </w:p>
          <w:p>
            <w:pPr>
              <w:pStyle w:val="4"/>
              <w:rPr>
                <w:color w:val="auto"/>
              </w:rPr>
            </w:pPr>
            <w:r>
              <w:rPr>
                <w:color w:val="auto"/>
              </w:rPr>
              <w:t>（1）风险识别</w:t>
            </w:r>
          </w:p>
          <w:p>
            <w:pPr>
              <w:pStyle w:val="4"/>
              <w:rPr>
                <w:color w:val="auto"/>
              </w:rPr>
            </w:pPr>
            <w:r>
              <w:rPr>
                <w:color w:val="auto"/>
              </w:rPr>
              <w:t>本项目为石油工业开发生产中的钻井作业。石油工业开发污染物排放以正常生产排放为主，但也存在危害工程安全和环境的危险因素，这些危险因素的存在有可能引起突发性环境事故，造成人员伤亡或环境污染。</w:t>
            </w:r>
          </w:p>
          <w:p>
            <w:pPr>
              <w:pStyle w:val="4"/>
              <w:rPr>
                <w:color w:val="auto"/>
              </w:rPr>
            </w:pPr>
            <w:r>
              <w:rPr>
                <w:color w:val="auto"/>
              </w:rPr>
              <w:t>在油田开发过程中，由于人为因素或自然因素的影响，可能导致发生原油或含油污水的泄漏事故，甚至发生火灾、爆炸等，给环境带来严重的污染。</w:t>
            </w:r>
          </w:p>
          <w:p>
            <w:pPr>
              <w:pStyle w:val="4"/>
              <w:rPr>
                <w:color w:val="auto"/>
              </w:rPr>
            </w:pPr>
            <w:r>
              <w:rPr>
                <w:color w:val="auto"/>
              </w:rPr>
              <w:t>自然灾害的影响主要包括雷击、暴雨、洪水、地震等。虽然发生频率较低，但具有突然性和猛烈性，造成的污染破坏较为严重。</w:t>
            </w:r>
          </w:p>
          <w:p>
            <w:pPr>
              <w:pStyle w:val="4"/>
              <w:rPr>
                <w:color w:val="auto"/>
              </w:rPr>
            </w:pPr>
            <w:r>
              <w:rPr>
                <w:color w:val="auto"/>
              </w:rPr>
              <w:t>钻开或射开油、气层后，若地层压力大于井筒压力，打开地面控制系统，地层中油、气流井筒，沿井筒、井口控制装置、管汇、放喷管线排出。当油、气层压力小于井筒压力时，须采用降低井筒压力的诱导方法，才能使油、气流入井内沿井筒流出地面放喷。属于备用应急。</w:t>
            </w:r>
          </w:p>
          <w:p>
            <w:pPr>
              <w:pStyle w:val="4"/>
              <w:rPr>
                <w:color w:val="auto"/>
              </w:rPr>
            </w:pPr>
            <w:r>
              <w:rPr>
                <w:color w:val="auto"/>
              </w:rPr>
              <w:t>除自然灾害引发事故外，本项目的风险事故主要为：</w:t>
            </w:r>
            <w:r>
              <w:rPr>
                <w:rFonts w:hint="eastAsia"/>
                <w:color w:val="auto"/>
              </w:rPr>
              <w:t>钻井过程中发生的井喷、井漏、油水窜层、柴油储罐火灾爆炸。</w:t>
            </w:r>
          </w:p>
          <w:p>
            <w:pPr>
              <w:pStyle w:val="4"/>
              <w:rPr>
                <w:color w:val="auto"/>
              </w:rPr>
            </w:pPr>
            <w:r>
              <w:rPr>
                <w:rFonts w:hint="eastAsia"/>
                <w:color w:val="auto"/>
              </w:rPr>
              <w:t>（2）物质危险特性</w:t>
            </w:r>
          </w:p>
          <w:p>
            <w:pPr>
              <w:pStyle w:val="4"/>
              <w:rPr>
                <w:color w:val="auto"/>
              </w:rPr>
            </w:pPr>
            <w:bookmarkStart w:id="83" w:name="_Hlk45213970"/>
            <w:r>
              <w:rPr>
                <w:color w:val="auto"/>
              </w:rPr>
              <w:t>依据《建设项目环境风险评价技术导则》（HJ169-2018）和《危险化学品重大危险源辨识》（GB18218-2018），判定本项目易燃、易爆物质为：原油</w:t>
            </w:r>
            <w:r>
              <w:rPr>
                <w:rFonts w:hint="eastAsia"/>
                <w:color w:val="auto"/>
              </w:rPr>
              <w:t>、伴生气（天然气）、柴油</w:t>
            </w:r>
            <w:r>
              <w:rPr>
                <w:color w:val="auto"/>
              </w:rPr>
              <w:t>。</w:t>
            </w:r>
          </w:p>
          <w:p>
            <w:pPr>
              <w:pStyle w:val="4"/>
              <w:rPr>
                <w:color w:val="auto"/>
              </w:rPr>
            </w:pPr>
            <w:r>
              <w:rPr>
                <w:color w:val="auto"/>
              </w:rPr>
              <w:t>原油</w:t>
            </w:r>
            <w:r>
              <w:rPr>
                <w:rFonts w:hint="eastAsia"/>
                <w:color w:val="auto"/>
              </w:rPr>
              <w:t>、天然气、柴油</w:t>
            </w:r>
            <w:r>
              <w:rPr>
                <w:color w:val="auto"/>
              </w:rPr>
              <w:t>的危险特性见表4</w:t>
            </w:r>
            <w:r>
              <w:rPr>
                <w:rFonts w:hint="eastAsia"/>
                <w:color w:val="auto"/>
              </w:rPr>
              <w:t>-</w:t>
            </w:r>
            <w:r>
              <w:rPr>
                <w:rFonts w:hint="eastAsia"/>
                <w:color w:val="auto"/>
                <w:lang w:val="en-US" w:eastAsia="zh-CN"/>
              </w:rPr>
              <w:t>14</w:t>
            </w:r>
            <w:r>
              <w:rPr>
                <w:color w:val="auto"/>
              </w:rPr>
              <w:t>。</w:t>
            </w:r>
          </w:p>
          <w:p>
            <w:pPr>
              <w:pStyle w:val="27"/>
              <w:rPr>
                <w:color w:val="auto"/>
              </w:rPr>
            </w:pPr>
            <w:r>
              <w:rPr>
                <w:color w:val="auto"/>
              </w:rPr>
              <w:t>表4</w:t>
            </w:r>
            <w:r>
              <w:rPr>
                <w:rFonts w:hint="eastAsia"/>
                <w:color w:val="auto"/>
              </w:rPr>
              <w:t>-</w:t>
            </w:r>
            <w:r>
              <w:rPr>
                <w:rFonts w:hint="eastAsia"/>
                <w:color w:val="auto"/>
                <w:lang w:val="en-US" w:eastAsia="zh-CN"/>
              </w:rPr>
              <w:t>14</w:t>
            </w:r>
            <w:r>
              <w:rPr>
                <w:rFonts w:hint="eastAsia"/>
                <w:color w:val="auto"/>
              </w:rPr>
              <w:t xml:space="preserve">   </w:t>
            </w:r>
            <w:r>
              <w:rPr>
                <w:color w:val="auto"/>
              </w:rPr>
              <w:t xml:space="preserve">  </w:t>
            </w:r>
            <w:r>
              <w:rPr>
                <w:rFonts w:hint="eastAsia"/>
                <w:color w:val="auto"/>
              </w:rPr>
              <w:t>物质</w:t>
            </w:r>
            <w:r>
              <w:rPr>
                <w:color w:val="auto"/>
              </w:rPr>
              <w:t>危险特性</w:t>
            </w:r>
          </w:p>
          <w:bookmarkEnd w:id="83"/>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3731"/>
              <w:gridCol w:w="2087"/>
              <w:gridCol w:w="8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shd w:val="clear" w:color="auto" w:fill="auto"/>
                  <w:noWrap w:val="0"/>
                  <w:vAlign w:val="center"/>
                </w:tcPr>
                <w:p>
                  <w:pPr>
                    <w:contextualSpacing/>
                    <w:rPr>
                      <w:color w:val="auto"/>
                      <w:kern w:val="0"/>
                      <w:sz w:val="21"/>
                      <w:szCs w:val="21"/>
                    </w:rPr>
                  </w:pPr>
                  <w:r>
                    <w:rPr>
                      <w:color w:val="auto"/>
                      <w:kern w:val="0"/>
                      <w:sz w:val="21"/>
                      <w:szCs w:val="21"/>
                    </w:rPr>
                    <w:t>物料名称</w:t>
                  </w:r>
                </w:p>
              </w:tc>
              <w:tc>
                <w:tcPr>
                  <w:tcW w:w="2290" w:type="pct"/>
                  <w:shd w:val="clear" w:color="auto" w:fill="auto"/>
                  <w:noWrap w:val="0"/>
                  <w:vAlign w:val="center"/>
                </w:tcPr>
                <w:p>
                  <w:pPr>
                    <w:contextualSpacing/>
                    <w:rPr>
                      <w:color w:val="auto"/>
                      <w:kern w:val="0"/>
                      <w:sz w:val="21"/>
                      <w:szCs w:val="21"/>
                    </w:rPr>
                  </w:pPr>
                  <w:r>
                    <w:rPr>
                      <w:color w:val="auto"/>
                      <w:kern w:val="0"/>
                      <w:sz w:val="21"/>
                      <w:szCs w:val="21"/>
                    </w:rPr>
                    <w:t>理化性质</w:t>
                  </w:r>
                </w:p>
              </w:tc>
              <w:tc>
                <w:tcPr>
                  <w:tcW w:w="1281" w:type="pct"/>
                  <w:shd w:val="clear" w:color="auto" w:fill="auto"/>
                  <w:noWrap w:val="0"/>
                  <w:vAlign w:val="center"/>
                </w:tcPr>
                <w:p>
                  <w:pPr>
                    <w:contextualSpacing/>
                    <w:rPr>
                      <w:color w:val="auto"/>
                      <w:kern w:val="0"/>
                      <w:sz w:val="21"/>
                      <w:szCs w:val="21"/>
                    </w:rPr>
                  </w:pPr>
                  <w:r>
                    <w:rPr>
                      <w:rFonts w:hint="eastAsia"/>
                      <w:color w:val="auto"/>
                      <w:kern w:val="0"/>
                      <w:sz w:val="21"/>
                      <w:szCs w:val="21"/>
                    </w:rPr>
                    <w:t>危险级别</w:t>
                  </w:r>
                </w:p>
              </w:tc>
              <w:tc>
                <w:tcPr>
                  <w:tcW w:w="517" w:type="pct"/>
                  <w:shd w:val="clear" w:color="auto" w:fill="auto"/>
                  <w:noWrap w:val="0"/>
                  <w:vAlign w:val="center"/>
                </w:tcPr>
                <w:p>
                  <w:pPr>
                    <w:contextualSpacing/>
                    <w:rPr>
                      <w:color w:val="auto"/>
                      <w:kern w:val="0"/>
                      <w:sz w:val="21"/>
                      <w:szCs w:val="21"/>
                    </w:rPr>
                  </w:pPr>
                  <w:r>
                    <w:rPr>
                      <w:color w:val="auto"/>
                      <w:kern w:val="0"/>
                      <w:sz w:val="21"/>
                      <w:szCs w:val="21"/>
                    </w:rPr>
                    <w:t>毒性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shd w:val="clear" w:color="auto" w:fill="auto"/>
                  <w:noWrap w:val="0"/>
                  <w:vAlign w:val="center"/>
                </w:tcPr>
                <w:p>
                  <w:pPr>
                    <w:contextualSpacing/>
                    <w:rPr>
                      <w:color w:val="auto"/>
                      <w:kern w:val="0"/>
                      <w:sz w:val="21"/>
                      <w:szCs w:val="21"/>
                    </w:rPr>
                  </w:pPr>
                  <w:r>
                    <w:rPr>
                      <w:color w:val="auto"/>
                      <w:kern w:val="0"/>
                      <w:sz w:val="21"/>
                      <w:szCs w:val="21"/>
                    </w:rPr>
                    <w:t>原油</w:t>
                  </w:r>
                </w:p>
              </w:tc>
              <w:tc>
                <w:tcPr>
                  <w:tcW w:w="2290" w:type="pct"/>
                  <w:shd w:val="clear" w:color="auto" w:fill="auto"/>
                  <w:noWrap w:val="0"/>
                  <w:vAlign w:val="center"/>
                </w:tcPr>
                <w:p>
                  <w:pPr>
                    <w:contextualSpacing/>
                    <w:jc w:val="left"/>
                    <w:rPr>
                      <w:color w:val="auto"/>
                      <w:kern w:val="0"/>
                      <w:sz w:val="21"/>
                      <w:szCs w:val="21"/>
                    </w:rPr>
                  </w:pPr>
                  <w:r>
                    <w:rPr>
                      <w:color w:val="auto"/>
                      <w:kern w:val="0"/>
                      <w:sz w:val="21"/>
                      <w:szCs w:val="21"/>
                    </w:rPr>
                    <w:t>蒸汽爆炸极限（V%）：1.1～8.7</w:t>
                  </w:r>
                </w:p>
                <w:p>
                  <w:pPr>
                    <w:contextualSpacing/>
                    <w:jc w:val="left"/>
                    <w:rPr>
                      <w:color w:val="auto"/>
                      <w:sz w:val="21"/>
                      <w:szCs w:val="21"/>
                    </w:rPr>
                  </w:pPr>
                  <w:r>
                    <w:rPr>
                      <w:color w:val="auto"/>
                      <w:kern w:val="0"/>
                      <w:sz w:val="21"/>
                      <w:szCs w:val="21"/>
                    </w:rPr>
                    <w:t>自</w:t>
                  </w:r>
                  <w:r>
                    <w:rPr>
                      <w:rFonts w:hint="eastAsia"/>
                      <w:color w:val="auto"/>
                      <w:kern w:val="0"/>
                      <w:sz w:val="21"/>
                      <w:szCs w:val="21"/>
                    </w:rPr>
                    <w:t>燃</w:t>
                  </w:r>
                  <w:r>
                    <w:rPr>
                      <w:color w:val="auto"/>
                      <w:kern w:val="0"/>
                      <w:sz w:val="21"/>
                      <w:szCs w:val="21"/>
                    </w:rPr>
                    <w:t>温度（</w:t>
                  </w:r>
                  <w:r>
                    <w:rPr>
                      <w:rFonts w:ascii="宋体" w:hAnsi="宋体" w:cs="宋体"/>
                      <w:color w:val="auto"/>
                      <w:kern w:val="0"/>
                      <w:sz w:val="21"/>
                      <w:szCs w:val="21"/>
                    </w:rPr>
                    <w:t>℃</w:t>
                  </w:r>
                  <w:r>
                    <w:rPr>
                      <w:color w:val="auto"/>
                      <w:kern w:val="0"/>
                      <w:sz w:val="21"/>
                      <w:szCs w:val="21"/>
                    </w:rPr>
                    <w:t>）：350</w:t>
                  </w:r>
                </w:p>
                <w:p>
                  <w:pPr>
                    <w:contextualSpacing/>
                    <w:jc w:val="left"/>
                    <w:rPr>
                      <w:color w:val="auto"/>
                      <w:sz w:val="21"/>
                      <w:szCs w:val="21"/>
                    </w:rPr>
                  </w:pPr>
                  <w:r>
                    <w:rPr>
                      <w:rFonts w:hint="eastAsia"/>
                      <w:color w:val="auto"/>
                      <w:sz w:val="21"/>
                      <w:szCs w:val="21"/>
                    </w:rPr>
                    <w:t>密度：0.9036t/m</w:t>
                  </w:r>
                  <w:r>
                    <w:rPr>
                      <w:rFonts w:hint="eastAsia"/>
                      <w:color w:val="auto"/>
                      <w:sz w:val="21"/>
                      <w:szCs w:val="21"/>
                      <w:vertAlign w:val="superscript"/>
                    </w:rPr>
                    <w:t>3</w:t>
                  </w:r>
                </w:p>
                <w:p>
                  <w:pPr>
                    <w:contextualSpacing/>
                    <w:jc w:val="left"/>
                    <w:rPr>
                      <w:rFonts w:hint="eastAsia"/>
                      <w:color w:val="auto"/>
                      <w:sz w:val="21"/>
                      <w:szCs w:val="21"/>
                    </w:rPr>
                  </w:pPr>
                  <w:r>
                    <w:rPr>
                      <w:rFonts w:hint="eastAsia"/>
                      <w:color w:val="auto"/>
                      <w:sz w:val="21"/>
                      <w:szCs w:val="21"/>
                    </w:rPr>
                    <w:t>50℃地面脱气原油粘度：103.56mPa·s</w:t>
                  </w:r>
                </w:p>
                <w:p>
                  <w:pPr>
                    <w:contextualSpacing/>
                    <w:jc w:val="left"/>
                    <w:rPr>
                      <w:color w:val="auto"/>
                      <w:kern w:val="0"/>
                      <w:sz w:val="21"/>
                      <w:szCs w:val="21"/>
                    </w:rPr>
                  </w:pPr>
                  <w:r>
                    <w:rPr>
                      <w:rFonts w:hint="eastAsia"/>
                      <w:color w:val="auto"/>
                      <w:sz w:val="21"/>
                      <w:szCs w:val="21"/>
                    </w:rPr>
                    <w:t>凝固点：4.9℃</w:t>
                  </w:r>
                </w:p>
              </w:tc>
              <w:tc>
                <w:tcPr>
                  <w:tcW w:w="1281" w:type="pct"/>
                  <w:shd w:val="clear" w:color="auto" w:fill="auto"/>
                  <w:noWrap w:val="0"/>
                  <w:vAlign w:val="center"/>
                </w:tcPr>
                <w:p>
                  <w:pPr>
                    <w:contextualSpacing/>
                    <w:rPr>
                      <w:color w:val="auto"/>
                      <w:kern w:val="0"/>
                      <w:sz w:val="21"/>
                      <w:szCs w:val="21"/>
                    </w:rPr>
                  </w:pPr>
                  <w:r>
                    <w:rPr>
                      <w:rFonts w:hint="eastAsia"/>
                      <w:color w:val="auto"/>
                      <w:kern w:val="0"/>
                      <w:sz w:val="21"/>
                      <w:szCs w:val="21"/>
                    </w:rPr>
                    <w:t>属于高闪点液体</w:t>
                  </w:r>
                </w:p>
              </w:tc>
              <w:tc>
                <w:tcPr>
                  <w:tcW w:w="517" w:type="pct"/>
                  <w:shd w:val="clear" w:color="auto" w:fill="auto"/>
                  <w:noWrap w:val="0"/>
                  <w:vAlign w:val="center"/>
                </w:tcPr>
                <w:p>
                  <w:pPr>
                    <w:contextualSpacing/>
                    <w:rPr>
                      <w:color w:val="auto"/>
                      <w:kern w:val="0"/>
                      <w:sz w:val="21"/>
                      <w:szCs w:val="21"/>
                    </w:rPr>
                  </w:pPr>
                  <w:r>
                    <w:rPr>
                      <w:color w:val="auto"/>
                      <w:kern w:val="0"/>
                      <w:sz w:val="21"/>
                      <w:szCs w:val="21"/>
                    </w:rPr>
                    <w:t>低毒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shd w:val="clear" w:color="auto" w:fill="auto"/>
                  <w:noWrap w:val="0"/>
                  <w:vAlign w:val="center"/>
                </w:tcPr>
                <w:p>
                  <w:pPr>
                    <w:contextualSpacing/>
                    <w:rPr>
                      <w:color w:val="auto"/>
                      <w:kern w:val="0"/>
                      <w:sz w:val="21"/>
                      <w:szCs w:val="21"/>
                    </w:rPr>
                  </w:pPr>
                  <w:r>
                    <w:rPr>
                      <w:rFonts w:hint="eastAsia"/>
                      <w:color w:val="auto"/>
                      <w:kern w:val="0"/>
                      <w:sz w:val="21"/>
                      <w:szCs w:val="21"/>
                    </w:rPr>
                    <w:t>天然气</w:t>
                  </w:r>
                </w:p>
              </w:tc>
              <w:tc>
                <w:tcPr>
                  <w:tcW w:w="2290" w:type="pct"/>
                  <w:shd w:val="clear" w:color="auto" w:fill="auto"/>
                  <w:noWrap w:val="0"/>
                  <w:vAlign w:val="center"/>
                </w:tcPr>
                <w:p>
                  <w:pPr>
                    <w:contextualSpacing/>
                    <w:jc w:val="left"/>
                    <w:rPr>
                      <w:color w:val="auto"/>
                      <w:kern w:val="0"/>
                      <w:sz w:val="21"/>
                      <w:szCs w:val="21"/>
                    </w:rPr>
                  </w:pPr>
                  <w:r>
                    <w:rPr>
                      <w:color w:val="auto"/>
                      <w:kern w:val="0"/>
                      <w:sz w:val="21"/>
                      <w:szCs w:val="21"/>
                    </w:rPr>
                    <w:t>蒸汽爆炸极限（V%）：5-14%</w:t>
                  </w:r>
                </w:p>
                <w:p>
                  <w:pPr>
                    <w:contextualSpacing/>
                    <w:jc w:val="left"/>
                    <w:rPr>
                      <w:color w:val="auto"/>
                      <w:sz w:val="21"/>
                      <w:szCs w:val="21"/>
                    </w:rPr>
                  </w:pPr>
                  <w:r>
                    <w:rPr>
                      <w:color w:val="auto"/>
                      <w:kern w:val="0"/>
                      <w:sz w:val="21"/>
                      <w:szCs w:val="21"/>
                    </w:rPr>
                    <w:t>自</w:t>
                  </w:r>
                  <w:r>
                    <w:rPr>
                      <w:rFonts w:hint="eastAsia"/>
                      <w:color w:val="auto"/>
                      <w:kern w:val="0"/>
                      <w:sz w:val="21"/>
                      <w:szCs w:val="21"/>
                    </w:rPr>
                    <w:t>燃</w:t>
                  </w:r>
                  <w:r>
                    <w:rPr>
                      <w:color w:val="auto"/>
                      <w:kern w:val="0"/>
                      <w:sz w:val="21"/>
                      <w:szCs w:val="21"/>
                    </w:rPr>
                    <w:t>温度（</w:t>
                  </w:r>
                  <w:r>
                    <w:rPr>
                      <w:rFonts w:ascii="宋体" w:hAnsi="宋体" w:cs="宋体"/>
                      <w:color w:val="auto"/>
                      <w:kern w:val="0"/>
                      <w:sz w:val="21"/>
                      <w:szCs w:val="21"/>
                    </w:rPr>
                    <w:t>℃</w:t>
                  </w:r>
                  <w:r>
                    <w:rPr>
                      <w:color w:val="auto"/>
                      <w:kern w:val="0"/>
                      <w:sz w:val="21"/>
                      <w:szCs w:val="21"/>
                    </w:rPr>
                    <w:t>）：482-632</w:t>
                  </w:r>
                </w:p>
                <w:p>
                  <w:pPr>
                    <w:contextualSpacing/>
                    <w:jc w:val="left"/>
                    <w:rPr>
                      <w:color w:val="auto"/>
                      <w:kern w:val="0"/>
                      <w:sz w:val="21"/>
                      <w:szCs w:val="21"/>
                    </w:rPr>
                  </w:pPr>
                  <w:r>
                    <w:rPr>
                      <w:rFonts w:hint="eastAsia"/>
                      <w:color w:val="auto"/>
                      <w:sz w:val="21"/>
                      <w:szCs w:val="21"/>
                    </w:rPr>
                    <w:t>密度：0</w:t>
                  </w:r>
                  <w:r>
                    <w:rPr>
                      <w:color w:val="auto"/>
                      <w:sz w:val="21"/>
                      <w:szCs w:val="21"/>
                    </w:rPr>
                    <w:t>.8kg/m</w:t>
                  </w:r>
                  <w:r>
                    <w:rPr>
                      <w:color w:val="auto"/>
                      <w:sz w:val="21"/>
                      <w:szCs w:val="21"/>
                      <w:vertAlign w:val="superscript"/>
                    </w:rPr>
                    <w:t>3</w:t>
                  </w:r>
                </w:p>
              </w:tc>
              <w:tc>
                <w:tcPr>
                  <w:tcW w:w="1281" w:type="pct"/>
                  <w:shd w:val="clear" w:color="auto" w:fill="auto"/>
                  <w:noWrap w:val="0"/>
                  <w:vAlign w:val="center"/>
                </w:tcPr>
                <w:p>
                  <w:pPr>
                    <w:contextualSpacing/>
                    <w:rPr>
                      <w:color w:val="auto"/>
                      <w:kern w:val="0"/>
                      <w:sz w:val="21"/>
                      <w:szCs w:val="21"/>
                    </w:rPr>
                  </w:pPr>
                  <w:r>
                    <w:rPr>
                      <w:rFonts w:hint="eastAsia"/>
                      <w:color w:val="auto"/>
                      <w:kern w:val="0"/>
                      <w:sz w:val="21"/>
                      <w:szCs w:val="21"/>
                    </w:rPr>
                    <w:t>属于5.1 类中易燃气体，在危险货物品名表中编号</w:t>
                  </w:r>
                  <w:r>
                    <w:rPr>
                      <w:color w:val="auto"/>
                      <w:kern w:val="0"/>
                      <w:sz w:val="21"/>
                      <w:szCs w:val="21"/>
                    </w:rPr>
                    <w:t>21007</w:t>
                  </w:r>
                </w:p>
              </w:tc>
              <w:tc>
                <w:tcPr>
                  <w:tcW w:w="517" w:type="pct"/>
                  <w:shd w:val="clear" w:color="auto" w:fill="auto"/>
                  <w:noWrap w:val="0"/>
                  <w:vAlign w:val="center"/>
                </w:tcPr>
                <w:p>
                  <w:pPr>
                    <w:contextualSpacing/>
                    <w:rPr>
                      <w:rFonts w:hint="eastAsia"/>
                      <w:color w:val="auto"/>
                      <w:kern w:val="0"/>
                      <w:sz w:val="21"/>
                      <w:szCs w:val="21"/>
                    </w:rPr>
                  </w:pPr>
                  <w:r>
                    <w:rPr>
                      <w:rFonts w:hint="eastAsia"/>
                      <w:color w:val="auto"/>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shd w:val="clear" w:color="auto" w:fill="auto"/>
                  <w:noWrap w:val="0"/>
                  <w:vAlign w:val="center"/>
                </w:tcPr>
                <w:p>
                  <w:pPr>
                    <w:contextualSpacing/>
                    <w:rPr>
                      <w:rFonts w:hint="eastAsia"/>
                      <w:color w:val="auto"/>
                      <w:kern w:val="0"/>
                      <w:sz w:val="21"/>
                      <w:szCs w:val="21"/>
                    </w:rPr>
                  </w:pPr>
                  <w:r>
                    <w:rPr>
                      <w:rFonts w:hint="eastAsia"/>
                      <w:color w:val="auto"/>
                      <w:kern w:val="0"/>
                      <w:sz w:val="21"/>
                      <w:szCs w:val="21"/>
                    </w:rPr>
                    <w:t>柴油</w:t>
                  </w:r>
                </w:p>
              </w:tc>
              <w:tc>
                <w:tcPr>
                  <w:tcW w:w="2290" w:type="pct"/>
                  <w:shd w:val="clear" w:color="auto" w:fill="auto"/>
                  <w:noWrap w:val="0"/>
                  <w:vAlign w:val="center"/>
                </w:tcPr>
                <w:p>
                  <w:pPr>
                    <w:contextualSpacing/>
                    <w:jc w:val="left"/>
                    <w:rPr>
                      <w:color w:val="auto"/>
                      <w:kern w:val="0"/>
                      <w:sz w:val="21"/>
                      <w:szCs w:val="21"/>
                    </w:rPr>
                  </w:pPr>
                  <w:r>
                    <w:rPr>
                      <w:rFonts w:hint="eastAsia"/>
                      <w:color w:val="auto"/>
                      <w:kern w:val="0"/>
                      <w:sz w:val="21"/>
                      <w:szCs w:val="21"/>
                    </w:rPr>
                    <w:t>闪点（℃）：55</w:t>
                  </w:r>
                </w:p>
                <w:p>
                  <w:pPr>
                    <w:contextualSpacing/>
                    <w:jc w:val="left"/>
                    <w:rPr>
                      <w:color w:val="auto"/>
                      <w:kern w:val="0"/>
                      <w:sz w:val="21"/>
                      <w:szCs w:val="21"/>
                    </w:rPr>
                  </w:pPr>
                  <w:r>
                    <w:rPr>
                      <w:rFonts w:hint="eastAsia"/>
                      <w:color w:val="auto"/>
                      <w:kern w:val="0"/>
                      <w:sz w:val="21"/>
                      <w:szCs w:val="21"/>
                    </w:rPr>
                    <w:t>引燃温度（℃）：257</w:t>
                  </w:r>
                </w:p>
                <w:p>
                  <w:pPr>
                    <w:contextualSpacing/>
                    <w:jc w:val="left"/>
                    <w:rPr>
                      <w:color w:val="auto"/>
                      <w:kern w:val="0"/>
                      <w:sz w:val="21"/>
                      <w:szCs w:val="21"/>
                    </w:rPr>
                  </w:pPr>
                  <w:r>
                    <w:rPr>
                      <w:rFonts w:hint="eastAsia"/>
                      <w:color w:val="auto"/>
                      <w:kern w:val="0"/>
                      <w:sz w:val="21"/>
                      <w:szCs w:val="21"/>
                    </w:rPr>
                    <w:t>相对密度（水=1）：0.80～0.87</w:t>
                  </w:r>
                </w:p>
                <w:p>
                  <w:pPr>
                    <w:contextualSpacing/>
                    <w:jc w:val="left"/>
                    <w:rPr>
                      <w:color w:val="auto"/>
                      <w:kern w:val="0"/>
                      <w:sz w:val="21"/>
                      <w:szCs w:val="21"/>
                    </w:rPr>
                  </w:pPr>
                  <w:r>
                    <w:rPr>
                      <w:rFonts w:hint="eastAsia"/>
                      <w:color w:val="auto"/>
                      <w:kern w:val="0"/>
                      <w:sz w:val="21"/>
                      <w:szCs w:val="21"/>
                    </w:rPr>
                    <w:t>沸点（℃）：180～380℃</w:t>
                  </w:r>
                </w:p>
              </w:tc>
              <w:tc>
                <w:tcPr>
                  <w:tcW w:w="1281" w:type="pct"/>
                  <w:shd w:val="clear" w:color="auto" w:fill="auto"/>
                  <w:noWrap w:val="0"/>
                  <w:vAlign w:val="center"/>
                </w:tcPr>
                <w:p>
                  <w:pPr>
                    <w:contextualSpacing/>
                    <w:rPr>
                      <w:rFonts w:hint="eastAsia"/>
                      <w:color w:val="auto"/>
                      <w:kern w:val="0"/>
                      <w:sz w:val="21"/>
                      <w:szCs w:val="21"/>
                    </w:rPr>
                  </w:pPr>
                  <w:r>
                    <w:rPr>
                      <w:color w:val="auto"/>
                      <w:kern w:val="0"/>
                      <w:sz w:val="21"/>
                      <w:szCs w:val="21"/>
                    </w:rPr>
                    <w:t>属于高闪点可燃液体</w:t>
                  </w:r>
                </w:p>
              </w:tc>
              <w:tc>
                <w:tcPr>
                  <w:tcW w:w="517" w:type="pct"/>
                  <w:shd w:val="clear" w:color="auto" w:fill="auto"/>
                  <w:noWrap w:val="0"/>
                  <w:vAlign w:val="center"/>
                </w:tcPr>
                <w:p>
                  <w:pPr>
                    <w:contextualSpacing/>
                    <w:rPr>
                      <w:rFonts w:hint="eastAsia"/>
                      <w:color w:val="auto"/>
                      <w:kern w:val="0"/>
                      <w:sz w:val="21"/>
                      <w:szCs w:val="21"/>
                    </w:rPr>
                  </w:pPr>
                  <w:r>
                    <w:rPr>
                      <w:color w:val="auto"/>
                      <w:kern w:val="0"/>
                      <w:sz w:val="21"/>
                      <w:szCs w:val="21"/>
                    </w:rPr>
                    <w:t>低毒</w:t>
                  </w:r>
                </w:p>
              </w:tc>
            </w:tr>
          </w:tbl>
          <w:p>
            <w:pPr>
              <w:pStyle w:val="4"/>
              <w:rPr>
                <w:color w:val="auto"/>
              </w:rPr>
            </w:pPr>
            <w:r>
              <w:rPr>
                <w:color w:val="auto"/>
              </w:rPr>
              <w:t>（3）环境风险潜势划分</w:t>
            </w:r>
          </w:p>
          <w:p>
            <w:pPr>
              <w:pStyle w:val="4"/>
              <w:rPr>
                <w:bCs/>
                <w:color w:val="auto"/>
              </w:rPr>
            </w:pPr>
            <w:r>
              <w:rPr>
                <w:bCs/>
                <w:color w:val="auto"/>
              </w:rPr>
              <w:t>建设项目环境风险潜势划分为</w:t>
            </w:r>
            <w:r>
              <w:rPr>
                <w:color w:val="auto"/>
              </w:rPr>
              <w:t>I</w:t>
            </w:r>
            <w:r>
              <w:rPr>
                <w:bCs/>
                <w:color w:val="auto"/>
              </w:rPr>
              <w:t>、</w:t>
            </w:r>
            <w:r>
              <w:rPr>
                <w:color w:val="auto"/>
              </w:rPr>
              <w:t>II</w:t>
            </w:r>
            <w:r>
              <w:rPr>
                <w:bCs/>
                <w:color w:val="auto"/>
              </w:rPr>
              <w:t>、</w:t>
            </w:r>
            <w:r>
              <w:rPr>
                <w:color w:val="auto"/>
              </w:rPr>
              <w:t>III</w:t>
            </w:r>
            <w:r>
              <w:rPr>
                <w:bCs/>
                <w:color w:val="auto"/>
              </w:rPr>
              <w:t>、</w:t>
            </w:r>
            <w:r>
              <w:rPr>
                <w:color w:val="auto"/>
              </w:rPr>
              <w:t>IV</w:t>
            </w:r>
            <w:r>
              <w:rPr>
                <w:bCs/>
                <w:color w:val="auto"/>
              </w:rPr>
              <w:t>/</w:t>
            </w:r>
            <w:r>
              <w:rPr>
                <w:color w:val="auto"/>
              </w:rPr>
              <w:t>IV</w:t>
            </w:r>
            <w:r>
              <w:rPr>
                <w:bCs/>
                <w:color w:val="auto"/>
                <w:vertAlign w:val="superscript"/>
              </w:rPr>
              <w:t>+</w:t>
            </w:r>
            <w:r>
              <w:rPr>
                <w:bCs/>
                <w:color w:val="auto"/>
              </w:rPr>
              <w:t>级。</w:t>
            </w:r>
          </w:p>
          <w:p>
            <w:pPr>
              <w:pStyle w:val="4"/>
              <w:rPr>
                <w:color w:val="auto"/>
              </w:rPr>
            </w:pPr>
            <w:r>
              <w:rPr>
                <w:color w:val="auto"/>
              </w:rPr>
              <w:t>根据建设项目涉及的物质和工艺系统的危险性及其所在地的环境敏感程度，结合事故情形下环境影响途径，对建设项目潜在环境危害程度进行概化分析，确定环境风险潜势。建设项目环境风险潜势划分见表4</w:t>
            </w:r>
            <w:r>
              <w:rPr>
                <w:rFonts w:hint="eastAsia"/>
                <w:color w:val="auto"/>
              </w:rPr>
              <w:t>-</w:t>
            </w:r>
            <w:r>
              <w:rPr>
                <w:color w:val="auto"/>
              </w:rPr>
              <w:t>1</w:t>
            </w:r>
            <w:r>
              <w:rPr>
                <w:rFonts w:hint="eastAsia"/>
                <w:color w:val="auto"/>
                <w:lang w:val="en-US" w:eastAsia="zh-CN"/>
              </w:rPr>
              <w:t>5</w:t>
            </w:r>
            <w:r>
              <w:rPr>
                <w:color w:val="auto"/>
              </w:rPr>
              <w:t>。</w:t>
            </w:r>
          </w:p>
          <w:p>
            <w:pPr>
              <w:pStyle w:val="27"/>
              <w:rPr>
                <w:bCs/>
                <w:color w:val="auto"/>
              </w:rPr>
            </w:pPr>
            <w:r>
              <w:rPr>
                <w:color w:val="auto"/>
              </w:rPr>
              <w:t>表4</w:t>
            </w:r>
            <w:r>
              <w:rPr>
                <w:rFonts w:hint="eastAsia"/>
                <w:color w:val="auto"/>
              </w:rPr>
              <w:t>-</w:t>
            </w:r>
            <w:r>
              <w:rPr>
                <w:color w:val="auto"/>
              </w:rPr>
              <w:t>1</w:t>
            </w:r>
            <w:r>
              <w:rPr>
                <w:rFonts w:hint="eastAsia"/>
                <w:color w:val="auto"/>
                <w:lang w:val="en-US" w:eastAsia="zh-CN"/>
              </w:rPr>
              <w:t>5</w:t>
            </w:r>
            <w:r>
              <w:rPr>
                <w:color w:val="auto"/>
              </w:rPr>
              <w:t xml:space="preserve">  建设项目环境风险潜势划分</w:t>
            </w:r>
          </w:p>
          <w:tbl>
            <w:tblPr>
              <w:tblStyle w:val="1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342"/>
              <w:gridCol w:w="1584"/>
              <w:gridCol w:w="1640"/>
              <w:gridCol w:w="14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54" w:type="dxa"/>
                  <w:vMerge w:val="restart"/>
                  <w:shd w:val="clear" w:color="auto" w:fill="auto"/>
                  <w:noWrap w:val="0"/>
                  <w:vAlign w:val="center"/>
                </w:tcPr>
                <w:p>
                  <w:pPr>
                    <w:pStyle w:val="28"/>
                    <w:rPr>
                      <w:color w:val="auto"/>
                    </w:rPr>
                  </w:pPr>
                  <w:r>
                    <w:rPr>
                      <w:color w:val="auto"/>
                    </w:rPr>
                    <w:t>环境敏感程度（E</w:t>
                  </w:r>
                  <w:r>
                    <w:rPr>
                      <w:rFonts w:ascii="宋体" w:hAnsi="宋体"/>
                      <w:color w:val="auto"/>
                    </w:rPr>
                    <w:t>）</w:t>
                  </w:r>
                </w:p>
              </w:tc>
              <w:tc>
                <w:tcPr>
                  <w:tcW w:w="6490" w:type="dxa"/>
                  <w:gridSpan w:val="4"/>
                  <w:shd w:val="clear" w:color="auto" w:fill="auto"/>
                  <w:noWrap w:val="0"/>
                  <w:vAlign w:val="center"/>
                </w:tcPr>
                <w:p>
                  <w:pPr>
                    <w:pStyle w:val="28"/>
                    <w:rPr>
                      <w:color w:val="auto"/>
                    </w:rPr>
                  </w:pPr>
                  <w:r>
                    <w:rPr>
                      <w:color w:val="auto"/>
                    </w:rPr>
                    <w:t>危险物质及工艺系统危险性（P</w:t>
                  </w:r>
                  <w:r>
                    <w:rPr>
                      <w:rFonts w:ascii="宋体" w:hAnsi="宋体"/>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54" w:type="dxa"/>
                  <w:vMerge w:val="continue"/>
                  <w:shd w:val="clear" w:color="auto" w:fill="auto"/>
                  <w:noWrap w:val="0"/>
                  <w:vAlign w:val="center"/>
                </w:tcPr>
                <w:p>
                  <w:pPr>
                    <w:pStyle w:val="28"/>
                    <w:rPr>
                      <w:color w:val="auto"/>
                    </w:rPr>
                  </w:pPr>
                </w:p>
              </w:tc>
              <w:tc>
                <w:tcPr>
                  <w:tcW w:w="1453" w:type="dxa"/>
                  <w:shd w:val="clear" w:color="auto" w:fill="auto"/>
                  <w:noWrap w:val="0"/>
                  <w:vAlign w:val="center"/>
                </w:tcPr>
                <w:p>
                  <w:pPr>
                    <w:pStyle w:val="28"/>
                    <w:rPr>
                      <w:color w:val="auto"/>
                    </w:rPr>
                  </w:pPr>
                  <w:r>
                    <w:rPr>
                      <w:color w:val="auto"/>
                    </w:rPr>
                    <w:t>极高危害（P1</w:t>
                  </w:r>
                  <w:r>
                    <w:rPr>
                      <w:rFonts w:ascii="宋体" w:hAnsi="宋体"/>
                      <w:color w:val="auto"/>
                    </w:rPr>
                    <w:t>）</w:t>
                  </w:r>
                </w:p>
              </w:tc>
              <w:tc>
                <w:tcPr>
                  <w:tcW w:w="1719" w:type="dxa"/>
                  <w:shd w:val="clear" w:color="auto" w:fill="auto"/>
                  <w:noWrap w:val="0"/>
                  <w:vAlign w:val="center"/>
                </w:tcPr>
                <w:p>
                  <w:pPr>
                    <w:pStyle w:val="28"/>
                    <w:rPr>
                      <w:color w:val="auto"/>
                    </w:rPr>
                  </w:pPr>
                  <w:r>
                    <w:rPr>
                      <w:color w:val="auto"/>
                    </w:rPr>
                    <w:t>高度危害（P2</w:t>
                  </w:r>
                  <w:r>
                    <w:rPr>
                      <w:rFonts w:ascii="宋体" w:hAnsi="宋体"/>
                      <w:color w:val="auto"/>
                    </w:rPr>
                    <w:t>）</w:t>
                  </w:r>
                </w:p>
              </w:tc>
              <w:tc>
                <w:tcPr>
                  <w:tcW w:w="1781" w:type="dxa"/>
                  <w:shd w:val="clear" w:color="auto" w:fill="auto"/>
                  <w:noWrap w:val="0"/>
                  <w:vAlign w:val="center"/>
                </w:tcPr>
                <w:p>
                  <w:pPr>
                    <w:pStyle w:val="28"/>
                    <w:rPr>
                      <w:bCs/>
                      <w:color w:val="auto"/>
                    </w:rPr>
                  </w:pPr>
                  <w:r>
                    <w:rPr>
                      <w:bCs/>
                      <w:color w:val="auto"/>
                    </w:rPr>
                    <w:t>中度危害</w:t>
                  </w:r>
                  <w:r>
                    <w:rPr>
                      <w:color w:val="auto"/>
                    </w:rPr>
                    <w:t>（P3</w:t>
                  </w:r>
                  <w:r>
                    <w:rPr>
                      <w:rFonts w:ascii="宋体" w:hAnsi="宋体"/>
                      <w:color w:val="auto"/>
                    </w:rPr>
                    <w:t>）</w:t>
                  </w:r>
                </w:p>
              </w:tc>
              <w:tc>
                <w:tcPr>
                  <w:tcW w:w="1537" w:type="dxa"/>
                  <w:shd w:val="clear" w:color="auto" w:fill="auto"/>
                  <w:noWrap w:val="0"/>
                  <w:vAlign w:val="center"/>
                </w:tcPr>
                <w:p>
                  <w:pPr>
                    <w:pStyle w:val="28"/>
                    <w:rPr>
                      <w:color w:val="auto"/>
                    </w:rPr>
                  </w:pPr>
                  <w:r>
                    <w:rPr>
                      <w:color w:val="auto"/>
                    </w:rPr>
                    <w:t>轻度危害（P4</w:t>
                  </w:r>
                  <w:r>
                    <w:rPr>
                      <w:rFonts w:ascii="宋体" w:hAnsi="宋体"/>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54" w:type="dxa"/>
                  <w:shd w:val="clear" w:color="auto" w:fill="auto"/>
                  <w:noWrap w:val="0"/>
                  <w:vAlign w:val="center"/>
                </w:tcPr>
                <w:p>
                  <w:pPr>
                    <w:pStyle w:val="28"/>
                    <w:rPr>
                      <w:color w:val="auto"/>
                    </w:rPr>
                  </w:pPr>
                  <w:r>
                    <w:rPr>
                      <w:color w:val="auto"/>
                    </w:rPr>
                    <w:t>环境高度敏感区（E1</w:t>
                  </w:r>
                  <w:r>
                    <w:rPr>
                      <w:rFonts w:ascii="宋体" w:hAnsi="宋体"/>
                      <w:color w:val="auto"/>
                    </w:rPr>
                    <w:t>）</w:t>
                  </w:r>
                </w:p>
              </w:tc>
              <w:tc>
                <w:tcPr>
                  <w:tcW w:w="1453" w:type="dxa"/>
                  <w:shd w:val="clear" w:color="auto" w:fill="auto"/>
                  <w:noWrap w:val="0"/>
                  <w:vAlign w:val="center"/>
                </w:tcPr>
                <w:p>
                  <w:pPr>
                    <w:pStyle w:val="28"/>
                    <w:rPr>
                      <w:color w:val="auto"/>
                    </w:rPr>
                  </w:pPr>
                  <w:r>
                    <w:rPr>
                      <w:bCs/>
                      <w:color w:val="auto"/>
                    </w:rPr>
                    <w:t>IV</w:t>
                  </w:r>
                  <w:r>
                    <w:rPr>
                      <w:color w:val="auto"/>
                    </w:rPr>
                    <w:t>+</w:t>
                  </w:r>
                </w:p>
              </w:tc>
              <w:tc>
                <w:tcPr>
                  <w:tcW w:w="1719" w:type="dxa"/>
                  <w:shd w:val="clear" w:color="auto" w:fill="auto"/>
                  <w:noWrap w:val="0"/>
                  <w:vAlign w:val="center"/>
                </w:tcPr>
                <w:p>
                  <w:pPr>
                    <w:pStyle w:val="28"/>
                    <w:rPr>
                      <w:color w:val="auto"/>
                    </w:rPr>
                  </w:pPr>
                  <w:r>
                    <w:rPr>
                      <w:bCs/>
                      <w:color w:val="auto"/>
                    </w:rPr>
                    <w:t>IV</w:t>
                  </w:r>
                  <w:r>
                    <w:rPr>
                      <w:color w:val="auto"/>
                    </w:rPr>
                    <w:t>+</w:t>
                  </w:r>
                </w:p>
              </w:tc>
              <w:tc>
                <w:tcPr>
                  <w:tcW w:w="1781" w:type="dxa"/>
                  <w:shd w:val="clear" w:color="auto" w:fill="auto"/>
                  <w:noWrap w:val="0"/>
                  <w:vAlign w:val="center"/>
                </w:tcPr>
                <w:p>
                  <w:pPr>
                    <w:pStyle w:val="28"/>
                    <w:rPr>
                      <w:color w:val="auto"/>
                    </w:rPr>
                  </w:pPr>
                  <w:r>
                    <w:rPr>
                      <w:bCs/>
                      <w:color w:val="auto"/>
                    </w:rPr>
                    <w:t>III</w:t>
                  </w:r>
                </w:p>
              </w:tc>
              <w:tc>
                <w:tcPr>
                  <w:tcW w:w="1537" w:type="dxa"/>
                  <w:shd w:val="clear" w:color="auto" w:fill="auto"/>
                  <w:noWrap w:val="0"/>
                  <w:vAlign w:val="center"/>
                </w:tcPr>
                <w:p>
                  <w:pPr>
                    <w:pStyle w:val="28"/>
                    <w:rPr>
                      <w:color w:val="auto"/>
                    </w:rPr>
                  </w:pPr>
                  <w:r>
                    <w:rPr>
                      <w:bCs/>
                      <w:color w:val="auto"/>
                    </w:rPr>
                    <w:t>III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54" w:type="dxa"/>
                  <w:shd w:val="clear" w:color="auto" w:fill="auto"/>
                  <w:noWrap w:val="0"/>
                  <w:vAlign w:val="center"/>
                </w:tcPr>
                <w:p>
                  <w:pPr>
                    <w:pStyle w:val="28"/>
                    <w:rPr>
                      <w:color w:val="auto"/>
                    </w:rPr>
                  </w:pPr>
                  <w:r>
                    <w:rPr>
                      <w:color w:val="auto"/>
                    </w:rPr>
                    <w:t>环境高度敏感区（E2</w:t>
                  </w:r>
                  <w:r>
                    <w:rPr>
                      <w:rFonts w:ascii="宋体" w:hAnsi="宋体"/>
                      <w:color w:val="auto"/>
                    </w:rPr>
                    <w:t>）</w:t>
                  </w:r>
                </w:p>
              </w:tc>
              <w:tc>
                <w:tcPr>
                  <w:tcW w:w="1453" w:type="dxa"/>
                  <w:shd w:val="clear" w:color="auto" w:fill="auto"/>
                  <w:noWrap w:val="0"/>
                  <w:vAlign w:val="center"/>
                </w:tcPr>
                <w:p>
                  <w:pPr>
                    <w:pStyle w:val="28"/>
                    <w:rPr>
                      <w:color w:val="auto"/>
                    </w:rPr>
                  </w:pPr>
                  <w:r>
                    <w:rPr>
                      <w:bCs/>
                      <w:color w:val="auto"/>
                    </w:rPr>
                    <w:t>IV</w:t>
                  </w:r>
                  <w:r>
                    <w:rPr>
                      <w:color w:val="auto"/>
                    </w:rPr>
                    <w:t>+</w:t>
                  </w:r>
                </w:p>
              </w:tc>
              <w:tc>
                <w:tcPr>
                  <w:tcW w:w="1719" w:type="dxa"/>
                  <w:shd w:val="clear" w:color="auto" w:fill="auto"/>
                  <w:noWrap w:val="0"/>
                  <w:vAlign w:val="center"/>
                </w:tcPr>
                <w:p>
                  <w:pPr>
                    <w:pStyle w:val="28"/>
                    <w:rPr>
                      <w:color w:val="auto"/>
                    </w:rPr>
                  </w:pPr>
                  <w:r>
                    <w:rPr>
                      <w:bCs/>
                      <w:color w:val="auto"/>
                    </w:rPr>
                    <w:t>III</w:t>
                  </w:r>
                </w:p>
              </w:tc>
              <w:tc>
                <w:tcPr>
                  <w:tcW w:w="1781" w:type="dxa"/>
                  <w:shd w:val="clear" w:color="auto" w:fill="auto"/>
                  <w:noWrap w:val="0"/>
                  <w:vAlign w:val="center"/>
                </w:tcPr>
                <w:p>
                  <w:pPr>
                    <w:pStyle w:val="28"/>
                    <w:rPr>
                      <w:color w:val="auto"/>
                    </w:rPr>
                  </w:pPr>
                  <w:r>
                    <w:rPr>
                      <w:bCs/>
                      <w:color w:val="auto"/>
                    </w:rPr>
                    <w:t>III</w:t>
                  </w:r>
                </w:p>
              </w:tc>
              <w:tc>
                <w:tcPr>
                  <w:tcW w:w="1537" w:type="dxa"/>
                  <w:shd w:val="clear" w:color="auto" w:fill="auto"/>
                  <w:noWrap w:val="0"/>
                  <w:vAlign w:val="center"/>
                </w:tcPr>
                <w:p>
                  <w:pPr>
                    <w:pStyle w:val="28"/>
                    <w:rPr>
                      <w:color w:val="auto"/>
                    </w:rPr>
                  </w:pPr>
                  <w:r>
                    <w:rPr>
                      <w:bCs/>
                      <w:color w:val="auto"/>
                    </w:rPr>
                    <w:t>II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54" w:type="dxa"/>
                  <w:shd w:val="clear" w:color="auto" w:fill="auto"/>
                  <w:noWrap w:val="0"/>
                  <w:vAlign w:val="center"/>
                </w:tcPr>
                <w:p>
                  <w:pPr>
                    <w:pStyle w:val="28"/>
                    <w:rPr>
                      <w:color w:val="auto"/>
                    </w:rPr>
                  </w:pPr>
                  <w:r>
                    <w:rPr>
                      <w:color w:val="auto"/>
                    </w:rPr>
                    <w:t>环境高度敏感区（E3</w:t>
                  </w:r>
                  <w:r>
                    <w:rPr>
                      <w:rFonts w:ascii="宋体" w:hAnsi="宋体"/>
                      <w:color w:val="auto"/>
                    </w:rPr>
                    <w:t>）</w:t>
                  </w:r>
                </w:p>
              </w:tc>
              <w:tc>
                <w:tcPr>
                  <w:tcW w:w="1453" w:type="dxa"/>
                  <w:shd w:val="clear" w:color="auto" w:fill="auto"/>
                  <w:noWrap w:val="0"/>
                  <w:vAlign w:val="center"/>
                </w:tcPr>
                <w:p>
                  <w:pPr>
                    <w:pStyle w:val="28"/>
                    <w:rPr>
                      <w:color w:val="auto"/>
                    </w:rPr>
                  </w:pPr>
                  <w:r>
                    <w:rPr>
                      <w:bCs/>
                      <w:color w:val="auto"/>
                    </w:rPr>
                    <w:t>III</w:t>
                  </w:r>
                </w:p>
              </w:tc>
              <w:tc>
                <w:tcPr>
                  <w:tcW w:w="1719" w:type="dxa"/>
                  <w:shd w:val="clear" w:color="auto" w:fill="auto"/>
                  <w:noWrap w:val="0"/>
                  <w:vAlign w:val="center"/>
                </w:tcPr>
                <w:p>
                  <w:pPr>
                    <w:pStyle w:val="28"/>
                    <w:rPr>
                      <w:color w:val="auto"/>
                    </w:rPr>
                  </w:pPr>
                  <w:r>
                    <w:rPr>
                      <w:bCs/>
                      <w:color w:val="auto"/>
                    </w:rPr>
                    <w:t>III</w:t>
                  </w:r>
                </w:p>
              </w:tc>
              <w:tc>
                <w:tcPr>
                  <w:tcW w:w="1781" w:type="dxa"/>
                  <w:shd w:val="clear" w:color="auto" w:fill="auto"/>
                  <w:noWrap w:val="0"/>
                  <w:vAlign w:val="center"/>
                </w:tcPr>
                <w:p>
                  <w:pPr>
                    <w:pStyle w:val="28"/>
                    <w:rPr>
                      <w:color w:val="auto"/>
                    </w:rPr>
                  </w:pPr>
                  <w:r>
                    <w:rPr>
                      <w:bCs/>
                      <w:color w:val="auto"/>
                    </w:rPr>
                    <w:t>II</w:t>
                  </w:r>
                </w:p>
              </w:tc>
              <w:tc>
                <w:tcPr>
                  <w:tcW w:w="1537" w:type="dxa"/>
                  <w:shd w:val="clear" w:color="auto" w:fill="auto"/>
                  <w:noWrap w:val="0"/>
                  <w:vAlign w:val="center"/>
                </w:tcPr>
                <w:p>
                  <w:pPr>
                    <w:pStyle w:val="28"/>
                    <w:rPr>
                      <w:color w:val="auto"/>
                    </w:rPr>
                  </w:pPr>
                  <w:r>
                    <w:rPr>
                      <w:bCs/>
                      <w:color w:val="auto"/>
                    </w:rPr>
                    <w:t>I</w:t>
                  </w:r>
                </w:p>
              </w:tc>
            </w:tr>
          </w:tbl>
          <w:p>
            <w:pPr>
              <w:pStyle w:val="4"/>
              <w:rPr>
                <w:color w:val="auto"/>
              </w:rPr>
            </w:pPr>
            <w:r>
              <w:rPr>
                <w:color w:val="auto"/>
              </w:rPr>
              <w:t>对照《建设项目环境风险评价技术导则》（HJ169-2018）附录C.1.1中，本项目钻井过程中涉及的危险物质</w:t>
            </w:r>
            <w:r>
              <w:rPr>
                <w:rFonts w:hint="eastAsia"/>
                <w:color w:val="auto"/>
              </w:rPr>
              <w:t>施工期主要为柴油，试油期</w:t>
            </w:r>
            <w:r>
              <w:rPr>
                <w:color w:val="auto"/>
              </w:rPr>
              <w:t>主要是</w:t>
            </w:r>
            <w:r>
              <w:rPr>
                <w:rFonts w:hint="eastAsia"/>
                <w:color w:val="auto"/>
              </w:rPr>
              <w:t>原油和伴生气（天然气）</w:t>
            </w:r>
            <w:r>
              <w:rPr>
                <w:color w:val="auto"/>
              </w:rPr>
              <w:t>，由于</w:t>
            </w:r>
            <w:r>
              <w:rPr>
                <w:rFonts w:hint="eastAsia"/>
                <w:color w:val="auto"/>
              </w:rPr>
              <w:t>原油和伴生气</w:t>
            </w:r>
            <w:r>
              <w:rPr>
                <w:color w:val="auto"/>
              </w:rPr>
              <w:t>仅在井喷时产生，井场不存在该物质，钻井期井场设有柴油罐（20m</w:t>
            </w:r>
            <w:r>
              <w:rPr>
                <w:color w:val="auto"/>
                <w:vertAlign w:val="superscript"/>
              </w:rPr>
              <w:t>3</w:t>
            </w:r>
            <w:r>
              <w:rPr>
                <w:color w:val="auto"/>
              </w:rPr>
              <w:t>），预计柴油16.7t，试油期设置60m</w:t>
            </w:r>
            <w:r>
              <w:rPr>
                <w:color w:val="auto"/>
                <w:vertAlign w:val="superscript"/>
              </w:rPr>
              <w:t>3</w:t>
            </w:r>
            <w:r>
              <w:rPr>
                <w:color w:val="auto"/>
              </w:rPr>
              <w:t>的临时储罐，原油存在量约49.8t</w:t>
            </w:r>
            <w:r>
              <w:rPr>
                <w:rFonts w:hint="eastAsia"/>
                <w:color w:val="auto"/>
              </w:rPr>
              <w:t>，</w:t>
            </w:r>
            <w:r>
              <w:rPr>
                <w:color w:val="auto"/>
              </w:rPr>
              <w:t>原油运输采用专用罐车拉运方式。本项目Q值见表4</w:t>
            </w:r>
            <w:r>
              <w:rPr>
                <w:rFonts w:hint="eastAsia"/>
                <w:color w:val="auto"/>
              </w:rPr>
              <w:t>-</w:t>
            </w:r>
            <w:r>
              <w:rPr>
                <w:color w:val="auto"/>
              </w:rPr>
              <w:t>1</w:t>
            </w:r>
            <w:r>
              <w:rPr>
                <w:rFonts w:hint="eastAsia"/>
                <w:color w:val="auto"/>
                <w:lang w:val="en-US" w:eastAsia="zh-CN"/>
              </w:rPr>
              <w:t>6</w:t>
            </w:r>
            <w:r>
              <w:rPr>
                <w:color w:val="auto"/>
              </w:rPr>
              <w:t>。</w:t>
            </w:r>
          </w:p>
          <w:p>
            <w:pPr>
              <w:overflowPunct w:val="0"/>
              <w:adjustRightInd/>
              <w:ind w:firstLine="422" w:firstLineChars="200"/>
              <w:rPr>
                <w:rFonts w:ascii="宋体" w:hAnsi="宋体"/>
                <w:b/>
                <w:color w:val="auto"/>
                <w:sz w:val="21"/>
                <w:szCs w:val="21"/>
              </w:rPr>
            </w:pPr>
          </w:p>
          <w:p>
            <w:pPr>
              <w:overflowPunct w:val="0"/>
              <w:adjustRightInd/>
              <w:ind w:firstLine="422" w:firstLineChars="200"/>
              <w:rPr>
                <w:b/>
                <w:bCs/>
                <w:color w:val="auto"/>
              </w:rPr>
            </w:pPr>
            <w:r>
              <w:rPr>
                <w:rFonts w:ascii="宋体" w:hAnsi="宋体"/>
                <w:b/>
                <w:color w:val="auto"/>
                <w:sz w:val="21"/>
                <w:szCs w:val="21"/>
              </w:rPr>
              <w:t>表</w:t>
            </w:r>
            <w:r>
              <w:rPr>
                <w:b/>
                <w:color w:val="auto"/>
                <w:sz w:val="21"/>
                <w:szCs w:val="21"/>
              </w:rPr>
              <w:t>4</w:t>
            </w:r>
            <w:r>
              <w:rPr>
                <w:rFonts w:hint="eastAsia"/>
                <w:b/>
                <w:color w:val="auto"/>
                <w:sz w:val="21"/>
                <w:szCs w:val="21"/>
              </w:rPr>
              <w:t>-</w:t>
            </w:r>
            <w:r>
              <w:rPr>
                <w:b/>
                <w:color w:val="auto"/>
                <w:sz w:val="21"/>
                <w:szCs w:val="21"/>
              </w:rPr>
              <w:t>1</w:t>
            </w:r>
            <w:r>
              <w:rPr>
                <w:rFonts w:hint="eastAsia"/>
                <w:b/>
                <w:color w:val="auto"/>
                <w:sz w:val="21"/>
                <w:szCs w:val="21"/>
                <w:lang w:val="en-US" w:eastAsia="zh-CN"/>
              </w:rPr>
              <w:t>6</w:t>
            </w:r>
            <w:r>
              <w:rPr>
                <w:b/>
                <w:color w:val="auto"/>
                <w:sz w:val="21"/>
                <w:szCs w:val="21"/>
              </w:rPr>
              <w:t xml:space="preserve">    </w:t>
            </w:r>
            <w:r>
              <w:rPr>
                <w:rFonts w:ascii="宋体" w:hAnsi="宋体"/>
                <w:b/>
                <w:color w:val="auto"/>
                <w:sz w:val="21"/>
                <w:szCs w:val="21"/>
              </w:rPr>
              <w:t>危险物质与临界量比值</w:t>
            </w:r>
          </w:p>
          <w:tbl>
            <w:tblPr>
              <w:tblStyle w:val="17"/>
              <w:tblW w:w="88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984"/>
              <w:gridCol w:w="1831"/>
              <w:gridCol w:w="1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1" w:type="dxa"/>
                  <w:shd w:val="clear" w:color="auto" w:fill="auto"/>
                  <w:noWrap w:val="0"/>
                  <w:vAlign w:val="center"/>
                </w:tcPr>
                <w:p>
                  <w:pPr>
                    <w:pStyle w:val="28"/>
                    <w:rPr>
                      <w:color w:val="auto"/>
                    </w:rPr>
                  </w:pPr>
                  <w:r>
                    <w:rPr>
                      <w:color w:val="auto"/>
                    </w:rPr>
                    <w:t>物质名称</w:t>
                  </w:r>
                </w:p>
              </w:tc>
              <w:tc>
                <w:tcPr>
                  <w:tcW w:w="1984" w:type="dxa"/>
                  <w:shd w:val="clear" w:color="auto" w:fill="auto"/>
                  <w:noWrap w:val="0"/>
                  <w:vAlign w:val="center"/>
                </w:tcPr>
                <w:p>
                  <w:pPr>
                    <w:pStyle w:val="28"/>
                    <w:rPr>
                      <w:color w:val="auto"/>
                    </w:rPr>
                  </w:pPr>
                  <w:r>
                    <w:rPr>
                      <w:color w:val="auto"/>
                    </w:rPr>
                    <w:t>临界量</w:t>
                  </w:r>
                </w:p>
              </w:tc>
              <w:tc>
                <w:tcPr>
                  <w:tcW w:w="1831" w:type="dxa"/>
                  <w:shd w:val="clear" w:color="auto" w:fill="auto"/>
                  <w:noWrap w:val="0"/>
                  <w:vAlign w:val="center"/>
                </w:tcPr>
                <w:p>
                  <w:pPr>
                    <w:pStyle w:val="28"/>
                    <w:rPr>
                      <w:color w:val="auto"/>
                    </w:rPr>
                  </w:pPr>
                  <w:r>
                    <w:rPr>
                      <w:color w:val="auto"/>
                    </w:rPr>
                    <w:t>最大存在总量</w:t>
                  </w:r>
                </w:p>
              </w:tc>
              <w:tc>
                <w:tcPr>
                  <w:tcW w:w="1874" w:type="dxa"/>
                  <w:shd w:val="clear" w:color="auto" w:fill="auto"/>
                  <w:noWrap w:val="0"/>
                  <w:vAlign w:val="center"/>
                </w:tcPr>
                <w:p>
                  <w:pPr>
                    <w:pStyle w:val="28"/>
                    <w:rPr>
                      <w:color w:val="auto"/>
                    </w:rPr>
                  </w:pPr>
                  <w:r>
                    <w:rPr>
                      <w:color w:val="auto"/>
                    </w:rPr>
                    <w:t>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1" w:type="dxa"/>
                  <w:shd w:val="clear" w:color="auto" w:fill="auto"/>
                  <w:noWrap w:val="0"/>
                  <w:vAlign w:val="center"/>
                </w:tcPr>
                <w:p>
                  <w:pPr>
                    <w:pStyle w:val="28"/>
                    <w:rPr>
                      <w:color w:val="auto"/>
                    </w:rPr>
                  </w:pPr>
                  <w:r>
                    <w:rPr>
                      <w:rFonts w:hint="eastAsia"/>
                      <w:color w:val="auto"/>
                    </w:rPr>
                    <w:t>柴油</w:t>
                  </w:r>
                </w:p>
              </w:tc>
              <w:tc>
                <w:tcPr>
                  <w:tcW w:w="1984" w:type="dxa"/>
                  <w:shd w:val="clear" w:color="auto" w:fill="auto"/>
                  <w:noWrap w:val="0"/>
                  <w:vAlign w:val="center"/>
                </w:tcPr>
                <w:p>
                  <w:pPr>
                    <w:pStyle w:val="28"/>
                    <w:rPr>
                      <w:color w:val="auto"/>
                    </w:rPr>
                  </w:pPr>
                  <w:r>
                    <w:rPr>
                      <w:color w:val="auto"/>
                    </w:rPr>
                    <w:t>2500t</w:t>
                  </w:r>
                </w:p>
              </w:tc>
              <w:tc>
                <w:tcPr>
                  <w:tcW w:w="1831" w:type="dxa"/>
                  <w:shd w:val="clear" w:color="auto" w:fill="auto"/>
                  <w:noWrap w:val="0"/>
                  <w:vAlign w:val="center"/>
                </w:tcPr>
                <w:p>
                  <w:pPr>
                    <w:pStyle w:val="28"/>
                    <w:rPr>
                      <w:bCs/>
                      <w:color w:val="auto"/>
                    </w:rPr>
                  </w:pPr>
                  <w:r>
                    <w:rPr>
                      <w:bCs/>
                      <w:color w:val="auto"/>
                    </w:rPr>
                    <w:t>16.7t</w:t>
                  </w:r>
                </w:p>
              </w:tc>
              <w:tc>
                <w:tcPr>
                  <w:tcW w:w="1874" w:type="dxa"/>
                  <w:shd w:val="clear" w:color="auto" w:fill="auto"/>
                  <w:noWrap w:val="0"/>
                  <w:vAlign w:val="center"/>
                </w:tcPr>
                <w:p>
                  <w:pPr>
                    <w:pStyle w:val="28"/>
                    <w:rPr>
                      <w:bCs/>
                      <w:color w:val="auto"/>
                    </w:rPr>
                  </w:pPr>
                  <w:r>
                    <w:rPr>
                      <w:bCs/>
                      <w:color w:val="auto"/>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1" w:type="dxa"/>
                  <w:shd w:val="clear" w:color="auto" w:fill="auto"/>
                  <w:noWrap w:val="0"/>
                  <w:vAlign w:val="center"/>
                </w:tcPr>
                <w:p>
                  <w:pPr>
                    <w:pStyle w:val="28"/>
                    <w:rPr>
                      <w:color w:val="auto"/>
                    </w:rPr>
                  </w:pPr>
                  <w:r>
                    <w:rPr>
                      <w:rFonts w:hint="eastAsia"/>
                      <w:color w:val="auto"/>
                    </w:rPr>
                    <w:t>试油期原油</w:t>
                  </w:r>
                </w:p>
              </w:tc>
              <w:tc>
                <w:tcPr>
                  <w:tcW w:w="1984" w:type="dxa"/>
                  <w:shd w:val="clear" w:color="auto" w:fill="auto"/>
                  <w:noWrap w:val="0"/>
                  <w:vAlign w:val="center"/>
                </w:tcPr>
                <w:p>
                  <w:pPr>
                    <w:pStyle w:val="28"/>
                    <w:rPr>
                      <w:color w:val="auto"/>
                    </w:rPr>
                  </w:pPr>
                  <w:r>
                    <w:rPr>
                      <w:rFonts w:hint="eastAsia"/>
                      <w:color w:val="auto"/>
                    </w:rPr>
                    <w:t>2</w:t>
                  </w:r>
                  <w:r>
                    <w:rPr>
                      <w:color w:val="auto"/>
                    </w:rPr>
                    <w:t>500t</w:t>
                  </w:r>
                </w:p>
              </w:tc>
              <w:tc>
                <w:tcPr>
                  <w:tcW w:w="1831" w:type="dxa"/>
                  <w:shd w:val="clear" w:color="auto" w:fill="auto"/>
                  <w:noWrap w:val="0"/>
                  <w:vAlign w:val="center"/>
                </w:tcPr>
                <w:p>
                  <w:pPr>
                    <w:pStyle w:val="28"/>
                    <w:rPr>
                      <w:bCs/>
                      <w:color w:val="auto"/>
                    </w:rPr>
                  </w:pPr>
                  <w:r>
                    <w:rPr>
                      <w:bCs/>
                      <w:color w:val="auto"/>
                    </w:rPr>
                    <w:t>49.8t</w:t>
                  </w:r>
                </w:p>
              </w:tc>
              <w:tc>
                <w:tcPr>
                  <w:tcW w:w="1874" w:type="dxa"/>
                  <w:shd w:val="clear" w:color="auto" w:fill="auto"/>
                  <w:noWrap w:val="0"/>
                  <w:vAlign w:val="center"/>
                </w:tcPr>
                <w:p>
                  <w:pPr>
                    <w:pStyle w:val="28"/>
                    <w:rPr>
                      <w:bCs/>
                      <w:color w:val="auto"/>
                    </w:rPr>
                  </w:pPr>
                  <w:r>
                    <w:rPr>
                      <w:bCs/>
                      <w:color w:val="auto"/>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1" w:type="dxa"/>
                  <w:shd w:val="clear" w:color="auto" w:fill="auto"/>
                  <w:noWrap w:val="0"/>
                  <w:vAlign w:val="center"/>
                </w:tcPr>
                <w:p>
                  <w:pPr>
                    <w:pStyle w:val="28"/>
                    <w:rPr>
                      <w:color w:val="auto"/>
                    </w:rPr>
                  </w:pPr>
                  <w:r>
                    <w:rPr>
                      <w:rFonts w:hint="eastAsia"/>
                      <w:color w:val="auto"/>
                    </w:rPr>
                    <w:t>合计</w:t>
                  </w:r>
                </w:p>
              </w:tc>
              <w:tc>
                <w:tcPr>
                  <w:tcW w:w="1984" w:type="dxa"/>
                  <w:shd w:val="clear" w:color="auto" w:fill="auto"/>
                  <w:noWrap w:val="0"/>
                  <w:vAlign w:val="center"/>
                </w:tcPr>
                <w:p>
                  <w:pPr>
                    <w:pStyle w:val="28"/>
                    <w:rPr>
                      <w:color w:val="auto"/>
                    </w:rPr>
                  </w:pPr>
                  <w:r>
                    <w:rPr>
                      <w:rFonts w:hint="eastAsia"/>
                      <w:color w:val="auto"/>
                    </w:rPr>
                    <w:t>/</w:t>
                  </w:r>
                </w:p>
              </w:tc>
              <w:tc>
                <w:tcPr>
                  <w:tcW w:w="1831" w:type="dxa"/>
                  <w:shd w:val="clear" w:color="auto" w:fill="auto"/>
                  <w:noWrap w:val="0"/>
                  <w:vAlign w:val="center"/>
                </w:tcPr>
                <w:p>
                  <w:pPr>
                    <w:pStyle w:val="28"/>
                    <w:rPr>
                      <w:color w:val="auto"/>
                    </w:rPr>
                  </w:pPr>
                  <w:r>
                    <w:rPr>
                      <w:rFonts w:hint="eastAsia"/>
                      <w:color w:val="auto"/>
                    </w:rPr>
                    <w:t>/</w:t>
                  </w:r>
                </w:p>
              </w:tc>
              <w:tc>
                <w:tcPr>
                  <w:tcW w:w="1874" w:type="dxa"/>
                  <w:shd w:val="clear" w:color="auto" w:fill="auto"/>
                  <w:noWrap w:val="0"/>
                  <w:vAlign w:val="center"/>
                </w:tcPr>
                <w:p>
                  <w:pPr>
                    <w:pStyle w:val="28"/>
                    <w:rPr>
                      <w:color w:val="auto"/>
                    </w:rPr>
                  </w:pPr>
                  <w:r>
                    <w:rPr>
                      <w:rFonts w:hint="eastAsia"/>
                      <w:color w:val="auto"/>
                    </w:rPr>
                    <w:t>0.0</w:t>
                  </w:r>
                  <w:r>
                    <w:rPr>
                      <w:color w:val="auto"/>
                    </w:rPr>
                    <w:t>27</w:t>
                  </w:r>
                </w:p>
              </w:tc>
            </w:tr>
          </w:tbl>
          <w:p>
            <w:pPr>
              <w:adjustRightInd/>
              <w:snapToGrid/>
              <w:jc w:val="both"/>
              <w:rPr>
                <w:b/>
                <w:color w:val="auto"/>
                <w:kern w:val="0"/>
                <w:sz w:val="21"/>
                <w:szCs w:val="21"/>
              </w:rPr>
            </w:pPr>
            <w:r>
              <w:rPr>
                <w:rFonts w:ascii="宋体" w:hAnsi="宋体"/>
                <w:b/>
                <w:color w:val="auto"/>
                <w:kern w:val="0"/>
                <w:sz w:val="21"/>
                <w:szCs w:val="21"/>
              </w:rPr>
              <w:t>临界量：对照《建设项目环境风险评价技术导则》（</w:t>
            </w:r>
            <w:r>
              <w:rPr>
                <w:b/>
                <w:color w:val="auto"/>
                <w:kern w:val="0"/>
                <w:sz w:val="21"/>
                <w:szCs w:val="21"/>
              </w:rPr>
              <w:t>HJ169-2018</w:t>
            </w:r>
            <w:r>
              <w:rPr>
                <w:rFonts w:ascii="宋体" w:hAnsi="宋体"/>
                <w:b/>
                <w:color w:val="auto"/>
                <w:kern w:val="0"/>
                <w:sz w:val="21"/>
                <w:szCs w:val="21"/>
              </w:rPr>
              <w:t>）附录</w:t>
            </w:r>
            <w:r>
              <w:rPr>
                <w:b/>
                <w:color w:val="auto"/>
                <w:kern w:val="0"/>
                <w:sz w:val="21"/>
                <w:szCs w:val="21"/>
              </w:rPr>
              <w:t>B.1</w:t>
            </w:r>
            <w:r>
              <w:rPr>
                <w:rFonts w:ascii="宋体" w:hAnsi="宋体"/>
                <w:b/>
                <w:color w:val="auto"/>
                <w:kern w:val="0"/>
                <w:sz w:val="21"/>
                <w:szCs w:val="21"/>
              </w:rPr>
              <w:t>中第</w:t>
            </w:r>
            <w:r>
              <w:rPr>
                <w:b/>
                <w:color w:val="auto"/>
                <w:kern w:val="0"/>
                <w:sz w:val="21"/>
                <w:szCs w:val="21"/>
              </w:rPr>
              <w:t>381</w:t>
            </w:r>
            <w:r>
              <w:rPr>
                <w:rFonts w:ascii="宋体" w:hAnsi="宋体"/>
                <w:b/>
                <w:color w:val="auto"/>
                <w:kern w:val="0"/>
                <w:sz w:val="21"/>
                <w:szCs w:val="21"/>
              </w:rPr>
              <w:t>号。</w:t>
            </w:r>
          </w:p>
          <w:p>
            <w:pPr>
              <w:pStyle w:val="4"/>
              <w:rPr>
                <w:bCs/>
                <w:color w:val="auto"/>
              </w:rPr>
            </w:pPr>
            <w:r>
              <w:rPr>
                <w:color w:val="auto"/>
              </w:rPr>
              <w:t>本项目风险物质与其临界量的比值（Q）&lt;1时，可确定该项目环境风险潜势为</w:t>
            </w:r>
            <w:r>
              <w:rPr>
                <w:bCs/>
                <w:color w:val="auto"/>
              </w:rPr>
              <w:t>I，可开展简单分析。</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6.2 风险事故环境影响</w:t>
            </w:r>
          </w:p>
          <w:p>
            <w:pPr>
              <w:pStyle w:val="4"/>
              <w:rPr>
                <w:color w:val="auto"/>
              </w:rPr>
            </w:pPr>
            <w:r>
              <w:rPr>
                <w:color w:val="auto"/>
              </w:rPr>
              <w:t>钻井过程中井喷等风险事故主要对地下水产生影响，现分述如下：</w:t>
            </w:r>
          </w:p>
          <w:p>
            <w:pPr>
              <w:pStyle w:val="4"/>
              <w:rPr>
                <w:color w:val="auto"/>
              </w:rPr>
            </w:pPr>
            <w:r>
              <w:rPr>
                <w:color w:val="auto"/>
              </w:rPr>
              <w:t>（1）井喷事故对地下水的影响</w:t>
            </w:r>
          </w:p>
          <w:p>
            <w:pPr>
              <w:pStyle w:val="4"/>
              <w:rPr>
                <w:color w:val="auto"/>
              </w:rPr>
            </w:pPr>
            <w:r>
              <w:rPr>
                <w:color w:val="auto"/>
              </w:rPr>
              <w:t>井喷随油藏地层压力的不同，发生概率和强度有所不同，根据现场调查，本项目油区采用抽油机进行开采，地层压力小，油井自喷能力弱，发生井喷事故概率小。发生井喷时，立即启动井控装置和防止井喷的应急预案，井喷产生的原油排至应急放喷池中。油田采取严格的井控制度和井控措施，井喷溢流的原油和逸散的天然气可以得到很好的控制和处理，对周边环境的影响不大。</w:t>
            </w:r>
          </w:p>
          <w:p>
            <w:pPr>
              <w:pStyle w:val="4"/>
              <w:rPr>
                <w:color w:val="auto"/>
              </w:rPr>
            </w:pPr>
            <w:r>
              <w:rPr>
                <w:color w:val="auto"/>
              </w:rPr>
              <w:t>井喷事故发生时对地下水环境的影响主要是原油以面源的形式渗漏进入包气带土壤并污染地下水。污染物迁移途径为地表以下的包气带和含水层，然后随地下水流动而污染地下水。根据《石油类污染物在土壤中迁移变化规律研究》（中国石油大学桑玉全博士），不同类型土壤，对污染物的吸附能力存在差异，但总体在0~30cm深度范围内，其中对石油类污染物的吸附截留可达90%以上。石油类污染物主要聚积在土壤表层1m以内，一般很难渗入到2m以下。同时油田区域气候干旱少雨，不存在大量降水的淋滤作用。因此，井喷事故中的泄漏原油不会进入地下含水层污染地下水，对地下水环境影响在可接受范围内。</w:t>
            </w:r>
          </w:p>
          <w:p>
            <w:pPr>
              <w:pStyle w:val="4"/>
              <w:rPr>
                <w:color w:val="auto"/>
              </w:rPr>
            </w:pPr>
            <w:r>
              <w:rPr>
                <w:color w:val="auto"/>
              </w:rPr>
              <w:t xml:space="preserve">（2）井漏事故的泥浆对地下水的影响 </w:t>
            </w:r>
          </w:p>
          <w:p>
            <w:pPr>
              <w:pStyle w:val="4"/>
              <w:rPr>
                <w:color w:val="auto"/>
              </w:rPr>
            </w:pPr>
            <w:r>
              <w:rPr>
                <w:color w:val="auto"/>
              </w:rPr>
              <w:t>井漏事故对地下水的污染是钻井液漏失于地下水含水层中，由于其含Ca、Na等离子，且pH、盐分较多，造成地下含水层水质污染。</w:t>
            </w:r>
          </w:p>
          <w:p>
            <w:pPr>
              <w:pStyle w:val="4"/>
              <w:rPr>
                <w:color w:val="auto"/>
              </w:rPr>
            </w:pPr>
            <w:r>
              <w:rPr>
                <w:color w:val="auto"/>
              </w:rPr>
              <w:t>钻井液漏失于地下含水层其径流型污染的范围不大，主要发生在局部且持续时间较短。钻井过程中表层套管（隔离含水体套管）固井变径后，继续钻井数百米到达目的层。表层套管内提下钻具和钻井的钻杆自重离心力不稳定，在压力下的钻杆转动对套管产生摩擦、碰撞，均有可能对套管和固井环状水泥柱产生破坏作用，使钻井液在高压循环的过程中，从破坏处进入含水层污染地下水。此外，钻井液从固井环状水泥柱破裂处进入含水层，会对水质的硬度和矿化度的劣变起到了一定的影响。因此，推广使用清洁无害的水基钻井液，严格控制使用有毒有害钻井液及化学处理剂，同时严格要求套管下入深度、确保固井质量等措施，可以有效控制钻井液在含水层中的漏失，井漏事故对地下水环境影响在可接受范围内。</w:t>
            </w:r>
          </w:p>
          <w:p>
            <w:pPr>
              <w:pStyle w:val="4"/>
              <w:rPr>
                <w:color w:val="auto"/>
              </w:rPr>
            </w:pPr>
            <w:r>
              <w:rPr>
                <w:color w:val="auto"/>
              </w:rPr>
              <w:t>（3）油水窜层对地下水的影响</w:t>
            </w:r>
          </w:p>
          <w:p>
            <w:pPr>
              <w:pStyle w:val="4"/>
              <w:rPr>
                <w:color w:val="auto"/>
              </w:rPr>
            </w:pPr>
            <w:r>
              <w:rPr>
                <w:color w:val="auto"/>
              </w:rPr>
              <w:t>钻井完井后试油过程中原油窜层污染的主要原因是：</w:t>
            </w:r>
            <w:r>
              <w:rPr>
                <w:rFonts w:hint="eastAsia"/>
                <w:color w:val="auto"/>
              </w:rPr>
              <w:t>①</w:t>
            </w:r>
            <w:r>
              <w:rPr>
                <w:color w:val="auto"/>
              </w:rPr>
              <w:t>下入的表层套管未封住含水层；</w:t>
            </w:r>
            <w:r>
              <w:rPr>
                <w:rFonts w:hint="eastAsia"/>
                <w:color w:val="auto"/>
              </w:rPr>
              <w:t>②</w:t>
            </w:r>
            <w:r>
              <w:rPr>
                <w:color w:val="auto"/>
              </w:rPr>
              <w:t>固井质量差；</w:t>
            </w:r>
            <w:r>
              <w:rPr>
                <w:rFonts w:hint="eastAsia"/>
                <w:color w:val="auto"/>
              </w:rPr>
              <w:t>③</w:t>
            </w:r>
            <w:r>
              <w:rPr>
                <w:color w:val="auto"/>
              </w:rPr>
              <w:t>工艺措施不合理或未实施。因此，为预防污染的发生和污染源的形成，表层套管必须严格封闭含水层，固井质量应符合环保要求。</w:t>
            </w:r>
          </w:p>
          <w:p>
            <w:pPr>
              <w:pStyle w:val="4"/>
              <w:rPr>
                <w:rFonts w:ascii="Times New Roman" w:hAnsi="Times New Roman"/>
                <w:color w:val="auto"/>
                <w:sz w:val="24"/>
                <w:highlight w:val="none"/>
              </w:rPr>
            </w:pPr>
            <w:r>
              <w:rPr>
                <w:rFonts w:ascii="Times New Roman" w:hAnsi="Times New Roman"/>
                <w:color w:val="auto"/>
                <w:sz w:val="24"/>
                <w:highlight w:val="none"/>
              </w:rPr>
              <w:t>报废井在长期闲置过程中，在地下各种复合作用下，固井水泥被腐蚀，套管被腐蚀穿孔，封堵井口后，油气物质失去了释放通道，会通过越流管道进入含水层，参与地下水循环。虽然此时油层几乎没有多少压力，但原油仍有进入含水层污染地下水的可能，评价区内的井应确保生产井的固井质量，废弃井应全部打水泥塞，并经严格的试压以防窜漏污染地下水。</w:t>
            </w:r>
          </w:p>
          <w:p>
            <w:pPr>
              <w:pStyle w:val="4"/>
              <w:rPr>
                <w:color w:val="auto"/>
              </w:rPr>
            </w:pPr>
            <w:r>
              <w:rPr>
                <w:color w:val="auto"/>
              </w:rPr>
              <w:t>采取上述措施后，油水窜层对地下水环境影响在可接受范围内。</w:t>
            </w:r>
          </w:p>
          <w:p>
            <w:pPr>
              <w:pStyle w:val="4"/>
              <w:rPr>
                <w:color w:val="auto"/>
              </w:rPr>
            </w:pPr>
            <w:r>
              <w:rPr>
                <w:rFonts w:hint="eastAsia"/>
                <w:color w:val="auto"/>
              </w:rPr>
              <w:t>（4）柴油储罐火灾爆炸影响</w:t>
            </w:r>
          </w:p>
          <w:p>
            <w:pPr>
              <w:pStyle w:val="4"/>
              <w:rPr>
                <w:color w:val="auto"/>
              </w:rPr>
            </w:pPr>
            <w:r>
              <w:rPr>
                <w:rFonts w:hint="eastAsia"/>
                <w:color w:val="auto"/>
              </w:rPr>
              <w:t>储罐内油气通过人孔法兰盖间隙外溢，与空气形成爆炸性混合物，</w:t>
            </w:r>
            <w:r>
              <w:rPr>
                <w:color w:val="auto"/>
              </w:rPr>
              <w:t>若遇到明火，引发的火灾事故可在短时间内产生大量的</w:t>
            </w:r>
            <w:r>
              <w:rPr>
                <w:rFonts w:hint="eastAsia"/>
                <w:color w:val="auto"/>
              </w:rPr>
              <w:t>燃烧废气，污染大气环境；若储罐内油品泄漏，会对土壤、地下水产生影响。</w:t>
            </w:r>
          </w:p>
          <w:p>
            <w:pPr>
              <w:pStyle w:val="4"/>
              <w:rPr>
                <w:color w:val="auto"/>
              </w:rPr>
            </w:pPr>
            <w:r>
              <w:rPr>
                <w:color w:val="auto"/>
              </w:rPr>
              <w:t>（5）井下作业</w:t>
            </w:r>
          </w:p>
          <w:p>
            <w:pPr>
              <w:pStyle w:val="4"/>
              <w:rPr>
                <w:color w:val="auto"/>
              </w:rPr>
            </w:pPr>
            <w:r>
              <w:rPr>
                <w:color w:val="auto"/>
              </w:rPr>
              <w:t>若本项目井下作业时产生井下作业废水（含油废水）及油品若不慎滴落在地，含油废水和落地油会对周围土壤产生污染。落地油量越大污染面积越大，对土壤的污染越严重。泄漏物进入土壤环境中，会影响土壤中微生物生存，破坏土壤结构，增加土壤中石油类污染物。</w:t>
            </w:r>
          </w:p>
          <w:p>
            <w:pPr>
              <w:pStyle w:val="4"/>
              <w:rPr>
                <w:color w:val="auto"/>
              </w:rPr>
            </w:pPr>
            <w:r>
              <w:rPr>
                <w:color w:val="auto"/>
              </w:rPr>
              <w:t>根据类比调查结果：非渗透性的基岩及粘重土壤上污染（扩展）面积较大，而疏松土质上影响扩展范围较小；粘重土壤多为耕作土，原油覆于地表会使土壤透气性下降，降低土壤肥力，影响植被的生长和恢复。在泄漏事故发生的初期，原油在土壤中下渗至一定深度，随泄漏历时的延长，下渗深度增加不大（落地原油一般在土壤内部20cm左右范围内积聚）。</w:t>
            </w:r>
          </w:p>
          <w:p>
            <w:pPr>
              <w:pStyle w:val="4"/>
              <w:rPr>
                <w:color w:val="auto"/>
              </w:rPr>
            </w:pPr>
            <w:r>
              <w:rPr>
                <w:color w:val="auto"/>
              </w:rPr>
              <w:t>建设单位井下带罐作业，作业区域铺设防渗膜防止井下作业废水和原油落地，若不慎落地应及时收集落地油及受污染土壤，交由有危废处置资质的单位处理。</w:t>
            </w:r>
          </w:p>
          <w:p>
            <w:pPr>
              <w:pStyle w:val="5"/>
              <w:keepNext/>
              <w:keepLines/>
              <w:pageBreakBefore w:val="0"/>
              <w:widowControl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6.3环境风险评价结论</w:t>
            </w:r>
          </w:p>
          <w:p>
            <w:pPr>
              <w:pStyle w:val="4"/>
              <w:rPr>
                <w:color w:val="auto"/>
              </w:rPr>
            </w:pPr>
            <w:r>
              <w:rPr>
                <w:color w:val="auto"/>
              </w:rPr>
              <w:t>本项目设计中严格执行各种安全标准、规范，采取完善的安全措施，可有效地防止火灾、爆炸、泄漏、井喷等事故的发生。本项目的环境风险在可接受范围之内。</w:t>
            </w:r>
          </w:p>
          <w:p>
            <w:pPr>
              <w:spacing w:line="360" w:lineRule="auto"/>
              <w:ind w:firstLine="480" w:firstLineChars="200"/>
              <w:jc w:val="left"/>
              <w:rPr>
                <w:color w:val="auto"/>
                <w:kern w:val="0"/>
              </w:rPr>
            </w:pPr>
            <w:r>
              <w:rPr>
                <w:rFonts w:ascii="宋体" w:hAnsi="宋体"/>
                <w:color w:val="auto"/>
                <w:kern w:val="0"/>
              </w:rPr>
              <w:t>本项目环境风险评价等级为简单分析，项目环境风险</w:t>
            </w:r>
            <w:r>
              <w:rPr>
                <w:rFonts w:hint="eastAsia" w:ascii="宋体" w:hAnsi="宋体"/>
                <w:color w:val="auto"/>
                <w:kern w:val="0"/>
              </w:rPr>
              <w:t>简单分析内容</w:t>
            </w:r>
            <w:r>
              <w:rPr>
                <w:rFonts w:ascii="宋体" w:hAnsi="宋体"/>
                <w:color w:val="auto"/>
                <w:kern w:val="0"/>
              </w:rPr>
              <w:t>见表</w:t>
            </w:r>
            <w:r>
              <w:rPr>
                <w:color w:val="auto"/>
                <w:kern w:val="0"/>
              </w:rPr>
              <w:t>4</w:t>
            </w:r>
            <w:r>
              <w:rPr>
                <w:rFonts w:hint="eastAsia"/>
                <w:color w:val="auto"/>
                <w:kern w:val="0"/>
              </w:rPr>
              <w:t>-</w:t>
            </w:r>
            <w:r>
              <w:rPr>
                <w:color w:val="auto"/>
                <w:kern w:val="0"/>
              </w:rPr>
              <w:t>1</w:t>
            </w:r>
            <w:r>
              <w:rPr>
                <w:rFonts w:hint="eastAsia"/>
                <w:color w:val="auto"/>
                <w:kern w:val="0"/>
                <w:lang w:val="en-US" w:eastAsia="zh-CN"/>
              </w:rPr>
              <w:t>7</w:t>
            </w:r>
            <w:r>
              <w:rPr>
                <w:rFonts w:ascii="宋体" w:hAnsi="宋体"/>
                <w:color w:val="auto"/>
                <w:kern w:val="0"/>
              </w:rPr>
              <w:t>。</w:t>
            </w:r>
          </w:p>
          <w:p>
            <w:pPr>
              <w:pStyle w:val="27"/>
              <w:rPr>
                <w:color w:val="auto"/>
              </w:rPr>
            </w:pPr>
            <w:bookmarkStart w:id="84" w:name="_Hlk43201977"/>
            <w:bookmarkEnd w:id="84"/>
          </w:p>
          <w:p>
            <w:pPr>
              <w:pStyle w:val="27"/>
              <w:rPr>
                <w:color w:val="auto"/>
              </w:rPr>
            </w:pPr>
            <w:r>
              <w:rPr>
                <w:color w:val="auto"/>
              </w:rPr>
              <w:t>表4</w:t>
            </w:r>
            <w:r>
              <w:rPr>
                <w:rFonts w:hint="eastAsia"/>
                <w:color w:val="auto"/>
              </w:rPr>
              <w:t>-</w:t>
            </w:r>
            <w:r>
              <w:rPr>
                <w:color w:val="auto"/>
              </w:rPr>
              <w:t>1</w:t>
            </w:r>
            <w:r>
              <w:rPr>
                <w:rFonts w:hint="eastAsia"/>
                <w:color w:val="auto"/>
                <w:lang w:val="en-US" w:eastAsia="zh-CN"/>
              </w:rPr>
              <w:t>7</w:t>
            </w:r>
            <w:r>
              <w:rPr>
                <w:color w:val="auto"/>
              </w:rPr>
              <w:t xml:space="preserve">   建设项目环境风险评价</w:t>
            </w:r>
            <w:r>
              <w:rPr>
                <w:rFonts w:hint="eastAsia"/>
                <w:color w:val="auto"/>
              </w:rPr>
              <w:t>简单分析内容</w:t>
            </w:r>
            <w:r>
              <w:rPr>
                <w:color w:val="auto"/>
              </w:rPr>
              <w:t>表</w:t>
            </w:r>
          </w:p>
          <w:bookmarkEnd w:id="58"/>
          <w:bookmarkEnd w:id="71"/>
          <w:bookmarkEnd w:id="72"/>
          <w:bookmarkEnd w:id="73"/>
          <w:tbl>
            <w:tblPr>
              <w:tblStyle w:val="17"/>
              <w:tblW w:w="5000"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43"/>
              <w:gridCol w:w="1654"/>
              <w:gridCol w:w="1827"/>
              <w:gridCol w:w="25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pct"/>
                  <w:shd w:val="clear" w:color="auto" w:fill="auto"/>
                  <w:noWrap w:val="0"/>
                  <w:vAlign w:val="center"/>
                </w:tcPr>
                <w:p>
                  <w:pPr>
                    <w:pStyle w:val="28"/>
                    <w:ind w:left="-105" w:right="-105"/>
                    <w:rPr>
                      <w:color w:val="auto"/>
                    </w:rPr>
                  </w:pPr>
                  <w:r>
                    <w:rPr>
                      <w:color w:val="auto"/>
                    </w:rPr>
                    <w:t>建设项目</w:t>
                  </w:r>
                </w:p>
                <w:p>
                  <w:pPr>
                    <w:pStyle w:val="28"/>
                    <w:ind w:left="-105" w:right="-105"/>
                    <w:rPr>
                      <w:color w:val="auto"/>
                    </w:rPr>
                  </w:pPr>
                  <w:r>
                    <w:rPr>
                      <w:color w:val="auto"/>
                    </w:rPr>
                    <w:t>名称</w:t>
                  </w:r>
                </w:p>
              </w:tc>
              <w:tc>
                <w:tcPr>
                  <w:tcW w:w="4253" w:type="pct"/>
                  <w:gridSpan w:val="4"/>
                  <w:shd w:val="clear" w:color="auto" w:fill="auto"/>
                  <w:noWrap w:val="0"/>
                  <w:vAlign w:val="center"/>
                </w:tcPr>
                <w:p>
                  <w:pPr>
                    <w:pStyle w:val="28"/>
                    <w:ind w:left="-105" w:right="-105"/>
                    <w:rPr>
                      <w:color w:val="auto"/>
                    </w:rPr>
                  </w:pPr>
                  <w:r>
                    <w:rPr>
                      <w:rFonts w:hint="eastAsia"/>
                      <w:color w:val="auto"/>
                      <w:lang w:val="en-US" w:eastAsia="zh-CN"/>
                    </w:rPr>
                    <w:t>沙帐1井钻试工程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pct"/>
                  <w:shd w:val="clear" w:color="auto" w:fill="auto"/>
                  <w:noWrap w:val="0"/>
                  <w:vAlign w:val="center"/>
                </w:tcPr>
                <w:p>
                  <w:pPr>
                    <w:pStyle w:val="28"/>
                    <w:ind w:left="-105" w:right="-105"/>
                    <w:rPr>
                      <w:color w:val="auto"/>
                    </w:rPr>
                  </w:pPr>
                  <w:r>
                    <w:rPr>
                      <w:color w:val="auto"/>
                    </w:rPr>
                    <w:t>建设地点</w:t>
                  </w:r>
                </w:p>
              </w:tc>
              <w:tc>
                <w:tcPr>
                  <w:tcW w:w="579" w:type="pct"/>
                  <w:shd w:val="clear" w:color="auto" w:fill="auto"/>
                  <w:noWrap w:val="0"/>
                  <w:vAlign w:val="center"/>
                </w:tcPr>
                <w:p>
                  <w:pPr>
                    <w:pStyle w:val="28"/>
                    <w:ind w:left="-105" w:right="-105"/>
                    <w:rPr>
                      <w:color w:val="auto"/>
                    </w:rPr>
                  </w:pPr>
                  <w:r>
                    <w:rPr>
                      <w:color w:val="auto"/>
                    </w:rPr>
                    <w:t>新疆</w:t>
                  </w:r>
                </w:p>
              </w:tc>
              <w:tc>
                <w:tcPr>
                  <w:tcW w:w="1015" w:type="pct"/>
                  <w:shd w:val="clear" w:color="auto" w:fill="auto"/>
                  <w:noWrap w:val="0"/>
                  <w:vAlign w:val="center"/>
                </w:tcPr>
                <w:p>
                  <w:pPr>
                    <w:pStyle w:val="28"/>
                    <w:ind w:left="-105" w:right="-105"/>
                    <w:rPr>
                      <w:color w:val="auto"/>
                    </w:rPr>
                  </w:pPr>
                  <w:r>
                    <w:rPr>
                      <w:rFonts w:hint="eastAsia"/>
                      <w:color w:val="auto"/>
                    </w:rPr>
                    <w:t>昌吉州</w:t>
                  </w:r>
                </w:p>
              </w:tc>
              <w:tc>
                <w:tcPr>
                  <w:tcW w:w="1121" w:type="pct"/>
                  <w:shd w:val="clear" w:color="auto" w:fill="auto"/>
                  <w:noWrap w:val="0"/>
                  <w:vAlign w:val="center"/>
                </w:tcPr>
                <w:p>
                  <w:pPr>
                    <w:pStyle w:val="28"/>
                    <w:ind w:left="-105" w:right="-105"/>
                    <w:rPr>
                      <w:color w:val="auto"/>
                    </w:rPr>
                  </w:pPr>
                  <w:r>
                    <w:rPr>
                      <w:rFonts w:hint="eastAsia"/>
                      <w:color w:val="auto"/>
                      <w:lang w:val="en-US" w:eastAsia="zh-CN"/>
                    </w:rPr>
                    <w:t>吉木萨尔</w:t>
                  </w:r>
                  <w:r>
                    <w:rPr>
                      <w:rFonts w:hint="eastAsia"/>
                      <w:color w:val="auto"/>
                    </w:rPr>
                    <w:t>县</w:t>
                  </w:r>
                </w:p>
              </w:tc>
              <w:tc>
                <w:tcPr>
                  <w:tcW w:w="1536" w:type="pct"/>
                  <w:shd w:val="clear" w:color="auto" w:fill="auto"/>
                  <w:noWrap w:val="0"/>
                  <w:vAlign w:val="center"/>
                </w:tcPr>
                <w:p>
                  <w:pPr>
                    <w:pStyle w:val="28"/>
                    <w:ind w:left="-105" w:right="-105"/>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pct"/>
                  <w:shd w:val="clear" w:color="auto" w:fill="auto"/>
                  <w:noWrap w:val="0"/>
                  <w:vAlign w:val="center"/>
                </w:tcPr>
                <w:p>
                  <w:pPr>
                    <w:pStyle w:val="28"/>
                    <w:ind w:left="-105" w:right="-105"/>
                    <w:rPr>
                      <w:color w:val="auto"/>
                    </w:rPr>
                  </w:pPr>
                  <w:r>
                    <w:rPr>
                      <w:color w:val="auto"/>
                    </w:rPr>
                    <w:t>地理坐标</w:t>
                  </w:r>
                </w:p>
              </w:tc>
              <w:tc>
                <w:tcPr>
                  <w:tcW w:w="4253" w:type="pct"/>
                  <w:gridSpan w:val="4"/>
                  <w:shd w:val="clear" w:color="auto" w:fill="auto"/>
                  <w:noWrap w:val="0"/>
                  <w:vAlign w:val="center"/>
                </w:tcPr>
                <w:p>
                  <w:pPr>
                    <w:pStyle w:val="28"/>
                    <w:ind w:left="-105" w:right="-105"/>
                    <w:jc w:val="center"/>
                    <w:rPr>
                      <w:rFonts w:hint="default" w:ascii="Times New Roman" w:hAnsi="Times New Roman" w:eastAsia="宋体" w:cs="Times New Roman"/>
                      <w:color w:val="auto"/>
                    </w:rPr>
                  </w:pPr>
                  <w:r>
                    <w:rPr>
                      <w:rFonts w:hint="eastAsia" w:cs="Times New Roman"/>
                      <w:color w:val="auto"/>
                      <w:sz w:val="21"/>
                      <w:szCs w:val="21"/>
                      <w:lang w:val="en-US" w:eastAsia="zh-CN"/>
                    </w:rPr>
                    <w:t>沙帐1</w:t>
                  </w:r>
                  <w:r>
                    <w:rPr>
                      <w:rFonts w:hint="default" w:ascii="Times New Roman" w:hAnsi="Times New Roman" w:eastAsia="宋体" w:cs="Times New Roman"/>
                      <w:color w:val="auto"/>
                      <w:sz w:val="21"/>
                      <w:szCs w:val="21"/>
                      <w:lang w:val="en-US" w:eastAsia="zh-CN"/>
                    </w:rPr>
                    <w:t>井</w:t>
                  </w:r>
                  <w:r>
                    <w:rPr>
                      <w:rFonts w:hint="default" w:ascii="Times New Roman" w:hAnsi="Times New Roman" w:eastAsia="宋体" w:cs="Times New Roman"/>
                      <w:color w:val="auto"/>
                      <w:sz w:val="21"/>
                      <w:szCs w:val="21"/>
                    </w:rPr>
                    <w:t>（ 88 度 56 分 56.420 秒， 44 度 50 分 19.800 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pct"/>
                  <w:shd w:val="clear" w:color="auto" w:fill="auto"/>
                  <w:noWrap w:val="0"/>
                  <w:vAlign w:val="center"/>
                </w:tcPr>
                <w:p>
                  <w:pPr>
                    <w:pStyle w:val="28"/>
                    <w:ind w:left="-105" w:right="-105"/>
                    <w:rPr>
                      <w:color w:val="auto"/>
                    </w:rPr>
                  </w:pPr>
                  <w:r>
                    <w:rPr>
                      <w:color w:val="auto"/>
                    </w:rPr>
                    <w:t>主要危险物质及分布</w:t>
                  </w:r>
                </w:p>
              </w:tc>
              <w:tc>
                <w:tcPr>
                  <w:tcW w:w="4253" w:type="pct"/>
                  <w:gridSpan w:val="4"/>
                  <w:shd w:val="clear" w:color="auto" w:fill="auto"/>
                  <w:noWrap w:val="0"/>
                  <w:vAlign w:val="center"/>
                </w:tcPr>
                <w:p>
                  <w:pPr>
                    <w:pStyle w:val="28"/>
                    <w:ind w:left="-105" w:right="-105"/>
                    <w:rPr>
                      <w:color w:val="auto"/>
                    </w:rPr>
                  </w:pPr>
                  <w:r>
                    <w:rPr>
                      <w:color w:val="auto"/>
                    </w:rPr>
                    <w:t>主要突发环境风险物质原油、柴油、伴生气（天然气）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pct"/>
                  <w:shd w:val="clear" w:color="auto" w:fill="auto"/>
                  <w:noWrap w:val="0"/>
                  <w:vAlign w:val="center"/>
                </w:tcPr>
                <w:p>
                  <w:pPr>
                    <w:pStyle w:val="28"/>
                    <w:ind w:left="-105" w:right="-105"/>
                    <w:rPr>
                      <w:color w:val="auto"/>
                    </w:rPr>
                  </w:pPr>
                  <w:r>
                    <w:rPr>
                      <w:color w:val="auto"/>
                    </w:rPr>
                    <w:t>环境影响途径及危害后果（大气、地表水、地下水等）</w:t>
                  </w:r>
                </w:p>
              </w:tc>
              <w:tc>
                <w:tcPr>
                  <w:tcW w:w="4253" w:type="pct"/>
                  <w:gridSpan w:val="4"/>
                  <w:shd w:val="clear" w:color="auto" w:fill="auto"/>
                  <w:noWrap w:val="0"/>
                  <w:vAlign w:val="center"/>
                </w:tcPr>
                <w:p>
                  <w:pPr>
                    <w:pStyle w:val="28"/>
                    <w:ind w:left="-105" w:right="-105"/>
                    <w:jc w:val="left"/>
                    <w:rPr>
                      <w:color w:val="auto"/>
                    </w:rPr>
                  </w:pPr>
                  <w:r>
                    <w:rPr>
                      <w:color w:val="auto"/>
                    </w:rPr>
                    <w:t>1）钻井过程中的井喷风险事故会释放有毒污染物污染大气环境；若渗入地下后，会对地下水环境产生不利影响。</w:t>
                  </w:r>
                </w:p>
                <w:p>
                  <w:pPr>
                    <w:pStyle w:val="28"/>
                    <w:ind w:left="-105" w:right="-105"/>
                    <w:jc w:val="left"/>
                    <w:rPr>
                      <w:color w:val="auto"/>
                    </w:rPr>
                  </w:pPr>
                  <w:r>
                    <w:rPr>
                      <w:color w:val="auto"/>
                    </w:rPr>
                    <w:t>2）钻井过程中的井漏风险事故会导致钻井液沿裂缝漏失进地下水层而污染地下水。</w:t>
                  </w:r>
                </w:p>
                <w:p>
                  <w:pPr>
                    <w:pStyle w:val="28"/>
                    <w:ind w:left="-105" w:right="-105"/>
                    <w:jc w:val="left"/>
                    <w:rPr>
                      <w:color w:val="auto"/>
                    </w:rPr>
                  </w:pPr>
                  <w:r>
                    <w:rPr>
                      <w:color w:val="auto"/>
                    </w:rPr>
                    <w:t>3）施工期柴油储罐</w:t>
                  </w:r>
                  <w:r>
                    <w:rPr>
                      <w:rFonts w:hint="eastAsia"/>
                      <w:color w:val="auto"/>
                    </w:rPr>
                    <w:t>、试油期原油储罐</w:t>
                  </w:r>
                  <w:r>
                    <w:rPr>
                      <w:color w:val="auto"/>
                    </w:rPr>
                    <w:t>内油气通过人孔法兰盖间隙外溢，与空气形成爆炸性混合物，污染大气环境；若储罐发生泄漏会对土壤、地下水产生影响。</w:t>
                  </w:r>
                </w:p>
                <w:p>
                  <w:pPr>
                    <w:pStyle w:val="28"/>
                    <w:ind w:left="-105" w:right="-105"/>
                    <w:jc w:val="left"/>
                    <w:rPr>
                      <w:color w:val="auto"/>
                    </w:rPr>
                  </w:pPr>
                  <w:r>
                    <w:rPr>
                      <w:color w:val="auto"/>
                    </w:rPr>
                    <w:t>4）总体而言，本项目属于地质勘查活动，环境风险程度较低，在采取预防措施和应急处置措施后，对周围环境影响较小。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pct"/>
                  <w:shd w:val="clear" w:color="auto" w:fill="auto"/>
                  <w:noWrap w:val="0"/>
                  <w:vAlign w:val="center"/>
                </w:tcPr>
                <w:p>
                  <w:pPr>
                    <w:pStyle w:val="28"/>
                    <w:ind w:left="-105" w:right="-105"/>
                    <w:rPr>
                      <w:color w:val="auto"/>
                    </w:rPr>
                  </w:pPr>
                  <w:r>
                    <w:rPr>
                      <w:color w:val="auto"/>
                    </w:rPr>
                    <w:t>风险防范措施要求</w:t>
                  </w:r>
                </w:p>
              </w:tc>
              <w:tc>
                <w:tcPr>
                  <w:tcW w:w="4253" w:type="pct"/>
                  <w:gridSpan w:val="4"/>
                  <w:shd w:val="clear" w:color="auto" w:fill="auto"/>
                  <w:noWrap w:val="0"/>
                  <w:vAlign w:val="center"/>
                </w:tcPr>
                <w:p>
                  <w:pPr>
                    <w:pStyle w:val="28"/>
                    <w:ind w:left="-105" w:right="-105"/>
                    <w:jc w:val="left"/>
                    <w:rPr>
                      <w:color w:val="auto"/>
                    </w:rPr>
                  </w:pPr>
                  <w:r>
                    <w:rPr>
                      <w:color w:val="auto"/>
                    </w:rPr>
                    <w:t>1）严格执行国家的环保标准规范及相关的法律法规。</w:t>
                  </w:r>
                </w:p>
                <w:p>
                  <w:pPr>
                    <w:pStyle w:val="28"/>
                    <w:ind w:left="-105" w:right="-105"/>
                    <w:jc w:val="left"/>
                    <w:rPr>
                      <w:color w:val="auto"/>
                    </w:rPr>
                  </w:pPr>
                  <w:r>
                    <w:rPr>
                      <w:color w:val="auto"/>
                    </w:rPr>
                    <w:t>2）制定环保生产方针、政策、计划和各种规范，完善安全管理制度和安全操作规程，建立健全环境管理体系和监测体系，完善各种规章、制度和标准。</w:t>
                  </w:r>
                </w:p>
                <w:p>
                  <w:pPr>
                    <w:pStyle w:val="28"/>
                    <w:ind w:left="-105" w:right="-105"/>
                    <w:jc w:val="left"/>
                    <w:rPr>
                      <w:color w:val="auto"/>
                    </w:rPr>
                  </w:pPr>
                  <w:r>
                    <w:rPr>
                      <w:color w:val="auto"/>
                    </w:rPr>
                    <w:t>3）对施工单位及人员定期进行环保、安全教育，增强职工的环保意识和安全意识。</w:t>
                  </w:r>
                </w:p>
                <w:p>
                  <w:pPr>
                    <w:pStyle w:val="28"/>
                    <w:ind w:left="-105" w:right="-105"/>
                    <w:jc w:val="left"/>
                    <w:rPr>
                      <w:color w:val="auto"/>
                    </w:rPr>
                  </w:pPr>
                  <w:r>
                    <w:rPr>
                      <w:color w:val="auto"/>
                    </w:rPr>
                    <w:t>4）在施工、选材等环节严守质量关，加强技术工人的培训，提高操作水平。</w:t>
                  </w:r>
                </w:p>
                <w:p>
                  <w:pPr>
                    <w:pStyle w:val="28"/>
                    <w:ind w:left="-105" w:right="-105"/>
                    <w:jc w:val="left"/>
                    <w:rPr>
                      <w:color w:val="auto"/>
                    </w:rPr>
                  </w:pPr>
                  <w:r>
                    <w:rPr>
                      <w:color w:val="auto"/>
                    </w:rPr>
                    <w:t>5）研究各种事故，总结经验，充分吸取教训，并注意在技术措施上的改进和防范，尽可能减少人为的繁琐操作过程。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shd w:val="clear" w:color="auto" w:fill="auto"/>
                  <w:noWrap w:val="0"/>
                  <w:vAlign w:val="center"/>
                </w:tcPr>
                <w:p>
                  <w:pPr>
                    <w:pStyle w:val="28"/>
                    <w:ind w:left="-105" w:right="-105"/>
                    <w:rPr>
                      <w:color w:val="auto"/>
                    </w:rPr>
                  </w:pPr>
                  <w:r>
                    <w:rPr>
                      <w:color w:val="auto"/>
                    </w:rPr>
                    <w:t>综上所述，本项目在采取以上各项风险防范措施后，可将风险隐患降至最低。</w:t>
                  </w:r>
                </w:p>
              </w:tc>
            </w:tr>
          </w:tbl>
          <w:p>
            <w:pPr>
              <w:jc w:val="both"/>
              <w:rPr>
                <w:rFonts w:hint="eastAsia"/>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5" w:hRule="atLeast"/>
          <w:jc w:val="center"/>
        </w:trPr>
        <w:tc>
          <w:tcPr>
            <w:tcW w:w="879" w:type="dxa"/>
            <w:noWrap w:val="0"/>
            <w:tcMar>
              <w:left w:w="28" w:type="dxa"/>
              <w:right w:w="28" w:type="dxa"/>
            </w:tcMar>
            <w:vAlign w:val="center"/>
          </w:tcPr>
          <w:p>
            <w:pPr>
              <w:pStyle w:val="15"/>
              <w:spacing w:before="0" w:beforeAutospacing="0" w:after="0" w:afterAutospacing="0"/>
              <w:jc w:val="center"/>
              <w:rPr>
                <w:rFonts w:ascii="Times New Roman" w:hAnsi="Times New Roman"/>
                <w:bCs/>
                <w:color w:val="auto"/>
                <w:kern w:val="2"/>
              </w:rPr>
            </w:pPr>
            <w:r>
              <w:rPr>
                <w:rFonts w:ascii="Times New Roman" w:hAnsi="Times New Roman"/>
                <w:bCs/>
                <w:color w:val="auto"/>
                <w:spacing w:val="10"/>
                <w:kern w:val="2"/>
              </w:rPr>
              <w:t>运营期生态环境影响分析</w:t>
            </w:r>
          </w:p>
        </w:tc>
        <w:tc>
          <w:tcPr>
            <w:tcW w:w="8363" w:type="dxa"/>
            <w:noWrap w:val="0"/>
            <w:vAlign w:val="top"/>
          </w:tcPr>
          <w:p>
            <w:pPr>
              <w:pStyle w:val="4"/>
              <w:rPr>
                <w:color w:val="auto"/>
              </w:rPr>
            </w:pPr>
          </w:p>
          <w:p>
            <w:pPr>
              <w:pStyle w:val="4"/>
              <w:rPr>
                <w:color w:val="auto"/>
              </w:rPr>
            </w:pPr>
          </w:p>
          <w:p>
            <w:pPr>
              <w:pStyle w:val="4"/>
              <w:rPr>
                <w:color w:val="auto"/>
              </w:rPr>
            </w:pPr>
          </w:p>
          <w:p>
            <w:pPr>
              <w:pStyle w:val="4"/>
              <w:rPr>
                <w:rFonts w:hint="eastAsia"/>
                <w:color w:val="auto"/>
              </w:rPr>
            </w:pPr>
          </w:p>
          <w:p>
            <w:pPr>
              <w:pStyle w:val="4"/>
              <w:rPr>
                <w:rFonts w:hint="eastAsia"/>
                <w:color w:val="auto"/>
              </w:rPr>
            </w:pPr>
            <w:r>
              <w:rPr>
                <w:color w:val="auto"/>
              </w:rPr>
              <w:t>本项目无营运期，试油结束后视试油结果决定是否转为生产井，若可转为生产井，则应当在产能开发建设前开展其环境影响评价工作。如发现该井不具开发价值或目的层不含油，则进行封井，拆除井口装置，截去地下1m内管头，最后清理场地，清除各种固体废弃物，恢复至相对自然的地貌。封井后，人员撤离，区域内没有了人为的扰动，井场范围内的自然植被会逐渐得以恢复，有助于区域生态环境的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6" w:hRule="atLeast"/>
          <w:jc w:val="center"/>
        </w:trPr>
        <w:tc>
          <w:tcPr>
            <w:tcW w:w="879" w:type="dxa"/>
            <w:noWrap w:val="0"/>
            <w:vAlign w:val="center"/>
          </w:tcPr>
          <w:p>
            <w:pPr>
              <w:pStyle w:val="15"/>
              <w:spacing w:before="0" w:beforeAutospacing="0" w:after="0" w:afterAutospacing="0"/>
              <w:jc w:val="center"/>
              <w:rPr>
                <w:rFonts w:ascii="Times New Roman" w:hAnsi="Times New Roman"/>
                <w:bCs/>
                <w:color w:val="auto"/>
                <w:kern w:val="2"/>
              </w:rPr>
            </w:pPr>
            <w:r>
              <w:rPr>
                <w:rFonts w:ascii="Times New Roman" w:hAnsi="Times New Roman"/>
                <w:bCs/>
                <w:color w:val="auto"/>
                <w:kern w:val="2"/>
              </w:rPr>
              <w:t>选址选线环境合理性分析</w:t>
            </w:r>
          </w:p>
        </w:tc>
        <w:tc>
          <w:tcPr>
            <w:tcW w:w="8363" w:type="dxa"/>
            <w:noWrap w:val="0"/>
            <w:vAlign w:val="top"/>
          </w:tcPr>
          <w:p>
            <w:pPr>
              <w:pStyle w:val="4"/>
              <w:wordWrap w:val="0"/>
              <w:rPr>
                <w:color w:val="auto"/>
              </w:rPr>
            </w:pPr>
            <w:bookmarkStart w:id="85" w:name="_Hlk68138217"/>
          </w:p>
          <w:p>
            <w:pPr>
              <w:pStyle w:val="4"/>
              <w:wordWrap w:val="0"/>
              <w:rPr>
                <w:color w:val="auto"/>
              </w:rPr>
            </w:pPr>
          </w:p>
          <w:p>
            <w:pPr>
              <w:pStyle w:val="4"/>
              <w:wordWrap w:val="0"/>
              <w:rPr>
                <w:color w:val="auto"/>
              </w:rPr>
            </w:pPr>
          </w:p>
          <w:bookmarkEnd w:id="85"/>
          <w:p>
            <w:pPr>
              <w:pStyle w:val="4"/>
              <w:jc w:val="both"/>
              <w:rPr>
                <w:color w:val="auto"/>
              </w:rPr>
            </w:pPr>
            <w:r>
              <w:rPr>
                <w:color w:val="auto"/>
              </w:rPr>
              <w:t>本项目不在铁路、高速公路、国道、省等重要交通干线两侧200m范围以内，不在重要工业区、大型水利工程设施、城镇市政工程设施所在区域，军事管理区、机场、国防工程设施圈定的区域</w:t>
            </w:r>
            <w:r>
              <w:rPr>
                <w:rFonts w:hint="eastAsia"/>
                <w:color w:val="auto"/>
              </w:rPr>
              <w:t>，</w:t>
            </w:r>
            <w:r>
              <w:rPr>
                <w:color w:val="auto"/>
              </w:rPr>
              <w:t>符合《新疆维吾尔自治区重点行业环境准入条件（修订）》（新环发〔2017〕1号）要求。</w:t>
            </w:r>
          </w:p>
          <w:p>
            <w:pPr>
              <w:pStyle w:val="4"/>
              <w:jc w:val="both"/>
              <w:rPr>
                <w:color w:val="auto"/>
              </w:rPr>
            </w:pPr>
            <w:r>
              <w:rPr>
                <w:color w:val="auto"/>
              </w:rPr>
              <w:t>本项目不在自然保护区、风景名胜区、饮用水水源保护区等特殊敏感区域和重要生态敏感区域内，符合区域经济发展规划、环保规划，无重大环境制约因素。本工程土地利用类型为</w:t>
            </w:r>
            <w:r>
              <w:rPr>
                <w:rFonts w:hint="eastAsia"/>
                <w:color w:val="auto"/>
                <w:lang w:val="en-US" w:eastAsia="zh-CN"/>
              </w:rPr>
              <w:t>戈壁</w:t>
            </w:r>
            <w:r>
              <w:rPr>
                <w:color w:val="auto"/>
              </w:rPr>
              <w:t>，不占用基本农田、公益林等，</w:t>
            </w:r>
            <w:r>
              <w:rPr>
                <w:rFonts w:hint="eastAsia"/>
                <w:color w:val="auto"/>
                <w:lang w:eastAsia="zh-CN"/>
              </w:rPr>
              <w:t>道路选线均避开农田。</w:t>
            </w:r>
            <w:r>
              <w:rPr>
                <w:rFonts w:hint="eastAsia"/>
                <w:color w:val="auto"/>
              </w:rPr>
              <w:t>建设</w:t>
            </w:r>
            <w:r>
              <w:rPr>
                <w:color w:val="auto"/>
              </w:rPr>
              <w:t>单位</w:t>
            </w:r>
            <w:r>
              <w:rPr>
                <w:rFonts w:hint="eastAsia"/>
                <w:color w:val="auto"/>
              </w:rPr>
              <w:t>正在办理</w:t>
            </w:r>
            <w:r>
              <w:rPr>
                <w:color w:val="auto"/>
              </w:rPr>
              <w:t>征地补偿协议</w:t>
            </w:r>
            <w:r>
              <w:rPr>
                <w:rFonts w:hint="eastAsia"/>
                <w:color w:val="auto"/>
                <w:lang w:eastAsia="zh-CN"/>
              </w:rPr>
              <w:t>。</w:t>
            </w:r>
            <w:r>
              <w:rPr>
                <w:rFonts w:hint="eastAsia"/>
                <w:color w:val="auto"/>
              </w:rPr>
              <w:t>对项目区的生态影响呈点状分布，仅影响井场占地范围内土壤、植被等。</w:t>
            </w:r>
            <w:r>
              <w:rPr>
                <w:rFonts w:hint="eastAsia"/>
                <w:color w:val="auto"/>
                <w:lang w:val="en-US" w:eastAsia="zh-CN"/>
              </w:rPr>
              <w:t>项目区基本无植被覆盖</w:t>
            </w:r>
            <w:r>
              <w:rPr>
                <w:rFonts w:hint="eastAsia"/>
                <w:color w:val="auto"/>
              </w:rPr>
              <w:t>，由本工程造成的生物量损失较小。</w:t>
            </w:r>
          </w:p>
          <w:p>
            <w:pPr>
              <w:pStyle w:val="4"/>
              <w:rPr>
                <w:rFonts w:hint="eastAsia"/>
                <w:color w:val="auto"/>
              </w:rPr>
            </w:pPr>
            <w:r>
              <w:rPr>
                <w:color w:val="auto"/>
              </w:rPr>
              <w:t>综上</w:t>
            </w:r>
            <w:r>
              <w:rPr>
                <w:rFonts w:hint="eastAsia"/>
                <w:color w:val="auto"/>
              </w:rPr>
              <w:t>，</w:t>
            </w:r>
            <w:r>
              <w:rPr>
                <w:color w:val="auto"/>
              </w:rPr>
              <w:t>本项目选址</w:t>
            </w:r>
            <w:r>
              <w:rPr>
                <w:rFonts w:hint="eastAsia"/>
                <w:color w:val="auto"/>
              </w:rPr>
              <w:t>选线</w:t>
            </w:r>
            <w:r>
              <w:rPr>
                <w:color w:val="auto"/>
              </w:rPr>
              <w:t>是合理的</w:t>
            </w:r>
            <w:r>
              <w:rPr>
                <w:rFonts w:hint="eastAsia"/>
                <w:color w:val="auto"/>
              </w:rPr>
              <w:t>。</w:t>
            </w:r>
          </w:p>
          <w:p>
            <w:pPr>
              <w:pStyle w:val="4"/>
              <w:rPr>
                <w:rFonts w:hint="eastAsia"/>
                <w:color w:val="auto"/>
              </w:rPr>
            </w:pPr>
          </w:p>
          <w:p>
            <w:pPr>
              <w:pStyle w:val="4"/>
              <w:rPr>
                <w:rFonts w:hint="eastAsia"/>
                <w:color w:val="auto"/>
              </w:rPr>
            </w:pPr>
          </w:p>
          <w:p>
            <w:pPr>
              <w:pStyle w:val="4"/>
              <w:rPr>
                <w:rFonts w:hint="eastAsia"/>
                <w:color w:val="auto"/>
              </w:rPr>
            </w:pPr>
          </w:p>
        </w:tc>
      </w:tr>
    </w:tbl>
    <w:p>
      <w:pPr>
        <w:pStyle w:val="15"/>
        <w:jc w:val="center"/>
        <w:rPr>
          <w:rFonts w:ascii="Times New Roman" w:hAnsi="Times New Roman" w:eastAsia="黑体"/>
          <w:snapToGrid w:val="0"/>
          <w:color w:val="auto"/>
          <w:sz w:val="36"/>
          <w:szCs w:val="36"/>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15"/>
        <w:spacing w:before="0" w:beforeAutospacing="0" w:after="0" w:afterAutospacing="0" w:line="14" w:lineRule="auto"/>
        <w:jc w:val="center"/>
        <w:rPr>
          <w:rFonts w:ascii="Times New Roman" w:hAnsi="Times New Roman" w:eastAsia="黑体"/>
          <w:snapToGrid w:val="0"/>
          <w:color w:val="auto"/>
          <w:sz w:val="30"/>
          <w:szCs w:val="30"/>
        </w:r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五、主要生态环境保护措施</w:t>
      </w:r>
    </w:p>
    <w:tbl>
      <w:tblPr>
        <w:tblStyle w:val="1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0" w:hRule="atLeast"/>
          <w:jc w:val="center"/>
        </w:trPr>
        <w:tc>
          <w:tcPr>
            <w:tcW w:w="753" w:type="dxa"/>
            <w:noWrap w:val="0"/>
            <w:tcMar>
              <w:left w:w="28" w:type="dxa"/>
              <w:right w:w="28" w:type="dxa"/>
            </w:tcMar>
            <w:vAlign w:val="center"/>
          </w:tcPr>
          <w:p>
            <w:pPr>
              <w:rPr>
                <w:bCs/>
                <w:color w:val="auto"/>
                <w:szCs w:val="21"/>
              </w:rPr>
            </w:pPr>
            <w:r>
              <w:rPr>
                <w:bCs/>
                <w:color w:val="auto"/>
                <w:spacing w:val="10"/>
                <w:szCs w:val="21"/>
              </w:rPr>
              <w:t>施工期生态环境保护措施</w:t>
            </w:r>
          </w:p>
        </w:tc>
        <w:tc>
          <w:tcPr>
            <w:tcW w:w="8457" w:type="dxa"/>
            <w:noWrap w:val="0"/>
            <w:vAlign w:val="top"/>
          </w:tcPr>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bookmarkStart w:id="86" w:name="_Hlk26201142"/>
            <w:r>
              <w:rPr>
                <w:rFonts w:hint="default" w:ascii="Times New Roman" w:hAnsi="Times New Roman" w:eastAsia="宋体" w:cs="Times New Roman"/>
                <w:b/>
                <w:bCs/>
                <w:color w:val="auto"/>
                <w:sz w:val="28"/>
                <w:szCs w:val="28"/>
              </w:rPr>
              <w:t>1 大气污染防治措施</w:t>
            </w:r>
          </w:p>
          <w:p>
            <w:pPr>
              <w:pStyle w:val="4"/>
              <w:rPr>
                <w:color w:val="auto"/>
              </w:rPr>
            </w:pPr>
            <w:r>
              <w:rPr>
                <w:rFonts w:hint="eastAsia"/>
                <w:color w:val="auto"/>
              </w:rPr>
              <w:t>（1）</w:t>
            </w:r>
            <w:r>
              <w:rPr>
                <w:color w:val="auto"/>
              </w:rPr>
              <w:t>尽量利用现有公路网络；其次是对使用频繁的道路路面进行洒水处理；运输车辆进入施工区域，应以中、低速行驶（速度＜40km/h）</w:t>
            </w:r>
            <w:r>
              <w:rPr>
                <w:rFonts w:hint="eastAsia"/>
                <w:color w:val="auto"/>
              </w:rPr>
              <w:t>。</w:t>
            </w:r>
          </w:p>
          <w:p>
            <w:pPr>
              <w:pStyle w:val="4"/>
              <w:rPr>
                <w:color w:val="auto"/>
              </w:rPr>
            </w:pPr>
            <w:r>
              <w:rPr>
                <w:rFonts w:hint="eastAsia"/>
                <w:color w:val="auto"/>
              </w:rPr>
              <w:t>（2）井场设备的放置进行合理优化，尽可能少占土地，对工作区域外的场地严禁车辆和人员进入、占用，避免破坏植被和造成土地松动；作业场地保持一定湿度，进出车辆严格限速，装卸器材文明作业，防止沙尘飞扬。</w:t>
            </w:r>
          </w:p>
          <w:p>
            <w:pPr>
              <w:pStyle w:val="4"/>
              <w:rPr>
                <w:color w:val="auto"/>
              </w:rPr>
            </w:pPr>
            <w:r>
              <w:rPr>
                <w:rFonts w:hint="eastAsia"/>
                <w:color w:val="auto"/>
              </w:rPr>
              <w:t>（3）定期对钻机、柴油发电机等设备进行维护，使其污染物达标排放。</w:t>
            </w:r>
          </w:p>
          <w:p>
            <w:pPr>
              <w:pStyle w:val="4"/>
              <w:rPr>
                <w:color w:val="auto"/>
              </w:rPr>
            </w:pPr>
            <w:r>
              <w:rPr>
                <w:rFonts w:hint="eastAsia"/>
                <w:color w:val="auto"/>
              </w:rPr>
              <w:t>（4）禁止焚烧原油、废油品及各类废弃物，防止产生废气污染。</w:t>
            </w:r>
          </w:p>
          <w:p>
            <w:pPr>
              <w:pStyle w:val="4"/>
              <w:rPr>
                <w:color w:val="auto"/>
              </w:rPr>
            </w:pPr>
            <w:r>
              <w:rPr>
                <w:rFonts w:hint="eastAsia"/>
                <w:color w:val="auto"/>
              </w:rPr>
              <w:t>（</w:t>
            </w:r>
            <w:r>
              <w:rPr>
                <w:color w:val="auto"/>
              </w:rPr>
              <w:t>5</w:t>
            </w:r>
            <w:r>
              <w:rPr>
                <w:rFonts w:hint="eastAsia"/>
                <w:color w:val="auto"/>
              </w:rPr>
              <w:t>）钻井材料集中堆放，下垫上盖，防止起尘。</w:t>
            </w:r>
          </w:p>
          <w:p>
            <w:pPr>
              <w:pStyle w:val="4"/>
              <w:rPr>
                <w:color w:val="auto"/>
              </w:rPr>
            </w:pPr>
            <w:r>
              <w:rPr>
                <w:color w:val="auto"/>
              </w:rPr>
              <w:t>（6）试油期采用技术质量可靠的设备、仪表控制、阀门等，烃类机泵采用无泄漏屏蔽泵。</w:t>
            </w:r>
          </w:p>
          <w:p>
            <w:pPr>
              <w:pStyle w:val="4"/>
              <w:rPr>
                <w:color w:val="auto"/>
              </w:rPr>
            </w:pPr>
            <w:r>
              <w:rPr>
                <w:color w:val="auto"/>
              </w:rPr>
              <w:t>（7）试油期对井场的设备、阀门等进行定期的检查、检修，以减少跑、冒、滴、漏的发生，消除事故隐患，防止油气泄漏进入大气环境。一旦发生泄漏事故，紧急切断油、气源，从而最大限度地减少烃类及油的排放量。</w:t>
            </w:r>
          </w:p>
          <w:p>
            <w:pPr>
              <w:pStyle w:val="4"/>
              <w:rPr>
                <w:rFonts w:hint="eastAsia"/>
                <w:color w:val="auto"/>
              </w:rPr>
            </w:pPr>
            <w:r>
              <w:rPr>
                <w:rFonts w:hint="eastAsia"/>
                <w:color w:val="auto"/>
              </w:rPr>
              <w:t>（8）</w:t>
            </w:r>
            <w:r>
              <w:rPr>
                <w:color w:val="auto"/>
                <w:lang w:bidi="ar"/>
              </w:rPr>
              <w:t>试油期</w:t>
            </w:r>
            <w:r>
              <w:rPr>
                <w:rFonts w:hint="eastAsia"/>
                <w:color w:val="auto"/>
                <w:lang w:bidi="ar"/>
              </w:rPr>
              <w:t>若</w:t>
            </w:r>
            <w:r>
              <w:rPr>
                <w:color w:val="auto"/>
                <w:lang w:bidi="ar"/>
              </w:rPr>
              <w:t>伴生气</w:t>
            </w:r>
            <w:r>
              <w:rPr>
                <w:rFonts w:hint="eastAsia"/>
                <w:color w:val="auto"/>
                <w:lang w:bidi="ar"/>
              </w:rPr>
              <w:t>量较小、不具备回收利用条件时，</w:t>
            </w:r>
            <w:r>
              <w:rPr>
                <w:color w:val="auto"/>
                <w:lang w:bidi="ar"/>
              </w:rPr>
              <w:t>经过液气分离后通过放散管点火排放</w:t>
            </w:r>
            <w:r>
              <w:rPr>
                <w:rFonts w:hint="eastAsia"/>
                <w:color w:val="auto"/>
                <w:lang w:bidi="ar"/>
              </w:rPr>
              <w:t>。</w:t>
            </w:r>
            <w:r>
              <w:rPr>
                <w:rFonts w:hint="eastAsia" w:cs="宋体"/>
                <w:color w:val="auto"/>
                <w:kern w:val="0"/>
              </w:rPr>
              <w:t>若</w:t>
            </w:r>
            <w:r>
              <w:rPr>
                <w:rFonts w:hint="eastAsia" w:cs="宋体"/>
                <w:color w:val="auto"/>
              </w:rPr>
              <w:t>伴生气</w:t>
            </w:r>
            <w:r>
              <w:rPr>
                <w:rFonts w:hint="eastAsia" w:cs="宋体"/>
                <w:color w:val="auto"/>
                <w:kern w:val="0"/>
              </w:rPr>
              <w:t>量较大时，应采取撬装天然气回收装置进行回收。</w:t>
            </w:r>
          </w:p>
          <w:p>
            <w:pPr>
              <w:pStyle w:val="4"/>
              <w:rPr>
                <w:color w:val="auto"/>
              </w:rPr>
            </w:pPr>
            <w:r>
              <w:rPr>
                <w:color w:val="auto"/>
              </w:rPr>
              <w:t>（9）试油期原油运载工具（汽车油罐车）加强管控，</w:t>
            </w:r>
            <w:r>
              <w:rPr>
                <w:rFonts w:hint="eastAsia"/>
                <w:color w:val="auto"/>
              </w:rPr>
              <w:t>采用底部装载或顶部浸没式装载方式，采用顶部浸没式装载的，出口管口距离罐底部高度应小于2</w:t>
            </w:r>
            <w:r>
              <w:rPr>
                <w:color w:val="auto"/>
              </w:rPr>
              <w:t>00mm。</w:t>
            </w:r>
          </w:p>
          <w:bookmarkEnd w:id="86"/>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 水污染防治措施</w:t>
            </w:r>
          </w:p>
          <w:p>
            <w:pPr>
              <w:pStyle w:val="4"/>
              <w:rPr>
                <w:color w:val="auto"/>
              </w:rPr>
            </w:pPr>
            <w:bookmarkStart w:id="87" w:name="_Hlk85561962"/>
            <w:r>
              <w:rPr>
                <w:rFonts w:hint="eastAsia"/>
                <w:color w:val="auto"/>
              </w:rPr>
              <w:t>（</w:t>
            </w:r>
            <w:r>
              <w:rPr>
                <w:color w:val="auto"/>
              </w:rPr>
              <w:t>1</w:t>
            </w:r>
            <w:r>
              <w:rPr>
                <w:rFonts w:hint="eastAsia"/>
                <w:color w:val="auto"/>
              </w:rPr>
              <w:t>）废水处置</w:t>
            </w:r>
          </w:p>
          <w:p>
            <w:pPr>
              <w:pStyle w:val="4"/>
              <w:rPr>
                <w:rFonts w:hint="eastAsia"/>
                <w:color w:val="auto"/>
                <w:sz w:val="21"/>
                <w:szCs w:val="21"/>
              </w:rPr>
            </w:pPr>
            <w:r>
              <w:rPr>
                <w:rFonts w:hint="eastAsia"/>
                <w:color w:val="auto"/>
              </w:rPr>
              <w:t>本项目在钻井施工过程中采用“钻井泥浆不落地技术”，产生的钻井废水经处理达标后循环使用，废水不外排。钻井施工期间生活污水排入施工营地生活污水收集池，</w:t>
            </w:r>
            <w:r>
              <w:rPr>
                <w:rFonts w:hint="eastAsia"/>
                <w:color w:val="auto"/>
              </w:rPr>
              <w:t>定期清运至</w:t>
            </w:r>
            <w:r>
              <w:rPr>
                <w:rFonts w:hint="eastAsia"/>
                <w:color w:val="auto"/>
                <w:lang w:val="en-US" w:eastAsia="zh-CN"/>
              </w:rPr>
              <w:t>五彩湾生产服务区污水处理厂</w:t>
            </w:r>
            <w:r>
              <w:rPr>
                <w:rFonts w:hint="eastAsia"/>
                <w:color w:val="auto"/>
              </w:rPr>
              <w:t>处理。</w:t>
            </w:r>
            <w:r>
              <w:rPr>
                <w:rFonts w:hint="eastAsia"/>
                <w:color w:val="auto"/>
              </w:rPr>
              <w:t>生活污水收集池容积约</w:t>
            </w:r>
            <w:r>
              <w:rPr>
                <w:rFonts w:hint="eastAsia"/>
                <w:color w:val="auto"/>
                <w:lang w:val="en-US" w:eastAsia="zh-CN"/>
              </w:rPr>
              <w:t>3</w:t>
            </w:r>
            <w:r>
              <w:rPr>
                <w:color w:val="auto"/>
              </w:rPr>
              <w:t>0m</w:t>
            </w:r>
            <w:r>
              <w:rPr>
                <w:color w:val="auto"/>
                <w:vertAlign w:val="superscript"/>
              </w:rPr>
              <w:t>3</w:t>
            </w:r>
            <w:r>
              <w:rPr>
                <w:rFonts w:hint="eastAsia"/>
                <w:color w:val="auto"/>
              </w:rPr>
              <w:t>，</w:t>
            </w:r>
            <w:r>
              <w:rPr>
                <w:color w:val="auto"/>
              </w:rPr>
              <w:t>采用</w:t>
            </w:r>
            <w:r>
              <w:rPr>
                <w:rFonts w:hint="eastAsia"/>
                <w:color w:val="auto"/>
              </w:rPr>
              <w:t>C15混凝土结构，</w:t>
            </w:r>
            <w:r>
              <w:rPr>
                <w:color w:val="auto"/>
              </w:rPr>
              <w:t>1.5mm防渗膜防渗</w:t>
            </w:r>
            <w:r>
              <w:rPr>
                <w:rFonts w:hint="eastAsia"/>
                <w:color w:val="auto"/>
              </w:rPr>
              <w:t>，</w:t>
            </w:r>
            <w:r>
              <w:rPr>
                <w:color w:val="auto"/>
              </w:rPr>
              <w:t>防渗膜渗透系数</w:t>
            </w:r>
            <w:r>
              <w:rPr>
                <w:rFonts w:hint="eastAsia"/>
                <w:color w:val="auto"/>
              </w:rPr>
              <w:t>≤1.0×10</w:t>
            </w:r>
            <w:r>
              <w:rPr>
                <w:rFonts w:hint="eastAsia"/>
                <w:color w:val="auto"/>
                <w:vertAlign w:val="superscript"/>
              </w:rPr>
              <w:t>-7</w:t>
            </w:r>
            <w:r>
              <w:rPr>
                <w:color w:val="auto"/>
              </w:rPr>
              <w:t>cm/s</w:t>
            </w:r>
            <w:r>
              <w:rPr>
                <w:rFonts w:hint="eastAsia"/>
                <w:color w:val="auto"/>
              </w:rPr>
              <w:t>。</w:t>
            </w:r>
          </w:p>
          <w:bookmarkEnd w:id="87"/>
          <w:p>
            <w:pPr>
              <w:pStyle w:val="4"/>
              <w:rPr>
                <w:color w:val="auto"/>
              </w:rPr>
            </w:pPr>
            <w:r>
              <w:rPr>
                <w:rFonts w:hint="eastAsia"/>
                <w:color w:val="auto"/>
              </w:rPr>
              <w:t>（</w:t>
            </w:r>
            <w:r>
              <w:rPr>
                <w:color w:val="auto"/>
              </w:rPr>
              <w:t>2</w:t>
            </w:r>
            <w:r>
              <w:rPr>
                <w:rFonts w:hint="eastAsia"/>
                <w:color w:val="auto"/>
              </w:rPr>
              <w:t>）井喷地下水保护措施</w:t>
            </w:r>
          </w:p>
          <w:p>
            <w:pPr>
              <w:pStyle w:val="4"/>
              <w:rPr>
                <w:color w:val="auto"/>
              </w:rPr>
            </w:pPr>
            <w:r>
              <w:rPr>
                <w:rFonts w:hint="eastAsia"/>
                <w:color w:val="auto"/>
              </w:rPr>
              <w:t>虽然本项目钻井期间发生井喷的可能性极小，但应切实做好防止井喷的落实工作。主要措施是安装防喷器和井控装置（简易封井器等），同时随时调整泥浆密度，修井采用清水循环压井等技术，以最大限度地降低井喷事故的发生。</w:t>
            </w:r>
          </w:p>
          <w:p>
            <w:pPr>
              <w:pStyle w:val="4"/>
              <w:rPr>
                <w:color w:val="auto"/>
              </w:rPr>
            </w:pPr>
            <w:r>
              <w:rPr>
                <w:rFonts w:hint="eastAsia"/>
                <w:color w:val="auto"/>
              </w:rPr>
              <w:t>①制定具体井控措施及防止井喷预案。</w:t>
            </w:r>
          </w:p>
          <w:p>
            <w:pPr>
              <w:pStyle w:val="4"/>
              <w:rPr>
                <w:color w:val="auto"/>
              </w:rPr>
            </w:pPr>
            <w:r>
              <w:rPr>
                <w:rFonts w:hint="eastAsia"/>
                <w:color w:val="auto"/>
              </w:rPr>
              <w:t>②开钻前由建设方地质监督或受委托的相关单位地质员，对相应的停注、泄压等措施进行检查（检查结果记录在井队井控专用本上）落实，直到相应层位套管固井候凝完为止。</w:t>
            </w:r>
          </w:p>
          <w:p>
            <w:pPr>
              <w:pStyle w:val="4"/>
              <w:rPr>
                <w:color w:val="auto"/>
              </w:rPr>
            </w:pPr>
            <w:r>
              <w:rPr>
                <w:rFonts w:hint="eastAsia"/>
                <w:color w:val="auto"/>
              </w:rPr>
              <w:t>③钻井液密度及其它性能符合设计要求，并按设计要求储备压井液、加重剂、堵漏材料和其它处理剂，对储备加重钻井液定期循环处理，防止沉淀。</w:t>
            </w:r>
          </w:p>
          <w:p>
            <w:pPr>
              <w:pStyle w:val="4"/>
              <w:rPr>
                <w:color w:val="auto"/>
              </w:rPr>
            </w:pPr>
            <w:r>
              <w:rPr>
                <w:rFonts w:hint="eastAsia"/>
                <w:color w:val="auto"/>
              </w:rPr>
              <w:t>④送至井场的防喷器有试压曲线和试压合格证。安装防喷器前要检查闸板心尺寸是否与使用钻杆尺寸相符，液控系统功能是否齐全、可靠，液控管线有无刺漏现象。</w:t>
            </w:r>
          </w:p>
          <w:p>
            <w:pPr>
              <w:pStyle w:val="4"/>
              <w:rPr>
                <w:color w:val="auto"/>
              </w:rPr>
            </w:pPr>
            <w:r>
              <w:rPr>
                <w:rFonts w:hint="eastAsia"/>
                <w:color w:val="auto"/>
              </w:rPr>
              <w:t>⑤钻开油、气层后，每次起下钻（活动时间间隔超过5d）对闸板防喷器及手动锁紧装置开关活动一次，定期对井控装置进行试压。</w:t>
            </w:r>
          </w:p>
          <w:p>
            <w:pPr>
              <w:pStyle w:val="4"/>
              <w:rPr>
                <w:color w:val="auto"/>
              </w:rPr>
            </w:pPr>
            <w:r>
              <w:rPr>
                <w:rFonts w:hint="eastAsia"/>
                <w:color w:val="auto"/>
              </w:rPr>
              <w:t>⑥测井、固井、完井等作业时，要严格执行安全操作规程和井控措施，避免发生井下复杂情况和井喷失控事故。</w:t>
            </w:r>
          </w:p>
          <w:p>
            <w:pPr>
              <w:pStyle w:val="4"/>
              <w:rPr>
                <w:color w:val="auto"/>
              </w:rPr>
            </w:pPr>
            <w:r>
              <w:rPr>
                <w:rFonts w:hint="eastAsia"/>
                <w:color w:val="auto"/>
              </w:rPr>
              <w:t>⑦要严格控制提下钻速度，防止抽汲压力过大造成井涌、井喷，激动压力过大造成井漏。提钻按规定灌好钻井液，下钻过程中注意观察井口返出钻井液情况并安排中间洗井，起下钻过程中操作要连续，减少钻具静止时间。</w:t>
            </w:r>
          </w:p>
          <w:p>
            <w:pPr>
              <w:pStyle w:val="4"/>
              <w:rPr>
                <w:color w:val="auto"/>
              </w:rPr>
            </w:pPr>
            <w:r>
              <w:rPr>
                <w:rFonts w:hint="eastAsia"/>
                <w:color w:val="auto"/>
              </w:rPr>
              <w:t>⑧要求做好固井前的通井、循环钻井液、调整钻井液性能等工作。控制下套管速度，以防蹩漏地层。</w:t>
            </w:r>
          </w:p>
          <w:p>
            <w:pPr>
              <w:pStyle w:val="4"/>
              <w:rPr>
                <w:color w:val="auto"/>
              </w:rPr>
            </w:pPr>
            <w:r>
              <w:rPr>
                <w:rFonts w:hint="eastAsia"/>
                <w:color w:val="auto"/>
              </w:rPr>
              <w:t>⑨下套管要操作平稳，严禁猛刹、猛放，防止溜钻、顿钻，按规程下套管，双大钳紧扣，以保证套管连接强度。</w:t>
            </w:r>
          </w:p>
          <w:p>
            <w:pPr>
              <w:pStyle w:val="4"/>
              <w:rPr>
                <w:color w:val="auto"/>
              </w:rPr>
            </w:pPr>
            <w:r>
              <w:rPr>
                <w:rFonts w:hint="eastAsia"/>
                <w:color w:val="auto"/>
              </w:rPr>
              <w:t>⑩目的层钻进时预防井漏和井喷，并做好油气层保护工作。</w:t>
            </w:r>
          </w:p>
          <w:p>
            <w:pPr>
              <w:pStyle w:val="4"/>
              <w:rPr>
                <w:color w:val="auto"/>
              </w:rPr>
            </w:pPr>
            <w:r>
              <w:rPr>
                <w:rFonts w:hint="eastAsia"/>
                <w:color w:val="auto"/>
              </w:rPr>
              <w:t>（</w:t>
            </w:r>
            <w:r>
              <w:rPr>
                <w:color w:val="auto"/>
              </w:rPr>
              <w:t>3</w:t>
            </w:r>
            <w:r>
              <w:rPr>
                <w:rFonts w:hint="eastAsia"/>
                <w:color w:val="auto"/>
              </w:rPr>
              <w:t>）地下水保护措施</w:t>
            </w:r>
          </w:p>
          <w:p>
            <w:pPr>
              <w:pStyle w:val="4"/>
              <w:rPr>
                <w:color w:val="auto"/>
              </w:rPr>
            </w:pPr>
            <w:r>
              <w:rPr>
                <w:color w:val="auto"/>
              </w:rPr>
              <w:t>使用清洁无害的泥浆，严格要求套管下入深度，保证固井质量，减轻对地下水环境的影响。</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 噪声污染防治措施</w:t>
            </w:r>
          </w:p>
          <w:p>
            <w:pPr>
              <w:pStyle w:val="4"/>
              <w:rPr>
                <w:color w:val="auto"/>
                <w:kern w:val="0"/>
              </w:rPr>
            </w:pPr>
            <w:r>
              <w:rPr>
                <w:rFonts w:hint="eastAsia"/>
                <w:color w:val="auto"/>
              </w:rPr>
              <w:t>（1）钻井期做好泥浆泵、发电机和柴油机等高噪声设备的基础减振和设置隔声罩减少噪声传播，合理安排施工时间，高噪声施工设备减少夜间使用或禁止使用；避免形成污染影响；在不能对声源采取有效措施情况下，对可能受噪声影响的油田工作人员发放噪声个人防护器材，消除噪声污染影响。</w:t>
            </w:r>
          </w:p>
          <w:p>
            <w:pPr>
              <w:pStyle w:val="4"/>
              <w:rPr>
                <w:color w:val="auto"/>
              </w:rPr>
            </w:pPr>
            <w:r>
              <w:rPr>
                <w:rFonts w:hint="eastAsia"/>
                <w:color w:val="auto"/>
              </w:rPr>
              <w:t>（2）定期维护泥浆泵、钻机、柴油发电机、柴油动力机组、压裂车等高噪声设备；</w:t>
            </w:r>
          </w:p>
          <w:p>
            <w:pPr>
              <w:pStyle w:val="4"/>
              <w:rPr>
                <w:color w:val="auto"/>
              </w:rPr>
            </w:pPr>
            <w:r>
              <w:rPr>
                <w:rFonts w:hint="eastAsia"/>
                <w:color w:val="auto"/>
              </w:rPr>
              <w:t>（</w:t>
            </w:r>
            <w:r>
              <w:rPr>
                <w:color w:val="auto"/>
              </w:rPr>
              <w:t>3</w:t>
            </w:r>
            <w:r>
              <w:rPr>
                <w:rFonts w:hint="eastAsia"/>
                <w:color w:val="auto"/>
              </w:rPr>
              <w:t>）做好机械设备组织，尽量避免高噪声设备同时操作。</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bookmarkStart w:id="88" w:name="_Hlk26201164"/>
            <w:r>
              <w:rPr>
                <w:rFonts w:hint="default" w:ascii="Times New Roman" w:hAnsi="Times New Roman" w:eastAsia="宋体" w:cs="Times New Roman"/>
                <w:b/>
                <w:bCs/>
                <w:color w:val="auto"/>
                <w:sz w:val="28"/>
                <w:szCs w:val="28"/>
              </w:rPr>
              <w:t>4 固废污染防治措施</w:t>
            </w:r>
          </w:p>
          <w:p>
            <w:pPr>
              <w:pStyle w:val="4"/>
              <w:rPr>
                <w:color w:val="auto"/>
                <w:kern w:val="0"/>
              </w:rPr>
            </w:pPr>
            <w:r>
              <w:rPr>
                <w:rFonts w:hint="eastAsia"/>
                <w:color w:val="auto"/>
              </w:rPr>
              <w:t>（1）</w:t>
            </w:r>
            <w:r>
              <w:rPr>
                <w:color w:val="auto"/>
              </w:rPr>
              <w:t>使用环保型泥浆，施工期钻井岩屑采用“泥浆不落地技术”，实现固液分离，分离出的岩屑</w:t>
            </w:r>
            <w:r>
              <w:rPr>
                <w:rFonts w:hint="eastAsia"/>
                <w:color w:val="auto"/>
                <w:lang w:eastAsia="zh-CN"/>
              </w:rPr>
              <w:t>暂存于方形收集池</w:t>
            </w:r>
            <w:r>
              <w:rPr>
                <w:color w:val="auto"/>
              </w:rPr>
              <w:t>，</w:t>
            </w:r>
            <w:r>
              <w:rPr>
                <w:rFonts w:hint="eastAsia"/>
                <w:color w:val="auto"/>
                <w:lang w:eastAsia="zh-CN"/>
              </w:rPr>
              <w:t>委托第三方公司进行无害化处置。</w:t>
            </w:r>
            <w:r>
              <w:rPr>
                <w:color w:val="auto"/>
              </w:rPr>
              <w:t>经检测满足《油气田钻井固体废物综合利用污染控制要求》（DB65/T3997-2017）要求后，</w:t>
            </w:r>
            <w:r>
              <w:rPr>
                <w:rFonts w:hint="eastAsia"/>
                <w:color w:val="auto"/>
                <w:lang w:eastAsia="zh-CN"/>
              </w:rPr>
              <w:t>自行利用。</w:t>
            </w:r>
          </w:p>
          <w:p>
            <w:pPr>
              <w:numPr>
                <w:ilvl w:val="0"/>
                <w:numId w:val="0"/>
              </w:numPr>
              <w:spacing w:line="360" w:lineRule="auto"/>
              <w:ind w:leftChars="200"/>
              <w:jc w:val="both"/>
              <w:rPr>
                <w:rFonts w:hint="eastAsia"/>
                <w:color w:val="auto"/>
                <w:lang w:eastAsia="zh-CN"/>
              </w:rPr>
            </w:pPr>
            <w:bookmarkStart w:id="89" w:name="_Hlk68088939"/>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压裂返排液入方罐，拉运至吉祥联合站</w:t>
            </w:r>
            <w:r>
              <w:rPr>
                <w:rFonts w:hint="eastAsia"/>
                <w:color w:val="auto"/>
                <w:lang w:eastAsia="zh-CN"/>
              </w:rPr>
              <w:t>，上清液进入污水处理系统处</w:t>
            </w:r>
          </w:p>
          <w:p>
            <w:pPr>
              <w:numPr>
                <w:ilvl w:val="0"/>
                <w:numId w:val="0"/>
              </w:numPr>
              <w:spacing w:line="360" w:lineRule="auto"/>
              <w:jc w:val="both"/>
              <w:rPr>
                <w:rFonts w:hint="eastAsia"/>
                <w:color w:val="auto"/>
              </w:rPr>
            </w:pPr>
            <w:r>
              <w:rPr>
                <w:rFonts w:hint="eastAsia"/>
                <w:color w:val="auto"/>
                <w:lang w:eastAsia="zh-CN"/>
              </w:rPr>
              <w:t>理，</w:t>
            </w:r>
            <w:r>
              <w:rPr>
                <w:color w:val="auto"/>
              </w:rPr>
              <w:t>污水处理后达到《碎屑岩油藏注水水质推荐指标及分析方法》（SY/T5329-2012）中标准限值后回注</w:t>
            </w:r>
            <w:r>
              <w:rPr>
                <w:rFonts w:hint="eastAsia"/>
                <w:color w:val="auto"/>
                <w:lang w:eastAsia="zh-CN"/>
              </w:rPr>
              <w:t>油藏；油泥委托有资质单位</w:t>
            </w:r>
            <w:r>
              <w:rPr>
                <w:rFonts w:hint="eastAsia"/>
                <w:color w:val="auto"/>
              </w:rPr>
              <w:t>合规处置。</w:t>
            </w:r>
          </w:p>
          <w:p>
            <w:pPr>
              <w:pStyle w:val="4"/>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施工作业期间，所有罐体与地面接触的部分均铺设防渗膜，堆放点围堰高度不小于1m，并在围堰上方铺设防渗膜，挖机施工便道铺设防渗膜后垫土10cm压实。建设岩屑临时</w:t>
            </w:r>
            <w:r>
              <w:rPr>
                <w:rFonts w:hint="eastAsia"/>
                <w:color w:val="auto"/>
              </w:rPr>
              <w:t>堆场</w:t>
            </w:r>
            <w:r>
              <w:rPr>
                <w:color w:val="auto"/>
              </w:rPr>
              <w:t>1座（防渗处理），容积为200m</w:t>
            </w:r>
            <w:r>
              <w:rPr>
                <w:color w:val="auto"/>
                <w:vertAlign w:val="superscript"/>
              </w:rPr>
              <w:t>3</w:t>
            </w:r>
            <w:r>
              <w:rPr>
                <w:color w:val="auto"/>
              </w:rPr>
              <w:t>（规格20m×10m×1m），采用1.5mm防渗膜防渗，用于存放干化钻井岩屑，堆满后及时检测合格后，用于修路、铺垫井场</w:t>
            </w:r>
            <w:r>
              <w:rPr>
                <w:rFonts w:hint="eastAsia"/>
                <w:color w:val="auto"/>
              </w:rPr>
              <w:t>等综合利用</w:t>
            </w:r>
            <w:r>
              <w:rPr>
                <w:color w:val="auto"/>
              </w:rPr>
              <w:t>。</w:t>
            </w:r>
          </w:p>
          <w:bookmarkEnd w:id="89"/>
          <w:p>
            <w:pPr>
              <w:pStyle w:val="4"/>
              <w:rPr>
                <w:color w:val="auto"/>
              </w:rPr>
            </w:pPr>
            <w:r>
              <w:rPr>
                <w:color w:val="auto"/>
              </w:rPr>
              <w:t>（</w:t>
            </w:r>
            <w:r>
              <w:rPr>
                <w:rFonts w:hint="eastAsia"/>
                <w:color w:val="auto"/>
                <w:lang w:val="en-US" w:eastAsia="zh-CN"/>
              </w:rPr>
              <w:t>4</w:t>
            </w:r>
            <w:r>
              <w:rPr>
                <w:color w:val="auto"/>
              </w:rPr>
              <w:t>）施工单位应及时回收落地油等废物，在油管管桥下等部位铺三防布，防止原油落地，同时辅以人工收油方式，减少进入环境的落地油数量。建议采用“绿色修井技术和配套设备”，以原油不出井筒为目标，达到“三不沾油”，即井场不沾油、设备不沾油、操作工人身上不沾油。</w:t>
            </w:r>
          </w:p>
          <w:p>
            <w:pPr>
              <w:pStyle w:val="4"/>
              <w:rPr>
                <w:color w:val="auto"/>
              </w:rPr>
            </w:pPr>
            <w:bookmarkStart w:id="90" w:name="_Hlk68088952"/>
            <w:r>
              <w:rPr>
                <w:color w:val="auto"/>
              </w:rPr>
              <w:t>（</w:t>
            </w:r>
            <w:r>
              <w:rPr>
                <w:rFonts w:hint="eastAsia"/>
                <w:color w:val="auto"/>
                <w:lang w:val="en-US" w:eastAsia="zh-CN"/>
              </w:rPr>
              <w:t>5</w:t>
            </w:r>
            <w:r>
              <w:rPr>
                <w:color w:val="auto"/>
              </w:rPr>
              <w:t>）柴油罐区防渗措施：柴油发电机是一种小型发电设备，以柴油为燃料，整套机组一般由柴油机、发电机、控制箱、燃油箱、起动和控制用蓄电瓶、保护装置、应急柜等部件组成。本环评要求柴油发电机组及柴油储罐底部铺设高密度聚乙烯防渗膜（厚度不小于1.5mm）且储罐四周设置围堰，防止落地柴油污染土壤。</w:t>
            </w:r>
          </w:p>
          <w:bookmarkEnd w:id="90"/>
          <w:p>
            <w:pPr>
              <w:pStyle w:val="4"/>
              <w:rPr>
                <w:color w:val="auto"/>
              </w:rPr>
            </w:pPr>
            <w:r>
              <w:rPr>
                <w:color w:val="auto"/>
              </w:rPr>
              <w:t>（</w:t>
            </w:r>
            <w:r>
              <w:rPr>
                <w:rFonts w:hint="eastAsia"/>
                <w:color w:val="auto"/>
                <w:lang w:val="en-US" w:eastAsia="zh-CN"/>
              </w:rPr>
              <w:t>6</w:t>
            </w:r>
            <w:r>
              <w:rPr>
                <w:color w:val="auto"/>
              </w:rPr>
              <w:t>）</w:t>
            </w:r>
            <w:r>
              <w:rPr>
                <w:rFonts w:hint="eastAsia"/>
                <w:color w:val="auto"/>
              </w:rPr>
              <w:t>加强监督力度，最大限度控制落地油产生。井下作业时严格执行</w:t>
            </w:r>
            <w:r>
              <w:rPr>
                <w:color w:val="auto"/>
              </w:rPr>
              <w:t>“</w:t>
            </w:r>
            <w:r>
              <w:rPr>
                <w:rFonts w:hint="eastAsia"/>
                <w:color w:val="auto"/>
              </w:rPr>
              <w:t>铺设作业，带罐上岗</w:t>
            </w:r>
            <w:r>
              <w:rPr>
                <w:color w:val="auto"/>
              </w:rPr>
              <w:t>”</w:t>
            </w:r>
            <w:r>
              <w:rPr>
                <w:rFonts w:hint="eastAsia"/>
                <w:color w:val="auto"/>
              </w:rPr>
              <w:t>的作业模式，必须带罐（车）操作，且在作业井场地面铺设防渗膜，使落地油</w:t>
            </w:r>
            <w:r>
              <w:rPr>
                <w:color w:val="auto"/>
              </w:rPr>
              <w:t>100%</w:t>
            </w:r>
            <w:r>
              <w:rPr>
                <w:rFonts w:hint="eastAsia"/>
                <w:color w:val="auto"/>
              </w:rPr>
              <w:t>回收，定期交由有相应危险废物处理资质的单位处置</w:t>
            </w:r>
            <w:r>
              <w:rPr>
                <w:color w:val="auto"/>
              </w:rPr>
              <w:t>。</w:t>
            </w:r>
          </w:p>
          <w:p>
            <w:pPr>
              <w:pStyle w:val="4"/>
              <w:rPr>
                <w:color w:val="auto"/>
              </w:rPr>
            </w:pPr>
            <w:r>
              <w:rPr>
                <w:rFonts w:hint="eastAsia"/>
                <w:color w:val="auto"/>
              </w:rPr>
              <w:t>（</w:t>
            </w:r>
            <w:r>
              <w:rPr>
                <w:rFonts w:hint="eastAsia"/>
                <w:color w:val="auto"/>
                <w:lang w:val="en-US" w:eastAsia="zh-CN"/>
              </w:rPr>
              <w:t>7</w:t>
            </w:r>
            <w:r>
              <w:rPr>
                <w:rFonts w:hint="eastAsia"/>
                <w:color w:val="auto"/>
              </w:rPr>
              <w:t>）在钻井过程中及完成井后，严格执行井控技术规定和井口装置试压要求，落实好防喷、防漏技术措施。</w:t>
            </w:r>
          </w:p>
          <w:p>
            <w:pPr>
              <w:pStyle w:val="4"/>
              <w:rPr>
                <w:color w:val="auto"/>
              </w:rPr>
            </w:pPr>
            <w:r>
              <w:rPr>
                <w:rFonts w:hint="eastAsia"/>
                <w:color w:val="auto"/>
              </w:rPr>
              <w:t>（</w:t>
            </w:r>
            <w:r>
              <w:rPr>
                <w:rFonts w:hint="eastAsia"/>
                <w:color w:val="auto"/>
                <w:lang w:val="en-US" w:eastAsia="zh-CN"/>
              </w:rPr>
              <w:t>8</w:t>
            </w:r>
            <w:r>
              <w:rPr>
                <w:rFonts w:hint="eastAsia"/>
                <w:color w:val="auto"/>
              </w:rPr>
              <w:t>）井场垃圾分类存储，上加遮盖防止风吹飘散，严禁现场抛洒、焚烧、掩埋。</w:t>
            </w:r>
          </w:p>
          <w:p>
            <w:pPr>
              <w:pStyle w:val="4"/>
              <w:rPr>
                <w:color w:val="auto"/>
              </w:rPr>
            </w:pPr>
            <w:r>
              <w:rPr>
                <w:rFonts w:hint="eastAsia"/>
                <w:color w:val="auto"/>
              </w:rPr>
              <w:t>（</w:t>
            </w:r>
            <w:r>
              <w:rPr>
                <w:rFonts w:hint="eastAsia"/>
                <w:color w:val="auto"/>
                <w:lang w:val="en-US" w:eastAsia="zh-CN"/>
              </w:rPr>
              <w:t>9</w:t>
            </w:r>
            <w:r>
              <w:rPr>
                <w:rFonts w:hint="eastAsia"/>
                <w:color w:val="auto"/>
              </w:rPr>
              <w:t>）施工期少量生活垃圾，由施工单位清运至</w:t>
            </w:r>
            <w:r>
              <w:rPr>
                <w:rFonts w:hint="eastAsia"/>
                <w:color w:val="auto"/>
                <w:highlight w:val="none"/>
                <w:lang w:val="en-US" w:eastAsia="zh-CN"/>
              </w:rPr>
              <w:t>吉木萨尔</w:t>
            </w:r>
            <w:r>
              <w:rPr>
                <w:rFonts w:hint="eastAsia"/>
                <w:color w:val="auto"/>
                <w:highlight w:val="none"/>
              </w:rPr>
              <w:t>县</w:t>
            </w:r>
            <w:r>
              <w:rPr>
                <w:rFonts w:hint="eastAsia"/>
                <w:color w:val="auto"/>
                <w:highlight w:val="none"/>
                <w:lang w:val="en-US" w:eastAsia="zh-CN"/>
              </w:rPr>
              <w:t>生活</w:t>
            </w:r>
            <w:r>
              <w:rPr>
                <w:rFonts w:hint="eastAsia"/>
                <w:color w:val="auto"/>
                <w:highlight w:val="none"/>
              </w:rPr>
              <w:t>垃圾填埋场。</w:t>
            </w:r>
          </w:p>
          <w:p>
            <w:pPr>
              <w:pStyle w:val="4"/>
              <w:rPr>
                <w:color w:val="auto"/>
              </w:rPr>
            </w:pPr>
            <w:r>
              <w:rPr>
                <w:rFonts w:hint="eastAsia"/>
                <w:color w:val="auto"/>
              </w:rPr>
              <w:t>（</w:t>
            </w:r>
            <w:r>
              <w:rPr>
                <w:rFonts w:hint="eastAsia"/>
                <w:color w:val="auto"/>
                <w:lang w:val="en-US" w:eastAsia="zh-CN"/>
              </w:rPr>
              <w:t>10</w:t>
            </w:r>
            <w:r>
              <w:rPr>
                <w:rFonts w:hint="eastAsia"/>
                <w:color w:val="auto"/>
              </w:rPr>
              <w:t>）</w:t>
            </w:r>
            <w:r>
              <w:rPr>
                <w:color w:val="auto"/>
              </w:rPr>
              <w:t>按照《国家危险固体废物名录》（</w:t>
            </w:r>
            <w:r>
              <w:rPr>
                <w:rFonts w:hint="eastAsia"/>
                <w:color w:val="auto"/>
              </w:rPr>
              <w:t>2</w:t>
            </w:r>
            <w:r>
              <w:rPr>
                <w:color w:val="auto"/>
              </w:rPr>
              <w:t>021年版）规定，</w:t>
            </w:r>
            <w:r>
              <w:rPr>
                <w:rFonts w:hint="eastAsia"/>
                <w:color w:val="auto"/>
              </w:rPr>
              <w:t>本项目事故状态下的落地油和废弃防渗膜属于危险废物，</w:t>
            </w:r>
            <w:r>
              <w:rPr>
                <w:rFonts w:hint="eastAsia"/>
                <w:color w:val="auto"/>
              </w:rPr>
              <w:t>井场</w:t>
            </w:r>
            <w:r>
              <w:rPr>
                <w:rFonts w:hint="eastAsia"/>
                <w:color w:val="auto"/>
                <w:lang w:val="en-US" w:eastAsia="zh-CN"/>
              </w:rPr>
              <w:t>设置</w:t>
            </w:r>
            <w:r>
              <w:rPr>
                <w:rFonts w:hint="eastAsia"/>
                <w:color w:val="auto"/>
              </w:rPr>
              <w:t>危废暂存区</w:t>
            </w:r>
            <w:r>
              <w:rPr>
                <w:rFonts w:hint="default" w:ascii="Times New Roman" w:hAnsi="Times New Roman" w:cs="Times New Roman"/>
                <w:color w:val="auto"/>
              </w:rPr>
              <w:t>（面积4</w:t>
            </w:r>
            <w:r>
              <w:rPr>
                <w:rFonts w:hint="eastAsia" w:ascii="Times New Roman" w:hAnsi="Times New Roman" w:cs="Times New Roman"/>
                <w:color w:val="auto"/>
                <w:lang w:val="en-US" w:eastAsia="zh-CN"/>
              </w:rPr>
              <w:t>m</w:t>
            </w:r>
            <w:r>
              <w:rPr>
                <w:rFonts w:hint="default" w:ascii="Times New Roman" w:hAnsi="Times New Roman" w:cs="Times New Roman"/>
                <w:color w:val="auto"/>
              </w:rPr>
              <w:t>×8m，容积60m</w:t>
            </w:r>
            <w:r>
              <w:rPr>
                <w:rFonts w:hint="default" w:ascii="Times New Roman" w:hAnsi="Times New Roman" w:cs="Times New Roman"/>
                <w:color w:val="auto"/>
                <w:vertAlign w:val="superscript"/>
              </w:rPr>
              <w:t>3</w:t>
            </w:r>
            <w:r>
              <w:rPr>
                <w:rFonts w:hint="default" w:ascii="Times New Roman" w:hAnsi="Times New Roman" w:cs="Times New Roman"/>
                <w:color w:val="auto"/>
              </w:rPr>
              <w:t>）</w:t>
            </w:r>
            <w:r>
              <w:rPr>
                <w:rFonts w:hint="eastAsia"/>
                <w:color w:val="auto"/>
              </w:rPr>
              <w:t>，</w:t>
            </w:r>
            <w:r>
              <w:rPr>
                <w:rFonts w:hint="eastAsia"/>
                <w:color w:val="auto"/>
                <w:lang w:val="en-US" w:eastAsia="zh-CN"/>
              </w:rPr>
              <w:t>收集的危险废物</w:t>
            </w:r>
            <w:r>
              <w:rPr>
                <w:rFonts w:hint="eastAsia"/>
                <w:color w:val="auto"/>
              </w:rPr>
              <w:t>由施工单位委托有危险废物处置资质的单位转运及处置。</w:t>
            </w:r>
            <w:r>
              <w:rPr>
                <w:color w:val="auto"/>
              </w:rPr>
              <w:t>危险废物收集和临时储存措施按《危险废物贮存污染控制标准》（GB18597-2001）</w:t>
            </w:r>
            <w:r>
              <w:rPr>
                <w:rFonts w:hint="eastAsia"/>
                <w:color w:val="auto"/>
              </w:rPr>
              <w:t>及修改单</w:t>
            </w:r>
            <w:r>
              <w:rPr>
                <w:color w:val="auto"/>
              </w:rPr>
              <w:t>规定进行：</w:t>
            </w:r>
          </w:p>
          <w:p>
            <w:pPr>
              <w:pStyle w:val="4"/>
              <w:rPr>
                <w:color w:val="auto"/>
              </w:rPr>
            </w:pPr>
            <w:r>
              <w:rPr>
                <w:rFonts w:hint="eastAsia"/>
                <w:color w:val="auto"/>
              </w:rPr>
              <w:t>①</w:t>
            </w:r>
            <w:r>
              <w:rPr>
                <w:color w:val="auto"/>
              </w:rPr>
              <w:t>必须将危险废物装入容器内，禁止将不相容（相互反应）的危险废物在同一容器内混装。</w:t>
            </w:r>
          </w:p>
          <w:p>
            <w:pPr>
              <w:pStyle w:val="4"/>
              <w:rPr>
                <w:color w:val="auto"/>
              </w:rPr>
            </w:pPr>
            <w:r>
              <w:rPr>
                <w:rFonts w:hint="eastAsia"/>
                <w:color w:val="auto"/>
              </w:rPr>
              <w:t>②</w:t>
            </w:r>
            <w:r>
              <w:rPr>
                <w:color w:val="auto"/>
              </w:rPr>
              <w:t>容器应满足相应强度要求，且完好无损，容器材质和衬里与危险废物相容（不相互反应）。</w:t>
            </w:r>
          </w:p>
          <w:p>
            <w:pPr>
              <w:pStyle w:val="4"/>
              <w:rPr>
                <w:color w:val="auto"/>
              </w:rPr>
            </w:pPr>
            <w:r>
              <w:rPr>
                <w:rFonts w:hint="eastAsia"/>
                <w:color w:val="auto"/>
              </w:rPr>
              <w:t>③</w:t>
            </w:r>
            <w:r>
              <w:rPr>
                <w:color w:val="auto"/>
              </w:rPr>
              <w:t>设置单独的危废存放间，危险废物分类收集，妥善保存。危险废物临时贮存场所应防雨、防风、防晒、防漏，四周按《环境保护图形标志-固体废物贮存（处置）场》（GB-15562.2-1995）规定设置警示标志，地面进行防渗处理，渗透系数≤10</w:t>
            </w:r>
            <w:r>
              <w:rPr>
                <w:color w:val="auto"/>
                <w:vertAlign w:val="superscript"/>
              </w:rPr>
              <w:t>-10</w:t>
            </w:r>
            <w:r>
              <w:rPr>
                <w:color w:val="auto"/>
              </w:rPr>
              <w:t>cm/s，地面与裙脚、围堰采用坚固、防渗的材料建造，地面与裙脚所围建的容积不低于堵截最大容器的最大储量或总储量的五分之一，设有泄漏液体收集装置。</w:t>
            </w:r>
          </w:p>
          <w:p>
            <w:pPr>
              <w:pStyle w:val="4"/>
              <w:rPr>
                <w:color w:val="auto"/>
              </w:rPr>
            </w:pPr>
            <w:r>
              <w:rPr>
                <w:rFonts w:hint="eastAsia"/>
                <w:color w:val="auto"/>
              </w:rPr>
              <w:t>④</w:t>
            </w:r>
            <w:r>
              <w:rPr>
                <w:color w:val="auto"/>
              </w:rPr>
              <w:t>做好危险废物情况的记录，记录上须注明危险废物的名称、来源、数量、特性、和包装容器的类别、入库日期、存放库位、危废出库日期及接受单位名称，危险废物的记录和货单在危险废物回取后继续保留</w:t>
            </w:r>
            <w:r>
              <w:rPr>
                <w:rFonts w:hint="eastAsia"/>
                <w:color w:val="auto"/>
              </w:rPr>
              <w:t>五</w:t>
            </w:r>
            <w:r>
              <w:rPr>
                <w:color w:val="auto"/>
              </w:rPr>
              <w:t>年。</w:t>
            </w:r>
          </w:p>
          <w:p>
            <w:pPr>
              <w:pStyle w:val="4"/>
              <w:rPr>
                <w:color w:val="auto"/>
              </w:rPr>
            </w:pPr>
            <w:r>
              <w:rPr>
                <w:rFonts w:hint="eastAsia"/>
                <w:color w:val="auto"/>
              </w:rPr>
              <w:t>⑤</w:t>
            </w:r>
            <w:r>
              <w:rPr>
                <w:color w:val="auto"/>
              </w:rPr>
              <w:t>必须定期对贮存的危险废物包装容器及贮存设施进行检查，发现破损，应及时采取措施清理更换。</w:t>
            </w:r>
          </w:p>
          <w:p>
            <w:pPr>
              <w:pStyle w:val="4"/>
              <w:rPr>
                <w:color w:val="auto"/>
              </w:rPr>
            </w:pPr>
            <w:r>
              <w:rPr>
                <w:rFonts w:hint="eastAsia"/>
                <w:color w:val="auto"/>
              </w:rPr>
              <w:t>按照《危险废物收集 贮存 运输技术规范（H</w:t>
            </w:r>
            <w:r>
              <w:rPr>
                <w:color w:val="auto"/>
              </w:rPr>
              <w:t>J 2025-2012</w:t>
            </w:r>
            <w:r>
              <w:rPr>
                <w:rFonts w:hint="eastAsia"/>
                <w:color w:val="auto"/>
              </w:rPr>
              <w:t>）》中有关规定，本项目产生的危险废物拉运应满足以下要求：</w:t>
            </w:r>
          </w:p>
          <w:p>
            <w:pPr>
              <w:pStyle w:val="4"/>
              <w:rPr>
                <w:color w:val="auto"/>
              </w:rPr>
            </w:pPr>
            <w:r>
              <w:rPr>
                <w:rFonts w:hint="eastAsia"/>
                <w:color w:val="auto"/>
              </w:rPr>
              <w:t>危险废物运输应由持有危险废物经营许可证的单位按照其许可证的经营范围组织实施，承担危险废物运输的单位应获得交通运输部门颁发的危险货物运输资质。</w:t>
            </w:r>
          </w:p>
          <w:p>
            <w:pPr>
              <w:pStyle w:val="4"/>
              <w:rPr>
                <w:color w:val="auto"/>
              </w:rPr>
            </w:pPr>
            <w:r>
              <w:rPr>
                <w:rFonts w:hint="eastAsia"/>
                <w:color w:val="auto"/>
              </w:rPr>
              <w:t>废弃危险化学品的运输应执行《危险化学品安全管理条例》有关运输的规定。</w:t>
            </w:r>
          </w:p>
          <w:p>
            <w:pPr>
              <w:pStyle w:val="4"/>
              <w:rPr>
                <w:color w:val="auto"/>
              </w:rPr>
            </w:pPr>
            <w:r>
              <w:rPr>
                <w:rFonts w:hint="eastAsia"/>
                <w:color w:val="auto"/>
              </w:rPr>
              <w:t>运输单位承运危险废物时，应在危险废物包装上按照</w:t>
            </w:r>
            <w:r>
              <w:rPr>
                <w:color w:val="auto"/>
              </w:rPr>
              <w:t>《危险废物贮存污染控制标准》（GB18597-2001）</w:t>
            </w:r>
            <w:r>
              <w:rPr>
                <w:rFonts w:hint="eastAsia"/>
                <w:color w:val="auto"/>
              </w:rPr>
              <w:t>附录A设置标志。</w:t>
            </w:r>
          </w:p>
          <w:p>
            <w:pPr>
              <w:pStyle w:val="4"/>
              <w:rPr>
                <w:color w:val="auto"/>
              </w:rPr>
            </w:pPr>
            <w:r>
              <w:rPr>
                <w:rFonts w:hint="eastAsia"/>
                <w:color w:val="auto"/>
              </w:rPr>
              <w:t>危险废物公路运输时，运输车辆应按《道路运输危险货物车辆标志（GB13392-2005）》设置车辆标志。</w:t>
            </w:r>
          </w:p>
          <w:p>
            <w:pPr>
              <w:pStyle w:val="4"/>
              <w:rPr>
                <w:color w:val="auto"/>
              </w:rPr>
            </w:pPr>
            <w:r>
              <w:rPr>
                <w:rFonts w:hint="eastAsia"/>
                <w:color w:val="auto"/>
              </w:rPr>
              <w:t>危险废物运输时的中转、装卸过程应遵守如下技术要求：</w:t>
            </w:r>
          </w:p>
          <w:p>
            <w:pPr>
              <w:pStyle w:val="4"/>
              <w:rPr>
                <w:color w:val="auto"/>
              </w:rPr>
            </w:pPr>
            <w:r>
              <w:rPr>
                <w:rFonts w:hint="eastAsia"/>
                <w:color w:val="auto"/>
              </w:rPr>
              <w:t>①卸载区的工作人员应熟悉废物的危险特性，并配备适当的个人防护装备，装卸剧毒废物应配备特殊的防护装备。</w:t>
            </w:r>
          </w:p>
          <w:p>
            <w:pPr>
              <w:pStyle w:val="4"/>
              <w:rPr>
                <w:color w:val="auto"/>
              </w:rPr>
            </w:pPr>
            <w:r>
              <w:rPr>
                <w:rFonts w:hint="eastAsia"/>
                <w:color w:val="auto"/>
              </w:rPr>
              <w:t>②卸载区应配备必要的消防设备和设施，并设置明显的指示标志。</w:t>
            </w:r>
          </w:p>
          <w:p>
            <w:pPr>
              <w:pStyle w:val="4"/>
              <w:rPr>
                <w:color w:val="auto"/>
              </w:rPr>
            </w:pPr>
            <w:r>
              <w:rPr>
                <w:rFonts w:hint="eastAsia"/>
                <w:color w:val="auto"/>
              </w:rPr>
              <w:t>③危险废物装卸区应设置隔离设施，液态废物卸载区应设置收集槽和缓冲罐。</w:t>
            </w:r>
          </w:p>
          <w:p>
            <w:pPr>
              <w:pStyle w:val="4"/>
              <w:rPr>
                <w:color w:val="auto"/>
              </w:rPr>
            </w:pPr>
            <w:r>
              <w:rPr>
                <w:rFonts w:hint="eastAsia"/>
                <w:color w:val="auto"/>
              </w:rPr>
              <w:t>本项目产生的危险废物委托具有相应危废转运、处置资质的单位转运及处置。转运过程严格按照相关要求进行操作转运，严禁由不具备相应资质的单位私自转运。</w:t>
            </w:r>
          </w:p>
          <w:p>
            <w:pPr>
              <w:pStyle w:val="4"/>
              <w:rPr>
                <w:color w:val="auto"/>
              </w:rPr>
            </w:pPr>
            <w:r>
              <w:rPr>
                <w:color w:val="auto"/>
              </w:rPr>
              <w:t>完井后，井场废物全部进行清理、回收处理，做</w:t>
            </w:r>
            <w:r>
              <w:rPr>
                <w:rFonts w:hint="eastAsia"/>
                <w:color w:val="auto"/>
              </w:rPr>
              <w:t>到</w:t>
            </w:r>
            <w:r>
              <w:rPr>
                <w:color w:val="auto"/>
              </w:rPr>
              <w:t>“工完、料尽、场地清”。</w:t>
            </w:r>
          </w:p>
          <w:bookmarkEnd w:id="88"/>
          <w:p>
            <w:pPr>
              <w:pStyle w:val="35"/>
              <w:ind w:firstLine="0" w:firstLineChars="0"/>
              <w:jc w:val="both"/>
              <w:rPr>
                <w:rFonts w:hint="default"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5</w:t>
            </w:r>
            <w:r>
              <w:rPr>
                <w:rFonts w:hint="eastAsia" w:ascii="Times New Roman" w:hAnsi="Times New Roman" w:cs="Times New Roman"/>
                <w:b/>
                <w:bCs/>
                <w:color w:val="auto"/>
                <w:kern w:val="2"/>
                <w:sz w:val="28"/>
                <w:szCs w:val="28"/>
                <w:lang w:val="en-US" w:eastAsia="zh-CN" w:bidi="ar-SA"/>
              </w:rPr>
              <w:t xml:space="preserve"> </w:t>
            </w:r>
            <w:r>
              <w:rPr>
                <w:rFonts w:hint="eastAsia" w:ascii="Times New Roman" w:hAnsi="Times New Roman" w:eastAsia="宋体" w:cs="Times New Roman"/>
                <w:b/>
                <w:bCs/>
                <w:color w:val="auto"/>
                <w:kern w:val="2"/>
                <w:sz w:val="28"/>
                <w:szCs w:val="28"/>
                <w:lang w:val="en-US" w:eastAsia="zh-CN" w:bidi="ar-SA"/>
              </w:rPr>
              <w:t>土壤污染防治措施</w:t>
            </w:r>
          </w:p>
          <w:p>
            <w:pPr>
              <w:spacing w:line="360" w:lineRule="auto"/>
              <w:ind w:firstLine="480" w:firstLineChars="200"/>
              <w:jc w:val="both"/>
              <w:rPr>
                <w:color w:val="auto"/>
              </w:rPr>
            </w:pPr>
            <w:r>
              <w:rPr>
                <w:rFonts w:hint="eastAsia"/>
                <w:color w:val="auto"/>
              </w:rPr>
              <w:t>（1）应严格控制施工期临时占地面积，按设计及规划的施工范围进行施工作业，减少土壤扰动。</w:t>
            </w:r>
          </w:p>
          <w:p>
            <w:pPr>
              <w:pStyle w:val="4"/>
              <w:jc w:val="both"/>
              <w:rPr>
                <w:color w:val="auto"/>
              </w:rPr>
            </w:pPr>
            <w:r>
              <w:rPr>
                <w:rFonts w:hint="eastAsia"/>
                <w:color w:val="auto"/>
              </w:rPr>
              <w:t>（2）施工机械及运输车辆应按规定的道路行驶，减少对土壤的碾压，减少碾压造成的土壤紧实度增加及养分流失。</w:t>
            </w:r>
          </w:p>
          <w:p>
            <w:pPr>
              <w:pStyle w:val="4"/>
              <w:jc w:val="both"/>
              <w:rPr>
                <w:color w:val="auto"/>
              </w:rPr>
            </w:pPr>
            <w:r>
              <w:rPr>
                <w:rFonts w:hint="eastAsia"/>
                <w:color w:val="auto"/>
              </w:rPr>
              <w:t>（3）施工产生的建筑垃圾不得随意抛洒，应集中收集并及时清运，防止污染物进入土壤环境造成污染。</w:t>
            </w:r>
          </w:p>
          <w:p>
            <w:pPr>
              <w:pStyle w:val="4"/>
              <w:jc w:val="both"/>
              <w:rPr>
                <w:color w:val="auto"/>
              </w:rPr>
            </w:pPr>
            <w:r>
              <w:rPr>
                <w:rFonts w:hint="eastAsia"/>
                <w:color w:val="auto"/>
              </w:rPr>
              <w:t>综上所述，正常情况下，钻井及试油工程不会污染土壤环境，非正常情况下，采取有效措施后可减轻对土壤环境的影响。在做好源头控制、过程防控等措施的前提下，可避免工程实施对土壤环境产生污染影响。</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eastAsia="宋体" w:cs="Times New Roman"/>
                <w:b/>
                <w:bCs/>
                <w:color w:val="auto"/>
                <w:sz w:val="28"/>
                <w:szCs w:val="28"/>
                <w:lang w:val="en-US" w:eastAsia="zh-CN"/>
              </w:rPr>
              <w:t>6</w:t>
            </w:r>
            <w:r>
              <w:rPr>
                <w:rFonts w:hint="default" w:ascii="Times New Roman" w:hAnsi="Times New Roman" w:eastAsia="宋体" w:cs="Times New Roman"/>
                <w:b/>
                <w:bCs/>
                <w:color w:val="auto"/>
                <w:sz w:val="28"/>
                <w:szCs w:val="28"/>
              </w:rPr>
              <w:t xml:space="preserve"> 生态环境保护措施</w:t>
            </w:r>
          </w:p>
          <w:p>
            <w:pPr>
              <w:adjustRightInd/>
              <w:snapToGrid/>
              <w:spacing w:line="360" w:lineRule="auto"/>
              <w:jc w:val="both"/>
              <w:rPr>
                <w:rFonts w:hint="eastAsia" w:ascii="Times New Roman" w:hAnsi="Times New Roman" w:eastAsia="宋体" w:cs="Times New Roman"/>
                <w:b/>
                <w:color w:val="auto"/>
              </w:rPr>
            </w:pPr>
            <w:r>
              <w:rPr>
                <w:rFonts w:hint="eastAsia" w:cs="Times New Roman"/>
                <w:b/>
                <w:color w:val="auto"/>
                <w:lang w:val="en-US" w:eastAsia="zh-CN"/>
              </w:rPr>
              <w:t>6</w:t>
            </w:r>
            <w:r>
              <w:rPr>
                <w:rFonts w:hint="eastAsia" w:ascii="Times New Roman" w:hAnsi="Times New Roman" w:eastAsia="宋体" w:cs="Times New Roman"/>
                <w:b/>
                <w:color w:val="auto"/>
              </w:rPr>
              <w:t>.1 生态保护措施</w:t>
            </w:r>
          </w:p>
          <w:p>
            <w:pPr>
              <w:pStyle w:val="4"/>
              <w:rPr>
                <w:color w:val="auto"/>
              </w:rPr>
            </w:pPr>
            <w:bookmarkStart w:id="91" w:name="_Hlk68139826"/>
            <w:bookmarkStart w:id="92" w:name="_Hlk67938138"/>
            <w:r>
              <w:rPr>
                <w:rFonts w:hint="eastAsia"/>
                <w:color w:val="auto"/>
              </w:rPr>
              <w:t>对井场、施工营地、进场道路等</w:t>
            </w:r>
            <w:r>
              <w:rPr>
                <w:color w:val="auto"/>
              </w:rPr>
              <w:t>临时性占地合理规划，</w:t>
            </w:r>
            <w:r>
              <w:rPr>
                <w:rFonts w:hint="eastAsia"/>
                <w:color w:val="auto"/>
              </w:rPr>
              <w:t>严格控制施工作业带宽度，</w:t>
            </w:r>
            <w:r>
              <w:rPr>
                <w:color w:val="auto"/>
              </w:rPr>
              <w:t>严格控制占地面积，</w:t>
            </w:r>
            <w:r>
              <w:rPr>
                <w:rFonts w:hint="eastAsia"/>
                <w:color w:val="auto"/>
              </w:rPr>
              <w:t>减少临时占地面积，</w:t>
            </w:r>
            <w:r>
              <w:rPr>
                <w:color w:val="auto"/>
              </w:rPr>
              <w:t>尽量选择在植被稀少的区域布点</w:t>
            </w:r>
            <w:r>
              <w:rPr>
                <w:rFonts w:hint="eastAsia"/>
                <w:color w:val="auto"/>
              </w:rPr>
              <w:t>；在工程施工过程中和施工结束后，及时对施工场地进行平整，以便后期自然恢复；工程结束后，做好施工场地的恢复工作，并按相关规定对植被损失进行生态经济补偿。</w:t>
            </w:r>
          </w:p>
          <w:bookmarkEnd w:id="91"/>
          <w:p>
            <w:pPr>
              <w:spacing w:line="360" w:lineRule="auto"/>
              <w:ind w:firstLine="480" w:firstLineChars="200"/>
              <w:jc w:val="left"/>
              <w:rPr>
                <w:color w:val="auto"/>
                <w:sz w:val="24"/>
                <w:highlight w:val="none"/>
              </w:rPr>
            </w:pPr>
            <w:r>
              <w:rPr>
                <w:color w:val="auto"/>
                <w:sz w:val="24"/>
                <w:highlight w:val="none"/>
              </w:rPr>
              <w:t>（1）井场、道路、施工营地临时占地保护措施要求</w:t>
            </w:r>
          </w:p>
          <w:p>
            <w:pPr>
              <w:spacing w:line="360" w:lineRule="auto"/>
              <w:ind w:firstLine="480" w:firstLineChars="200"/>
              <w:jc w:val="left"/>
              <w:rPr>
                <w:color w:val="auto"/>
                <w:sz w:val="24"/>
                <w:highlight w:val="none"/>
              </w:rPr>
            </w:pPr>
            <w:r>
              <w:rPr>
                <w:color w:val="auto"/>
                <w:sz w:val="24"/>
                <w:highlight w:val="none"/>
              </w:rPr>
              <w:fldChar w:fldCharType="begin"/>
            </w:r>
            <w:r>
              <w:rPr>
                <w:color w:val="auto"/>
                <w:sz w:val="24"/>
                <w:highlight w:val="none"/>
              </w:rPr>
              <w:instrText xml:space="preserve"> = 1 \* GB3 \* MERGEFORMAT </w:instrText>
            </w:r>
            <w:r>
              <w:rPr>
                <w:color w:val="auto"/>
                <w:sz w:val="24"/>
                <w:highlight w:val="none"/>
              </w:rPr>
              <w:fldChar w:fldCharType="separate"/>
            </w:r>
            <w:r>
              <w:rPr>
                <w:color w:val="auto"/>
                <w:sz w:val="24"/>
                <w:highlight w:val="none"/>
              </w:rPr>
              <w:t>①</w:t>
            </w:r>
            <w:r>
              <w:rPr>
                <w:color w:val="auto"/>
                <w:sz w:val="24"/>
                <w:highlight w:val="none"/>
              </w:rPr>
              <w:fldChar w:fldCharType="end"/>
            </w:r>
            <w:r>
              <w:rPr>
                <w:color w:val="auto"/>
                <w:sz w:val="24"/>
                <w:highlight w:val="none"/>
              </w:rPr>
              <w:t>临时性占地进行合理规划，严格控制占地面积，尽量选择在植被稀少的区域。</w:t>
            </w:r>
          </w:p>
          <w:p>
            <w:pPr>
              <w:pStyle w:val="4"/>
              <w:jc w:val="left"/>
              <w:rPr>
                <w:color w:val="auto"/>
                <w:sz w:val="24"/>
                <w:highlight w:val="none"/>
              </w:rPr>
            </w:pPr>
            <w:r>
              <w:rPr>
                <w:color w:val="auto"/>
                <w:sz w:val="24"/>
                <w:highlight w:val="none"/>
              </w:rPr>
              <w:fldChar w:fldCharType="begin"/>
            </w:r>
            <w:r>
              <w:rPr>
                <w:color w:val="auto"/>
                <w:sz w:val="24"/>
                <w:highlight w:val="none"/>
              </w:rPr>
              <w:instrText xml:space="preserve"> = 2 \* GB3 \* MERGEFORMAT </w:instrText>
            </w:r>
            <w:r>
              <w:rPr>
                <w:color w:val="auto"/>
                <w:sz w:val="24"/>
                <w:highlight w:val="none"/>
              </w:rPr>
              <w:fldChar w:fldCharType="separate"/>
            </w:r>
            <w:r>
              <w:rPr>
                <w:color w:val="auto"/>
                <w:sz w:val="24"/>
                <w:highlight w:val="none"/>
              </w:rPr>
              <w:t>②</w:t>
            </w:r>
            <w:r>
              <w:rPr>
                <w:color w:val="auto"/>
                <w:sz w:val="24"/>
                <w:highlight w:val="none"/>
              </w:rPr>
              <w:fldChar w:fldCharType="end"/>
            </w:r>
            <w:r>
              <w:rPr>
                <w:color w:val="auto"/>
                <w:sz w:val="24"/>
                <w:highlight w:val="none"/>
              </w:rPr>
              <w:t>本项目临时占地期满后，占地单位需对临时占地进行清理，拆除临时建筑物，清除废弃材料，结合地形恢复场地并平整土地，做到工完料净场地清。</w:t>
            </w:r>
          </w:p>
          <w:p>
            <w:pPr>
              <w:adjustRightInd/>
              <w:snapToGrid/>
              <w:spacing w:line="360" w:lineRule="auto"/>
              <w:ind w:firstLine="480" w:firstLineChars="200"/>
              <w:jc w:val="both"/>
              <w:rPr>
                <w:color w:val="auto"/>
              </w:rPr>
            </w:pPr>
            <w:r>
              <w:rPr>
                <w:color w:val="auto"/>
              </w:rPr>
              <w:t>（2）</w:t>
            </w:r>
            <w:r>
              <w:rPr>
                <w:rFonts w:hint="eastAsia"/>
                <w:color w:val="auto"/>
              </w:rPr>
              <w:t>对</w:t>
            </w:r>
            <w:r>
              <w:rPr>
                <w:rFonts w:hint="eastAsia"/>
                <w:color w:val="auto"/>
                <w:lang w:val="en-US" w:eastAsia="zh-CN"/>
              </w:rPr>
              <w:t>植物</w:t>
            </w:r>
            <w:r>
              <w:rPr>
                <w:rFonts w:hint="eastAsia"/>
                <w:color w:val="auto"/>
              </w:rPr>
              <w:t>的生态保护措施要求</w:t>
            </w:r>
          </w:p>
          <w:p>
            <w:pPr>
              <w:adjustRightInd/>
              <w:snapToGrid/>
              <w:spacing w:line="360" w:lineRule="auto"/>
              <w:ind w:firstLine="480" w:firstLineChars="200"/>
              <w:jc w:val="both"/>
              <w:rPr>
                <w:color w:val="auto"/>
              </w:rPr>
            </w:pP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r>
              <w:rPr>
                <w:color w:val="auto"/>
              </w:rPr>
              <w:t>本项目施工前，应向当地相关主管部门办理征地手续，按照相关法律法规进行补偿和恢复。</w:t>
            </w:r>
          </w:p>
          <w:p>
            <w:pPr>
              <w:adjustRightInd/>
              <w:snapToGrid/>
              <w:spacing w:line="360" w:lineRule="auto"/>
              <w:ind w:firstLine="480" w:firstLineChars="200"/>
              <w:jc w:val="both"/>
              <w:rPr>
                <w:color w:val="auto"/>
              </w:rPr>
            </w:pPr>
            <w:r>
              <w:rPr>
                <w:color w:val="auto"/>
              </w:rPr>
              <w:fldChar w:fldCharType="begin"/>
            </w:r>
            <w:r>
              <w:rPr>
                <w:color w:val="auto"/>
              </w:rPr>
              <w:instrText xml:space="preserve"> = 2 \* GB3 \* MERGEFORMAT </w:instrText>
            </w:r>
            <w:r>
              <w:rPr>
                <w:color w:val="auto"/>
              </w:rPr>
              <w:fldChar w:fldCharType="separate"/>
            </w:r>
            <w:r>
              <w:rPr>
                <w:color w:val="auto"/>
              </w:rPr>
              <w:t>②</w:t>
            </w:r>
            <w:r>
              <w:rPr>
                <w:color w:val="auto"/>
              </w:rPr>
              <w:fldChar w:fldCharType="end"/>
            </w:r>
            <w:r>
              <w:rPr>
                <w:color w:val="auto"/>
              </w:rPr>
              <w:t>施工过程中严格规定各类工作人员的活动范围，使之限于在各工区范围内活动；严格控制和管理车辆及重型机械的运行范围，所有车辆采用“一”字型作业法，避免并行开辟新路，以减少对植被的破坏。</w:t>
            </w:r>
          </w:p>
          <w:p>
            <w:pPr>
              <w:adjustRightInd/>
              <w:snapToGrid/>
              <w:spacing w:line="360" w:lineRule="auto"/>
              <w:ind w:firstLine="480" w:firstLineChars="200"/>
              <w:jc w:val="both"/>
              <w:rPr>
                <w:color w:val="auto"/>
              </w:rPr>
            </w:pPr>
            <w:r>
              <w:rPr>
                <w:color w:val="auto"/>
              </w:rPr>
              <w:t>③确保各环保设施正常运行，污水进罐、落地油</w:t>
            </w:r>
            <w:r>
              <w:rPr>
                <w:rFonts w:hint="eastAsia"/>
                <w:color w:val="auto"/>
              </w:rPr>
              <w:t>1</w:t>
            </w:r>
            <w:r>
              <w:rPr>
                <w:color w:val="auto"/>
              </w:rPr>
              <w:t>00</w:t>
            </w:r>
            <w:r>
              <w:rPr>
                <w:rFonts w:hint="eastAsia"/>
                <w:color w:val="auto"/>
              </w:rPr>
              <w:t>%</w:t>
            </w:r>
            <w:r>
              <w:rPr>
                <w:color w:val="auto"/>
              </w:rPr>
              <w:t>回收、固体废物</w:t>
            </w:r>
            <w:r>
              <w:rPr>
                <w:rFonts w:hint="eastAsia"/>
                <w:color w:val="auto"/>
              </w:rPr>
              <w:t>合规处置</w:t>
            </w:r>
            <w:r>
              <w:rPr>
                <w:color w:val="auto"/>
              </w:rPr>
              <w:t>，避免各种污染物对土壤环境的影响从而进一步影响其上部</w:t>
            </w:r>
            <w:r>
              <w:rPr>
                <w:rFonts w:hint="eastAsia"/>
                <w:color w:val="auto"/>
              </w:rPr>
              <w:t>植被生长</w:t>
            </w:r>
            <w:r>
              <w:rPr>
                <w:color w:val="auto"/>
              </w:rPr>
              <w:t>。</w:t>
            </w:r>
          </w:p>
          <w:p>
            <w:pPr>
              <w:adjustRightInd/>
              <w:snapToGrid/>
              <w:spacing w:line="360" w:lineRule="auto"/>
              <w:ind w:firstLine="480" w:firstLineChars="200"/>
              <w:jc w:val="both"/>
              <w:rPr>
                <w:color w:val="auto"/>
              </w:rPr>
            </w:pPr>
            <w:r>
              <w:rPr>
                <w:color w:val="auto"/>
              </w:rPr>
              <w:t>④制定严格的施工操作规范，加强对施工人员的宣传和教育，严禁随意破坏植被。</w:t>
            </w:r>
          </w:p>
          <w:bookmarkEnd w:id="92"/>
          <w:p>
            <w:pPr>
              <w:pStyle w:val="4"/>
              <w:rPr>
                <w:color w:val="auto"/>
              </w:rPr>
            </w:pPr>
            <w:r>
              <w:rPr>
                <w:rFonts w:hint="eastAsia"/>
                <w:color w:val="auto"/>
              </w:rPr>
              <w:t>（</w:t>
            </w:r>
            <w:r>
              <w:rPr>
                <w:rFonts w:hint="eastAsia"/>
                <w:color w:val="auto"/>
                <w:lang w:val="en-US" w:eastAsia="zh-CN"/>
              </w:rPr>
              <w:t>3</w:t>
            </w:r>
            <w:r>
              <w:rPr>
                <w:rFonts w:hint="eastAsia"/>
                <w:color w:val="auto"/>
              </w:rPr>
              <w:t>）</w:t>
            </w:r>
            <w:r>
              <w:rPr>
                <w:color w:val="auto"/>
              </w:rPr>
              <w:t>对野生动物的生态环保措施要求</w:t>
            </w:r>
          </w:p>
          <w:p>
            <w:pPr>
              <w:pStyle w:val="4"/>
              <w:ind w:left="480" w:leftChars="200" w:firstLine="0" w:firstLineChars="0"/>
              <w:rPr>
                <w:color w:val="auto"/>
              </w:rPr>
            </w:pPr>
            <w:r>
              <w:rPr>
                <w:rFonts w:hint="eastAsia"/>
                <w:color w:val="auto"/>
              </w:rPr>
              <w:t>①</w:t>
            </w:r>
            <w:r>
              <w:rPr>
                <w:color w:val="auto"/>
              </w:rPr>
              <w:t>设计选线过程中，最大限度避免破坏野生动物的活动场所和生存环境。</w:t>
            </w:r>
            <w:r>
              <w:rPr>
                <w:rFonts w:hint="eastAsia"/>
                <w:color w:val="auto"/>
              </w:rPr>
              <w:t>②</w:t>
            </w:r>
            <w:r>
              <w:rPr>
                <w:color w:val="auto"/>
              </w:rPr>
              <w:t>为了更好的保护野生动物，建设单位在项目实施过程中要严格规定工作</w:t>
            </w:r>
          </w:p>
          <w:p>
            <w:pPr>
              <w:pStyle w:val="4"/>
              <w:ind w:left="0" w:leftChars="0" w:firstLine="0" w:firstLineChars="0"/>
              <w:rPr>
                <w:color w:val="auto"/>
              </w:rPr>
            </w:pPr>
            <w:r>
              <w:rPr>
                <w:color w:val="auto"/>
              </w:rPr>
              <w:t>人员的活动范围，使之限于在施工作业带范围内活动，尽量不侵扰野生动物的栖息地。</w:t>
            </w:r>
          </w:p>
          <w:p>
            <w:pPr>
              <w:pStyle w:val="4"/>
              <w:rPr>
                <w:color w:val="auto"/>
              </w:rPr>
            </w:pPr>
            <w:r>
              <w:rPr>
                <w:rFonts w:hint="eastAsia"/>
                <w:color w:val="auto"/>
              </w:rPr>
              <w:t>③</w:t>
            </w:r>
            <w:r>
              <w:rPr>
                <w:color w:val="auto"/>
              </w:rPr>
              <w:t>对施工人员开展保护野生动物宣传教育工作，强化保护野生动物的观念，禁止施工人员随意惊吓、捕猎、宰杀野生动物。</w:t>
            </w:r>
          </w:p>
          <w:p>
            <w:pPr>
              <w:pStyle w:val="4"/>
              <w:rPr>
                <w:color w:val="auto"/>
              </w:rPr>
            </w:pPr>
            <w:r>
              <w:rPr>
                <w:rFonts w:hint="eastAsia" w:ascii="Times New Roman" w:hAnsi="Times New Roman" w:eastAsia="宋体" w:cs="Times New Roman"/>
                <w:color w:val="auto"/>
              </w:rPr>
              <w:t>④加</w:t>
            </w:r>
            <w:r>
              <w:rPr>
                <w:color w:val="auto"/>
              </w:rPr>
              <w:t>强管理，确保各生产设施的正常运行，避免强噪声环境的出现，避免对野生动物的惊扰。</w:t>
            </w:r>
          </w:p>
          <w:p>
            <w:pPr>
              <w:pStyle w:val="4"/>
              <w:rPr>
                <w:color w:val="auto"/>
              </w:rPr>
            </w:pPr>
            <w:r>
              <w:rPr>
                <w:rFonts w:hint="eastAsia"/>
                <w:color w:val="auto"/>
              </w:rPr>
              <w:t>（</w:t>
            </w:r>
            <w:r>
              <w:rPr>
                <w:rFonts w:hint="eastAsia"/>
                <w:color w:val="auto"/>
                <w:lang w:val="en-US" w:eastAsia="zh-CN"/>
              </w:rPr>
              <w:t>4</w:t>
            </w:r>
            <w:r>
              <w:rPr>
                <w:rFonts w:hint="eastAsia"/>
                <w:color w:val="auto"/>
              </w:rPr>
              <w:t>）</w:t>
            </w:r>
            <w:r>
              <w:rPr>
                <w:color w:val="auto"/>
              </w:rPr>
              <w:t>其它生态保护措施要求</w:t>
            </w:r>
          </w:p>
          <w:p>
            <w:pPr>
              <w:pStyle w:val="4"/>
              <w:rPr>
                <w:color w:val="auto"/>
              </w:rPr>
            </w:pPr>
            <w:r>
              <w:rPr>
                <w:rFonts w:hint="eastAsia"/>
                <w:color w:val="auto"/>
              </w:rPr>
              <w:t>①</w:t>
            </w:r>
            <w:r>
              <w:rPr>
                <w:color w:val="auto"/>
              </w:rPr>
              <w:t>严禁施工人员进行非石油生产的其它活动，如：狩猎、采集动植物、砍柴等。车辆在有野生动物的地区行驶时，禁鸣喇叭。</w:t>
            </w:r>
          </w:p>
          <w:p>
            <w:pPr>
              <w:pStyle w:val="4"/>
              <w:rPr>
                <w:color w:val="auto"/>
              </w:rPr>
            </w:pPr>
            <w:r>
              <w:rPr>
                <w:rFonts w:hint="eastAsia"/>
                <w:color w:val="auto"/>
              </w:rPr>
              <w:t>②</w:t>
            </w:r>
            <w:r>
              <w:rPr>
                <w:color w:val="auto"/>
              </w:rPr>
              <w:t>施工期避开大风天气作业，避免风蚀引起的水土流失。</w:t>
            </w:r>
          </w:p>
          <w:p>
            <w:pPr>
              <w:pStyle w:val="4"/>
              <w:rPr>
                <w:color w:val="auto"/>
              </w:rPr>
            </w:pPr>
            <w:r>
              <w:rPr>
                <w:rFonts w:hint="eastAsia"/>
                <w:color w:val="auto"/>
              </w:rPr>
              <w:t>③</w:t>
            </w:r>
            <w:r>
              <w:rPr>
                <w:color w:val="auto"/>
              </w:rPr>
              <w:t>在施工营地、施工便道及钻井区，设置“保护野生动植物”等警示牌。</w:t>
            </w:r>
          </w:p>
          <w:p>
            <w:pPr>
              <w:pStyle w:val="4"/>
              <w:rPr>
                <w:color w:val="auto"/>
              </w:rPr>
            </w:pP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 4 \* GB3 \* MERGEFORMAT </w:instrText>
            </w:r>
            <w:r>
              <w:rPr>
                <w:rFonts w:ascii="Times New Roman" w:hAnsi="Times New Roman"/>
                <w:color w:val="auto"/>
                <w:sz w:val="24"/>
                <w:highlight w:val="none"/>
              </w:rPr>
              <w:fldChar w:fldCharType="separate"/>
            </w:r>
            <w:r>
              <w:rPr>
                <w:rFonts w:ascii="Times New Roman" w:hAnsi="Times New Roman"/>
                <w:color w:val="auto"/>
                <w:sz w:val="24"/>
                <w:highlight w:val="none"/>
              </w:rPr>
              <w:t>④</w:t>
            </w:r>
            <w:r>
              <w:rPr>
                <w:rFonts w:ascii="Times New Roman" w:hAnsi="Times New Roman"/>
                <w:color w:val="auto"/>
                <w:sz w:val="24"/>
                <w:highlight w:val="none"/>
              </w:rPr>
              <w:fldChar w:fldCharType="end"/>
            </w:r>
            <w:r>
              <w:rPr>
                <w:rFonts w:ascii="Times New Roman" w:hAnsi="Times New Roman"/>
                <w:color w:val="auto"/>
                <w:sz w:val="24"/>
                <w:highlight w:val="none"/>
              </w:rPr>
              <w:t>施工结束后，将施工迹地平整压实，做的工完料净场地清，以利于植被的恢复。</w:t>
            </w:r>
          </w:p>
          <w:p>
            <w:pPr>
              <w:adjustRightInd/>
              <w:snapToGrid/>
              <w:spacing w:line="360" w:lineRule="auto"/>
              <w:jc w:val="both"/>
              <w:rPr>
                <w:rFonts w:hint="eastAsia" w:ascii="Times New Roman" w:hAnsi="Times New Roman" w:eastAsia="宋体" w:cs="Times New Roman"/>
                <w:b/>
                <w:color w:val="auto"/>
              </w:rPr>
            </w:pPr>
            <w:bookmarkStart w:id="93" w:name="_Hlk85638386"/>
            <w:r>
              <w:rPr>
                <w:rFonts w:hint="eastAsia" w:cs="Times New Roman"/>
                <w:b/>
                <w:color w:val="auto"/>
                <w:lang w:val="en-US" w:eastAsia="zh-CN"/>
              </w:rPr>
              <w:t>6</w:t>
            </w:r>
            <w:r>
              <w:rPr>
                <w:rFonts w:hint="eastAsia" w:ascii="Times New Roman" w:hAnsi="Times New Roman" w:eastAsia="宋体" w:cs="Times New Roman"/>
                <w:b/>
                <w:color w:val="auto"/>
              </w:rPr>
              <w:t>.2</w:t>
            </w:r>
            <w:r>
              <w:rPr>
                <w:rFonts w:hint="eastAsia" w:cs="Times New Roman"/>
                <w:b/>
                <w:color w:val="auto"/>
                <w:lang w:val="en-US" w:eastAsia="zh-CN"/>
              </w:rPr>
              <w:t xml:space="preserve"> </w:t>
            </w:r>
            <w:r>
              <w:rPr>
                <w:rFonts w:hint="eastAsia" w:ascii="Times New Roman" w:hAnsi="Times New Roman" w:eastAsia="宋体" w:cs="Times New Roman"/>
                <w:b/>
                <w:color w:val="auto"/>
              </w:rPr>
              <w:t>生态恢复方案</w:t>
            </w:r>
          </w:p>
          <w:p>
            <w:pPr>
              <w:pStyle w:val="4"/>
              <w:rPr>
                <w:color w:val="auto"/>
              </w:rPr>
            </w:pPr>
            <w:bookmarkStart w:id="94" w:name="_Hlk68139626"/>
            <w:r>
              <w:rPr>
                <w:color w:val="auto"/>
              </w:rPr>
              <w:t>（1）井场生态恢复措施</w:t>
            </w:r>
          </w:p>
          <w:p>
            <w:pPr>
              <w:pStyle w:val="4"/>
              <w:rPr>
                <w:color w:val="auto"/>
              </w:rPr>
            </w:pPr>
            <w:r>
              <w:rPr>
                <w:color w:val="auto"/>
              </w:rPr>
              <w:t>本项目新钻1口</w:t>
            </w:r>
            <w:r>
              <w:rPr>
                <w:rFonts w:hint="eastAsia"/>
                <w:color w:val="auto"/>
              </w:rPr>
              <w:t>预探</w:t>
            </w:r>
            <w:r>
              <w:rPr>
                <w:color w:val="auto"/>
              </w:rPr>
              <w:t>井。根据《陆上石油天然气开采业绿色矿山建设规范》（DZT0317-2018）所有施工范围需进行生态环境保护与恢复治理。</w:t>
            </w:r>
          </w:p>
          <w:p>
            <w:pPr>
              <w:pStyle w:val="4"/>
              <w:rPr>
                <w:color w:val="auto"/>
                <w:spacing w:val="4"/>
              </w:rPr>
            </w:pPr>
            <w:r>
              <w:rPr>
                <w:color w:val="auto"/>
              </w:rPr>
              <w:t>工程施工结束后，应对井场临时占地内的土地进行平整，恢复原有地貌。</w:t>
            </w:r>
          </w:p>
          <w:p>
            <w:pPr>
              <w:pStyle w:val="4"/>
              <w:rPr>
                <w:color w:val="auto"/>
              </w:rPr>
            </w:pPr>
            <w:r>
              <w:rPr>
                <w:color w:val="auto"/>
              </w:rPr>
              <w:t>（2）道路生态恢复措施</w:t>
            </w:r>
          </w:p>
          <w:p>
            <w:pPr>
              <w:pStyle w:val="4"/>
              <w:rPr>
                <w:color w:val="auto"/>
              </w:rPr>
            </w:pPr>
            <w:r>
              <w:rPr>
                <w:color w:val="auto"/>
              </w:rPr>
              <w:t>本项目临时道路</w:t>
            </w:r>
            <w:r>
              <w:rPr>
                <w:rFonts w:hint="eastAsia"/>
                <w:color w:val="auto"/>
                <w:lang w:val="en-US" w:eastAsia="zh-CN"/>
              </w:rPr>
              <w:t>220</w:t>
            </w:r>
            <w:r>
              <w:rPr>
                <w:rFonts w:hint="eastAsia"/>
                <w:color w:val="auto"/>
              </w:rPr>
              <w:t>m，道路宽度</w:t>
            </w:r>
            <w:r>
              <w:rPr>
                <w:color w:val="auto"/>
              </w:rPr>
              <w:t>7m。</w:t>
            </w:r>
            <w:r>
              <w:rPr>
                <w:rFonts w:hint="eastAsia"/>
                <w:color w:val="auto"/>
              </w:rPr>
              <w:t>施工时</w:t>
            </w:r>
            <w:r>
              <w:rPr>
                <w:color w:val="auto"/>
              </w:rPr>
              <w:t>开挖路基及取弃土工程均应根据道路施工进度有计划地进行表土剥离并保存。工程结束后，取弃土应及时回填、平整、压实，并利用堆存的表土对临时占地进行植被和景观恢复，与原有地貌和</w:t>
            </w:r>
            <w:r>
              <w:rPr>
                <w:color w:val="auto"/>
              </w:rPr>
              <w:t>景观协调。</w:t>
            </w:r>
          </w:p>
          <w:p>
            <w:pPr>
              <w:spacing w:line="360" w:lineRule="auto"/>
              <w:ind w:firstLine="480" w:firstLineChars="200"/>
              <w:jc w:val="left"/>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w:t>
            </w:r>
            <w:r>
              <w:rPr>
                <w:rFonts w:hint="eastAsia"/>
                <w:color w:val="auto"/>
                <w:sz w:val="24"/>
                <w:highlight w:val="none"/>
              </w:rPr>
              <w:t>生活区</w:t>
            </w:r>
            <w:r>
              <w:rPr>
                <w:color w:val="auto"/>
                <w:sz w:val="24"/>
                <w:highlight w:val="none"/>
              </w:rPr>
              <w:t>生态恢复措施</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color w:val="auto"/>
                <w:sz w:val="24"/>
                <w:highlight w:val="none"/>
              </w:rPr>
              <w:t>本项目工程结束后，将临时生活区占地清理平整，拆除构筑物，恢复原有地貌，确保生活区占地内无生活垃圾等固</w:t>
            </w:r>
            <w:r>
              <w:rPr>
                <w:rFonts w:hint="eastAsia"/>
                <w:color w:val="auto"/>
                <w:sz w:val="24"/>
                <w:highlight w:val="none"/>
              </w:rPr>
              <w:t>体废物。</w:t>
            </w:r>
          </w:p>
          <w:p>
            <w:pPr>
              <w:pStyle w:val="36"/>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水土流失防治</w:t>
            </w:r>
          </w:p>
          <w:p>
            <w:pPr>
              <w:pStyle w:val="36"/>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施工时，首先要特别注意保护地表与植被，划定施工活动范围，严格控制和管理车辆及重型机械的行驶范围，所有车辆采用“一”字形作业法，避免并行开辟新路，以减少风蚀沙化活动的范围；施工中严格按照施工占地要求，划定适宜的堆料场。路基修筑开挖等作业避免在大风天施工；严格按规划的施工范围进行施工作业，不得随意开辟施工便道。施工车辆不得随意驶离便道。施工后期，及时做好施工后期的迹地恢复工作，包括土地平整，创造局部小环境以利于植被的恢复等。建设单位在保证做到以上措施的情况下，对防止风沙流动、促进生态环境的恢复会起到良好作用，可将水土流失的程度降低到最小限度。</w:t>
            </w:r>
          </w:p>
          <w:p>
            <w:pPr>
              <w:pStyle w:val="36"/>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闭井期生态修复措施</w:t>
            </w:r>
          </w:p>
          <w:p>
            <w:pPr>
              <w:pStyle w:val="36"/>
              <w:spacing w:line="360" w:lineRule="auto"/>
              <w:rPr>
                <w:rFonts w:hint="eastAsia"/>
                <w:color w:val="auto"/>
              </w:rPr>
            </w:pPr>
            <w:r>
              <w:rPr>
                <w:rFonts w:hint="default" w:ascii="Times New Roman" w:hAnsi="Times New Roman" w:cs="Times New Roman"/>
                <w:bCs/>
                <w:color w:val="auto"/>
                <w:kern w:val="0"/>
                <w:sz w:val="24"/>
                <w:szCs w:val="24"/>
              </w:rPr>
              <w:t>根据《矿山生态环境保护与恢复治理技术规范(试行)》(HJ651-2013)、</w:t>
            </w:r>
            <w:r>
              <w:rPr>
                <w:rFonts w:hint="default" w:ascii="Times New Roman" w:hAnsi="Times New Roman" w:cs="Times New Roman"/>
                <w:snapToGrid w:val="0"/>
                <w:color w:val="auto"/>
                <w:sz w:val="24"/>
                <w:szCs w:val="24"/>
              </w:rPr>
              <w:t>《陆上石油天然气开采业绿色矿山建设规范》（DZT0317-2018）和《废弃井封井回填集输指南（试行）》中的相关</w:t>
            </w:r>
            <w:r>
              <w:rPr>
                <w:rFonts w:hint="default" w:ascii="Times New Roman" w:hAnsi="Times New Roman" w:cs="Times New Roman"/>
                <w:bCs/>
                <w:color w:val="auto"/>
                <w:kern w:val="0"/>
                <w:sz w:val="24"/>
                <w:szCs w:val="24"/>
              </w:rPr>
              <w:t>要求，勘探活动结束后，应根据景观相似原则，对勘探活动造成的土壤、植被和地表景观破坏进行恢复。对水文地质条件及道路安全有影响或重要建筑物附近的钻孔或坑井应予回填封闭，并恢复其原有生态功能。井场道路用地应严格控制占地面积和范围。道路建设及取弃土工程，均应根据道路施工进度有计划地进行表土剥离并保存，必要时应设置截排水沟、挡土墙等相应保护措施。井场道路取弃土工程结束后，取弃土场应及时回填、整平、压实，并利用堆存的表土进行植被和景观恢复。道路建设施工结束后，临时占地应及时恢复，与原有地貌和景观协调。对项目区域不再使用的各项临时建（构）筑物和基础设施应全部拆除，并进行景观和植被恢复。转为其他用途的，应开展污染场地调查、风险评估与修复治理。试油期伴生气燃烧放空应远离农田、植被等。勘探后的封闭井应将井口封堵完整，采取遮挡和防护措施，并设立警示牌。建设单位将作为生态修复实施的主体。</w:t>
            </w:r>
          </w:p>
          <w:bookmarkEnd w:id="93"/>
          <w:p>
            <w:pPr>
              <w:adjustRightInd/>
              <w:snapToGrid/>
              <w:spacing w:line="360" w:lineRule="auto"/>
              <w:jc w:val="both"/>
              <w:rPr>
                <w:rFonts w:hint="eastAsia" w:ascii="Times New Roman" w:hAnsi="Times New Roman" w:eastAsia="宋体" w:cs="Times New Roman"/>
                <w:b/>
                <w:color w:val="auto"/>
              </w:rPr>
            </w:pPr>
            <w:r>
              <w:rPr>
                <w:rFonts w:hint="eastAsia" w:cs="Times New Roman"/>
                <w:b/>
                <w:color w:val="auto"/>
                <w:lang w:val="en-US" w:eastAsia="zh-CN"/>
              </w:rPr>
              <w:t>6</w:t>
            </w:r>
            <w:r>
              <w:rPr>
                <w:rFonts w:hint="eastAsia" w:ascii="Times New Roman" w:hAnsi="Times New Roman" w:eastAsia="宋体" w:cs="Times New Roman"/>
                <w:b/>
                <w:color w:val="auto"/>
              </w:rPr>
              <w:t>.</w:t>
            </w:r>
            <w:r>
              <w:rPr>
                <w:rFonts w:hint="eastAsia" w:cs="Times New Roman"/>
                <w:b/>
                <w:color w:val="auto"/>
                <w:lang w:val="en-US" w:eastAsia="zh-CN"/>
              </w:rPr>
              <w:t>3</w:t>
            </w:r>
            <w:r>
              <w:rPr>
                <w:rFonts w:hint="eastAsia" w:ascii="Times New Roman" w:hAnsi="Times New Roman" w:eastAsia="宋体" w:cs="Times New Roman"/>
                <w:b/>
                <w:color w:val="auto"/>
              </w:rPr>
              <w:t xml:space="preserve"> 生态环境保护措施小结</w:t>
            </w:r>
          </w:p>
          <w:p>
            <w:pPr>
              <w:pStyle w:val="4"/>
              <w:rPr>
                <w:color w:val="auto"/>
              </w:rPr>
            </w:pPr>
            <w:r>
              <w:rPr>
                <w:rFonts w:hint="eastAsia"/>
                <w:color w:val="auto"/>
              </w:rPr>
              <w:t>本项目生态环境保护措施及预期效果详见表5-</w:t>
            </w:r>
            <w:r>
              <w:rPr>
                <w:color w:val="auto"/>
              </w:rPr>
              <w:t>1</w:t>
            </w:r>
            <w:r>
              <w:rPr>
                <w:rFonts w:hint="eastAsia"/>
                <w:color w:val="auto"/>
              </w:rPr>
              <w:t>。</w:t>
            </w:r>
          </w:p>
          <w:p>
            <w:pPr>
              <w:pStyle w:val="27"/>
              <w:rPr>
                <w:color w:val="auto"/>
              </w:rPr>
            </w:pPr>
            <w:r>
              <w:rPr>
                <w:rFonts w:hint="eastAsia"/>
                <w:color w:val="auto"/>
              </w:rPr>
              <w:t>表5-</w:t>
            </w:r>
            <w:r>
              <w:rPr>
                <w:color w:val="auto"/>
              </w:rPr>
              <w:t xml:space="preserve">1  </w:t>
            </w:r>
            <w:r>
              <w:rPr>
                <w:rFonts w:hint="eastAsia"/>
                <w:color w:val="auto"/>
              </w:rPr>
              <w:t>生态环境保护措施及预期效果一览表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555"/>
              <w:gridCol w:w="851"/>
              <w:gridCol w:w="709"/>
              <w:gridCol w:w="710"/>
              <w:gridCol w:w="1278"/>
              <w:gridCol w:w="1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shd w:val="clear" w:color="auto" w:fill="auto"/>
                  <w:noWrap w:val="0"/>
                  <w:vAlign w:val="center"/>
                </w:tcPr>
                <w:p>
                  <w:pPr>
                    <w:pStyle w:val="28"/>
                    <w:rPr>
                      <w:rFonts w:hint="eastAsia"/>
                      <w:color w:val="auto"/>
                    </w:rPr>
                  </w:pPr>
                  <w:r>
                    <w:rPr>
                      <w:rFonts w:hint="eastAsia"/>
                      <w:color w:val="auto"/>
                    </w:rPr>
                    <w:t>序号</w:t>
                  </w:r>
                </w:p>
              </w:tc>
              <w:tc>
                <w:tcPr>
                  <w:tcW w:w="2552" w:type="dxa"/>
                  <w:shd w:val="clear" w:color="auto" w:fill="auto"/>
                  <w:noWrap w:val="0"/>
                  <w:vAlign w:val="center"/>
                </w:tcPr>
                <w:p>
                  <w:pPr>
                    <w:pStyle w:val="28"/>
                    <w:rPr>
                      <w:rFonts w:hint="eastAsia"/>
                      <w:color w:val="auto"/>
                    </w:rPr>
                  </w:pPr>
                  <w:r>
                    <w:rPr>
                      <w:rFonts w:hint="eastAsia"/>
                      <w:color w:val="auto"/>
                    </w:rPr>
                    <w:t>生态保护措施要求</w:t>
                  </w:r>
                </w:p>
              </w:tc>
              <w:tc>
                <w:tcPr>
                  <w:tcW w:w="850" w:type="dxa"/>
                  <w:shd w:val="clear" w:color="auto" w:fill="auto"/>
                  <w:noWrap w:val="0"/>
                  <w:vAlign w:val="center"/>
                </w:tcPr>
                <w:p>
                  <w:pPr>
                    <w:pStyle w:val="28"/>
                    <w:rPr>
                      <w:rFonts w:hint="eastAsia"/>
                      <w:color w:val="auto"/>
                    </w:rPr>
                  </w:pPr>
                  <w:r>
                    <w:rPr>
                      <w:rFonts w:hint="eastAsia"/>
                      <w:color w:val="auto"/>
                    </w:rPr>
                    <w:t>实施部位</w:t>
                  </w:r>
                </w:p>
              </w:tc>
              <w:tc>
                <w:tcPr>
                  <w:tcW w:w="708" w:type="dxa"/>
                  <w:shd w:val="clear" w:color="auto" w:fill="auto"/>
                  <w:noWrap w:val="0"/>
                  <w:vAlign w:val="center"/>
                </w:tcPr>
                <w:p>
                  <w:pPr>
                    <w:pStyle w:val="28"/>
                    <w:rPr>
                      <w:rFonts w:hint="eastAsia"/>
                      <w:color w:val="auto"/>
                    </w:rPr>
                  </w:pPr>
                  <w:r>
                    <w:rPr>
                      <w:rFonts w:hint="eastAsia"/>
                      <w:color w:val="auto"/>
                    </w:rPr>
                    <w:t>实施时间</w:t>
                  </w:r>
                </w:p>
              </w:tc>
              <w:tc>
                <w:tcPr>
                  <w:tcW w:w="709" w:type="dxa"/>
                  <w:shd w:val="clear" w:color="auto" w:fill="auto"/>
                  <w:noWrap w:val="0"/>
                  <w:vAlign w:val="center"/>
                </w:tcPr>
                <w:p>
                  <w:pPr>
                    <w:pStyle w:val="28"/>
                    <w:rPr>
                      <w:rFonts w:hint="eastAsia"/>
                      <w:color w:val="auto"/>
                    </w:rPr>
                  </w:pPr>
                  <w:r>
                    <w:rPr>
                      <w:rFonts w:hint="eastAsia"/>
                      <w:color w:val="auto"/>
                    </w:rPr>
                    <w:t>责任主体</w:t>
                  </w:r>
                </w:p>
              </w:tc>
              <w:tc>
                <w:tcPr>
                  <w:tcW w:w="1276" w:type="dxa"/>
                  <w:shd w:val="clear" w:color="auto" w:fill="auto"/>
                  <w:noWrap w:val="0"/>
                  <w:vAlign w:val="center"/>
                </w:tcPr>
                <w:p>
                  <w:pPr>
                    <w:pStyle w:val="28"/>
                    <w:rPr>
                      <w:rFonts w:hint="eastAsia"/>
                      <w:color w:val="auto"/>
                    </w:rPr>
                  </w:pPr>
                  <w:r>
                    <w:rPr>
                      <w:rFonts w:hint="eastAsia"/>
                      <w:color w:val="auto"/>
                    </w:rPr>
                    <w:t>实施保障</w:t>
                  </w:r>
                </w:p>
              </w:tc>
              <w:tc>
                <w:tcPr>
                  <w:tcW w:w="1552" w:type="dxa"/>
                  <w:shd w:val="clear" w:color="auto" w:fill="auto"/>
                  <w:noWrap w:val="0"/>
                  <w:vAlign w:val="center"/>
                </w:tcPr>
                <w:p>
                  <w:pPr>
                    <w:pStyle w:val="28"/>
                    <w:rPr>
                      <w:rFonts w:hint="eastAsia"/>
                      <w:color w:val="auto"/>
                    </w:rPr>
                  </w:pPr>
                  <w:r>
                    <w:rPr>
                      <w:rFonts w:hint="eastAsia"/>
                      <w:color w:val="auto"/>
                    </w:rPr>
                    <w:t>实施效果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shd w:val="clear" w:color="auto" w:fill="auto"/>
                  <w:noWrap w:val="0"/>
                  <w:vAlign w:val="center"/>
                </w:tcPr>
                <w:p>
                  <w:pPr>
                    <w:pStyle w:val="28"/>
                    <w:rPr>
                      <w:rFonts w:hint="eastAsia"/>
                      <w:color w:val="auto"/>
                    </w:rPr>
                  </w:pPr>
                  <w:r>
                    <w:rPr>
                      <w:rFonts w:hint="eastAsia"/>
                      <w:color w:val="auto"/>
                    </w:rPr>
                    <w:t>1</w:t>
                  </w:r>
                </w:p>
              </w:tc>
              <w:tc>
                <w:tcPr>
                  <w:tcW w:w="2552" w:type="dxa"/>
                  <w:shd w:val="clear" w:color="auto" w:fill="auto"/>
                  <w:noWrap w:val="0"/>
                  <w:vAlign w:val="center"/>
                </w:tcPr>
                <w:p>
                  <w:pPr>
                    <w:pStyle w:val="28"/>
                    <w:rPr>
                      <w:rFonts w:hint="eastAsia"/>
                      <w:color w:val="auto"/>
                    </w:rPr>
                  </w:pPr>
                  <w:r>
                    <w:rPr>
                      <w:rFonts w:hint="eastAsia"/>
                      <w:color w:val="auto"/>
                    </w:rPr>
                    <w:t>办理占地手续</w:t>
                  </w:r>
                </w:p>
              </w:tc>
              <w:tc>
                <w:tcPr>
                  <w:tcW w:w="850" w:type="dxa"/>
                  <w:vMerge w:val="restart"/>
                  <w:shd w:val="clear" w:color="auto" w:fill="auto"/>
                  <w:noWrap w:val="0"/>
                  <w:vAlign w:val="center"/>
                </w:tcPr>
                <w:p>
                  <w:pPr>
                    <w:pStyle w:val="28"/>
                    <w:rPr>
                      <w:rFonts w:hint="eastAsia"/>
                      <w:color w:val="auto"/>
                    </w:rPr>
                  </w:pPr>
                  <w:r>
                    <w:rPr>
                      <w:rFonts w:hint="eastAsia"/>
                      <w:color w:val="auto"/>
                    </w:rPr>
                    <w:t>井场、生活营地、进场道路</w:t>
                  </w:r>
                </w:p>
              </w:tc>
              <w:tc>
                <w:tcPr>
                  <w:tcW w:w="708" w:type="dxa"/>
                  <w:shd w:val="clear" w:color="auto" w:fill="auto"/>
                  <w:noWrap w:val="0"/>
                  <w:vAlign w:val="center"/>
                </w:tcPr>
                <w:p>
                  <w:pPr>
                    <w:pStyle w:val="28"/>
                    <w:rPr>
                      <w:rFonts w:hint="eastAsia"/>
                      <w:color w:val="auto"/>
                    </w:rPr>
                  </w:pPr>
                  <w:r>
                    <w:rPr>
                      <w:rFonts w:hint="eastAsia"/>
                      <w:color w:val="auto"/>
                    </w:rPr>
                    <w:t>开工前</w:t>
                  </w:r>
                </w:p>
              </w:tc>
              <w:tc>
                <w:tcPr>
                  <w:tcW w:w="709" w:type="dxa"/>
                  <w:shd w:val="clear" w:color="auto" w:fill="auto"/>
                  <w:noWrap w:val="0"/>
                  <w:vAlign w:val="center"/>
                </w:tcPr>
                <w:p>
                  <w:pPr>
                    <w:pStyle w:val="28"/>
                    <w:rPr>
                      <w:rFonts w:hint="eastAsia"/>
                      <w:color w:val="auto"/>
                    </w:rPr>
                  </w:pPr>
                  <w:r>
                    <w:rPr>
                      <w:rFonts w:hint="eastAsia"/>
                      <w:color w:val="auto"/>
                    </w:rPr>
                    <w:t>建设单位</w:t>
                  </w:r>
                </w:p>
              </w:tc>
              <w:tc>
                <w:tcPr>
                  <w:tcW w:w="1276" w:type="dxa"/>
                  <w:vMerge w:val="restart"/>
                  <w:shd w:val="clear" w:color="auto" w:fill="auto"/>
                  <w:noWrap w:val="0"/>
                  <w:vAlign w:val="center"/>
                </w:tcPr>
                <w:p>
                  <w:pPr>
                    <w:pStyle w:val="28"/>
                    <w:jc w:val="both"/>
                    <w:rPr>
                      <w:color w:val="auto"/>
                    </w:rPr>
                  </w:pPr>
                  <w:r>
                    <w:rPr>
                      <w:rFonts w:hint="eastAsia"/>
                      <w:color w:val="auto"/>
                    </w:rPr>
                    <w:t>①建立环境管理机构，配备专职或兼职环保管理人员；</w:t>
                  </w:r>
                </w:p>
                <w:p>
                  <w:pPr>
                    <w:pStyle w:val="28"/>
                    <w:jc w:val="both"/>
                    <w:rPr>
                      <w:rFonts w:hint="eastAsia"/>
                      <w:color w:val="auto"/>
                    </w:rPr>
                  </w:pPr>
                  <w:r>
                    <w:rPr>
                      <w:rFonts w:hint="eastAsia"/>
                      <w:color w:val="auto"/>
                    </w:rPr>
                    <w:t>②制定相关方环境管理条例、质量管理规定；</w:t>
                  </w:r>
                </w:p>
                <w:p>
                  <w:pPr>
                    <w:pStyle w:val="28"/>
                    <w:jc w:val="both"/>
                    <w:rPr>
                      <w:rFonts w:hint="eastAsia"/>
                      <w:color w:val="auto"/>
                    </w:rPr>
                  </w:pPr>
                  <w:r>
                    <w:rPr>
                      <w:rFonts w:hint="eastAsia"/>
                      <w:color w:val="auto"/>
                    </w:rPr>
                    <w:t>③加强环境监理，开展经常性检查、监督，发现问题及时解决、纠正</w:t>
                  </w:r>
                </w:p>
              </w:tc>
              <w:tc>
                <w:tcPr>
                  <w:tcW w:w="1552" w:type="dxa"/>
                  <w:shd w:val="clear" w:color="auto" w:fill="auto"/>
                  <w:noWrap w:val="0"/>
                  <w:vAlign w:val="center"/>
                </w:tcPr>
                <w:p>
                  <w:pPr>
                    <w:pStyle w:val="28"/>
                    <w:rPr>
                      <w:rFonts w:hint="eastAsia"/>
                      <w:color w:val="auto"/>
                    </w:rPr>
                  </w:pPr>
                  <w:r>
                    <w:rPr>
                      <w:rFonts w:hint="eastAsia"/>
                      <w:color w:val="auto"/>
                    </w:rPr>
                    <w:t>取得征地手续，对植被</w:t>
                  </w:r>
                  <w:r>
                    <w:rPr>
                      <w:rFonts w:hint="eastAsia"/>
                      <w:color w:val="auto"/>
                      <w:lang w:eastAsia="zh-CN"/>
                    </w:rPr>
                    <w:t>、</w:t>
                  </w:r>
                  <w:r>
                    <w:rPr>
                      <w:rFonts w:hint="eastAsia"/>
                      <w:color w:val="auto"/>
                      <w:lang w:val="en-US" w:eastAsia="zh-CN"/>
                    </w:rPr>
                    <w:t>农作物</w:t>
                  </w:r>
                  <w:r>
                    <w:rPr>
                      <w:rFonts w:hint="eastAsia"/>
                      <w:color w:val="auto"/>
                    </w:rPr>
                    <w:t>损失进行经济补偿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shd w:val="clear" w:color="auto" w:fill="auto"/>
                  <w:noWrap w:val="0"/>
                  <w:vAlign w:val="center"/>
                </w:tcPr>
                <w:p>
                  <w:pPr>
                    <w:pStyle w:val="28"/>
                    <w:rPr>
                      <w:rFonts w:hint="eastAsia"/>
                      <w:color w:val="auto"/>
                    </w:rPr>
                  </w:pPr>
                  <w:r>
                    <w:rPr>
                      <w:rFonts w:hint="eastAsia"/>
                      <w:color w:val="auto"/>
                    </w:rPr>
                    <w:t>2</w:t>
                  </w:r>
                </w:p>
              </w:tc>
              <w:tc>
                <w:tcPr>
                  <w:tcW w:w="2552" w:type="dxa"/>
                  <w:shd w:val="clear" w:color="auto" w:fill="auto"/>
                  <w:noWrap w:val="0"/>
                  <w:vAlign w:val="center"/>
                </w:tcPr>
                <w:p>
                  <w:pPr>
                    <w:pStyle w:val="28"/>
                    <w:rPr>
                      <w:rFonts w:hint="eastAsia"/>
                      <w:color w:val="auto"/>
                    </w:rPr>
                  </w:pPr>
                  <w:r>
                    <w:rPr>
                      <w:rFonts w:hint="eastAsia"/>
                      <w:color w:val="auto"/>
                    </w:rPr>
                    <w:t>施工占地控制在征地范围内，不得随意扩大，占地面积</w:t>
                  </w:r>
                  <w:r>
                    <w:rPr>
                      <w:rFonts w:hint="eastAsia"/>
                      <w:color w:val="auto"/>
                      <w:lang w:val="en-US" w:eastAsia="zh-CN"/>
                    </w:rPr>
                    <w:t>10740</w:t>
                  </w:r>
                  <w:r>
                    <w:rPr>
                      <w:color w:val="auto"/>
                    </w:rPr>
                    <w:t>m</w:t>
                  </w:r>
                  <w:r>
                    <w:rPr>
                      <w:color w:val="auto"/>
                      <w:vertAlign w:val="superscript"/>
                    </w:rPr>
                    <w:t>2</w:t>
                  </w:r>
                  <w:r>
                    <w:rPr>
                      <w:rFonts w:hint="eastAsia"/>
                      <w:color w:val="auto"/>
                    </w:rPr>
                    <w:t>，作业区四周设置彩带控制作业范围</w:t>
                  </w:r>
                </w:p>
              </w:tc>
              <w:tc>
                <w:tcPr>
                  <w:tcW w:w="850" w:type="dxa"/>
                  <w:vMerge w:val="continue"/>
                  <w:shd w:val="clear" w:color="auto" w:fill="auto"/>
                  <w:noWrap w:val="0"/>
                  <w:vAlign w:val="center"/>
                </w:tcPr>
                <w:p>
                  <w:pPr>
                    <w:pStyle w:val="28"/>
                    <w:rPr>
                      <w:rFonts w:hint="eastAsia"/>
                      <w:color w:val="auto"/>
                    </w:rPr>
                  </w:pPr>
                </w:p>
              </w:tc>
              <w:tc>
                <w:tcPr>
                  <w:tcW w:w="708" w:type="dxa"/>
                  <w:vMerge w:val="restart"/>
                  <w:shd w:val="clear" w:color="auto" w:fill="auto"/>
                  <w:noWrap w:val="0"/>
                  <w:vAlign w:val="center"/>
                </w:tcPr>
                <w:p>
                  <w:pPr>
                    <w:pStyle w:val="28"/>
                    <w:rPr>
                      <w:rFonts w:hint="eastAsia"/>
                      <w:color w:val="auto"/>
                    </w:rPr>
                  </w:pPr>
                  <w:r>
                    <w:rPr>
                      <w:rFonts w:hint="eastAsia"/>
                      <w:color w:val="auto"/>
                    </w:rPr>
                    <w:t>全部施工期</w:t>
                  </w:r>
                </w:p>
              </w:tc>
              <w:tc>
                <w:tcPr>
                  <w:tcW w:w="709" w:type="dxa"/>
                  <w:vMerge w:val="restart"/>
                  <w:shd w:val="clear" w:color="auto" w:fill="auto"/>
                  <w:noWrap w:val="0"/>
                  <w:vAlign w:val="center"/>
                </w:tcPr>
                <w:p>
                  <w:pPr>
                    <w:pStyle w:val="28"/>
                    <w:rPr>
                      <w:rFonts w:hint="eastAsia"/>
                      <w:color w:val="auto"/>
                    </w:rPr>
                  </w:pPr>
                  <w:r>
                    <w:rPr>
                      <w:rFonts w:hint="eastAsia"/>
                      <w:color w:val="auto"/>
                    </w:rPr>
                    <w:t>施工单位</w:t>
                  </w:r>
                </w:p>
              </w:tc>
              <w:tc>
                <w:tcPr>
                  <w:tcW w:w="1276" w:type="dxa"/>
                  <w:vMerge w:val="continue"/>
                  <w:shd w:val="clear" w:color="auto" w:fill="auto"/>
                  <w:noWrap w:val="0"/>
                  <w:vAlign w:val="center"/>
                </w:tcPr>
                <w:p>
                  <w:pPr>
                    <w:pStyle w:val="28"/>
                    <w:jc w:val="both"/>
                    <w:rPr>
                      <w:rFonts w:hint="eastAsia"/>
                      <w:color w:val="auto"/>
                    </w:rPr>
                  </w:pPr>
                </w:p>
              </w:tc>
              <w:tc>
                <w:tcPr>
                  <w:tcW w:w="1552" w:type="dxa"/>
                  <w:shd w:val="clear" w:color="auto" w:fill="auto"/>
                  <w:noWrap w:val="0"/>
                  <w:vAlign w:val="center"/>
                </w:tcPr>
                <w:p>
                  <w:pPr>
                    <w:pStyle w:val="28"/>
                    <w:rPr>
                      <w:rFonts w:hint="eastAsia"/>
                      <w:color w:val="auto"/>
                    </w:rPr>
                  </w:pPr>
                  <w:r>
                    <w:rPr>
                      <w:rFonts w:hint="eastAsia"/>
                      <w:color w:val="auto"/>
                    </w:rPr>
                    <w:t>划定施工作业范围，将施工占地控制在最小范围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shd w:val="clear" w:color="auto" w:fill="auto"/>
                  <w:noWrap w:val="0"/>
                  <w:vAlign w:val="center"/>
                </w:tcPr>
                <w:p>
                  <w:pPr>
                    <w:pStyle w:val="28"/>
                    <w:rPr>
                      <w:rFonts w:hint="eastAsia"/>
                      <w:color w:val="auto"/>
                    </w:rPr>
                  </w:pPr>
                  <w:r>
                    <w:rPr>
                      <w:rFonts w:hint="eastAsia"/>
                      <w:color w:val="auto"/>
                    </w:rPr>
                    <w:t>3</w:t>
                  </w:r>
                </w:p>
              </w:tc>
              <w:tc>
                <w:tcPr>
                  <w:tcW w:w="2552" w:type="dxa"/>
                  <w:shd w:val="clear" w:color="auto" w:fill="auto"/>
                  <w:noWrap w:val="0"/>
                  <w:vAlign w:val="center"/>
                </w:tcPr>
                <w:p>
                  <w:pPr>
                    <w:pStyle w:val="28"/>
                    <w:rPr>
                      <w:rFonts w:hint="eastAsia"/>
                      <w:color w:val="auto"/>
                    </w:rPr>
                  </w:pPr>
                  <w:r>
                    <w:rPr>
                      <w:rFonts w:hint="eastAsia" w:ascii="宋体" w:hAnsi="宋体"/>
                      <w:color w:val="auto"/>
                    </w:rPr>
                    <w:t>表土与底层土分开堆放，表</w:t>
                  </w:r>
                  <w:r>
                    <w:rPr>
                      <w:color w:val="auto"/>
                    </w:rPr>
                    <w:t>层0.3m</w:t>
                  </w:r>
                  <w:r>
                    <w:rPr>
                      <w:rFonts w:hint="eastAsia" w:ascii="宋体" w:hAnsi="宋体"/>
                      <w:color w:val="auto"/>
                    </w:rPr>
                    <w:t>的土壤单独堆放，在风大的季节采取覆盖措施</w:t>
                  </w:r>
                </w:p>
              </w:tc>
              <w:tc>
                <w:tcPr>
                  <w:tcW w:w="850" w:type="dxa"/>
                  <w:vMerge w:val="continue"/>
                  <w:shd w:val="clear" w:color="auto" w:fill="auto"/>
                  <w:noWrap w:val="0"/>
                  <w:vAlign w:val="center"/>
                </w:tcPr>
                <w:p>
                  <w:pPr>
                    <w:pStyle w:val="28"/>
                    <w:rPr>
                      <w:rFonts w:hint="eastAsia"/>
                      <w:color w:val="auto"/>
                    </w:rPr>
                  </w:pPr>
                </w:p>
              </w:tc>
              <w:tc>
                <w:tcPr>
                  <w:tcW w:w="708" w:type="dxa"/>
                  <w:vMerge w:val="continue"/>
                  <w:shd w:val="clear" w:color="auto" w:fill="auto"/>
                  <w:noWrap w:val="0"/>
                  <w:vAlign w:val="center"/>
                </w:tcPr>
                <w:p>
                  <w:pPr>
                    <w:pStyle w:val="28"/>
                    <w:rPr>
                      <w:rFonts w:hint="eastAsia"/>
                      <w:color w:val="auto"/>
                    </w:rPr>
                  </w:pPr>
                </w:p>
              </w:tc>
              <w:tc>
                <w:tcPr>
                  <w:tcW w:w="709" w:type="dxa"/>
                  <w:vMerge w:val="continue"/>
                  <w:shd w:val="clear" w:color="auto" w:fill="auto"/>
                  <w:noWrap w:val="0"/>
                  <w:vAlign w:val="center"/>
                </w:tcPr>
                <w:p>
                  <w:pPr>
                    <w:pStyle w:val="28"/>
                    <w:rPr>
                      <w:rFonts w:hint="eastAsia"/>
                      <w:color w:val="auto"/>
                    </w:rPr>
                  </w:pPr>
                </w:p>
              </w:tc>
              <w:tc>
                <w:tcPr>
                  <w:tcW w:w="1276" w:type="dxa"/>
                  <w:vMerge w:val="continue"/>
                  <w:shd w:val="clear" w:color="auto" w:fill="auto"/>
                  <w:noWrap w:val="0"/>
                  <w:vAlign w:val="center"/>
                </w:tcPr>
                <w:p>
                  <w:pPr>
                    <w:pStyle w:val="28"/>
                    <w:rPr>
                      <w:rFonts w:hint="eastAsia"/>
                      <w:color w:val="auto"/>
                    </w:rPr>
                  </w:pPr>
                </w:p>
              </w:tc>
              <w:tc>
                <w:tcPr>
                  <w:tcW w:w="1552" w:type="dxa"/>
                  <w:shd w:val="clear" w:color="auto" w:fill="auto"/>
                  <w:noWrap w:val="0"/>
                  <w:vAlign w:val="center"/>
                </w:tcPr>
                <w:p>
                  <w:pPr>
                    <w:pStyle w:val="28"/>
                    <w:rPr>
                      <w:rFonts w:hint="eastAsia"/>
                      <w:color w:val="auto"/>
                    </w:rPr>
                  </w:pPr>
                  <w:r>
                    <w:rPr>
                      <w:rFonts w:hint="eastAsia"/>
                      <w:color w:val="auto"/>
                    </w:rPr>
                    <w:t>减少土壤养分的流失，恢复土壤肥力和土壤理化性质，使土壤、植被受影响程度最低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shd w:val="clear" w:color="auto" w:fill="auto"/>
                  <w:noWrap w:val="0"/>
                  <w:vAlign w:val="center"/>
                </w:tcPr>
                <w:p>
                  <w:pPr>
                    <w:pStyle w:val="28"/>
                    <w:rPr>
                      <w:rFonts w:hint="eastAsia"/>
                      <w:color w:val="auto"/>
                    </w:rPr>
                  </w:pPr>
                  <w:r>
                    <w:rPr>
                      <w:color w:val="auto"/>
                    </w:rPr>
                    <w:t>4</w:t>
                  </w:r>
                </w:p>
              </w:tc>
              <w:tc>
                <w:tcPr>
                  <w:tcW w:w="2552" w:type="dxa"/>
                  <w:shd w:val="clear" w:color="auto" w:fill="auto"/>
                  <w:noWrap w:val="0"/>
                  <w:vAlign w:val="center"/>
                </w:tcPr>
                <w:p>
                  <w:pPr>
                    <w:pStyle w:val="28"/>
                    <w:rPr>
                      <w:rFonts w:hint="eastAsia"/>
                      <w:color w:val="auto"/>
                    </w:rPr>
                  </w:pPr>
                  <w:r>
                    <w:rPr>
                      <w:rFonts w:hint="eastAsia"/>
                      <w:color w:val="auto"/>
                    </w:rPr>
                    <w:t>井场、生活营地、入场道路占地范围内清理平整，土壤</w:t>
                  </w:r>
                  <w:r>
                    <w:rPr>
                      <w:rFonts w:hint="eastAsia" w:ascii="宋体" w:hAnsi="宋体"/>
                      <w:color w:val="auto"/>
                    </w:rPr>
                    <w:t>分层回填，恢复地貌</w:t>
                  </w:r>
                </w:p>
              </w:tc>
              <w:tc>
                <w:tcPr>
                  <w:tcW w:w="850" w:type="dxa"/>
                  <w:vMerge w:val="continue"/>
                  <w:shd w:val="clear" w:color="auto" w:fill="auto"/>
                  <w:noWrap w:val="0"/>
                  <w:vAlign w:val="center"/>
                </w:tcPr>
                <w:p>
                  <w:pPr>
                    <w:pStyle w:val="28"/>
                    <w:rPr>
                      <w:rFonts w:hint="eastAsia"/>
                      <w:color w:val="auto"/>
                    </w:rPr>
                  </w:pPr>
                </w:p>
              </w:tc>
              <w:tc>
                <w:tcPr>
                  <w:tcW w:w="708" w:type="dxa"/>
                  <w:shd w:val="clear" w:color="auto" w:fill="auto"/>
                  <w:noWrap w:val="0"/>
                  <w:vAlign w:val="center"/>
                </w:tcPr>
                <w:p>
                  <w:pPr>
                    <w:pStyle w:val="28"/>
                    <w:rPr>
                      <w:rFonts w:hint="eastAsia"/>
                      <w:color w:val="auto"/>
                    </w:rPr>
                  </w:pPr>
                  <w:r>
                    <w:rPr>
                      <w:rFonts w:hint="eastAsia"/>
                      <w:color w:val="auto"/>
                    </w:rPr>
                    <w:t>施工结束初期</w:t>
                  </w:r>
                </w:p>
              </w:tc>
              <w:tc>
                <w:tcPr>
                  <w:tcW w:w="709" w:type="dxa"/>
                  <w:vMerge w:val="restart"/>
                  <w:shd w:val="clear" w:color="auto" w:fill="auto"/>
                  <w:noWrap w:val="0"/>
                  <w:vAlign w:val="center"/>
                </w:tcPr>
                <w:p>
                  <w:pPr>
                    <w:pStyle w:val="28"/>
                    <w:rPr>
                      <w:rFonts w:hint="eastAsia"/>
                      <w:color w:val="auto"/>
                    </w:rPr>
                  </w:pPr>
                  <w:r>
                    <w:rPr>
                      <w:rFonts w:hint="eastAsia"/>
                      <w:color w:val="auto"/>
                    </w:rPr>
                    <w:t>施工单位</w:t>
                  </w:r>
                </w:p>
              </w:tc>
              <w:tc>
                <w:tcPr>
                  <w:tcW w:w="1276" w:type="dxa"/>
                  <w:vMerge w:val="continue"/>
                  <w:shd w:val="clear" w:color="auto" w:fill="auto"/>
                  <w:noWrap w:val="0"/>
                  <w:vAlign w:val="center"/>
                </w:tcPr>
                <w:p>
                  <w:pPr>
                    <w:pStyle w:val="28"/>
                    <w:rPr>
                      <w:rFonts w:hint="eastAsia"/>
                      <w:color w:val="auto"/>
                    </w:rPr>
                  </w:pPr>
                </w:p>
              </w:tc>
              <w:tc>
                <w:tcPr>
                  <w:tcW w:w="1552" w:type="dxa"/>
                  <w:shd w:val="clear" w:color="auto" w:fill="auto"/>
                  <w:noWrap w:val="0"/>
                  <w:vAlign w:val="center"/>
                </w:tcPr>
                <w:p>
                  <w:pPr>
                    <w:pStyle w:val="28"/>
                    <w:rPr>
                      <w:rFonts w:hint="eastAsia"/>
                      <w:color w:val="auto"/>
                    </w:rPr>
                  </w:pPr>
                  <w:r>
                    <w:rPr>
                      <w:rFonts w:hint="eastAsia"/>
                      <w:color w:val="auto"/>
                    </w:rPr>
                    <w:t>施工结束后做到工完料净场地清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84" w:type="dxa"/>
                  <w:shd w:val="clear" w:color="auto" w:fill="auto"/>
                  <w:noWrap w:val="0"/>
                  <w:vAlign w:val="center"/>
                </w:tcPr>
                <w:p>
                  <w:pPr>
                    <w:pStyle w:val="28"/>
                    <w:rPr>
                      <w:rFonts w:hint="eastAsia"/>
                      <w:color w:val="auto"/>
                    </w:rPr>
                  </w:pPr>
                  <w:r>
                    <w:rPr>
                      <w:color w:val="auto"/>
                    </w:rPr>
                    <w:t>5</w:t>
                  </w:r>
                </w:p>
              </w:tc>
              <w:tc>
                <w:tcPr>
                  <w:tcW w:w="2552" w:type="dxa"/>
                  <w:shd w:val="clear" w:color="auto" w:fill="auto"/>
                  <w:noWrap w:val="0"/>
                  <w:vAlign w:val="center"/>
                </w:tcPr>
                <w:p>
                  <w:pPr>
                    <w:pStyle w:val="28"/>
                    <w:rPr>
                      <w:rFonts w:hint="eastAsia"/>
                      <w:color w:val="auto"/>
                    </w:rPr>
                  </w:pPr>
                  <w:r>
                    <w:rPr>
                      <w:rFonts w:hint="eastAsia"/>
                      <w:color w:val="auto"/>
                    </w:rPr>
                    <w:t>加强宣传教育，设置环保宣传牌</w:t>
                  </w:r>
                </w:p>
              </w:tc>
              <w:tc>
                <w:tcPr>
                  <w:tcW w:w="850" w:type="dxa"/>
                  <w:vMerge w:val="continue"/>
                  <w:shd w:val="clear" w:color="auto" w:fill="auto"/>
                  <w:noWrap w:val="0"/>
                  <w:vAlign w:val="center"/>
                </w:tcPr>
                <w:p>
                  <w:pPr>
                    <w:pStyle w:val="28"/>
                    <w:rPr>
                      <w:rFonts w:hint="eastAsia"/>
                      <w:color w:val="auto"/>
                    </w:rPr>
                  </w:pPr>
                </w:p>
              </w:tc>
              <w:tc>
                <w:tcPr>
                  <w:tcW w:w="708" w:type="dxa"/>
                  <w:shd w:val="clear" w:color="auto" w:fill="auto"/>
                  <w:noWrap w:val="0"/>
                  <w:vAlign w:val="center"/>
                </w:tcPr>
                <w:p>
                  <w:pPr>
                    <w:pStyle w:val="28"/>
                    <w:rPr>
                      <w:rFonts w:hint="eastAsia"/>
                      <w:color w:val="auto"/>
                    </w:rPr>
                  </w:pPr>
                  <w:r>
                    <w:rPr>
                      <w:rFonts w:hint="eastAsia"/>
                      <w:color w:val="auto"/>
                    </w:rPr>
                    <w:t>全部施工期</w:t>
                  </w:r>
                </w:p>
              </w:tc>
              <w:tc>
                <w:tcPr>
                  <w:tcW w:w="709" w:type="dxa"/>
                  <w:vMerge w:val="continue"/>
                  <w:shd w:val="clear" w:color="auto" w:fill="auto"/>
                  <w:noWrap w:val="0"/>
                  <w:vAlign w:val="center"/>
                </w:tcPr>
                <w:p>
                  <w:pPr>
                    <w:pStyle w:val="28"/>
                    <w:rPr>
                      <w:rFonts w:hint="eastAsia"/>
                      <w:color w:val="auto"/>
                    </w:rPr>
                  </w:pPr>
                </w:p>
              </w:tc>
              <w:tc>
                <w:tcPr>
                  <w:tcW w:w="1276" w:type="dxa"/>
                  <w:vMerge w:val="continue"/>
                  <w:shd w:val="clear" w:color="auto" w:fill="auto"/>
                  <w:noWrap w:val="0"/>
                  <w:vAlign w:val="center"/>
                </w:tcPr>
                <w:p>
                  <w:pPr>
                    <w:pStyle w:val="28"/>
                    <w:rPr>
                      <w:rFonts w:hint="eastAsia"/>
                      <w:color w:val="auto"/>
                    </w:rPr>
                  </w:pPr>
                </w:p>
              </w:tc>
              <w:tc>
                <w:tcPr>
                  <w:tcW w:w="1552" w:type="dxa"/>
                  <w:shd w:val="clear" w:color="auto" w:fill="auto"/>
                  <w:noWrap w:val="0"/>
                  <w:vAlign w:val="center"/>
                </w:tcPr>
                <w:p>
                  <w:pPr>
                    <w:pStyle w:val="28"/>
                    <w:rPr>
                      <w:rFonts w:hint="eastAsia"/>
                      <w:color w:val="auto"/>
                    </w:rPr>
                  </w:pPr>
                  <w:r>
                    <w:rPr>
                      <w:rFonts w:hint="eastAsia"/>
                      <w:color w:val="auto"/>
                    </w:rPr>
                    <w:t>避免发生</w:t>
                  </w:r>
                  <w:r>
                    <w:rPr>
                      <w:color w:val="auto"/>
                    </w:rPr>
                    <w:t>施工人员随意惊吓、捕猎、宰杀野生动物</w:t>
                  </w:r>
                  <w:r>
                    <w:rPr>
                      <w:rFonts w:hint="eastAsia"/>
                      <w:color w:val="auto"/>
                    </w:rPr>
                    <w:t>，踩踏、破坏植被的现象</w:t>
                  </w:r>
                </w:p>
              </w:tc>
            </w:tr>
            <w:bookmarkEnd w:id="94"/>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eastAsia="宋体" w:cs="Times New Roman"/>
                <w:b/>
                <w:bCs/>
                <w:color w:val="auto"/>
                <w:sz w:val="28"/>
                <w:szCs w:val="28"/>
                <w:lang w:val="en-US" w:eastAsia="zh-CN"/>
              </w:rPr>
              <w:t>7</w:t>
            </w:r>
            <w:r>
              <w:rPr>
                <w:rFonts w:hint="default" w:ascii="Times New Roman" w:hAnsi="Times New Roman" w:eastAsia="宋体" w:cs="Times New Roman"/>
                <w:b/>
                <w:bCs/>
                <w:color w:val="auto"/>
                <w:sz w:val="28"/>
                <w:szCs w:val="28"/>
              </w:rPr>
              <w:t xml:space="preserve"> 环境风险防范措施</w:t>
            </w:r>
          </w:p>
          <w:p>
            <w:pPr>
              <w:adjustRightInd/>
              <w:snapToGrid/>
              <w:spacing w:line="360" w:lineRule="auto"/>
              <w:jc w:val="both"/>
              <w:rPr>
                <w:rFonts w:hint="eastAsia" w:ascii="Times New Roman" w:hAnsi="Times New Roman" w:eastAsia="宋体" w:cs="Times New Roman"/>
                <w:b/>
                <w:color w:val="auto"/>
              </w:rPr>
            </w:pPr>
            <w:r>
              <w:rPr>
                <w:rFonts w:hint="eastAsia" w:cs="Times New Roman"/>
                <w:b/>
                <w:color w:val="auto"/>
                <w:lang w:val="en-US" w:eastAsia="zh-CN"/>
              </w:rPr>
              <w:t>7</w:t>
            </w:r>
            <w:r>
              <w:rPr>
                <w:rFonts w:hint="eastAsia" w:ascii="Times New Roman" w:hAnsi="Times New Roman" w:eastAsia="宋体" w:cs="Times New Roman"/>
                <w:b/>
                <w:color w:val="auto"/>
              </w:rPr>
              <w:t>.1 环境风险防范措施</w:t>
            </w:r>
          </w:p>
          <w:p>
            <w:pPr>
              <w:pStyle w:val="4"/>
              <w:rPr>
                <w:color w:val="auto"/>
              </w:rPr>
            </w:pPr>
            <w:r>
              <w:rPr>
                <w:color w:val="auto"/>
              </w:rPr>
              <w:t>本项目应在预防措施上切实做好防止井喷的各项措施，严格执行各类管理制度。主要措施是安装井控装置（防喷器、简易封井器等），同时采用随时调整泥浆密度，采用清水循环压井等技术，以最大限度地降低井喷事故的发生。</w:t>
            </w:r>
          </w:p>
          <w:p>
            <w:pPr>
              <w:pStyle w:val="4"/>
              <w:rPr>
                <w:color w:val="auto"/>
              </w:rPr>
            </w:pPr>
            <w:r>
              <w:rPr>
                <w:rFonts w:hint="eastAsia"/>
                <w:color w:val="auto"/>
              </w:rPr>
              <w:t>（1）</w:t>
            </w:r>
            <w:r>
              <w:rPr>
                <w:color w:val="auto"/>
              </w:rPr>
              <w:t>钻井作业事故防范措施</w:t>
            </w:r>
          </w:p>
          <w:p>
            <w:pPr>
              <w:pStyle w:val="4"/>
              <w:rPr>
                <w:color w:val="auto"/>
              </w:rPr>
            </w:pPr>
            <w:r>
              <w:rPr>
                <w:rFonts w:hint="eastAsia" w:ascii="宋体" w:hAnsi="宋体" w:cs="宋体"/>
                <w:color w:val="auto"/>
              </w:rPr>
              <w:t>①</w:t>
            </w:r>
            <w:r>
              <w:rPr>
                <w:color w:val="auto"/>
              </w:rPr>
              <w:t>安装防喷器前认真检查闸板心子尺寸是否与使用钻杆尺寸相符，液控系统功能是否齐全、可靠，液控管线有无刺漏现象。</w:t>
            </w:r>
          </w:p>
          <w:p>
            <w:pPr>
              <w:pStyle w:val="4"/>
              <w:rPr>
                <w:color w:val="auto"/>
              </w:rPr>
            </w:pPr>
            <w:r>
              <w:rPr>
                <w:rFonts w:hint="eastAsia" w:ascii="宋体" w:hAnsi="宋体" w:cs="宋体"/>
                <w:color w:val="auto"/>
              </w:rPr>
              <w:t>②</w:t>
            </w:r>
            <w:r>
              <w:rPr>
                <w:color w:val="auto"/>
              </w:rPr>
              <w:t>防喷器顶部安装防溢管时用螺栓连接，不用的螺孔用丝堵堵住。防溢管与防喷器的连接密封可用金属密封垫环或专用橡胶圈。防溢管处应装挡泥伞，保证防喷器组及四通各闸阀清洁、无钻井液。</w:t>
            </w:r>
          </w:p>
          <w:p>
            <w:pPr>
              <w:pStyle w:val="4"/>
              <w:rPr>
                <w:color w:val="auto"/>
              </w:rPr>
            </w:pPr>
            <w:r>
              <w:rPr>
                <w:rFonts w:hint="eastAsia" w:ascii="宋体" w:hAnsi="宋体" w:cs="宋体"/>
                <w:color w:val="auto"/>
              </w:rPr>
              <w:t>③</w:t>
            </w:r>
            <w:r>
              <w:rPr>
                <w:color w:val="auto"/>
              </w:rPr>
              <w:t>远程控制台安装在面对井架大门左侧、距井口不少于25m的专用活动房内，距放喷管线或压井管线有2m以上距离，周围留有宽度不少于2m的人行通道，周围10m内不得堆放易燃、易爆、腐蚀物品。</w:t>
            </w:r>
          </w:p>
          <w:p>
            <w:pPr>
              <w:pStyle w:val="4"/>
              <w:rPr>
                <w:color w:val="auto"/>
              </w:rPr>
            </w:pPr>
            <w:r>
              <w:rPr>
                <w:rFonts w:hint="eastAsia" w:ascii="宋体" w:hAnsi="宋体" w:cs="宋体"/>
                <w:color w:val="auto"/>
              </w:rPr>
              <w:t>④</w:t>
            </w:r>
            <w:r>
              <w:rPr>
                <w:color w:val="auto"/>
              </w:rPr>
              <w:t>放喷管线接出井口15m以外，一般情况下管线应平直并向井场两侧或后场引出，转弯处应使用角度大于120°的铸（锻）钢弯头或具有缓冲垫的标准两通；若用钻杆，其公扣朝外；管线每隔9～11m、转弯处（前后基墩固定）、出口处用基墩或地锚固定牢靠；放喷管线出口处使用双基墩固定，距出口端不超过1.5m。辅助放喷管线执行主放喷管线标准。</w:t>
            </w:r>
          </w:p>
          <w:p>
            <w:pPr>
              <w:pStyle w:val="4"/>
              <w:rPr>
                <w:color w:val="auto"/>
              </w:rPr>
            </w:pPr>
            <w:r>
              <w:rPr>
                <w:rFonts w:hint="eastAsia" w:ascii="宋体" w:hAnsi="宋体" w:cs="宋体"/>
                <w:color w:val="auto"/>
              </w:rPr>
              <w:t>⑤</w:t>
            </w:r>
            <w:r>
              <w:rPr>
                <w:color w:val="auto"/>
              </w:rPr>
              <w:t>井控设备安装好后，按要求试压。</w:t>
            </w:r>
          </w:p>
          <w:p>
            <w:pPr>
              <w:pStyle w:val="4"/>
              <w:rPr>
                <w:color w:val="auto"/>
              </w:rPr>
            </w:pPr>
            <w:r>
              <w:rPr>
                <w:rFonts w:hint="eastAsia" w:ascii="宋体" w:hAnsi="宋体" w:cs="宋体"/>
                <w:color w:val="auto"/>
              </w:rPr>
              <w:t>⑥</w:t>
            </w:r>
            <w:r>
              <w:rPr>
                <w:color w:val="auto"/>
              </w:rPr>
              <w:t>作业班应按钻进、起下钻杆、起下钻铤和空井发生溢流四种工况，按“逢五逢十”进行防喷演习，防喷演习遵循“以司钻为中心，班自为战，从实战出发”的原则。</w:t>
            </w:r>
          </w:p>
          <w:p>
            <w:pPr>
              <w:pStyle w:val="4"/>
              <w:rPr>
                <w:color w:val="auto"/>
              </w:rPr>
            </w:pPr>
            <w:r>
              <w:rPr>
                <w:rFonts w:hint="eastAsia" w:ascii="宋体" w:hAnsi="宋体" w:cs="宋体"/>
                <w:color w:val="auto"/>
              </w:rPr>
              <w:t>⑦</w:t>
            </w:r>
            <w:r>
              <w:rPr>
                <w:color w:val="auto"/>
              </w:rPr>
              <w:t>钻进作业和空井状态应在2min、提下钻杆应在4min、提下钻铤（加重钻杆）应在5min内控制住井口。</w:t>
            </w:r>
          </w:p>
          <w:p>
            <w:pPr>
              <w:pStyle w:val="4"/>
              <w:rPr>
                <w:color w:val="auto"/>
              </w:rPr>
            </w:pPr>
            <w:r>
              <w:rPr>
                <w:rFonts w:hint="eastAsia" w:ascii="宋体" w:hAnsi="宋体" w:cs="宋体"/>
                <w:color w:val="auto"/>
              </w:rPr>
              <w:t>⑧</w:t>
            </w:r>
            <w:r>
              <w:rPr>
                <w:color w:val="auto"/>
              </w:rPr>
              <w:t>做好防硫、防喷演习讲评和记录。</w:t>
            </w:r>
          </w:p>
          <w:p>
            <w:pPr>
              <w:pStyle w:val="4"/>
              <w:rPr>
                <w:color w:val="auto"/>
              </w:rPr>
            </w:pPr>
            <w:r>
              <w:rPr>
                <w:rFonts w:hint="eastAsia" w:ascii="宋体" w:hAnsi="宋体" w:cs="宋体"/>
                <w:color w:val="auto"/>
              </w:rPr>
              <w:t>⑨</w:t>
            </w:r>
            <w:r>
              <w:rPr>
                <w:color w:val="auto"/>
              </w:rPr>
              <w:t>全井坐岗。非油、气层每小时测量一次钻井液增、减量。进入油层前50m开始每15min测量一次；提下钻杆每3-5柱（＜15min）测量一次；提下钻铤每15min测量一次。</w:t>
            </w:r>
          </w:p>
          <w:p>
            <w:pPr>
              <w:pStyle w:val="4"/>
              <w:rPr>
                <w:color w:val="auto"/>
              </w:rPr>
            </w:pPr>
            <w:r>
              <w:rPr>
                <w:rFonts w:hint="eastAsia" w:ascii="宋体" w:hAnsi="宋体" w:cs="宋体"/>
                <w:color w:val="auto"/>
              </w:rPr>
              <w:t>⑩</w:t>
            </w:r>
            <w:r>
              <w:rPr>
                <w:color w:val="auto"/>
              </w:rPr>
              <w:t>在井口安装防喷器和控制装置，杜绝井喷的发生。</w:t>
            </w:r>
          </w:p>
          <w:p>
            <w:pPr>
              <w:pStyle w:val="4"/>
              <w:rPr>
                <w:color w:val="auto"/>
              </w:rPr>
            </w:pPr>
            <w:r>
              <w:rPr>
                <w:rFonts w:ascii="Cambria Math" w:hAnsi="Cambria Math" w:cs="Cambria Math"/>
                <w:color w:val="auto"/>
              </w:rPr>
              <w:t>⑪</w:t>
            </w:r>
            <w:r>
              <w:rPr>
                <w:color w:val="auto"/>
              </w:rPr>
              <w:t>井控操作实行持证上岗，各岗位的钻井人员有明确的分工，并且应经过井控专业培训。</w:t>
            </w:r>
          </w:p>
          <w:p>
            <w:pPr>
              <w:pStyle w:val="4"/>
              <w:rPr>
                <w:color w:val="auto"/>
              </w:rPr>
            </w:pPr>
            <w:r>
              <w:rPr>
                <w:rFonts w:ascii="Cambria Math" w:hAnsi="Cambria Math" w:cs="Cambria Math"/>
                <w:color w:val="auto"/>
              </w:rPr>
              <w:t>⑫</w:t>
            </w:r>
            <w:r>
              <w:rPr>
                <w:color w:val="auto"/>
              </w:rPr>
              <w:t>井场设置明显的禁止烟火标志；井场钻井设备及电器设备、照明灯具符合防火防爆的安全要求，井场安装探照灯，以备井喷时钻台照明。</w:t>
            </w:r>
          </w:p>
          <w:p>
            <w:pPr>
              <w:pStyle w:val="4"/>
              <w:rPr>
                <w:color w:val="auto"/>
              </w:rPr>
            </w:pPr>
            <w:r>
              <w:rPr>
                <w:rFonts w:ascii="Cambria Math" w:hAnsi="Cambria Math" w:cs="Cambria Math"/>
                <w:color w:val="auto"/>
              </w:rPr>
              <w:t>⑬</w:t>
            </w:r>
            <w:r>
              <w:rPr>
                <w:color w:val="auto"/>
              </w:rPr>
              <w:t>在井架、井场路口等处设风向标，发生事故时人员迅速向上风向疏散。</w:t>
            </w:r>
          </w:p>
          <w:p>
            <w:pPr>
              <w:pStyle w:val="4"/>
              <w:rPr>
                <w:color w:val="auto"/>
              </w:rPr>
            </w:pPr>
            <w:r>
              <w:rPr>
                <w:rFonts w:ascii="Cambria Math" w:hAnsi="Cambria Math" w:cs="Cambria Math"/>
                <w:color w:val="auto"/>
              </w:rPr>
              <w:t>⑭</w:t>
            </w:r>
            <w:r>
              <w:rPr>
                <w:color w:val="auto"/>
              </w:rPr>
              <w:t>按消防规定配备灭火器、消防铁锹和其它消防器材。</w:t>
            </w:r>
          </w:p>
          <w:p>
            <w:pPr>
              <w:pStyle w:val="4"/>
              <w:rPr>
                <w:color w:val="auto"/>
              </w:rPr>
            </w:pPr>
            <w:r>
              <w:rPr>
                <w:rFonts w:ascii="Cambria Math" w:hAnsi="Cambria Math" w:cs="Cambria Math"/>
                <w:color w:val="auto"/>
              </w:rPr>
              <w:t>⑮</w:t>
            </w:r>
            <w:r>
              <w:rPr>
                <w:color w:val="auto"/>
              </w:rPr>
              <w:t>事故应急救援预案。</w:t>
            </w:r>
          </w:p>
          <w:p>
            <w:pPr>
              <w:pStyle w:val="4"/>
              <w:rPr>
                <w:color w:val="auto"/>
              </w:rPr>
            </w:pPr>
            <w:r>
              <w:rPr>
                <w:color w:val="auto"/>
              </w:rPr>
              <w:t>根据项目的生产特点，制定了相应的应急预案，由项目主要负责人按照应急预案中的要求定期组织职工学习并进行演习。</w:t>
            </w:r>
          </w:p>
          <w:p>
            <w:pPr>
              <w:pStyle w:val="4"/>
              <w:rPr>
                <w:color w:val="auto"/>
              </w:rPr>
            </w:pPr>
            <w:r>
              <w:rPr>
                <w:rFonts w:hint="eastAsia"/>
                <w:color w:val="auto"/>
              </w:rPr>
              <w:t>（</w:t>
            </w:r>
            <w:r>
              <w:rPr>
                <w:color w:val="auto"/>
              </w:rPr>
              <w:t>2</w:t>
            </w:r>
            <w:r>
              <w:rPr>
                <w:rFonts w:hint="eastAsia"/>
                <w:color w:val="auto"/>
              </w:rPr>
              <w:t>）</w:t>
            </w:r>
            <w:r>
              <w:rPr>
                <w:color w:val="auto"/>
              </w:rPr>
              <w:t>硫化氢防范措施</w:t>
            </w:r>
          </w:p>
          <w:p>
            <w:pPr>
              <w:pStyle w:val="4"/>
              <w:rPr>
                <w:color w:val="auto"/>
              </w:rPr>
            </w:pPr>
            <w:r>
              <w:rPr>
                <w:color w:val="auto"/>
              </w:rPr>
              <w:t>应做好硫化氢监测和防范工作。施工井队应配至少3套的便携式硫化氢监测仪，做好硫化氢检测工作，制定防硫化氢应急预案。在井场大门口、钻台、振动筛、坐岗房、防喷器液控房等五处设立风向标（风袋、风飘带、风旗或其它适用的装置），并在不同方向上划定两个紧急集合点，一旦发生紧急情况，作业人员可向上风方向疏散。当监测到硫化氢浓度大于15mg/m</w:t>
            </w:r>
            <w:r>
              <w:rPr>
                <w:color w:val="auto"/>
                <w:vertAlign w:val="superscript"/>
              </w:rPr>
              <w:t>3</w:t>
            </w:r>
            <w:r>
              <w:rPr>
                <w:color w:val="auto"/>
              </w:rPr>
              <w:t>（10ppm）时，立即按照含硫油气井作业规定配置硫化氢监测仪、正压式呼吸器等设施，按照《含硫化氢油气井安全钻井推荐作法》（SY/T5087-2005）标准规定执行。</w:t>
            </w:r>
          </w:p>
          <w:p>
            <w:pPr>
              <w:pStyle w:val="4"/>
              <w:rPr>
                <w:color w:val="auto"/>
              </w:rPr>
            </w:pPr>
            <w:r>
              <w:rPr>
                <w:color w:val="auto"/>
              </w:rPr>
              <w:t>（3）钻井套管破损、泄漏事故风险防范措施</w:t>
            </w:r>
          </w:p>
          <w:p>
            <w:pPr>
              <w:pStyle w:val="4"/>
              <w:rPr>
                <w:color w:val="auto"/>
              </w:rPr>
            </w:pPr>
            <w:r>
              <w:rPr>
                <w:rFonts w:hint="eastAsia"/>
                <w:color w:val="auto"/>
              </w:rPr>
              <w:t>①</w:t>
            </w:r>
            <w:r>
              <w:rPr>
                <w:color w:val="auto"/>
              </w:rPr>
              <w:t>钻井、固井、完井等作业严格执行各项安全操作规程，确保施工质量，防漏、防窜。</w:t>
            </w:r>
          </w:p>
          <w:p>
            <w:pPr>
              <w:pStyle w:val="4"/>
              <w:rPr>
                <w:color w:val="auto"/>
              </w:rPr>
            </w:pPr>
            <w:r>
              <w:rPr>
                <w:rFonts w:hint="eastAsia"/>
                <w:color w:val="auto"/>
              </w:rPr>
              <w:t>②</w:t>
            </w:r>
            <w:r>
              <w:rPr>
                <w:color w:val="auto"/>
              </w:rPr>
              <w:t>压裂、酸化及调堵等施工作业前应将高低压管汇连接牢固，施工时应该严格控制不能超过设备额定压力；操作人员要密切注意设备运行状况，发现管件破裂刺漏等问题及时处理；作业现场应配备消防</w:t>
            </w:r>
            <w:r>
              <w:rPr>
                <w:rFonts w:hint="eastAsia"/>
                <w:color w:val="auto"/>
              </w:rPr>
              <w:t>设备，</w:t>
            </w:r>
            <w:r>
              <w:rPr>
                <w:color w:val="auto"/>
              </w:rPr>
              <w:t>以备应急救援。</w:t>
            </w:r>
          </w:p>
          <w:p>
            <w:pPr>
              <w:pStyle w:val="4"/>
              <w:rPr>
                <w:color w:val="auto"/>
              </w:rPr>
            </w:pPr>
            <w:r>
              <w:rPr>
                <w:rFonts w:hint="eastAsia"/>
                <w:color w:val="auto"/>
              </w:rPr>
              <w:t>③</w:t>
            </w:r>
            <w:r>
              <w:rPr>
                <w:color w:val="auto"/>
              </w:rPr>
              <w:t>气井压裂、酸化解堵及冲砂等作业应按照设计要求均匀加砂，严禁中途停泵；冲砂管柱下放速度不宜过快，排量不能太小；更换油管速度要快并要防止井中落物。</w:t>
            </w:r>
          </w:p>
          <w:p>
            <w:pPr>
              <w:pStyle w:val="4"/>
              <w:rPr>
                <w:color w:val="auto"/>
              </w:rPr>
            </w:pPr>
            <w:r>
              <w:rPr>
                <w:rFonts w:hint="eastAsia"/>
                <w:color w:val="auto"/>
              </w:rPr>
              <w:t>④</w:t>
            </w:r>
            <w:r>
              <w:rPr>
                <w:color w:val="auto"/>
              </w:rPr>
              <w:t>防腐蚀，做好地层水、天然气二氧化碳等的防腐工作。</w:t>
            </w:r>
          </w:p>
          <w:p>
            <w:pPr>
              <w:pStyle w:val="4"/>
              <w:rPr>
                <w:color w:val="auto"/>
              </w:rPr>
            </w:pPr>
            <w:r>
              <w:rPr>
                <w:rFonts w:hint="eastAsia"/>
                <w:color w:val="auto"/>
              </w:rPr>
              <w:t>⑤</w:t>
            </w:r>
            <w:r>
              <w:rPr>
                <w:color w:val="auto"/>
              </w:rPr>
              <w:t>工程施工、监理单位需具备相应资质，加强对施工现场的安全组织管理和监督。</w:t>
            </w:r>
          </w:p>
          <w:p>
            <w:pPr>
              <w:pStyle w:val="4"/>
              <w:rPr>
                <w:color w:val="auto"/>
              </w:rPr>
            </w:pPr>
            <w:r>
              <w:rPr>
                <w:rFonts w:hint="eastAsia"/>
                <w:color w:val="auto"/>
              </w:rPr>
              <w:t>⑥</w:t>
            </w:r>
            <w:r>
              <w:rPr>
                <w:color w:val="auto"/>
              </w:rPr>
              <w:t>建立、健全各项安全管理制度以及配套的工艺、设备安全操作规程，并严格执行。</w:t>
            </w:r>
          </w:p>
          <w:p>
            <w:pPr>
              <w:pStyle w:val="4"/>
              <w:rPr>
                <w:color w:val="auto"/>
              </w:rPr>
            </w:pPr>
            <w:r>
              <w:rPr>
                <w:rFonts w:hint="eastAsia"/>
                <w:color w:val="auto"/>
              </w:rPr>
              <w:t>（</w:t>
            </w:r>
            <w:r>
              <w:rPr>
                <w:color w:val="auto"/>
              </w:rPr>
              <w:t>4</w:t>
            </w:r>
            <w:r>
              <w:rPr>
                <w:rFonts w:hint="eastAsia"/>
                <w:color w:val="auto"/>
              </w:rPr>
              <w:t>）储罐环境风险防范措施</w:t>
            </w:r>
          </w:p>
          <w:p>
            <w:pPr>
              <w:pStyle w:val="4"/>
              <w:rPr>
                <w:color w:val="auto"/>
              </w:rPr>
            </w:pPr>
            <w:r>
              <w:rPr>
                <w:color w:val="auto"/>
              </w:rPr>
              <w:t>柴油</w:t>
            </w:r>
            <w:r>
              <w:rPr>
                <w:rFonts w:hint="eastAsia"/>
                <w:color w:val="auto"/>
              </w:rPr>
              <w:t>、原油</w:t>
            </w:r>
            <w:r>
              <w:rPr>
                <w:color w:val="auto"/>
              </w:rPr>
              <w:t>罐区周边设置警示标识，严禁烟火和不相关人员靠近。日常加强油罐的管理及安全检查，防止发生泄漏等安全事故。为尽量避免管线破裂事故的发生，减轻泄漏事故对环境的影响，应该采取以下安全环保措施：</w:t>
            </w:r>
          </w:p>
          <w:p>
            <w:pPr>
              <w:pStyle w:val="4"/>
              <w:rPr>
                <w:color w:val="auto"/>
              </w:rPr>
            </w:pPr>
            <w:r>
              <w:rPr>
                <w:rFonts w:hint="eastAsia"/>
                <w:color w:val="auto"/>
              </w:rPr>
              <w:t>①</w:t>
            </w:r>
            <w:r>
              <w:rPr>
                <w:color w:val="auto"/>
              </w:rPr>
              <w:t>地上储罐建立围堰，发现问题及时处理。</w:t>
            </w:r>
          </w:p>
          <w:p>
            <w:pPr>
              <w:pStyle w:val="4"/>
              <w:rPr>
                <w:color w:val="auto"/>
              </w:rPr>
            </w:pPr>
            <w:r>
              <w:rPr>
                <w:rFonts w:hint="eastAsia"/>
                <w:color w:val="auto"/>
              </w:rPr>
              <w:t>②</w:t>
            </w:r>
            <w:r>
              <w:rPr>
                <w:color w:val="auto"/>
              </w:rPr>
              <w:t>加强防腐措施。金属腐蚀的本质在于金属原子在腐蚀介质的作用下，失去电子变成离子而转移到腐蚀介质中，导致金属发生破坏。本项目采用良好的绝缘涂层隔断金属表面与腐蚀介质的接触，阻止电子从金属表面流动腐蚀介质中，使金属免遭腐蚀。</w:t>
            </w:r>
          </w:p>
          <w:p>
            <w:pPr>
              <w:pStyle w:val="4"/>
              <w:rPr>
                <w:color w:val="auto"/>
              </w:rPr>
            </w:pPr>
            <w:r>
              <w:rPr>
                <w:rFonts w:hint="eastAsia"/>
                <w:color w:val="auto"/>
              </w:rPr>
              <w:t>③</w:t>
            </w:r>
            <w:r>
              <w:rPr>
                <w:color w:val="auto"/>
              </w:rPr>
              <w:t>根据埋地管线所处的不同环境，采用相应的涂层防腐体系。</w:t>
            </w:r>
          </w:p>
          <w:p>
            <w:pPr>
              <w:pStyle w:val="4"/>
              <w:rPr>
                <w:color w:val="auto"/>
              </w:rPr>
            </w:pPr>
            <w:r>
              <w:rPr>
                <w:rFonts w:hint="eastAsia"/>
                <w:color w:val="auto"/>
              </w:rPr>
              <w:t>④</w:t>
            </w:r>
            <w:r>
              <w:rPr>
                <w:color w:val="auto"/>
              </w:rPr>
              <w:t>建议建立防腐监测系统，随时监测介质的腐蚀状况，了解和掌握区域系统的腐蚀原因，有针对性地制定、调整和优化腐蚀控制措施。</w:t>
            </w:r>
          </w:p>
          <w:p>
            <w:pPr>
              <w:pStyle w:val="4"/>
              <w:rPr>
                <w:color w:val="auto"/>
              </w:rPr>
            </w:pPr>
            <w:r>
              <w:rPr>
                <w:color w:val="auto"/>
              </w:rPr>
              <w:t>根据项目的特点，制定相应的应急预案，由项目主要负责人按照应急预案中的要求定期组织职工学习并进行演习。</w:t>
            </w:r>
          </w:p>
          <w:p>
            <w:pPr>
              <w:adjustRightInd/>
              <w:snapToGrid/>
              <w:spacing w:line="360" w:lineRule="auto"/>
              <w:jc w:val="both"/>
              <w:rPr>
                <w:rFonts w:hint="default" w:ascii="Times New Roman" w:hAnsi="Times New Roman" w:eastAsia="宋体" w:cs="Times New Roman"/>
                <w:b/>
                <w:color w:val="auto"/>
              </w:rPr>
            </w:pPr>
            <w:r>
              <w:rPr>
                <w:rFonts w:hint="eastAsia" w:cs="Times New Roman"/>
                <w:b/>
                <w:color w:val="auto"/>
                <w:lang w:val="en-US" w:eastAsia="zh-CN"/>
              </w:rPr>
              <w:t>7</w:t>
            </w:r>
            <w:r>
              <w:rPr>
                <w:rFonts w:hint="default" w:ascii="Times New Roman" w:hAnsi="Times New Roman" w:eastAsia="宋体" w:cs="Times New Roman"/>
                <w:b/>
                <w:color w:val="auto"/>
              </w:rPr>
              <w:t>.2</w:t>
            </w:r>
            <w:r>
              <w:rPr>
                <w:rFonts w:hint="eastAsia" w:cs="Times New Roman"/>
                <w:b/>
                <w:color w:val="auto"/>
                <w:lang w:val="en-US" w:eastAsia="zh-CN"/>
              </w:rPr>
              <w:t xml:space="preserve"> </w:t>
            </w:r>
            <w:r>
              <w:rPr>
                <w:rFonts w:hint="eastAsia" w:ascii="Times New Roman" w:hAnsi="Times New Roman" w:eastAsia="宋体" w:cs="Times New Roman"/>
                <w:b/>
                <w:color w:val="auto"/>
              </w:rPr>
              <w:t>环境风险处理措施</w:t>
            </w:r>
          </w:p>
          <w:p>
            <w:pPr>
              <w:pStyle w:val="4"/>
              <w:rPr>
                <w:color w:val="auto"/>
              </w:rPr>
            </w:pPr>
            <w:r>
              <w:rPr>
                <w:color w:val="auto"/>
              </w:rPr>
              <w:t>一旦发生井喷，绝大多数井都能通过防喷器关闭，然后采取压井措施控制井喷；最后还可用向事故井打定位斜井等方法处理井喷，并尽快采取措施回收原油。事故处理中要有专人负责，管好电源、火源，以免火灾发生。井喷时，需要对井喷的油泥等污染物进行收集处理，运送到专门的固体废物处理场进行处理。</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eastAsia="宋体" w:cs="Times New Roman"/>
                <w:b/>
                <w:bCs/>
                <w:color w:val="auto"/>
                <w:sz w:val="28"/>
                <w:szCs w:val="28"/>
                <w:lang w:val="en-US" w:eastAsia="zh-CN"/>
              </w:rPr>
              <w:t>8</w:t>
            </w:r>
            <w:r>
              <w:rPr>
                <w:rFonts w:hint="default" w:ascii="Times New Roman" w:hAnsi="Times New Roman" w:eastAsia="宋体" w:cs="Times New Roman"/>
                <w:b/>
                <w:bCs/>
                <w:color w:val="auto"/>
                <w:sz w:val="28"/>
                <w:szCs w:val="28"/>
              </w:rPr>
              <w:t xml:space="preserve"> 环境管理</w:t>
            </w:r>
          </w:p>
          <w:p>
            <w:pPr>
              <w:adjustRightInd/>
              <w:snapToGrid/>
              <w:spacing w:line="360" w:lineRule="auto"/>
              <w:jc w:val="both"/>
              <w:rPr>
                <w:rFonts w:hint="default" w:ascii="Times New Roman" w:hAnsi="Times New Roman" w:eastAsia="宋体" w:cs="Times New Roman"/>
                <w:b/>
                <w:color w:val="auto"/>
              </w:rPr>
            </w:pPr>
            <w:r>
              <w:rPr>
                <w:rFonts w:hint="eastAsia" w:cs="Times New Roman"/>
                <w:b/>
                <w:color w:val="auto"/>
                <w:lang w:val="en-US" w:eastAsia="zh-CN"/>
              </w:rPr>
              <w:t>8</w:t>
            </w:r>
            <w:r>
              <w:rPr>
                <w:rFonts w:hint="default" w:ascii="Times New Roman" w:hAnsi="Times New Roman" w:eastAsia="宋体" w:cs="Times New Roman"/>
                <w:b/>
                <w:color w:val="auto"/>
              </w:rPr>
              <w:t>.1 钻前准备环境管理要求</w:t>
            </w:r>
          </w:p>
          <w:p>
            <w:pPr>
              <w:pStyle w:val="4"/>
              <w:rPr>
                <w:color w:val="auto"/>
              </w:rPr>
            </w:pPr>
            <w:r>
              <w:rPr>
                <w:color w:val="auto"/>
              </w:rPr>
              <w:t>（1）在修建通往井场道路时，避免堵塞和填充任何自然排水通道，施工作业机具，不得在道路、井场以外的地方行驶和作业，禁止碾压和破坏植被，禁止乱扔废弃物。</w:t>
            </w:r>
          </w:p>
          <w:p>
            <w:pPr>
              <w:pStyle w:val="4"/>
              <w:rPr>
                <w:color w:val="auto"/>
              </w:rPr>
            </w:pPr>
            <w:r>
              <w:rPr>
                <w:color w:val="auto"/>
              </w:rPr>
              <w:t>（2）井场临时用地面积按设计划定，不得超过规定面积。</w:t>
            </w:r>
          </w:p>
          <w:p>
            <w:pPr>
              <w:pStyle w:val="4"/>
              <w:rPr>
                <w:color w:val="auto"/>
              </w:rPr>
            </w:pPr>
            <w:r>
              <w:rPr>
                <w:color w:val="auto"/>
              </w:rPr>
              <w:t>（3）安装泥浆泵冷却水循环系统和振动筛的污水循环系统，做好各种油、水管线的试运行工作，防止油、水跑、冒、滴、漏。</w:t>
            </w:r>
          </w:p>
          <w:p>
            <w:pPr>
              <w:pStyle w:val="4"/>
              <w:rPr>
                <w:color w:val="auto"/>
              </w:rPr>
            </w:pPr>
            <w:r>
              <w:rPr>
                <w:color w:val="auto"/>
              </w:rPr>
              <w:t>（4）井场应有排水沟。钻机底座下、机泵房、循环罐区应有排水沟，排水沟必须硬化防渗、防塌，过车地段沟上要铺钢板桥。</w:t>
            </w:r>
          </w:p>
          <w:p>
            <w:pPr>
              <w:adjustRightInd/>
              <w:snapToGrid/>
              <w:spacing w:line="360" w:lineRule="auto"/>
              <w:ind w:firstLine="480" w:firstLineChars="200"/>
              <w:jc w:val="both"/>
              <w:rPr>
                <w:rFonts w:hint="default" w:ascii="Times New Roman" w:hAnsi="Times New Roman" w:eastAsia="宋体" w:cs="Times New Roman"/>
                <w:b w:val="0"/>
                <w:bCs/>
                <w:color w:val="auto"/>
              </w:rPr>
            </w:pPr>
            <w:r>
              <w:rPr>
                <w:color w:val="auto"/>
              </w:rPr>
              <w:t>（5）建设单位要求施工单位在钻井工程开工前由其安全环保部门进行环保自检自查，整改关闭后方可开钻，并在现场派驻HSE监理。建设单位委托的环境</w:t>
            </w:r>
            <w:r>
              <w:rPr>
                <w:rFonts w:hint="default" w:ascii="Times New Roman" w:hAnsi="Times New Roman" w:eastAsia="宋体" w:cs="Times New Roman"/>
                <w:b w:val="0"/>
                <w:bCs/>
                <w:color w:val="auto"/>
              </w:rPr>
              <w:t>监理进行巡查确认，发现检查不详实立即整改，弄虚作假的立即停工。</w:t>
            </w:r>
          </w:p>
          <w:p>
            <w:pPr>
              <w:adjustRightInd/>
              <w:snapToGrid/>
              <w:spacing w:line="360" w:lineRule="auto"/>
              <w:jc w:val="both"/>
              <w:rPr>
                <w:rFonts w:hint="default" w:ascii="Times New Roman" w:hAnsi="Times New Roman" w:eastAsia="宋体" w:cs="Times New Roman"/>
                <w:b/>
                <w:color w:val="auto"/>
              </w:rPr>
            </w:pPr>
            <w:r>
              <w:rPr>
                <w:rFonts w:hint="eastAsia" w:cs="Times New Roman"/>
                <w:b/>
                <w:color w:val="auto"/>
                <w:lang w:val="en-US" w:eastAsia="zh-CN"/>
              </w:rPr>
              <w:t>8</w:t>
            </w:r>
            <w:r>
              <w:rPr>
                <w:rFonts w:hint="default" w:ascii="Times New Roman" w:hAnsi="Times New Roman" w:eastAsia="宋体" w:cs="Times New Roman"/>
                <w:b/>
                <w:color w:val="auto"/>
              </w:rPr>
              <w:t>.2 钻井作业期间环境管理要求</w:t>
            </w:r>
          </w:p>
          <w:p>
            <w:pPr>
              <w:pStyle w:val="4"/>
              <w:rPr>
                <w:color w:val="auto"/>
              </w:rPr>
            </w:pPr>
            <w:r>
              <w:rPr>
                <w:color w:val="auto"/>
              </w:rPr>
              <w:t>（1）采用泥浆不落地工艺的井，岩屑应堆放</w:t>
            </w:r>
            <w:r>
              <w:rPr>
                <w:rFonts w:hint="eastAsia"/>
                <w:color w:val="auto"/>
              </w:rPr>
              <w:t>防渗岩屑堆场</w:t>
            </w:r>
            <w:r>
              <w:rPr>
                <w:color w:val="auto"/>
              </w:rPr>
              <w:t>。</w:t>
            </w:r>
          </w:p>
          <w:p>
            <w:pPr>
              <w:pStyle w:val="4"/>
              <w:rPr>
                <w:color w:val="auto"/>
              </w:rPr>
            </w:pPr>
            <w:r>
              <w:rPr>
                <w:color w:val="auto"/>
              </w:rPr>
              <w:t>（2）不落地岩屑应有含水率检验台帐（日报）。</w:t>
            </w:r>
          </w:p>
          <w:p>
            <w:pPr>
              <w:pStyle w:val="4"/>
              <w:rPr>
                <w:color w:val="auto"/>
              </w:rPr>
            </w:pPr>
            <w:r>
              <w:rPr>
                <w:color w:val="auto"/>
              </w:rPr>
              <w:t>（3）现场岩屑分开存放，在同一堆场应有物理</w:t>
            </w:r>
            <w:r>
              <w:rPr>
                <w:rFonts w:hint="eastAsia"/>
                <w:color w:val="auto"/>
              </w:rPr>
              <w:t>分</w:t>
            </w:r>
            <w:r>
              <w:rPr>
                <w:color w:val="auto"/>
              </w:rPr>
              <w:t>割。</w:t>
            </w:r>
          </w:p>
          <w:p>
            <w:pPr>
              <w:pStyle w:val="4"/>
              <w:rPr>
                <w:color w:val="auto"/>
              </w:rPr>
            </w:pPr>
            <w:r>
              <w:rPr>
                <w:color w:val="auto"/>
              </w:rPr>
              <w:t>（4）发生井喷后地面处理措施及要求：调查因井喷事故造成的地面污染情况，积极组织清除地面环境污染，恢复地貌。</w:t>
            </w:r>
          </w:p>
          <w:p>
            <w:pPr>
              <w:spacing w:line="360" w:lineRule="auto"/>
              <w:jc w:val="left"/>
              <w:rPr>
                <w:b/>
                <w:bCs/>
                <w:color w:val="auto"/>
                <w:sz w:val="24"/>
                <w:highlight w:val="none"/>
              </w:rPr>
            </w:pPr>
            <w:r>
              <w:rPr>
                <w:rFonts w:hint="eastAsia"/>
                <w:b/>
                <w:bCs/>
                <w:color w:val="auto"/>
                <w:sz w:val="24"/>
                <w:highlight w:val="none"/>
                <w:lang w:val="en-US" w:eastAsia="zh-CN"/>
              </w:rPr>
              <w:t>8</w:t>
            </w:r>
            <w:r>
              <w:rPr>
                <w:b/>
                <w:bCs/>
                <w:color w:val="auto"/>
                <w:sz w:val="24"/>
                <w:highlight w:val="none"/>
              </w:rPr>
              <w:t>.3</w:t>
            </w:r>
            <w:r>
              <w:rPr>
                <w:rFonts w:hint="eastAsia"/>
                <w:b/>
                <w:bCs/>
                <w:color w:val="auto"/>
                <w:sz w:val="24"/>
                <w:highlight w:val="none"/>
                <w:lang w:val="en-US" w:eastAsia="zh-CN"/>
              </w:rPr>
              <w:t xml:space="preserve"> </w:t>
            </w:r>
            <w:r>
              <w:rPr>
                <w:b/>
                <w:bCs/>
                <w:color w:val="auto"/>
                <w:sz w:val="24"/>
                <w:highlight w:val="none"/>
              </w:rPr>
              <w:t>完井后环境管理要求</w:t>
            </w:r>
          </w:p>
          <w:p>
            <w:pPr>
              <w:pStyle w:val="4"/>
              <w:adjustRightInd/>
              <w:snapToGrid/>
              <w:jc w:val="left"/>
              <w:rPr>
                <w:rFonts w:ascii="Times New Roman" w:hAnsi="Times New Roman"/>
                <w:color w:val="auto"/>
                <w:sz w:val="24"/>
                <w:highlight w:val="none"/>
              </w:rPr>
            </w:pPr>
            <w:r>
              <w:rPr>
                <w:rFonts w:ascii="Times New Roman" w:hAnsi="Times New Roman"/>
                <w:color w:val="auto"/>
                <w:sz w:val="24"/>
                <w:highlight w:val="none"/>
              </w:rPr>
              <w:t>（1）妥善存放泥浆材料等化学品，不得失散在井场。废弃包装袋等应及时加以回收。</w:t>
            </w:r>
          </w:p>
          <w:p>
            <w:pPr>
              <w:pStyle w:val="4"/>
              <w:adjustRightInd/>
              <w:snapToGrid/>
              <w:jc w:val="left"/>
              <w:rPr>
                <w:rFonts w:ascii="Times New Roman" w:hAnsi="Times New Roman"/>
                <w:color w:val="auto"/>
                <w:sz w:val="24"/>
                <w:highlight w:val="none"/>
              </w:rPr>
            </w:pPr>
            <w:r>
              <w:rPr>
                <w:rFonts w:ascii="Times New Roman" w:hAnsi="Times New Roman"/>
                <w:color w:val="auto"/>
                <w:sz w:val="24"/>
                <w:highlight w:val="none"/>
              </w:rPr>
              <w:t>（2）推平柴油、机油及水罐坡道，井场应平整。</w:t>
            </w:r>
          </w:p>
          <w:p>
            <w:pPr>
              <w:pStyle w:val="4"/>
              <w:adjustRightInd/>
              <w:snapToGrid/>
              <w:jc w:val="left"/>
              <w:rPr>
                <w:rFonts w:ascii="Times New Roman" w:hAnsi="Times New Roman"/>
                <w:color w:val="auto"/>
                <w:sz w:val="24"/>
                <w:highlight w:val="none"/>
              </w:rPr>
            </w:pPr>
            <w:r>
              <w:rPr>
                <w:rFonts w:ascii="Times New Roman" w:hAnsi="Times New Roman"/>
                <w:color w:val="auto"/>
                <w:sz w:val="24"/>
                <w:highlight w:val="none"/>
              </w:rPr>
              <w:t>（3）井场、基地不得随处丢弃垃圾，有利用价值的废料应回收，没有利用价值的废料应送至垃圾场填埋。</w:t>
            </w:r>
          </w:p>
          <w:p>
            <w:pPr>
              <w:adjustRightInd/>
              <w:snapToGrid/>
              <w:spacing w:line="360" w:lineRule="auto"/>
              <w:jc w:val="both"/>
              <w:rPr>
                <w:rFonts w:hint="default" w:ascii="Times New Roman" w:hAnsi="Times New Roman" w:eastAsia="宋体" w:cs="Times New Roman"/>
                <w:b/>
                <w:color w:val="auto"/>
              </w:rPr>
            </w:pPr>
            <w:r>
              <w:rPr>
                <w:rFonts w:hint="eastAsia" w:cs="Times New Roman"/>
                <w:b/>
                <w:color w:val="auto"/>
                <w:lang w:val="en-US" w:eastAsia="zh-CN"/>
              </w:rPr>
              <w:t>8</w:t>
            </w:r>
            <w:r>
              <w:rPr>
                <w:rFonts w:hint="default" w:ascii="Times New Roman" w:hAnsi="Times New Roman" w:eastAsia="宋体" w:cs="Times New Roman"/>
                <w:b/>
                <w:color w:val="auto"/>
              </w:rPr>
              <w:t>.</w:t>
            </w:r>
            <w:r>
              <w:rPr>
                <w:rFonts w:hint="eastAsia" w:cs="Times New Roman"/>
                <w:b/>
                <w:color w:val="auto"/>
                <w:lang w:val="en-US" w:eastAsia="zh-CN"/>
              </w:rPr>
              <w:t xml:space="preserve">4 </w:t>
            </w:r>
            <w:r>
              <w:rPr>
                <w:rFonts w:hint="default" w:ascii="Times New Roman" w:hAnsi="Times New Roman" w:eastAsia="宋体" w:cs="Times New Roman"/>
                <w:b/>
                <w:color w:val="auto"/>
              </w:rPr>
              <w:t>监测计划</w:t>
            </w:r>
          </w:p>
          <w:p>
            <w:pPr>
              <w:pStyle w:val="4"/>
              <w:rPr>
                <w:color w:val="auto"/>
              </w:rPr>
            </w:pPr>
            <w:r>
              <w:rPr>
                <w:color w:val="auto"/>
              </w:rPr>
              <w:t>本工程钻井期间发生井喷的可能性极小，且采取必要的预防措施，最大限度的防止井喷发生。故本次施工期监测对象主要是对作业场所及周边环境，对作业场所控制监测可视具体情况、当地环保部门要求等情况而定。监测计划见表5-2。</w:t>
            </w:r>
          </w:p>
          <w:p>
            <w:pPr>
              <w:pStyle w:val="27"/>
              <w:rPr>
                <w:color w:val="auto"/>
              </w:rPr>
            </w:pPr>
            <w:bookmarkStart w:id="95" w:name="_Hlk85716462"/>
            <w:r>
              <w:rPr>
                <w:rFonts w:hint="eastAsia"/>
                <w:color w:val="auto"/>
              </w:rPr>
              <w:t>表</w:t>
            </w:r>
            <w:r>
              <w:rPr>
                <w:color w:val="auto"/>
              </w:rPr>
              <w:t>5</w:t>
            </w:r>
            <w:r>
              <w:rPr>
                <w:rFonts w:hint="eastAsia"/>
                <w:color w:val="auto"/>
              </w:rPr>
              <w:t>-</w:t>
            </w:r>
            <w:r>
              <w:rPr>
                <w:color w:val="auto"/>
              </w:rPr>
              <w:t>2</w:t>
            </w:r>
            <w:r>
              <w:rPr>
                <w:rFonts w:hint="eastAsia"/>
                <w:color w:val="auto"/>
              </w:rPr>
              <w:t xml:space="preserve">  施工期环境监测计划</w:t>
            </w:r>
          </w:p>
          <w:tbl>
            <w:tblPr>
              <w:tblStyle w:val="17"/>
              <w:tblW w:w="82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4369"/>
              <w:gridCol w:w="1332"/>
              <w:gridCol w:w="12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14" w:type="dxa"/>
                  <w:noWrap w:val="0"/>
                  <w:vAlign w:val="center"/>
                </w:tcPr>
                <w:p>
                  <w:pPr>
                    <w:pStyle w:val="28"/>
                    <w:rPr>
                      <w:color w:val="auto"/>
                    </w:rPr>
                  </w:pPr>
                  <w:r>
                    <w:rPr>
                      <w:color w:val="auto"/>
                    </w:rPr>
                    <w:t>监测项目</w:t>
                  </w:r>
                </w:p>
              </w:tc>
              <w:tc>
                <w:tcPr>
                  <w:tcW w:w="4369" w:type="dxa"/>
                  <w:noWrap w:val="0"/>
                  <w:vAlign w:val="center"/>
                </w:tcPr>
                <w:p>
                  <w:pPr>
                    <w:pStyle w:val="28"/>
                    <w:rPr>
                      <w:color w:val="auto"/>
                    </w:rPr>
                  </w:pPr>
                  <w:r>
                    <w:rPr>
                      <w:color w:val="auto"/>
                    </w:rPr>
                    <w:t>监督、监测内容</w:t>
                  </w:r>
                </w:p>
              </w:tc>
              <w:tc>
                <w:tcPr>
                  <w:tcW w:w="1332" w:type="dxa"/>
                  <w:noWrap w:val="0"/>
                  <w:vAlign w:val="center"/>
                </w:tcPr>
                <w:p>
                  <w:pPr>
                    <w:pStyle w:val="28"/>
                    <w:rPr>
                      <w:color w:val="auto"/>
                    </w:rPr>
                  </w:pPr>
                  <w:r>
                    <w:rPr>
                      <w:color w:val="auto"/>
                    </w:rPr>
                    <w:t>实施单位</w:t>
                  </w:r>
                </w:p>
              </w:tc>
              <w:tc>
                <w:tcPr>
                  <w:tcW w:w="1216" w:type="dxa"/>
                  <w:noWrap w:val="0"/>
                  <w:vAlign w:val="center"/>
                </w:tcPr>
                <w:p>
                  <w:pPr>
                    <w:pStyle w:val="28"/>
                    <w:rPr>
                      <w:color w:val="auto"/>
                    </w:rPr>
                  </w:pPr>
                  <w:r>
                    <w:rPr>
                      <w:color w:val="auto"/>
                    </w:rPr>
                    <w:t>监督机构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14" w:type="dxa"/>
                  <w:vMerge w:val="restart"/>
                  <w:noWrap w:val="0"/>
                  <w:vAlign w:val="center"/>
                </w:tcPr>
                <w:p>
                  <w:pPr>
                    <w:pStyle w:val="28"/>
                    <w:rPr>
                      <w:color w:val="auto"/>
                    </w:rPr>
                  </w:pPr>
                  <w:r>
                    <w:rPr>
                      <w:color w:val="auto"/>
                    </w:rPr>
                    <w:t>施工过程控制</w:t>
                  </w:r>
                </w:p>
              </w:tc>
              <w:tc>
                <w:tcPr>
                  <w:tcW w:w="4369" w:type="dxa"/>
                  <w:noWrap w:val="0"/>
                  <w:vAlign w:val="center"/>
                </w:tcPr>
                <w:p>
                  <w:pPr>
                    <w:pStyle w:val="28"/>
                    <w:rPr>
                      <w:color w:val="auto"/>
                    </w:rPr>
                  </w:pPr>
                  <w:r>
                    <w:rPr>
                      <w:color w:val="auto"/>
                    </w:rPr>
                    <w:t>施工过程中</w:t>
                  </w:r>
                  <w:r>
                    <w:rPr>
                      <w:rFonts w:hint="eastAsia"/>
                      <w:color w:val="auto"/>
                    </w:rPr>
                    <w:t>，</w:t>
                  </w:r>
                  <w:r>
                    <w:rPr>
                      <w:color w:val="auto"/>
                    </w:rPr>
                    <w:t>各种车辆不得乱开便道，应按</w:t>
                  </w:r>
                </w:p>
                <w:p>
                  <w:pPr>
                    <w:pStyle w:val="28"/>
                    <w:rPr>
                      <w:color w:val="auto"/>
                    </w:rPr>
                  </w:pPr>
                  <w:r>
                    <w:rPr>
                      <w:color w:val="auto"/>
                    </w:rPr>
                    <w:t>划定的路线行驶；</w:t>
                  </w:r>
                </w:p>
              </w:tc>
              <w:tc>
                <w:tcPr>
                  <w:tcW w:w="1332" w:type="dxa"/>
                  <w:vMerge w:val="restart"/>
                  <w:noWrap w:val="0"/>
                  <w:vAlign w:val="center"/>
                </w:tcPr>
                <w:p>
                  <w:pPr>
                    <w:pStyle w:val="28"/>
                    <w:rPr>
                      <w:color w:val="auto"/>
                    </w:rPr>
                  </w:pPr>
                  <w:r>
                    <w:rPr>
                      <w:color w:val="auto"/>
                    </w:rPr>
                    <w:t>施工单位专、兼职环保人员</w:t>
                  </w:r>
                </w:p>
              </w:tc>
              <w:tc>
                <w:tcPr>
                  <w:tcW w:w="1216" w:type="dxa"/>
                  <w:vMerge w:val="restart"/>
                  <w:noWrap w:val="0"/>
                  <w:vAlign w:val="center"/>
                </w:tcPr>
                <w:p>
                  <w:pPr>
                    <w:pStyle w:val="28"/>
                    <w:rPr>
                      <w:color w:val="auto"/>
                    </w:rPr>
                  </w:pPr>
                  <w:r>
                    <w:rPr>
                      <w:color w:val="auto"/>
                    </w:rPr>
                    <w:t>生态环境</w:t>
                  </w:r>
                  <w:r>
                    <w:rPr>
                      <w:rFonts w:hint="eastAsia"/>
                      <w:color w:val="auto"/>
                    </w:rPr>
                    <w:t>主管部门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314" w:type="dxa"/>
                  <w:vMerge w:val="continue"/>
                  <w:noWrap w:val="0"/>
                  <w:vAlign w:val="center"/>
                </w:tcPr>
                <w:p>
                  <w:pPr>
                    <w:pStyle w:val="28"/>
                    <w:rPr>
                      <w:color w:val="auto"/>
                    </w:rPr>
                  </w:pPr>
                </w:p>
              </w:tc>
              <w:tc>
                <w:tcPr>
                  <w:tcW w:w="4369" w:type="dxa"/>
                  <w:noWrap w:val="0"/>
                  <w:vAlign w:val="center"/>
                </w:tcPr>
                <w:p>
                  <w:pPr>
                    <w:pStyle w:val="28"/>
                    <w:rPr>
                      <w:rFonts w:hint="eastAsia" w:eastAsia="宋体"/>
                      <w:color w:val="auto"/>
                      <w:lang w:eastAsia="zh-CN"/>
                    </w:rPr>
                  </w:pPr>
                  <w:r>
                    <w:rPr>
                      <w:rFonts w:hint="eastAsia"/>
                      <w:color w:val="auto"/>
                    </w:rPr>
                    <w:t>施工生活污水</w:t>
                  </w:r>
                  <w:r>
                    <w:rPr>
                      <w:color w:val="auto"/>
                    </w:rPr>
                    <w:t>排入防渗污水收集池，</w:t>
                  </w:r>
                  <w:r>
                    <w:rPr>
                      <w:rFonts w:hint="eastAsia"/>
                      <w:color w:val="auto"/>
                    </w:rPr>
                    <w:t>满足《污水综合排放标准》（GB8978-1996）表4三级标准定期</w:t>
                  </w:r>
                  <w:r>
                    <w:rPr>
                      <w:color w:val="auto"/>
                    </w:rPr>
                    <w:t>拉运至</w:t>
                  </w:r>
                  <w:r>
                    <w:rPr>
                      <w:rFonts w:hint="eastAsia"/>
                      <w:color w:val="auto"/>
                      <w:lang w:val="en-US" w:eastAsia="zh-CN"/>
                    </w:rPr>
                    <w:t>五彩湾生产服务区污水处理厂</w:t>
                  </w:r>
                  <w:r>
                    <w:rPr>
                      <w:color w:val="auto"/>
                    </w:rPr>
                    <w:t>处理</w:t>
                  </w:r>
                  <w:r>
                    <w:rPr>
                      <w:rFonts w:hint="eastAsia"/>
                      <w:color w:val="auto"/>
                      <w:lang w:eastAsia="zh-CN"/>
                    </w:rPr>
                    <w:t>。</w:t>
                  </w:r>
                </w:p>
              </w:tc>
              <w:tc>
                <w:tcPr>
                  <w:tcW w:w="1332" w:type="dxa"/>
                  <w:vMerge w:val="continue"/>
                  <w:noWrap w:val="0"/>
                  <w:vAlign w:val="center"/>
                </w:tcPr>
                <w:p>
                  <w:pPr>
                    <w:pStyle w:val="28"/>
                    <w:rPr>
                      <w:color w:val="auto"/>
                    </w:rPr>
                  </w:pPr>
                </w:p>
              </w:tc>
              <w:tc>
                <w:tcPr>
                  <w:tcW w:w="1216" w:type="dxa"/>
                  <w:vMerge w:val="continue"/>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314" w:type="dxa"/>
                  <w:vMerge w:val="continue"/>
                  <w:noWrap w:val="0"/>
                  <w:vAlign w:val="center"/>
                </w:tcPr>
                <w:p>
                  <w:pPr>
                    <w:pStyle w:val="28"/>
                    <w:rPr>
                      <w:color w:val="auto"/>
                    </w:rPr>
                  </w:pPr>
                </w:p>
              </w:tc>
              <w:tc>
                <w:tcPr>
                  <w:tcW w:w="4369" w:type="dxa"/>
                  <w:noWrap w:val="0"/>
                  <w:vAlign w:val="center"/>
                </w:tcPr>
                <w:p>
                  <w:pPr>
                    <w:pStyle w:val="28"/>
                    <w:rPr>
                      <w:rFonts w:hint="eastAsia" w:eastAsia="宋体"/>
                      <w:color w:val="auto"/>
                      <w:lang w:eastAsia="zh-CN"/>
                    </w:rPr>
                  </w:pPr>
                  <w:bookmarkStart w:id="96" w:name="_Hlk47367053"/>
                  <w:r>
                    <w:rPr>
                      <w:bCs/>
                      <w:color w:val="auto"/>
                      <w:sz w:val="21"/>
                      <w:szCs w:val="21"/>
                    </w:rPr>
                    <w:t>泥浆经“钻井泥浆不落地技术”处理后循环使用，完井后剩余泥浆由</w:t>
                  </w:r>
                  <w:r>
                    <w:rPr>
                      <w:rFonts w:hint="eastAsia"/>
                      <w:bCs/>
                      <w:color w:val="auto"/>
                      <w:sz w:val="21"/>
                      <w:szCs w:val="21"/>
                      <w:lang w:eastAsia="zh-CN"/>
                    </w:rPr>
                    <w:t>钻井队</w:t>
                  </w:r>
                  <w:r>
                    <w:rPr>
                      <w:bCs/>
                      <w:color w:val="auto"/>
                      <w:sz w:val="21"/>
                      <w:szCs w:val="21"/>
                    </w:rPr>
                    <w:t>回收利用</w:t>
                  </w:r>
                  <w:bookmarkEnd w:id="96"/>
                  <w:r>
                    <w:rPr>
                      <w:rFonts w:hint="eastAsia"/>
                      <w:bCs/>
                      <w:color w:val="auto"/>
                      <w:sz w:val="21"/>
                      <w:szCs w:val="21"/>
                      <w:lang w:eastAsia="zh-CN"/>
                    </w:rPr>
                    <w:t>；</w:t>
                  </w:r>
                  <w:bookmarkStart w:id="97" w:name="_Hlk47367042"/>
                  <w:r>
                    <w:rPr>
                      <w:bCs/>
                      <w:color w:val="auto"/>
                      <w:sz w:val="21"/>
                      <w:szCs w:val="21"/>
                    </w:rPr>
                    <w:t>岩屑经“钻井泥浆不落地技术”分离后</w:t>
                  </w:r>
                  <w:bookmarkEnd w:id="97"/>
                  <w:r>
                    <w:rPr>
                      <w:rFonts w:hint="eastAsia"/>
                      <w:bCs/>
                      <w:color w:val="auto"/>
                      <w:sz w:val="21"/>
                      <w:szCs w:val="21"/>
                      <w:lang w:eastAsia="zh-CN"/>
                    </w:rPr>
                    <w:t>暂存方形收集池，委托第三方进行合规处置，自行利用。</w:t>
                  </w:r>
                </w:p>
              </w:tc>
              <w:tc>
                <w:tcPr>
                  <w:tcW w:w="1332" w:type="dxa"/>
                  <w:vMerge w:val="continue"/>
                  <w:noWrap w:val="0"/>
                  <w:vAlign w:val="center"/>
                </w:tcPr>
                <w:p>
                  <w:pPr>
                    <w:pStyle w:val="28"/>
                    <w:rPr>
                      <w:color w:val="auto"/>
                    </w:rPr>
                  </w:pPr>
                </w:p>
              </w:tc>
              <w:tc>
                <w:tcPr>
                  <w:tcW w:w="1216" w:type="dxa"/>
                  <w:vMerge w:val="continue"/>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14" w:type="dxa"/>
                  <w:vMerge w:val="restart"/>
                  <w:noWrap w:val="0"/>
                  <w:vAlign w:val="center"/>
                </w:tcPr>
                <w:p>
                  <w:pPr>
                    <w:pStyle w:val="28"/>
                    <w:rPr>
                      <w:color w:val="auto"/>
                    </w:rPr>
                  </w:pPr>
                  <w:r>
                    <w:rPr>
                      <w:color w:val="auto"/>
                    </w:rPr>
                    <w:t>施工现场清理</w:t>
                  </w:r>
                </w:p>
              </w:tc>
              <w:tc>
                <w:tcPr>
                  <w:tcW w:w="4369" w:type="dxa"/>
                  <w:noWrap w:val="0"/>
                  <w:vAlign w:val="center"/>
                </w:tcPr>
                <w:p>
                  <w:pPr>
                    <w:pStyle w:val="28"/>
                    <w:rPr>
                      <w:color w:val="auto"/>
                    </w:rPr>
                  </w:pPr>
                  <w:r>
                    <w:rPr>
                      <w:color w:val="auto"/>
                    </w:rPr>
                    <w:t>施工结束后，施工现场生态环境恢复情况</w:t>
                  </w:r>
                  <w:r>
                    <w:rPr>
                      <w:rFonts w:hint="eastAsia"/>
                      <w:color w:val="auto"/>
                    </w:rPr>
                    <w:t>、植被恢复情况</w:t>
                  </w:r>
                  <w:r>
                    <w:rPr>
                      <w:color w:val="auto"/>
                    </w:rPr>
                    <w:t>；监测频率：施工结束后1</w:t>
                  </w:r>
                  <w:r>
                    <w:rPr>
                      <w:rFonts w:ascii="宋体" w:hAnsi="宋体"/>
                      <w:color w:val="auto"/>
                    </w:rPr>
                    <w:t>次；监督点：施工现场。</w:t>
                  </w:r>
                </w:p>
              </w:tc>
              <w:tc>
                <w:tcPr>
                  <w:tcW w:w="1332" w:type="dxa"/>
                  <w:vMerge w:val="restart"/>
                  <w:noWrap w:val="0"/>
                  <w:vAlign w:val="center"/>
                </w:tcPr>
                <w:p>
                  <w:pPr>
                    <w:pStyle w:val="28"/>
                    <w:rPr>
                      <w:color w:val="auto"/>
                    </w:rPr>
                  </w:pPr>
                  <w:r>
                    <w:rPr>
                      <w:color w:val="auto"/>
                    </w:rPr>
                    <w:t>施工单位专、兼职环保人员</w:t>
                  </w:r>
                </w:p>
              </w:tc>
              <w:tc>
                <w:tcPr>
                  <w:tcW w:w="1216" w:type="dxa"/>
                  <w:vMerge w:val="restart"/>
                  <w:noWrap w:val="0"/>
                  <w:vAlign w:val="center"/>
                </w:tcPr>
                <w:p>
                  <w:pPr>
                    <w:pStyle w:val="28"/>
                    <w:rPr>
                      <w:color w:val="auto"/>
                    </w:rPr>
                  </w:pPr>
                  <w:r>
                    <w:rPr>
                      <w:color w:val="auto"/>
                    </w:rPr>
                    <w:t>生态环境</w:t>
                  </w:r>
                  <w:r>
                    <w:rPr>
                      <w:rFonts w:hint="eastAsia"/>
                      <w:color w:val="auto"/>
                    </w:rPr>
                    <w:t>主管部门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14" w:type="dxa"/>
                  <w:vMerge w:val="continue"/>
                  <w:noWrap w:val="0"/>
                  <w:vAlign w:val="center"/>
                </w:tcPr>
                <w:p>
                  <w:pPr>
                    <w:pStyle w:val="28"/>
                    <w:rPr>
                      <w:color w:val="auto"/>
                    </w:rPr>
                  </w:pPr>
                </w:p>
              </w:tc>
              <w:tc>
                <w:tcPr>
                  <w:tcW w:w="4369" w:type="dxa"/>
                  <w:noWrap w:val="0"/>
                  <w:vAlign w:val="center"/>
                </w:tcPr>
                <w:p>
                  <w:pPr>
                    <w:pStyle w:val="28"/>
                    <w:rPr>
                      <w:rFonts w:hint="default" w:eastAsia="宋体"/>
                      <w:color w:val="auto"/>
                      <w:lang w:val="en-US" w:eastAsia="zh-CN"/>
                    </w:rPr>
                  </w:pPr>
                  <w:r>
                    <w:rPr>
                      <w:rFonts w:hint="eastAsia"/>
                      <w:color w:val="auto"/>
                      <w:lang w:val="en-US" w:eastAsia="zh-CN"/>
                    </w:rPr>
                    <w:t>施工结束后，钻井区域土壤监测；</w:t>
                  </w:r>
                  <w:r>
                    <w:rPr>
                      <w:color w:val="auto"/>
                    </w:rPr>
                    <w:t>监测频率：施工结束后1</w:t>
                  </w:r>
                  <w:r>
                    <w:rPr>
                      <w:rFonts w:ascii="宋体" w:hAnsi="宋体"/>
                      <w:color w:val="auto"/>
                    </w:rPr>
                    <w:t>次；监督点：</w:t>
                  </w:r>
                  <w:r>
                    <w:rPr>
                      <w:rFonts w:hint="eastAsia" w:ascii="宋体" w:hAnsi="宋体"/>
                      <w:color w:val="auto"/>
                      <w:lang w:val="en-US" w:eastAsia="zh-CN"/>
                    </w:rPr>
                    <w:t>钻井井</w:t>
                  </w:r>
                  <w:r>
                    <w:rPr>
                      <w:rFonts w:ascii="宋体" w:hAnsi="宋体"/>
                      <w:color w:val="auto"/>
                    </w:rPr>
                    <w:t>场。</w:t>
                  </w:r>
                </w:p>
              </w:tc>
              <w:tc>
                <w:tcPr>
                  <w:tcW w:w="1332" w:type="dxa"/>
                  <w:vMerge w:val="continue"/>
                  <w:noWrap w:val="0"/>
                  <w:vAlign w:val="center"/>
                </w:tcPr>
                <w:p>
                  <w:pPr>
                    <w:pStyle w:val="28"/>
                    <w:rPr>
                      <w:color w:val="auto"/>
                    </w:rPr>
                  </w:pPr>
                </w:p>
              </w:tc>
              <w:tc>
                <w:tcPr>
                  <w:tcW w:w="1216" w:type="dxa"/>
                  <w:vMerge w:val="continue"/>
                  <w:noWrap w:val="0"/>
                  <w:vAlign w:val="center"/>
                </w:tcPr>
                <w:p>
                  <w:pPr>
                    <w:pStyle w:val="28"/>
                    <w:rPr>
                      <w:color w:val="auto"/>
                    </w:rPr>
                  </w:pPr>
                </w:p>
              </w:tc>
            </w:tr>
            <w:bookmarkEnd w:id="95"/>
          </w:tbl>
          <w:p>
            <w:pPr>
              <w:adjustRightInd/>
              <w:snapToGrid/>
              <w:spacing w:line="360" w:lineRule="auto"/>
              <w:jc w:val="both"/>
              <w:rPr>
                <w:rFonts w:hint="default" w:ascii="Times New Roman" w:hAnsi="Times New Roman" w:eastAsia="宋体" w:cs="Times New Roman"/>
                <w:b/>
                <w:color w:val="auto"/>
              </w:rPr>
            </w:pPr>
            <w:r>
              <w:rPr>
                <w:rFonts w:hint="eastAsia" w:cs="Times New Roman"/>
                <w:b/>
                <w:color w:val="auto"/>
                <w:lang w:val="en-US" w:eastAsia="zh-CN"/>
              </w:rPr>
              <w:t>8</w:t>
            </w:r>
            <w:r>
              <w:rPr>
                <w:rFonts w:hint="default" w:ascii="Times New Roman" w:hAnsi="Times New Roman" w:eastAsia="宋体" w:cs="Times New Roman"/>
                <w:b/>
                <w:color w:val="auto"/>
              </w:rPr>
              <w:t>.</w:t>
            </w:r>
            <w:r>
              <w:rPr>
                <w:rFonts w:hint="eastAsia" w:cs="Times New Roman"/>
                <w:b/>
                <w:color w:val="auto"/>
                <w:lang w:val="en-US" w:eastAsia="zh-CN"/>
              </w:rPr>
              <w:t xml:space="preserve">5 </w:t>
            </w:r>
            <w:r>
              <w:rPr>
                <w:rFonts w:hint="default" w:ascii="Times New Roman" w:hAnsi="Times New Roman" w:eastAsia="宋体" w:cs="Times New Roman"/>
                <w:b/>
                <w:color w:val="auto"/>
              </w:rPr>
              <w:t>应急监测计划</w:t>
            </w:r>
          </w:p>
          <w:p>
            <w:pPr>
              <w:pStyle w:val="4"/>
              <w:rPr>
                <w:color w:val="auto"/>
              </w:rPr>
            </w:pPr>
            <w:r>
              <w:rPr>
                <w:color w:val="auto"/>
              </w:rPr>
              <w:t>当发生井喷失控事故时，应及时对大气、地下水、土壤等环境要素进行监测。监测计划见表5-3。</w:t>
            </w:r>
          </w:p>
          <w:p>
            <w:pPr>
              <w:pStyle w:val="27"/>
              <w:rPr>
                <w:color w:val="auto"/>
              </w:rPr>
            </w:pPr>
            <w:r>
              <w:rPr>
                <w:color w:val="auto"/>
              </w:rPr>
              <w:t>表5-3    环境监测计划一览表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22"/>
              <w:gridCol w:w="1549"/>
              <w:gridCol w:w="2839"/>
              <w:gridCol w:w="1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noWrap w:val="0"/>
                  <w:vAlign w:val="center"/>
                </w:tcPr>
                <w:p>
                  <w:pPr>
                    <w:pStyle w:val="28"/>
                    <w:rPr>
                      <w:color w:val="auto"/>
                    </w:rPr>
                  </w:pPr>
                  <w:r>
                    <w:rPr>
                      <w:color w:val="auto"/>
                    </w:rPr>
                    <w:t>序号</w:t>
                  </w:r>
                </w:p>
              </w:tc>
              <w:tc>
                <w:tcPr>
                  <w:tcW w:w="801" w:type="pct"/>
                  <w:noWrap w:val="0"/>
                  <w:vAlign w:val="center"/>
                </w:tcPr>
                <w:p>
                  <w:pPr>
                    <w:pStyle w:val="28"/>
                    <w:rPr>
                      <w:color w:val="auto"/>
                    </w:rPr>
                  </w:pPr>
                  <w:r>
                    <w:rPr>
                      <w:color w:val="auto"/>
                    </w:rPr>
                    <w:t>环境要素</w:t>
                  </w:r>
                </w:p>
              </w:tc>
              <w:tc>
                <w:tcPr>
                  <w:tcW w:w="940" w:type="pct"/>
                  <w:noWrap w:val="0"/>
                  <w:vAlign w:val="center"/>
                </w:tcPr>
                <w:p>
                  <w:pPr>
                    <w:pStyle w:val="28"/>
                    <w:rPr>
                      <w:color w:val="auto"/>
                    </w:rPr>
                  </w:pPr>
                  <w:r>
                    <w:rPr>
                      <w:color w:val="auto"/>
                    </w:rPr>
                    <w:t>监测地点</w:t>
                  </w:r>
                </w:p>
              </w:tc>
              <w:tc>
                <w:tcPr>
                  <w:tcW w:w="1723" w:type="pct"/>
                  <w:noWrap w:val="0"/>
                  <w:vAlign w:val="center"/>
                </w:tcPr>
                <w:p>
                  <w:pPr>
                    <w:pStyle w:val="28"/>
                    <w:rPr>
                      <w:color w:val="auto"/>
                    </w:rPr>
                  </w:pPr>
                  <w:r>
                    <w:rPr>
                      <w:color w:val="auto"/>
                    </w:rPr>
                    <w:t>监测项目</w:t>
                  </w:r>
                </w:p>
              </w:tc>
              <w:tc>
                <w:tcPr>
                  <w:tcW w:w="1030" w:type="pct"/>
                  <w:noWrap w:val="0"/>
                  <w:vAlign w:val="center"/>
                </w:tcPr>
                <w:p>
                  <w:pPr>
                    <w:pStyle w:val="28"/>
                    <w:rPr>
                      <w:color w:val="auto"/>
                    </w:rPr>
                  </w:pPr>
                  <w:r>
                    <w:rPr>
                      <w:color w:val="auto"/>
                    </w:rPr>
                    <w:t>监测时间或频率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noWrap w:val="0"/>
                  <w:vAlign w:val="center"/>
                </w:tcPr>
                <w:p>
                  <w:pPr>
                    <w:pStyle w:val="28"/>
                    <w:rPr>
                      <w:color w:val="auto"/>
                    </w:rPr>
                  </w:pPr>
                  <w:r>
                    <w:rPr>
                      <w:color w:val="auto"/>
                    </w:rPr>
                    <w:t>1</w:t>
                  </w:r>
                </w:p>
              </w:tc>
              <w:tc>
                <w:tcPr>
                  <w:tcW w:w="801" w:type="pct"/>
                  <w:noWrap w:val="0"/>
                  <w:vAlign w:val="center"/>
                </w:tcPr>
                <w:p>
                  <w:pPr>
                    <w:pStyle w:val="28"/>
                    <w:rPr>
                      <w:color w:val="auto"/>
                    </w:rPr>
                  </w:pPr>
                  <w:r>
                    <w:rPr>
                      <w:color w:val="auto"/>
                    </w:rPr>
                    <w:t>井场土壤</w:t>
                  </w:r>
                </w:p>
              </w:tc>
              <w:tc>
                <w:tcPr>
                  <w:tcW w:w="940" w:type="pct"/>
                  <w:noWrap w:val="0"/>
                  <w:vAlign w:val="center"/>
                </w:tcPr>
                <w:p>
                  <w:pPr>
                    <w:pStyle w:val="28"/>
                    <w:rPr>
                      <w:color w:val="auto"/>
                    </w:rPr>
                  </w:pPr>
                  <w:r>
                    <w:rPr>
                      <w:color w:val="auto"/>
                    </w:rPr>
                    <w:t>项目区</w:t>
                  </w:r>
                </w:p>
              </w:tc>
              <w:tc>
                <w:tcPr>
                  <w:tcW w:w="1723" w:type="pct"/>
                  <w:noWrap w:val="0"/>
                  <w:vAlign w:val="center"/>
                </w:tcPr>
                <w:p>
                  <w:pPr>
                    <w:pStyle w:val="28"/>
                    <w:rPr>
                      <w:color w:val="auto"/>
                    </w:rPr>
                  </w:pPr>
                  <w:r>
                    <w:rPr>
                      <w:rFonts w:hint="default" w:ascii="Times New Roman" w:hAnsi="Times New Roman" w:eastAsia="宋体" w:cs="Times New Roman"/>
                      <w:color w:val="auto"/>
                      <w:lang w:val="en-US" w:eastAsia="zh-CN"/>
                    </w:rPr>
                    <w:t>pH</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石油烃</w:t>
                  </w:r>
                  <w:r>
                    <w:rPr>
                      <w:rFonts w:hint="default" w:ascii="Times New Roman" w:hAnsi="Times New Roman" w:eastAsia="宋体" w:cs="Times New Roman"/>
                      <w:color w:val="auto"/>
                      <w:lang w:val="en-US" w:eastAsia="zh-CN"/>
                    </w:rPr>
                    <w:t>和挥发酚</w:t>
                  </w:r>
                </w:p>
              </w:tc>
              <w:tc>
                <w:tcPr>
                  <w:tcW w:w="1030" w:type="pct"/>
                  <w:noWrap w:val="0"/>
                  <w:vAlign w:val="center"/>
                </w:tcPr>
                <w:p>
                  <w:pPr>
                    <w:pStyle w:val="28"/>
                    <w:rPr>
                      <w:color w:val="auto"/>
                    </w:rPr>
                  </w:pPr>
                  <w:r>
                    <w:rPr>
                      <w:color w:val="auto"/>
                    </w:rPr>
                    <w:t>1次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noWrap w:val="0"/>
                  <w:vAlign w:val="center"/>
                </w:tcPr>
                <w:p>
                  <w:pPr>
                    <w:pStyle w:val="28"/>
                    <w:rPr>
                      <w:color w:val="auto"/>
                    </w:rPr>
                  </w:pPr>
                  <w:r>
                    <w:rPr>
                      <w:color w:val="auto"/>
                    </w:rPr>
                    <w:t>2</w:t>
                  </w:r>
                </w:p>
              </w:tc>
              <w:tc>
                <w:tcPr>
                  <w:tcW w:w="801" w:type="pct"/>
                  <w:noWrap w:val="0"/>
                  <w:vAlign w:val="center"/>
                </w:tcPr>
                <w:p>
                  <w:pPr>
                    <w:pStyle w:val="28"/>
                    <w:rPr>
                      <w:color w:val="auto"/>
                    </w:rPr>
                  </w:pPr>
                  <w:r>
                    <w:rPr>
                      <w:color w:val="auto"/>
                    </w:rPr>
                    <w:t>大气环境</w:t>
                  </w:r>
                </w:p>
              </w:tc>
              <w:tc>
                <w:tcPr>
                  <w:tcW w:w="940" w:type="pct"/>
                  <w:noWrap w:val="0"/>
                  <w:vAlign w:val="center"/>
                </w:tcPr>
                <w:p>
                  <w:pPr>
                    <w:pStyle w:val="28"/>
                    <w:rPr>
                      <w:color w:val="auto"/>
                    </w:rPr>
                  </w:pPr>
                  <w:r>
                    <w:rPr>
                      <w:color w:val="auto"/>
                    </w:rPr>
                    <w:t>项目区</w:t>
                  </w:r>
                </w:p>
              </w:tc>
              <w:tc>
                <w:tcPr>
                  <w:tcW w:w="1723" w:type="pct"/>
                  <w:noWrap w:val="0"/>
                  <w:vAlign w:val="center"/>
                </w:tcPr>
                <w:p>
                  <w:pPr>
                    <w:pStyle w:val="28"/>
                    <w:rPr>
                      <w:color w:val="auto"/>
                    </w:rPr>
                  </w:pPr>
                  <w:r>
                    <w:rPr>
                      <w:color w:val="auto"/>
                    </w:rPr>
                    <w:t>非甲烷总烃、硫化氢</w:t>
                  </w:r>
                </w:p>
              </w:tc>
              <w:tc>
                <w:tcPr>
                  <w:tcW w:w="1030" w:type="pct"/>
                  <w:noWrap w:val="0"/>
                  <w:vAlign w:val="center"/>
                </w:tcPr>
                <w:p>
                  <w:pPr>
                    <w:pStyle w:val="28"/>
                    <w:rPr>
                      <w:color w:val="auto"/>
                    </w:rPr>
                  </w:pPr>
                  <w:r>
                    <w:rPr>
                      <w:color w:val="auto"/>
                    </w:rPr>
                    <w:t>1次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05" w:type="pct"/>
                  <w:noWrap w:val="0"/>
                  <w:vAlign w:val="center"/>
                </w:tcPr>
                <w:p>
                  <w:pPr>
                    <w:pStyle w:val="28"/>
                    <w:rPr>
                      <w:color w:val="auto"/>
                    </w:rPr>
                  </w:pPr>
                  <w:r>
                    <w:rPr>
                      <w:color w:val="auto"/>
                    </w:rPr>
                    <w:t>3</w:t>
                  </w:r>
                </w:p>
              </w:tc>
              <w:tc>
                <w:tcPr>
                  <w:tcW w:w="801" w:type="pct"/>
                  <w:noWrap w:val="0"/>
                  <w:vAlign w:val="center"/>
                </w:tcPr>
                <w:p>
                  <w:pPr>
                    <w:pStyle w:val="28"/>
                    <w:rPr>
                      <w:color w:val="auto"/>
                    </w:rPr>
                  </w:pPr>
                  <w:r>
                    <w:rPr>
                      <w:color w:val="auto"/>
                    </w:rPr>
                    <w:t>水环境</w:t>
                  </w:r>
                </w:p>
              </w:tc>
              <w:tc>
                <w:tcPr>
                  <w:tcW w:w="940" w:type="pct"/>
                  <w:noWrap w:val="0"/>
                  <w:vAlign w:val="center"/>
                </w:tcPr>
                <w:p>
                  <w:pPr>
                    <w:pStyle w:val="28"/>
                    <w:rPr>
                      <w:color w:val="auto"/>
                    </w:rPr>
                  </w:pPr>
                  <w:r>
                    <w:rPr>
                      <w:color w:val="auto"/>
                    </w:rPr>
                    <w:t>项目区地下水</w:t>
                  </w:r>
                </w:p>
              </w:tc>
              <w:tc>
                <w:tcPr>
                  <w:tcW w:w="1723" w:type="pct"/>
                  <w:noWrap w:val="0"/>
                  <w:vAlign w:val="center"/>
                </w:tcPr>
                <w:p>
                  <w:pPr>
                    <w:pStyle w:val="28"/>
                    <w:rPr>
                      <w:color w:val="auto"/>
                    </w:rPr>
                  </w:pPr>
                  <w:r>
                    <w:rPr>
                      <w:rFonts w:hint="default" w:ascii="Times New Roman" w:hAnsi="Times New Roman" w:eastAsia="宋体" w:cs="Times New Roman"/>
                      <w:color w:val="auto"/>
                    </w:rPr>
                    <w:t>pH、石油类、挥发酚、总硬度、溶解性总固体、氟化物、铜、砷、六价铬</w:t>
                  </w:r>
                </w:p>
              </w:tc>
              <w:tc>
                <w:tcPr>
                  <w:tcW w:w="1030" w:type="pct"/>
                  <w:noWrap w:val="0"/>
                  <w:vAlign w:val="center"/>
                </w:tcPr>
                <w:p>
                  <w:pPr>
                    <w:pStyle w:val="28"/>
                    <w:rPr>
                      <w:color w:val="auto"/>
                    </w:rPr>
                  </w:pPr>
                  <w:r>
                    <w:rPr>
                      <w:color w:val="auto"/>
                    </w:rPr>
                    <w:t>1次</w:t>
                  </w: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eastAsia="宋体" w:cs="Times New Roman"/>
                <w:b/>
                <w:bCs/>
                <w:color w:val="auto"/>
                <w:sz w:val="28"/>
                <w:szCs w:val="28"/>
                <w:lang w:val="en-US" w:eastAsia="zh-CN"/>
              </w:rPr>
              <w:t>9</w:t>
            </w:r>
            <w:r>
              <w:rPr>
                <w:rFonts w:hint="default" w:ascii="Times New Roman" w:hAnsi="Times New Roman" w:eastAsia="宋体" w:cs="Times New Roman"/>
                <w:b/>
                <w:bCs/>
                <w:color w:val="auto"/>
                <w:sz w:val="28"/>
                <w:szCs w:val="28"/>
              </w:rPr>
              <w:t xml:space="preserve"> 环境监理</w:t>
            </w:r>
          </w:p>
          <w:p>
            <w:pPr>
              <w:pStyle w:val="4"/>
              <w:rPr>
                <w:color w:val="auto"/>
              </w:rPr>
            </w:pPr>
            <w:r>
              <w:rPr>
                <w:color w:val="auto"/>
              </w:rPr>
              <w:t>本项目应进行施工期监理，对象主要是对作业场所及其附近植被和土壤，对作业场所控制监测可视具体情况、当地环保部门要求等情况而定。</w:t>
            </w:r>
          </w:p>
          <w:p>
            <w:pPr>
              <w:pStyle w:val="4"/>
              <w:rPr>
                <w:color w:val="auto"/>
              </w:rPr>
            </w:pPr>
            <w:r>
              <w:rPr>
                <w:color w:val="auto"/>
              </w:rPr>
              <w:t>施工期环境监理要求如下：</w:t>
            </w:r>
          </w:p>
          <w:p>
            <w:pPr>
              <w:pStyle w:val="4"/>
              <w:rPr>
                <w:color w:val="auto"/>
              </w:rPr>
            </w:pPr>
            <w:r>
              <w:rPr>
                <w:color w:val="auto"/>
              </w:rPr>
              <w:t>钻井作业环境管理，应有明确的环境管理方针和目标、环境管理机构和职责、环境管理程序、环境警示标志、环境培训等。钻井作业环境管理应达到以下要求：</w:t>
            </w:r>
          </w:p>
          <w:p>
            <w:pPr>
              <w:pStyle w:val="4"/>
              <w:rPr>
                <w:color w:val="auto"/>
              </w:rPr>
            </w:pPr>
            <w:r>
              <w:rPr>
                <w:color w:val="auto"/>
              </w:rPr>
              <w:t>（1）钻前工程</w:t>
            </w:r>
          </w:p>
          <w:p>
            <w:pPr>
              <w:pStyle w:val="27"/>
              <w:rPr>
                <w:color w:val="auto"/>
              </w:rPr>
            </w:pPr>
            <w:r>
              <w:rPr>
                <w:color w:val="auto"/>
              </w:rPr>
              <w:t>表5</w:t>
            </w:r>
            <w:r>
              <w:rPr>
                <w:rFonts w:hint="eastAsia"/>
                <w:color w:val="auto"/>
              </w:rPr>
              <w:t>-</w:t>
            </w:r>
            <w:r>
              <w:rPr>
                <w:color w:val="auto"/>
              </w:rPr>
              <w:t>4  钻井工程开工环境监理检查指导表</w:t>
            </w:r>
          </w:p>
          <w:tbl>
            <w:tblPr>
              <w:tblStyle w:val="1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7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37" w:type="dxa"/>
                  <w:noWrap w:val="0"/>
                  <w:vAlign w:val="center"/>
                </w:tcPr>
                <w:p>
                  <w:pPr>
                    <w:pStyle w:val="28"/>
                    <w:rPr>
                      <w:color w:val="auto"/>
                    </w:rPr>
                  </w:pPr>
                  <w:r>
                    <w:rPr>
                      <w:color w:val="auto"/>
                    </w:rPr>
                    <w:t>项目</w:t>
                  </w:r>
                </w:p>
              </w:tc>
              <w:tc>
                <w:tcPr>
                  <w:tcW w:w="7722" w:type="dxa"/>
                  <w:noWrap w:val="0"/>
                  <w:vAlign w:val="center"/>
                </w:tcPr>
                <w:p>
                  <w:pPr>
                    <w:pStyle w:val="28"/>
                    <w:rPr>
                      <w:color w:val="auto"/>
                    </w:rPr>
                  </w:pPr>
                  <w:r>
                    <w:rPr>
                      <w:color w:val="auto"/>
                    </w:rPr>
                    <w:t>检查内容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37" w:type="dxa"/>
                  <w:vMerge w:val="restart"/>
                  <w:noWrap w:val="0"/>
                  <w:vAlign w:val="center"/>
                </w:tcPr>
                <w:p>
                  <w:pPr>
                    <w:pStyle w:val="28"/>
                    <w:rPr>
                      <w:color w:val="auto"/>
                    </w:rPr>
                  </w:pPr>
                  <w:r>
                    <w:rPr>
                      <w:color w:val="auto"/>
                    </w:rPr>
                    <w:t>资料</w:t>
                  </w:r>
                </w:p>
              </w:tc>
              <w:tc>
                <w:tcPr>
                  <w:tcW w:w="7722" w:type="dxa"/>
                  <w:noWrap w:val="0"/>
                  <w:vAlign w:val="center"/>
                </w:tcPr>
                <w:p>
                  <w:pPr>
                    <w:pStyle w:val="28"/>
                    <w:rPr>
                      <w:color w:val="auto"/>
                    </w:rPr>
                  </w:pPr>
                  <w:r>
                    <w:rPr>
                      <w:color w:val="auto"/>
                    </w:rPr>
                    <w:t>有上钻前井场周围环境原始地貌影像资料，重点关注周围有无碾压等现象。</w:t>
                  </w:r>
                </w:p>
                <w:p>
                  <w:pPr>
                    <w:pStyle w:val="28"/>
                    <w:rPr>
                      <w:color w:val="auto"/>
                    </w:rPr>
                  </w:pPr>
                  <w:r>
                    <w:rPr>
                      <w:color w:val="auto"/>
                    </w:rPr>
                    <w:t>包括：钻井上钻前对井场四个方向外延、正大门方向（明示井号）影像资料。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钻井工程设计中环保措施和设施符合环评报告及批复要求。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有针对性的环境突发事件应急预案。有井喷事故应急预案。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有生活垃圾清运协议（委托合同）、转移台账。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有</w:t>
                  </w:r>
                  <w:r>
                    <w:rPr>
                      <w:rFonts w:hint="eastAsia"/>
                      <w:color w:val="auto"/>
                    </w:rPr>
                    <w:t>含油废物等</w:t>
                  </w:r>
                  <w:r>
                    <w:rPr>
                      <w:color w:val="auto"/>
                    </w:rPr>
                    <w:t>危废处置协议（委托合同、资质备案）、转移台账。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9" w:hRule="atLeast"/>
                <w:jc w:val="center"/>
              </w:trPr>
              <w:tc>
                <w:tcPr>
                  <w:tcW w:w="1337" w:type="dxa"/>
                  <w:vMerge w:val="restart"/>
                  <w:noWrap w:val="0"/>
                  <w:vAlign w:val="center"/>
                </w:tcPr>
                <w:p>
                  <w:pPr>
                    <w:pStyle w:val="28"/>
                    <w:rPr>
                      <w:color w:val="auto"/>
                    </w:rPr>
                  </w:pPr>
                  <w:r>
                    <w:rPr>
                      <w:color w:val="auto"/>
                    </w:rPr>
                    <w:t>垃圾处理</w:t>
                  </w:r>
                </w:p>
              </w:tc>
              <w:tc>
                <w:tcPr>
                  <w:tcW w:w="7722" w:type="dxa"/>
                  <w:noWrap w:val="0"/>
                  <w:vAlign w:val="center"/>
                </w:tcPr>
                <w:p>
                  <w:pPr>
                    <w:pStyle w:val="28"/>
                    <w:rPr>
                      <w:color w:val="auto"/>
                    </w:rPr>
                  </w:pPr>
                  <w:r>
                    <w:rPr>
                      <w:color w:val="auto"/>
                    </w:rPr>
                    <w:t>井场、营地应设置工业和生活垃圾存储设施，上加遮盖防止风吹飘散。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工业垃圾固定堆放。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37" w:type="dxa"/>
                  <w:vMerge w:val="restart"/>
                  <w:noWrap w:val="0"/>
                  <w:vAlign w:val="center"/>
                </w:tcPr>
                <w:p>
                  <w:pPr>
                    <w:pStyle w:val="28"/>
                    <w:rPr>
                      <w:color w:val="auto"/>
                    </w:rPr>
                  </w:pPr>
                  <w:r>
                    <w:rPr>
                      <w:color w:val="auto"/>
                    </w:rPr>
                    <w:t>固废管理</w:t>
                  </w:r>
                </w:p>
              </w:tc>
              <w:tc>
                <w:tcPr>
                  <w:tcW w:w="7722" w:type="dxa"/>
                  <w:noWrap w:val="0"/>
                  <w:vAlign w:val="center"/>
                </w:tcPr>
                <w:p>
                  <w:pPr>
                    <w:pStyle w:val="28"/>
                    <w:rPr>
                      <w:color w:val="auto"/>
                    </w:rPr>
                  </w:pPr>
                  <w:r>
                    <w:rPr>
                      <w:color w:val="auto"/>
                    </w:rPr>
                    <w:t>跑、冒、滴、漏设备区域应采取防渗处理措施，防止污染地面。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配套不落地装置到位。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岩屑堆放场地有围堰、防渗措施。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37" w:type="dxa"/>
                  <w:vMerge w:val="restart"/>
                  <w:noWrap w:val="0"/>
                  <w:vAlign w:val="center"/>
                </w:tcPr>
                <w:p>
                  <w:pPr>
                    <w:pStyle w:val="28"/>
                    <w:rPr>
                      <w:color w:val="auto"/>
                    </w:rPr>
                  </w:pPr>
                  <w:r>
                    <w:rPr>
                      <w:color w:val="auto"/>
                    </w:rPr>
                    <w:t>生态保护</w:t>
                  </w:r>
                </w:p>
              </w:tc>
              <w:tc>
                <w:tcPr>
                  <w:tcW w:w="7722" w:type="dxa"/>
                  <w:noWrap w:val="0"/>
                  <w:vAlign w:val="center"/>
                </w:tcPr>
                <w:p>
                  <w:pPr>
                    <w:pStyle w:val="28"/>
                    <w:rPr>
                      <w:color w:val="auto"/>
                    </w:rPr>
                  </w:pPr>
                  <w:r>
                    <w:rPr>
                      <w:color w:val="auto"/>
                    </w:rPr>
                    <w:t>钻井材料存储应下垫上盖。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井场占地符合环境影响评价报告及批复要求。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37" w:type="dxa"/>
                  <w:vMerge w:val="continue"/>
                  <w:noWrap w:val="0"/>
                  <w:vAlign w:val="center"/>
                </w:tcPr>
                <w:p>
                  <w:pPr>
                    <w:pStyle w:val="28"/>
                    <w:rPr>
                      <w:color w:val="auto"/>
                    </w:rPr>
                  </w:pPr>
                </w:p>
              </w:tc>
              <w:tc>
                <w:tcPr>
                  <w:tcW w:w="7722" w:type="dxa"/>
                  <w:noWrap w:val="0"/>
                  <w:vAlign w:val="center"/>
                </w:tcPr>
                <w:p>
                  <w:pPr>
                    <w:pStyle w:val="28"/>
                    <w:rPr>
                      <w:color w:val="auto"/>
                    </w:rPr>
                  </w:pPr>
                  <w:r>
                    <w:rPr>
                      <w:color w:val="auto"/>
                    </w:rPr>
                    <w:t>危险化学品分类摆放、标识（化学品安全技术说明书）清楚。</w:t>
                  </w:r>
                </w:p>
              </w:tc>
            </w:tr>
          </w:tbl>
          <w:p>
            <w:pPr>
              <w:pStyle w:val="4"/>
              <w:rPr>
                <w:color w:val="auto"/>
              </w:rPr>
            </w:pPr>
            <w:r>
              <w:rPr>
                <w:color w:val="auto"/>
              </w:rPr>
              <w:t>（2）设备器材搬迁</w:t>
            </w:r>
          </w:p>
          <w:p>
            <w:pPr>
              <w:pStyle w:val="4"/>
              <w:rPr>
                <w:color w:val="auto"/>
              </w:rPr>
            </w:pPr>
            <w:r>
              <w:rPr>
                <w:color w:val="auto"/>
              </w:rPr>
              <w:t>制定合适的工作计划和车辆加油计划，减少沿线行驶次数和油料泄漏机会，定期检查所有车辆的泄漏情况，被污染的土壤要清除，并进行适当处理，不得向车外乱扔废弃物。</w:t>
            </w:r>
          </w:p>
          <w:p>
            <w:pPr>
              <w:pStyle w:val="4"/>
              <w:rPr>
                <w:color w:val="auto"/>
              </w:rPr>
            </w:pPr>
            <w:r>
              <w:rPr>
                <w:color w:val="auto"/>
              </w:rPr>
              <w:t>（3）钻井施工</w:t>
            </w:r>
          </w:p>
          <w:p>
            <w:pPr>
              <w:pStyle w:val="4"/>
              <w:rPr>
                <w:color w:val="auto"/>
              </w:rPr>
            </w:pPr>
            <w:r>
              <w:rPr>
                <w:rFonts w:hint="eastAsia"/>
                <w:color w:val="auto"/>
              </w:rPr>
              <w:t>①</w:t>
            </w:r>
            <w:r>
              <w:rPr>
                <w:color w:val="auto"/>
              </w:rPr>
              <w:t>封闭式井场管理，制定“钻井工程防治污染规定”，所有污染物不能出井场规定的范围；钻井过程中，严格控制用水量，节约用水；要严格实施清污分流，杜绝跑、冒、滴、漏常流水现象的发生。</w:t>
            </w:r>
          </w:p>
          <w:p>
            <w:pPr>
              <w:pStyle w:val="4"/>
              <w:rPr>
                <w:color w:val="auto"/>
              </w:rPr>
            </w:pPr>
            <w:r>
              <w:rPr>
                <w:rFonts w:hint="eastAsia"/>
                <w:color w:val="auto"/>
              </w:rPr>
              <w:t>②</w:t>
            </w:r>
            <w:r>
              <w:rPr>
                <w:color w:val="auto"/>
              </w:rPr>
              <w:t>钻井材料和油料要集中管理，减少散失或漏失，对被污染的土壤应及时妥善处理，将其清除、回收；为将钻井废弃物减至最低限度，应采用有利于环境的三级废物处理方法：调整钻井工艺或使用合适的钻井液，使钻井过程产生的废弃物最少；将已经降至最低限度的钻井废弃物尽可能地循环再利用；通过合适的方式处理不能再循环利用的钻井废弃物；防止井喷、油料泄漏、污水池垮塌，避免发生污染事故；采取有效措施，减轻噪声污染。</w:t>
            </w:r>
          </w:p>
          <w:p>
            <w:pPr>
              <w:pStyle w:val="27"/>
              <w:rPr>
                <w:color w:val="auto"/>
              </w:rPr>
            </w:pPr>
            <w:r>
              <w:rPr>
                <w:color w:val="auto"/>
              </w:rPr>
              <w:t>表5</w:t>
            </w:r>
            <w:r>
              <w:rPr>
                <w:rFonts w:hint="eastAsia"/>
                <w:color w:val="auto"/>
              </w:rPr>
              <w:t>-</w:t>
            </w:r>
            <w:r>
              <w:rPr>
                <w:color w:val="auto"/>
              </w:rPr>
              <w:t>5  钻井作业期间日常环境监理检查指导表</w:t>
            </w:r>
          </w:p>
          <w:tbl>
            <w:tblPr>
              <w:tblStyle w:val="1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7"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项目</w:t>
                  </w: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7"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textAlignment w:val="auto"/>
                    <w:rPr>
                      <w:bCs/>
                      <w:color w:val="auto"/>
                      <w:sz w:val="21"/>
                      <w:szCs w:val="21"/>
                    </w:rPr>
                  </w:pPr>
                  <w:r>
                    <w:rPr>
                      <w:bCs/>
                      <w:color w:val="auto"/>
                      <w:sz w:val="21"/>
                      <w:szCs w:val="21"/>
                    </w:rPr>
                    <w:t>固废</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textAlignment w:val="auto"/>
                    <w:rPr>
                      <w:bCs/>
                      <w:color w:val="auto"/>
                      <w:sz w:val="21"/>
                      <w:szCs w:val="21"/>
                    </w:rPr>
                  </w:pPr>
                  <w:r>
                    <w:rPr>
                      <w:bCs/>
                      <w:color w:val="auto"/>
                      <w:sz w:val="21"/>
                      <w:szCs w:val="21"/>
                    </w:rPr>
                    <w:t>防治</w:t>
                  </w: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采用泥浆不落地工艺的井，岩屑应堆放在采取防渗措施的场地。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不落地岩屑应有</w:t>
                  </w:r>
                  <w:r>
                    <w:rPr>
                      <w:rFonts w:hint="eastAsia"/>
                      <w:bCs/>
                      <w:color w:val="auto"/>
                      <w:sz w:val="21"/>
                      <w:szCs w:val="21"/>
                    </w:rPr>
                    <w:t>检测</w:t>
                  </w:r>
                  <w:r>
                    <w:rPr>
                      <w:bCs/>
                      <w:color w:val="auto"/>
                      <w:sz w:val="21"/>
                      <w:szCs w:val="21"/>
                    </w:rPr>
                    <w:t>台</w:t>
                  </w:r>
                  <w:r>
                    <w:rPr>
                      <w:rFonts w:hint="eastAsia"/>
                      <w:bCs/>
                      <w:color w:val="auto"/>
                      <w:sz w:val="21"/>
                      <w:szCs w:val="21"/>
                      <w:lang w:val="en-US" w:eastAsia="zh-CN"/>
                    </w:rPr>
                    <w:t>账</w:t>
                  </w:r>
                  <w:r>
                    <w:rPr>
                      <w:bCs/>
                      <w:color w:val="auto"/>
                      <w:sz w:val="21"/>
                      <w:szCs w:val="21"/>
                    </w:rPr>
                    <w:t>。</w:t>
                  </w:r>
                  <w:r>
                    <w:rPr>
                      <w:rFonts w:hint="eastAsia"/>
                      <w:bCs/>
                      <w:color w:val="auto"/>
                      <w:sz w:val="21"/>
                      <w:szCs w:val="21"/>
                    </w:rPr>
                    <w:t>岩屑检测指标及频次按照《油气田钻井固体废物综合利用污染控制要求》（DB65/T3997-2017</w:t>
                  </w:r>
                  <w:r>
                    <w:rPr>
                      <w:rFonts w:hint="eastAsia" w:ascii="宋体" w:hAnsi="宋体"/>
                      <w:bCs/>
                      <w:color w:val="auto"/>
                      <w:sz w:val="21"/>
                      <w:szCs w:val="21"/>
                    </w:rPr>
                    <w:t>）要求执行。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井场工业垃圾分类存储，上加遮盖防止风吹飘散，严禁现场抛洒、焚烧、掩埋。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营地生活垃圾要储存在专用垃圾设施中，上加遮盖防止风吹飘散，严禁现场抛洒、焚烧、掩埋。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严禁废水、泥浆、废油乱排乱放。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施工营地生活污水应排放至污水池，严禁乱排乱放。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7"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120" w:leftChars="-50" w:right="-120" w:rightChars="-50"/>
                    <w:textAlignment w:val="auto"/>
                    <w:rPr>
                      <w:bCs/>
                      <w:color w:val="auto"/>
                      <w:sz w:val="21"/>
                      <w:szCs w:val="21"/>
                    </w:rPr>
                  </w:pPr>
                  <w:r>
                    <w:rPr>
                      <w:bCs/>
                      <w:color w:val="auto"/>
                      <w:sz w:val="21"/>
                      <w:szCs w:val="21"/>
                    </w:rPr>
                    <w:t>废气</w:t>
                  </w:r>
                </w:p>
                <w:p>
                  <w:pPr>
                    <w:keepNext w:val="0"/>
                    <w:keepLines w:val="0"/>
                    <w:pageBreakBefore w:val="0"/>
                    <w:widowControl/>
                    <w:kinsoku/>
                    <w:wordWrap/>
                    <w:overflowPunct/>
                    <w:topLinePunct w:val="0"/>
                    <w:autoSpaceDE/>
                    <w:autoSpaceDN/>
                    <w:bidi w:val="0"/>
                    <w:adjustRightInd/>
                    <w:snapToGrid/>
                    <w:spacing w:beforeAutospacing="0" w:afterAutospacing="0"/>
                    <w:ind w:left="-120" w:leftChars="-50" w:right="-120" w:rightChars="-50"/>
                    <w:textAlignment w:val="auto"/>
                    <w:rPr>
                      <w:bCs/>
                      <w:color w:val="auto"/>
                      <w:sz w:val="21"/>
                      <w:szCs w:val="21"/>
                    </w:rPr>
                  </w:pPr>
                  <w:r>
                    <w:rPr>
                      <w:bCs/>
                      <w:color w:val="auto"/>
                      <w:sz w:val="21"/>
                      <w:szCs w:val="21"/>
                    </w:rPr>
                    <w:t>防治</w:t>
                  </w: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严禁焚烧各类废弃物。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柴油机燃烧充分，合理匹配载荷。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7"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textAlignment w:val="auto"/>
                    <w:rPr>
                      <w:bCs/>
                      <w:color w:val="auto"/>
                      <w:sz w:val="21"/>
                      <w:szCs w:val="21"/>
                    </w:rPr>
                  </w:pPr>
                  <w:r>
                    <w:rPr>
                      <w:bCs/>
                      <w:color w:val="auto"/>
                      <w:sz w:val="21"/>
                      <w:szCs w:val="21"/>
                    </w:rPr>
                    <w:t>噪声</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textAlignment w:val="auto"/>
                    <w:rPr>
                      <w:bCs/>
                      <w:color w:val="auto"/>
                      <w:sz w:val="21"/>
                      <w:szCs w:val="21"/>
                    </w:rPr>
                  </w:pPr>
                  <w:r>
                    <w:rPr>
                      <w:bCs/>
                      <w:color w:val="auto"/>
                      <w:sz w:val="21"/>
                      <w:szCs w:val="21"/>
                    </w:rPr>
                    <w:t>防治</w:t>
                  </w: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受噪声影响的工作人员应佩戴个人防护用品。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7"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textAlignment w:val="auto"/>
                    <w:rPr>
                      <w:bCs/>
                      <w:color w:val="auto"/>
                      <w:sz w:val="21"/>
                      <w:szCs w:val="21"/>
                    </w:rPr>
                  </w:pPr>
                  <w:r>
                    <w:rPr>
                      <w:bCs/>
                      <w:color w:val="auto"/>
                      <w:sz w:val="21"/>
                      <w:szCs w:val="21"/>
                    </w:rPr>
                    <w:t>生态</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textAlignment w:val="auto"/>
                    <w:rPr>
                      <w:bCs/>
                      <w:color w:val="auto"/>
                      <w:sz w:val="21"/>
                      <w:szCs w:val="21"/>
                    </w:rPr>
                  </w:pPr>
                  <w:r>
                    <w:rPr>
                      <w:bCs/>
                      <w:color w:val="auto"/>
                      <w:sz w:val="21"/>
                      <w:szCs w:val="21"/>
                    </w:rPr>
                    <w:t>保护</w:t>
                  </w: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钻井材料储存应下垫上盖，井场周围及道路严禁洒落化工料。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严禁施工车辆随意开道，碾压植被、扰动土壤。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危险化学品分类摆放、标识（化学品安全技术说明书）清楚。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7" w:type="dxa"/>
                  <w:vMerge w:val="continue"/>
                  <w:noWrap w:val="0"/>
                  <w:vAlign w:val="center"/>
                </w:tcPr>
                <w:p>
                  <w:pPr>
                    <w:widowControl/>
                    <w:adjustRightInd/>
                    <w:snapToGrid/>
                    <w:jc w:val="left"/>
                    <w:rPr>
                      <w:bCs/>
                      <w:color w:val="auto"/>
                      <w:sz w:val="21"/>
                      <w:szCs w:val="21"/>
                    </w:rPr>
                  </w:pPr>
                </w:p>
              </w:tc>
              <w:tc>
                <w:tcPr>
                  <w:tcW w:w="8342" w:type="dxa"/>
                  <w:noWrap w:val="0"/>
                  <w:vAlign w:val="center"/>
                </w:tcPr>
                <w:p>
                  <w:pPr>
                    <w:widowControl/>
                    <w:adjustRightInd/>
                    <w:snapToGrid/>
                    <w:spacing w:before="100" w:beforeAutospacing="1" w:after="100" w:afterAutospacing="1"/>
                    <w:ind w:left="-120" w:leftChars="-50" w:right="-120" w:rightChars="-50"/>
                    <w:rPr>
                      <w:bCs/>
                      <w:color w:val="auto"/>
                      <w:sz w:val="21"/>
                      <w:szCs w:val="21"/>
                    </w:rPr>
                  </w:pPr>
                  <w:r>
                    <w:rPr>
                      <w:bCs/>
                      <w:color w:val="auto"/>
                      <w:sz w:val="21"/>
                      <w:szCs w:val="21"/>
                    </w:rPr>
                    <w:t>严禁破坏植被、捕杀野生动物。</w:t>
                  </w:r>
                </w:p>
              </w:tc>
            </w:tr>
          </w:tbl>
          <w:p>
            <w:pPr>
              <w:pStyle w:val="4"/>
              <w:rPr>
                <w:color w:val="auto"/>
              </w:rPr>
            </w:pPr>
            <w:r>
              <w:rPr>
                <w:color w:val="auto"/>
              </w:rPr>
              <w:t>（4）施工完成</w:t>
            </w:r>
          </w:p>
          <w:p>
            <w:pPr>
              <w:pStyle w:val="4"/>
              <w:rPr>
                <w:color w:val="auto"/>
              </w:rPr>
            </w:pPr>
            <w:r>
              <w:rPr>
                <w:color w:val="auto"/>
              </w:rPr>
              <w:t>施工完成后，做到井场整洁、无杂物；剩余污水、污泥应妥善处理。</w:t>
            </w:r>
          </w:p>
          <w:p>
            <w:pPr>
              <w:pStyle w:val="27"/>
              <w:rPr>
                <w:color w:val="auto"/>
              </w:rPr>
            </w:pPr>
            <w:r>
              <w:rPr>
                <w:color w:val="auto"/>
              </w:rPr>
              <w:t>表5</w:t>
            </w:r>
            <w:r>
              <w:rPr>
                <w:rFonts w:hint="eastAsia"/>
                <w:color w:val="auto"/>
              </w:rPr>
              <w:t>-</w:t>
            </w:r>
            <w:r>
              <w:rPr>
                <w:color w:val="auto"/>
              </w:rPr>
              <w:t>6  工程完工环境保护自检自查及环境监理验收检查内容</w:t>
            </w:r>
          </w:p>
          <w:tbl>
            <w:tblPr>
              <w:tblStyle w:val="1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68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82" w:type="dxa"/>
                  <w:noWrap w:val="0"/>
                  <w:vAlign w:val="center"/>
                </w:tcPr>
                <w:p>
                  <w:pPr>
                    <w:pStyle w:val="28"/>
                    <w:rPr>
                      <w:color w:val="auto"/>
                    </w:rPr>
                  </w:pPr>
                  <w:r>
                    <w:rPr>
                      <w:color w:val="auto"/>
                    </w:rPr>
                    <w:t>项目</w:t>
                  </w:r>
                </w:p>
              </w:tc>
              <w:tc>
                <w:tcPr>
                  <w:tcW w:w="7577" w:type="dxa"/>
                  <w:noWrap w:val="0"/>
                  <w:vAlign w:val="center"/>
                </w:tcPr>
                <w:p>
                  <w:pPr>
                    <w:pStyle w:val="28"/>
                    <w:rPr>
                      <w:color w:val="auto"/>
                    </w:rPr>
                  </w:pPr>
                  <w:r>
                    <w:rPr>
                      <w:color w:val="auto"/>
                    </w:rPr>
                    <w:t>检查内容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82" w:type="dxa"/>
                  <w:noWrap w:val="0"/>
                  <w:vAlign w:val="center"/>
                </w:tcPr>
                <w:p>
                  <w:pPr>
                    <w:pStyle w:val="28"/>
                    <w:rPr>
                      <w:color w:val="auto"/>
                    </w:rPr>
                  </w:pPr>
                  <w:r>
                    <w:rPr>
                      <w:color w:val="auto"/>
                    </w:rPr>
                    <w:t>资料</w:t>
                  </w:r>
                </w:p>
              </w:tc>
              <w:tc>
                <w:tcPr>
                  <w:tcW w:w="7577" w:type="dxa"/>
                  <w:noWrap w:val="0"/>
                  <w:vAlign w:val="center"/>
                </w:tcPr>
                <w:p>
                  <w:pPr>
                    <w:pStyle w:val="28"/>
                    <w:rPr>
                      <w:color w:val="auto"/>
                    </w:rPr>
                  </w:pPr>
                  <w:r>
                    <w:rPr>
                      <w:color w:val="auto"/>
                    </w:rPr>
                    <w:t>交井后将钻井现场及周围环境恢复情况的影像交环境监理（暂未处理的需备注清楚）。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82" w:type="dxa"/>
                  <w:noWrap w:val="0"/>
                  <w:vAlign w:val="center"/>
                </w:tcPr>
                <w:p>
                  <w:pPr>
                    <w:pStyle w:val="28"/>
                    <w:rPr>
                      <w:color w:val="auto"/>
                    </w:rPr>
                  </w:pPr>
                  <w:r>
                    <w:rPr>
                      <w:color w:val="auto"/>
                    </w:rPr>
                    <w:t>井场</w:t>
                  </w:r>
                </w:p>
              </w:tc>
              <w:tc>
                <w:tcPr>
                  <w:tcW w:w="7577" w:type="dxa"/>
                  <w:noWrap w:val="0"/>
                  <w:vAlign w:val="center"/>
                </w:tcPr>
                <w:p>
                  <w:pPr>
                    <w:pStyle w:val="28"/>
                    <w:rPr>
                      <w:color w:val="auto"/>
                    </w:rPr>
                  </w:pPr>
                  <w:r>
                    <w:rPr>
                      <w:color w:val="auto"/>
                    </w:rPr>
                    <w:t>井场整洁、平整，无工业和生活垃圾、无油污，无固废。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82" w:type="dxa"/>
                  <w:vMerge w:val="restart"/>
                  <w:noWrap w:val="0"/>
                  <w:vAlign w:val="center"/>
                </w:tcPr>
                <w:p>
                  <w:pPr>
                    <w:pStyle w:val="28"/>
                    <w:rPr>
                      <w:color w:val="auto"/>
                    </w:rPr>
                  </w:pPr>
                  <w:r>
                    <w:rPr>
                      <w:color w:val="auto"/>
                    </w:rPr>
                    <w:t>钻井液不落地系统</w:t>
                  </w:r>
                </w:p>
              </w:tc>
              <w:tc>
                <w:tcPr>
                  <w:tcW w:w="7577" w:type="dxa"/>
                  <w:noWrap w:val="0"/>
                  <w:vAlign w:val="center"/>
                </w:tcPr>
                <w:p>
                  <w:pPr>
                    <w:pStyle w:val="28"/>
                    <w:rPr>
                      <w:color w:val="auto"/>
                    </w:rPr>
                  </w:pPr>
                  <w:r>
                    <w:rPr>
                      <w:color w:val="auto"/>
                    </w:rPr>
                    <w:t>岩屑用于铺垫井场台</w:t>
                  </w:r>
                  <w:r>
                    <w:rPr>
                      <w:rFonts w:hint="eastAsia"/>
                      <w:color w:val="auto"/>
                      <w:lang w:val="en-US" w:eastAsia="zh-CN"/>
                    </w:rPr>
                    <w:t>账</w:t>
                  </w:r>
                  <w:r>
                    <w:rPr>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2" w:type="dxa"/>
                  <w:vMerge w:val="continue"/>
                  <w:noWrap w:val="0"/>
                  <w:vAlign w:val="center"/>
                </w:tcPr>
                <w:p>
                  <w:pPr>
                    <w:pStyle w:val="28"/>
                    <w:rPr>
                      <w:color w:val="auto"/>
                    </w:rPr>
                  </w:pPr>
                </w:p>
              </w:tc>
              <w:tc>
                <w:tcPr>
                  <w:tcW w:w="7577" w:type="dxa"/>
                  <w:noWrap w:val="0"/>
                  <w:vAlign w:val="center"/>
                </w:tcPr>
                <w:p>
                  <w:pPr>
                    <w:pStyle w:val="28"/>
                    <w:rPr>
                      <w:color w:val="auto"/>
                    </w:rPr>
                  </w:pPr>
                  <w:r>
                    <w:rPr>
                      <w:color w:val="auto"/>
                    </w:rPr>
                    <w:t>临时堆放岩屑备注性质、数量、占地面积、计划处理去向、完成日期等。</w:t>
                  </w:r>
                </w:p>
              </w:tc>
            </w:tr>
          </w:tbl>
          <w:p>
            <w:pPr>
              <w:pStyle w:val="4"/>
              <w:rPr>
                <w:color w:val="auto"/>
              </w:rPr>
            </w:pPr>
            <w:r>
              <w:rPr>
                <w:color w:val="auto"/>
              </w:rPr>
              <w:t>（5）其它规定</w:t>
            </w:r>
          </w:p>
          <w:p>
            <w:pPr>
              <w:pStyle w:val="4"/>
              <w:rPr>
                <w:color w:val="auto"/>
              </w:rPr>
            </w:pPr>
            <w:r>
              <w:rPr>
                <w:color w:val="auto"/>
              </w:rPr>
              <w:t>在野外施工现场不得乱扔废弃物，乱倒废油、废液；不允许破坏动物巢穴，追杀、捕猎和有意骚扰野生动物；减少施工对当地野生动、植物的影响。</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right="0" w:rightChars="0"/>
              <w:textAlignment w:val="auto"/>
              <w:rPr>
                <w:rFonts w:hint="default" w:ascii="Times New Roman" w:hAnsi="Times New Roman" w:eastAsia="宋体" w:cs="Times New Roman"/>
                <w:b/>
                <w:bCs/>
                <w:color w:val="auto"/>
                <w:sz w:val="28"/>
                <w:szCs w:val="28"/>
              </w:rPr>
            </w:pPr>
            <w:r>
              <w:rPr>
                <w:rFonts w:hint="eastAsia" w:eastAsia="宋体" w:cs="Times New Roman"/>
                <w:b/>
                <w:bCs/>
                <w:color w:val="auto"/>
                <w:sz w:val="28"/>
                <w:szCs w:val="28"/>
                <w:lang w:val="en-US" w:eastAsia="zh-CN"/>
              </w:rPr>
              <w:t>10</w:t>
            </w:r>
            <w:r>
              <w:rPr>
                <w:rFonts w:hint="default" w:ascii="Times New Roman" w:hAnsi="Times New Roman" w:eastAsia="宋体" w:cs="Times New Roman"/>
                <w:b/>
                <w:bCs/>
                <w:color w:val="auto"/>
                <w:sz w:val="28"/>
                <w:szCs w:val="28"/>
              </w:rPr>
              <w:t xml:space="preserve"> “三同时”验收</w:t>
            </w:r>
          </w:p>
          <w:p>
            <w:pPr>
              <w:pStyle w:val="4"/>
              <w:rPr>
                <w:color w:val="auto"/>
              </w:rPr>
            </w:pPr>
            <w:r>
              <w:rPr>
                <w:color w:val="auto"/>
              </w:rPr>
              <w:t>《中华人民共和国环境保护法》第四十一条中明确规定：“建设项目中防治污染的设施，必须与主体工程同时设计、同时施工、同时投产使用”。</w:t>
            </w:r>
          </w:p>
          <w:p>
            <w:pPr>
              <w:pStyle w:val="4"/>
              <w:rPr>
                <w:color w:val="auto"/>
              </w:rPr>
            </w:pPr>
            <w:r>
              <w:rPr>
                <w:color w:val="auto"/>
              </w:rPr>
              <w:t>评价井建成后建设单位应按照《建设项目竣工环境保护验收暂行办法》相关规定，开展竣工环境保护验收，建议按表5</w:t>
            </w:r>
            <w:r>
              <w:rPr>
                <w:rFonts w:hint="eastAsia"/>
                <w:color w:val="auto"/>
              </w:rPr>
              <w:t>-</w:t>
            </w:r>
            <w:r>
              <w:rPr>
                <w:color w:val="auto"/>
              </w:rPr>
              <w:t>7开展竣工环境保护验收。</w:t>
            </w:r>
          </w:p>
          <w:p>
            <w:pPr>
              <w:pStyle w:val="27"/>
              <w:rPr>
                <w:color w:val="auto"/>
              </w:rPr>
            </w:pPr>
            <w:r>
              <w:rPr>
                <w:color w:val="auto"/>
              </w:rPr>
              <w:t>表5</w:t>
            </w:r>
            <w:r>
              <w:rPr>
                <w:rFonts w:hint="eastAsia"/>
                <w:color w:val="auto"/>
              </w:rPr>
              <w:t>-</w:t>
            </w:r>
            <w:r>
              <w:rPr>
                <w:color w:val="auto"/>
              </w:rPr>
              <w:t>7  “三同时”竣工验收调查建议清单</w:t>
            </w:r>
          </w:p>
          <w:tbl>
            <w:tblPr>
              <w:tblStyle w:val="17"/>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73"/>
              <w:gridCol w:w="1347"/>
              <w:gridCol w:w="2970"/>
              <w:gridCol w:w="2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shd w:val="clear" w:color="auto" w:fill="auto"/>
                  <w:noWrap w:val="0"/>
                  <w:vAlign w:val="center"/>
                </w:tcPr>
                <w:p>
                  <w:pPr>
                    <w:pStyle w:val="28"/>
                    <w:rPr>
                      <w:color w:val="auto"/>
                    </w:rPr>
                  </w:pPr>
                  <w:bookmarkStart w:id="98" w:name="_Hlk85717542"/>
                  <w:r>
                    <w:rPr>
                      <w:color w:val="auto"/>
                    </w:rPr>
                    <w:t>验收</w:t>
                  </w:r>
                </w:p>
                <w:p>
                  <w:pPr>
                    <w:pStyle w:val="28"/>
                    <w:rPr>
                      <w:color w:val="auto"/>
                    </w:rPr>
                  </w:pPr>
                  <w:r>
                    <w:rPr>
                      <w:color w:val="auto"/>
                    </w:rPr>
                    <w:t>内容</w:t>
                  </w:r>
                </w:p>
              </w:tc>
              <w:tc>
                <w:tcPr>
                  <w:tcW w:w="469" w:type="pct"/>
                  <w:shd w:val="clear" w:color="auto" w:fill="auto"/>
                  <w:noWrap w:val="0"/>
                  <w:vAlign w:val="center"/>
                </w:tcPr>
                <w:p>
                  <w:pPr>
                    <w:pStyle w:val="28"/>
                    <w:rPr>
                      <w:color w:val="auto"/>
                    </w:rPr>
                  </w:pPr>
                  <w:r>
                    <w:rPr>
                      <w:color w:val="auto"/>
                    </w:rPr>
                    <w:t>位置</w:t>
                  </w:r>
                </w:p>
              </w:tc>
              <w:tc>
                <w:tcPr>
                  <w:tcW w:w="818" w:type="pct"/>
                  <w:shd w:val="clear" w:color="auto" w:fill="auto"/>
                  <w:noWrap w:val="0"/>
                  <w:vAlign w:val="center"/>
                </w:tcPr>
                <w:p>
                  <w:pPr>
                    <w:pStyle w:val="28"/>
                    <w:rPr>
                      <w:color w:val="auto"/>
                    </w:rPr>
                  </w:pPr>
                  <w:r>
                    <w:rPr>
                      <w:color w:val="auto"/>
                    </w:rPr>
                    <w:t>治理对象</w:t>
                  </w:r>
                </w:p>
              </w:tc>
              <w:tc>
                <w:tcPr>
                  <w:tcW w:w="1804" w:type="pct"/>
                  <w:shd w:val="clear" w:color="auto" w:fill="auto"/>
                  <w:noWrap w:val="0"/>
                  <w:vAlign w:val="center"/>
                </w:tcPr>
                <w:p>
                  <w:pPr>
                    <w:pStyle w:val="28"/>
                    <w:rPr>
                      <w:color w:val="auto"/>
                    </w:rPr>
                  </w:pPr>
                  <w:r>
                    <w:rPr>
                      <w:color w:val="auto"/>
                    </w:rPr>
                    <w:t>防治措施</w:t>
                  </w:r>
                </w:p>
              </w:tc>
              <w:tc>
                <w:tcPr>
                  <w:tcW w:w="1464" w:type="pct"/>
                  <w:shd w:val="clear" w:color="auto" w:fill="auto"/>
                  <w:noWrap w:val="0"/>
                  <w:vAlign w:val="center"/>
                </w:tcPr>
                <w:p>
                  <w:pPr>
                    <w:pStyle w:val="28"/>
                    <w:rPr>
                      <w:color w:val="auto"/>
                    </w:rPr>
                  </w:pPr>
                  <w:r>
                    <w:rPr>
                      <w:color w:val="auto"/>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shd w:val="clear" w:color="auto" w:fill="auto"/>
                  <w:noWrap w:val="0"/>
                  <w:vAlign w:val="center"/>
                </w:tcPr>
                <w:p>
                  <w:pPr>
                    <w:pStyle w:val="28"/>
                    <w:rPr>
                      <w:color w:val="auto"/>
                    </w:rPr>
                  </w:pPr>
                  <w:r>
                    <w:rPr>
                      <w:color w:val="auto"/>
                    </w:rPr>
                    <w:t>废气</w:t>
                  </w:r>
                </w:p>
              </w:tc>
              <w:tc>
                <w:tcPr>
                  <w:tcW w:w="469" w:type="pct"/>
                  <w:vMerge w:val="restart"/>
                  <w:shd w:val="clear" w:color="auto" w:fill="auto"/>
                  <w:noWrap w:val="0"/>
                  <w:vAlign w:val="center"/>
                </w:tcPr>
                <w:p>
                  <w:pPr>
                    <w:pStyle w:val="28"/>
                    <w:rPr>
                      <w:color w:val="auto"/>
                    </w:rPr>
                  </w:pPr>
                  <w:r>
                    <w:rPr>
                      <w:color w:val="auto"/>
                    </w:rPr>
                    <w:t>井场</w:t>
                  </w:r>
                </w:p>
              </w:tc>
              <w:tc>
                <w:tcPr>
                  <w:tcW w:w="818" w:type="pct"/>
                  <w:shd w:val="clear" w:color="auto" w:fill="auto"/>
                  <w:noWrap w:val="0"/>
                  <w:vAlign w:val="center"/>
                </w:tcPr>
                <w:p>
                  <w:pPr>
                    <w:pStyle w:val="28"/>
                    <w:rPr>
                      <w:color w:val="auto"/>
                    </w:rPr>
                  </w:pPr>
                  <w:r>
                    <w:rPr>
                      <w:color w:val="auto"/>
                    </w:rPr>
                    <w:t>柴油废气</w:t>
                  </w:r>
                </w:p>
              </w:tc>
              <w:tc>
                <w:tcPr>
                  <w:tcW w:w="1804" w:type="pct"/>
                  <w:shd w:val="clear" w:color="auto" w:fill="auto"/>
                  <w:noWrap w:val="0"/>
                  <w:vAlign w:val="center"/>
                </w:tcPr>
                <w:p>
                  <w:pPr>
                    <w:pStyle w:val="28"/>
                    <w:rPr>
                      <w:color w:val="auto"/>
                    </w:rPr>
                  </w:pPr>
                  <w:r>
                    <w:rPr>
                      <w:color w:val="auto"/>
                    </w:rPr>
                    <w:t>使用达标柴油，加强设备维护</w:t>
                  </w:r>
                </w:p>
              </w:tc>
              <w:tc>
                <w:tcPr>
                  <w:tcW w:w="1464" w:type="pct"/>
                  <w:vMerge w:val="restart"/>
                  <w:shd w:val="clear" w:color="auto" w:fill="auto"/>
                  <w:noWrap w:val="0"/>
                  <w:vAlign w:val="center"/>
                </w:tcPr>
                <w:p>
                  <w:pPr>
                    <w:pStyle w:val="28"/>
                    <w:rPr>
                      <w:color w:val="auto"/>
                    </w:rPr>
                  </w:pPr>
                  <w:r>
                    <w:rPr>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color w:val="auto"/>
                    </w:rPr>
                    <w:t>扬尘</w:t>
                  </w:r>
                </w:p>
              </w:tc>
              <w:tc>
                <w:tcPr>
                  <w:tcW w:w="1804" w:type="pct"/>
                  <w:shd w:val="clear" w:color="auto" w:fill="auto"/>
                  <w:noWrap w:val="0"/>
                  <w:vAlign w:val="center"/>
                </w:tcPr>
                <w:p>
                  <w:pPr>
                    <w:pStyle w:val="28"/>
                    <w:rPr>
                      <w:color w:val="auto"/>
                    </w:rPr>
                  </w:pPr>
                  <w:r>
                    <w:rPr>
                      <w:color w:val="auto"/>
                    </w:rPr>
                    <w:t>对易起尘物料遮盖，加强车辆管理</w:t>
                  </w:r>
                </w:p>
              </w:tc>
              <w:tc>
                <w:tcPr>
                  <w:tcW w:w="1464" w:type="pct"/>
                  <w:vMerge w:val="continue"/>
                  <w:shd w:val="clear" w:color="auto" w:fill="auto"/>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rFonts w:hint="eastAsia"/>
                      <w:color w:val="auto"/>
                    </w:rPr>
                    <w:t>试油期无组织排放V</w:t>
                  </w:r>
                  <w:r>
                    <w:rPr>
                      <w:color w:val="auto"/>
                    </w:rPr>
                    <w:t>OC</w:t>
                  </w:r>
                  <w:r>
                    <w:rPr>
                      <w:color w:val="auto"/>
                      <w:vertAlign w:val="subscript"/>
                    </w:rPr>
                    <w:t>S</w:t>
                  </w:r>
                </w:p>
              </w:tc>
              <w:tc>
                <w:tcPr>
                  <w:tcW w:w="1804" w:type="pct"/>
                  <w:shd w:val="clear" w:color="auto" w:fill="auto"/>
                  <w:noWrap w:val="0"/>
                  <w:vAlign w:val="center"/>
                </w:tcPr>
                <w:p>
                  <w:pPr>
                    <w:pStyle w:val="28"/>
                    <w:rPr>
                      <w:color w:val="auto"/>
                    </w:rPr>
                  </w:pPr>
                  <w:r>
                    <w:rPr>
                      <w:rFonts w:hint="eastAsia"/>
                      <w:color w:val="auto"/>
                    </w:rPr>
                    <w:t>采用底部装载或顶部浸没式装载方式，采用顶部浸没式装载的，出口管口距离罐底部高度应小于200mm</w:t>
                  </w:r>
                </w:p>
              </w:tc>
              <w:tc>
                <w:tcPr>
                  <w:tcW w:w="1464" w:type="pct"/>
                  <w:shd w:val="clear" w:color="auto" w:fill="auto"/>
                  <w:noWrap w:val="0"/>
                  <w:vAlign w:val="center"/>
                </w:tcPr>
                <w:p>
                  <w:pPr>
                    <w:pStyle w:val="28"/>
                    <w:rPr>
                      <w:rFonts w:hint="eastAsia"/>
                      <w:color w:val="auto"/>
                    </w:rPr>
                  </w:pPr>
                  <w:r>
                    <w:rPr>
                      <w:rFonts w:hint="eastAsia"/>
                      <w:color w:val="auto"/>
                    </w:rPr>
                    <w:t>《陆上石油天然气开采工业大气污</w:t>
                  </w:r>
                </w:p>
                <w:p>
                  <w:pPr>
                    <w:pStyle w:val="28"/>
                    <w:rPr>
                      <w:color w:val="auto"/>
                    </w:rPr>
                  </w:pPr>
                  <w:r>
                    <w:rPr>
                      <w:rFonts w:hint="eastAsia"/>
                      <w:color w:val="auto"/>
                    </w:rPr>
                    <w:t>染物排放标准》（GB39728-2020）中企业边界污染物控制要求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shd w:val="clear" w:color="auto" w:fill="auto"/>
                  <w:noWrap w:val="0"/>
                  <w:vAlign w:val="center"/>
                </w:tcPr>
                <w:p>
                  <w:pPr>
                    <w:pStyle w:val="28"/>
                    <w:rPr>
                      <w:color w:val="auto"/>
                    </w:rPr>
                  </w:pPr>
                  <w:r>
                    <w:rPr>
                      <w:color w:val="auto"/>
                    </w:rPr>
                    <w:t>废水</w:t>
                  </w:r>
                </w:p>
              </w:tc>
              <w:tc>
                <w:tcPr>
                  <w:tcW w:w="469" w:type="pct"/>
                  <w:vMerge w:val="restart"/>
                  <w:shd w:val="clear" w:color="auto" w:fill="auto"/>
                  <w:noWrap w:val="0"/>
                  <w:vAlign w:val="center"/>
                </w:tcPr>
                <w:p>
                  <w:pPr>
                    <w:pStyle w:val="28"/>
                    <w:rPr>
                      <w:color w:val="auto"/>
                    </w:rPr>
                  </w:pPr>
                  <w:r>
                    <w:rPr>
                      <w:color w:val="auto"/>
                    </w:rPr>
                    <w:t>井场</w:t>
                  </w:r>
                </w:p>
              </w:tc>
              <w:tc>
                <w:tcPr>
                  <w:tcW w:w="818" w:type="pct"/>
                  <w:shd w:val="clear" w:color="auto" w:fill="auto"/>
                  <w:noWrap w:val="0"/>
                  <w:vAlign w:val="center"/>
                </w:tcPr>
                <w:p>
                  <w:pPr>
                    <w:pStyle w:val="28"/>
                    <w:rPr>
                      <w:color w:val="auto"/>
                    </w:rPr>
                  </w:pPr>
                  <w:r>
                    <w:rPr>
                      <w:color w:val="auto"/>
                    </w:rPr>
                    <w:t>生活污水</w:t>
                  </w:r>
                </w:p>
              </w:tc>
              <w:tc>
                <w:tcPr>
                  <w:tcW w:w="1804" w:type="pct"/>
                  <w:shd w:val="clear" w:color="auto" w:fill="auto"/>
                  <w:noWrap w:val="0"/>
                  <w:vAlign w:val="center"/>
                </w:tcPr>
                <w:p>
                  <w:pPr>
                    <w:pStyle w:val="28"/>
                    <w:rPr>
                      <w:color w:val="auto"/>
                    </w:rPr>
                  </w:pPr>
                  <w:r>
                    <w:rPr>
                      <w:color w:val="auto"/>
                    </w:rPr>
                    <w:t>排入防渗污水收集池，</w:t>
                  </w:r>
                  <w:r>
                    <w:rPr>
                      <w:rFonts w:hint="eastAsia"/>
                      <w:color w:val="auto"/>
                    </w:rPr>
                    <w:t>定期</w:t>
                  </w:r>
                  <w:r>
                    <w:rPr>
                      <w:color w:val="auto"/>
                    </w:rPr>
                    <w:t>拉运至</w:t>
                  </w:r>
                  <w:r>
                    <w:rPr>
                      <w:rFonts w:hint="eastAsia"/>
                      <w:color w:val="auto"/>
                      <w:lang w:val="en-US" w:eastAsia="zh-CN"/>
                    </w:rPr>
                    <w:t>五彩湾生产服务区污水处理厂</w:t>
                  </w:r>
                  <w:r>
                    <w:rPr>
                      <w:color w:val="auto"/>
                    </w:rPr>
                    <w:t>处理</w:t>
                  </w:r>
                </w:p>
              </w:tc>
              <w:tc>
                <w:tcPr>
                  <w:tcW w:w="1464" w:type="pct"/>
                  <w:shd w:val="clear" w:color="auto" w:fill="auto"/>
                  <w:noWrap w:val="0"/>
                  <w:vAlign w:val="center"/>
                </w:tcPr>
                <w:p>
                  <w:pPr>
                    <w:pStyle w:val="28"/>
                    <w:rPr>
                      <w:rFonts w:hint="eastAsia"/>
                      <w:color w:val="auto"/>
                    </w:rPr>
                  </w:pPr>
                  <w:r>
                    <w:rPr>
                      <w:rFonts w:hint="eastAsia"/>
                      <w:color w:val="auto"/>
                    </w:rPr>
                    <w:t>《污水综合排放标准》（GB8978-1996）</w:t>
                  </w:r>
                </w:p>
                <w:p>
                  <w:pPr>
                    <w:pStyle w:val="28"/>
                    <w:rPr>
                      <w:color w:val="auto"/>
                    </w:rPr>
                  </w:pPr>
                  <w:r>
                    <w:rPr>
                      <w:rFonts w:hint="eastAsia"/>
                      <w:color w:val="auto"/>
                    </w:rPr>
                    <w:t>表4 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color w:val="auto"/>
                    </w:rPr>
                    <w:t>试油期</w:t>
                  </w:r>
                  <w:r>
                    <w:rPr>
                      <w:rFonts w:hint="eastAsia"/>
                      <w:color w:val="auto"/>
                    </w:rPr>
                    <w:t>井下作业废水</w:t>
                  </w:r>
                </w:p>
              </w:tc>
              <w:tc>
                <w:tcPr>
                  <w:tcW w:w="1804" w:type="pct"/>
                  <w:shd w:val="clear" w:color="auto" w:fill="auto"/>
                  <w:noWrap w:val="0"/>
                  <w:vAlign w:val="center"/>
                </w:tcPr>
                <w:p>
                  <w:pPr>
                    <w:pStyle w:val="28"/>
                    <w:rPr>
                      <w:color w:val="auto"/>
                    </w:rPr>
                  </w:pPr>
                  <w:r>
                    <w:rPr>
                      <w:color w:val="auto"/>
                    </w:rPr>
                    <w:t>作业单位自带回收罐回收，</w:t>
                  </w:r>
                  <w:r>
                    <w:rPr>
                      <w:color w:val="auto"/>
                      <w:szCs w:val="24"/>
                    </w:rPr>
                    <w:t>拉运至吉祥联合站达标后回注油藏</w:t>
                  </w:r>
                </w:p>
              </w:tc>
              <w:tc>
                <w:tcPr>
                  <w:tcW w:w="1464" w:type="pct"/>
                  <w:shd w:val="clear" w:color="auto" w:fill="auto"/>
                  <w:noWrap w:val="0"/>
                  <w:vAlign w:val="center"/>
                </w:tcPr>
                <w:p>
                  <w:pPr>
                    <w:pStyle w:val="28"/>
                    <w:rPr>
                      <w:color w:val="auto"/>
                    </w:rPr>
                  </w:pPr>
                  <w:r>
                    <w:rPr>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42" w:type="pct"/>
                  <w:vMerge w:val="restart"/>
                  <w:shd w:val="clear" w:color="auto" w:fill="auto"/>
                  <w:noWrap w:val="0"/>
                  <w:vAlign w:val="center"/>
                </w:tcPr>
                <w:p>
                  <w:pPr>
                    <w:pStyle w:val="28"/>
                    <w:rPr>
                      <w:color w:val="auto"/>
                    </w:rPr>
                  </w:pPr>
                  <w:r>
                    <w:rPr>
                      <w:color w:val="auto"/>
                    </w:rPr>
                    <w:t>固废</w:t>
                  </w:r>
                </w:p>
              </w:tc>
              <w:tc>
                <w:tcPr>
                  <w:tcW w:w="469" w:type="pct"/>
                  <w:vMerge w:val="restart"/>
                  <w:shd w:val="clear" w:color="auto" w:fill="auto"/>
                  <w:noWrap w:val="0"/>
                  <w:vAlign w:val="center"/>
                </w:tcPr>
                <w:p>
                  <w:pPr>
                    <w:pStyle w:val="28"/>
                    <w:rPr>
                      <w:color w:val="auto"/>
                    </w:rPr>
                  </w:pPr>
                  <w:r>
                    <w:rPr>
                      <w:color w:val="auto"/>
                    </w:rPr>
                    <w:t>井场</w:t>
                  </w:r>
                </w:p>
              </w:tc>
              <w:tc>
                <w:tcPr>
                  <w:tcW w:w="818" w:type="pct"/>
                  <w:shd w:val="clear" w:color="auto" w:fill="auto"/>
                  <w:noWrap w:val="0"/>
                  <w:vAlign w:val="center"/>
                </w:tcPr>
                <w:p>
                  <w:pPr>
                    <w:pStyle w:val="28"/>
                    <w:rPr>
                      <w:color w:val="auto"/>
                    </w:rPr>
                  </w:pPr>
                  <w:r>
                    <w:rPr>
                      <w:color w:val="auto"/>
                    </w:rPr>
                    <w:t>钻井泥浆</w:t>
                  </w:r>
                </w:p>
              </w:tc>
              <w:tc>
                <w:tcPr>
                  <w:tcW w:w="1804" w:type="pct"/>
                  <w:shd w:val="clear" w:color="auto" w:fill="auto"/>
                  <w:noWrap w:val="0"/>
                  <w:vAlign w:val="center"/>
                </w:tcPr>
                <w:p>
                  <w:pPr>
                    <w:pStyle w:val="28"/>
                    <w:rPr>
                      <w:color w:val="auto"/>
                    </w:rPr>
                  </w:pPr>
                  <w:r>
                    <w:rPr>
                      <w:bCs/>
                      <w:color w:val="auto"/>
                      <w:sz w:val="21"/>
                      <w:szCs w:val="21"/>
                    </w:rPr>
                    <w:t>泥浆经“钻井泥浆不落地技术”处理后循环使用，完井后剩余泥浆由</w:t>
                  </w:r>
                  <w:r>
                    <w:rPr>
                      <w:rFonts w:hint="eastAsia"/>
                      <w:bCs/>
                      <w:color w:val="auto"/>
                      <w:sz w:val="21"/>
                      <w:szCs w:val="21"/>
                      <w:lang w:eastAsia="zh-CN"/>
                    </w:rPr>
                    <w:t>钻井队</w:t>
                  </w:r>
                  <w:r>
                    <w:rPr>
                      <w:bCs/>
                      <w:color w:val="auto"/>
                      <w:sz w:val="21"/>
                      <w:szCs w:val="21"/>
                    </w:rPr>
                    <w:t>回收利用</w:t>
                  </w:r>
                </w:p>
              </w:tc>
              <w:tc>
                <w:tcPr>
                  <w:tcW w:w="1464" w:type="pct"/>
                  <w:shd w:val="clear" w:color="auto" w:fill="auto"/>
                  <w:noWrap w:val="0"/>
                  <w:vAlign w:val="center"/>
                </w:tcPr>
                <w:p>
                  <w:pPr>
                    <w:pStyle w:val="28"/>
                    <w:rPr>
                      <w:color w:val="auto"/>
                    </w:rPr>
                  </w:pPr>
                  <w:r>
                    <w:rPr>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rFonts w:hint="eastAsia"/>
                      <w:color w:val="auto"/>
                      <w:lang w:val="en-US" w:eastAsia="zh-CN"/>
                    </w:rPr>
                    <w:t>钻井</w:t>
                  </w:r>
                  <w:r>
                    <w:rPr>
                      <w:color w:val="auto"/>
                    </w:rPr>
                    <w:t>岩屑</w:t>
                  </w:r>
                </w:p>
              </w:tc>
              <w:tc>
                <w:tcPr>
                  <w:tcW w:w="1804" w:type="pct"/>
                  <w:shd w:val="clear" w:color="auto" w:fill="auto"/>
                  <w:noWrap w:val="0"/>
                  <w:vAlign w:val="center"/>
                </w:tcPr>
                <w:p>
                  <w:pPr>
                    <w:pStyle w:val="28"/>
                    <w:rPr>
                      <w:color w:val="auto"/>
                    </w:rPr>
                  </w:pPr>
                  <w:r>
                    <w:rPr>
                      <w:bCs/>
                      <w:color w:val="auto"/>
                      <w:sz w:val="21"/>
                      <w:szCs w:val="21"/>
                    </w:rPr>
                    <w:t>岩屑经“钻井泥浆不落地技术”分离后</w:t>
                  </w:r>
                  <w:r>
                    <w:rPr>
                      <w:rFonts w:hint="eastAsia"/>
                      <w:bCs/>
                      <w:color w:val="auto"/>
                      <w:sz w:val="21"/>
                      <w:szCs w:val="21"/>
                      <w:lang w:eastAsia="zh-CN"/>
                    </w:rPr>
                    <w:t>暂存方形收集池，委托第三方进行合规处置，自行利用</w:t>
                  </w:r>
                </w:p>
              </w:tc>
              <w:tc>
                <w:tcPr>
                  <w:tcW w:w="1464" w:type="pct"/>
                  <w:shd w:val="clear" w:color="auto" w:fill="auto"/>
                  <w:noWrap w:val="0"/>
                  <w:vAlign w:val="center"/>
                </w:tcPr>
                <w:p>
                  <w:pPr>
                    <w:pStyle w:val="28"/>
                    <w:rPr>
                      <w:color w:val="auto"/>
                    </w:rPr>
                  </w:pPr>
                  <w:r>
                    <w:rPr>
                      <w:color w:val="auto"/>
                    </w:rPr>
                    <w:t>《油气田钻井固体废物综合利用污染控制要求》（DB65/T 3997-2017）中综合利用污染物限值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rFonts w:hint="eastAsia"/>
                      <w:color w:val="auto"/>
                    </w:rPr>
                    <w:t>压裂返排液</w:t>
                  </w:r>
                </w:p>
              </w:tc>
              <w:tc>
                <w:tcPr>
                  <w:tcW w:w="1804" w:type="pct"/>
                  <w:shd w:val="clear" w:color="auto" w:fill="auto"/>
                  <w:noWrap w:val="0"/>
                  <w:vAlign w:val="center"/>
                </w:tcPr>
                <w:p>
                  <w:pPr>
                    <w:pStyle w:val="28"/>
                    <w:rPr>
                      <w:color w:val="auto"/>
                    </w:rPr>
                  </w:pPr>
                  <w:r>
                    <w:rPr>
                      <w:rFonts w:hint="eastAsia" w:ascii="Times New Roman" w:hAnsi="Times New Roman" w:eastAsia="宋体" w:cs="Times New Roman"/>
                      <w:bCs/>
                      <w:color w:val="auto"/>
                      <w:sz w:val="21"/>
                      <w:szCs w:val="21"/>
                      <w:lang w:eastAsia="zh-CN"/>
                    </w:rPr>
                    <w:t>压裂返排液入方罐，拉运至吉祥联合站，上清液进入污水处理系统处理，污水处理后达到《碎屑岩油藏注水水质推荐指标及分析方法》（SY/T5329-2012）中标准限值后回注油藏；油泥委托有资质单位合规处置</w:t>
                  </w:r>
                </w:p>
              </w:tc>
              <w:tc>
                <w:tcPr>
                  <w:tcW w:w="1464" w:type="pct"/>
                  <w:shd w:val="clear" w:color="auto" w:fill="auto"/>
                  <w:noWrap w:val="0"/>
                  <w:vAlign w:val="center"/>
                </w:tcPr>
                <w:p>
                  <w:pPr>
                    <w:pStyle w:val="28"/>
                    <w:rPr>
                      <w:rFonts w:hint="eastAsia" w:eastAsia="宋体"/>
                      <w:color w:val="auto"/>
                      <w:lang w:eastAsia="zh-CN"/>
                    </w:rPr>
                  </w:pPr>
                  <w:r>
                    <w:rPr>
                      <w:rFonts w:hint="eastAsia"/>
                      <w:color w:val="auto"/>
                      <w:lang w:val="en-US" w:eastAsia="zh-CN"/>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color w:val="auto"/>
                    </w:rPr>
                    <w:t>落地油</w:t>
                  </w:r>
                </w:p>
              </w:tc>
              <w:tc>
                <w:tcPr>
                  <w:tcW w:w="1804" w:type="pct"/>
                  <w:shd w:val="clear" w:color="auto" w:fill="auto"/>
                  <w:noWrap w:val="0"/>
                  <w:vAlign w:val="center"/>
                </w:tcPr>
                <w:p>
                  <w:pPr>
                    <w:pStyle w:val="28"/>
                    <w:rPr>
                      <w:color w:val="auto"/>
                    </w:rPr>
                  </w:pPr>
                  <w:r>
                    <w:rPr>
                      <w:color w:val="auto"/>
                    </w:rPr>
                    <w:t>落地油</w:t>
                  </w:r>
                  <w:r>
                    <w:rPr>
                      <w:rFonts w:hint="eastAsia"/>
                      <w:color w:val="auto"/>
                    </w:rPr>
                    <w:t>1</w:t>
                  </w:r>
                  <w:r>
                    <w:rPr>
                      <w:color w:val="auto"/>
                    </w:rPr>
                    <w:t>00%回收，</w:t>
                  </w:r>
                  <w:r>
                    <w:rPr>
                      <w:rFonts w:hint="eastAsia"/>
                      <w:color w:val="auto"/>
                    </w:rPr>
                    <w:t>定期交由有相应危险废物处理资质的单位处置</w:t>
                  </w:r>
                </w:p>
              </w:tc>
              <w:tc>
                <w:tcPr>
                  <w:tcW w:w="1464" w:type="pct"/>
                  <w:shd w:val="clear" w:color="auto" w:fill="auto"/>
                  <w:noWrap w:val="0"/>
                  <w:vAlign w:val="center"/>
                </w:tcPr>
                <w:p>
                  <w:pPr>
                    <w:pStyle w:val="28"/>
                    <w:rPr>
                      <w:rFonts w:hint="eastAsia"/>
                      <w:color w:val="auto"/>
                    </w:rPr>
                  </w:pPr>
                  <w:r>
                    <w:rPr>
                      <w:rFonts w:hint="eastAsia"/>
                      <w:color w:val="auto"/>
                    </w:rPr>
                    <w:t>《陆上石油天然气开采含油污泥处理处置及污染控制技术规范》（SY/T7300-2016）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rFonts w:hint="eastAsia"/>
                      <w:color w:val="auto"/>
                    </w:rPr>
                    <w:t>废弃防渗膜</w:t>
                  </w:r>
                </w:p>
              </w:tc>
              <w:tc>
                <w:tcPr>
                  <w:tcW w:w="1804" w:type="pct"/>
                  <w:shd w:val="clear" w:color="auto" w:fill="auto"/>
                  <w:noWrap w:val="0"/>
                  <w:vAlign w:val="center"/>
                </w:tcPr>
                <w:p>
                  <w:pPr>
                    <w:pStyle w:val="28"/>
                    <w:rPr>
                      <w:color w:val="auto"/>
                    </w:rPr>
                  </w:pPr>
                  <w:r>
                    <w:rPr>
                      <w:color w:val="auto"/>
                    </w:rPr>
                    <w:t>委托有</w:t>
                  </w:r>
                  <w:r>
                    <w:rPr>
                      <w:bCs/>
                      <w:color w:val="auto"/>
                    </w:rPr>
                    <w:t>危废处置资质单位处理</w:t>
                  </w:r>
                </w:p>
              </w:tc>
              <w:tc>
                <w:tcPr>
                  <w:tcW w:w="1464" w:type="pct"/>
                  <w:shd w:val="clear" w:color="auto" w:fill="auto"/>
                  <w:noWrap w:val="0"/>
                  <w:vAlign w:val="center"/>
                </w:tcPr>
                <w:p>
                  <w:pPr>
                    <w:pStyle w:val="28"/>
                    <w:rPr>
                      <w:rFonts w:hint="eastAsia"/>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shd w:val="clear" w:color="auto" w:fill="auto"/>
                  <w:noWrap w:val="0"/>
                  <w:vAlign w:val="center"/>
                </w:tcPr>
                <w:p>
                  <w:pPr>
                    <w:pStyle w:val="28"/>
                    <w:rPr>
                      <w:color w:val="auto"/>
                    </w:rPr>
                  </w:pPr>
                </w:p>
              </w:tc>
              <w:tc>
                <w:tcPr>
                  <w:tcW w:w="469" w:type="pct"/>
                  <w:shd w:val="clear" w:color="auto" w:fill="auto"/>
                  <w:noWrap w:val="0"/>
                  <w:vAlign w:val="center"/>
                </w:tcPr>
                <w:p>
                  <w:pPr>
                    <w:pStyle w:val="28"/>
                    <w:rPr>
                      <w:color w:val="auto"/>
                    </w:rPr>
                  </w:pPr>
                  <w:r>
                    <w:rPr>
                      <w:rFonts w:hint="eastAsia"/>
                      <w:color w:val="auto"/>
                    </w:rPr>
                    <w:t>施工营地</w:t>
                  </w:r>
                </w:p>
              </w:tc>
              <w:tc>
                <w:tcPr>
                  <w:tcW w:w="818" w:type="pct"/>
                  <w:shd w:val="clear" w:color="auto" w:fill="auto"/>
                  <w:noWrap w:val="0"/>
                  <w:vAlign w:val="center"/>
                </w:tcPr>
                <w:p>
                  <w:pPr>
                    <w:pStyle w:val="28"/>
                    <w:rPr>
                      <w:color w:val="auto"/>
                    </w:rPr>
                  </w:pPr>
                  <w:r>
                    <w:rPr>
                      <w:rFonts w:hint="eastAsia"/>
                      <w:color w:val="auto"/>
                    </w:rPr>
                    <w:t>生活垃圾</w:t>
                  </w:r>
                </w:p>
              </w:tc>
              <w:tc>
                <w:tcPr>
                  <w:tcW w:w="1804" w:type="pct"/>
                  <w:shd w:val="clear" w:color="auto" w:fill="auto"/>
                  <w:noWrap w:val="0"/>
                  <w:vAlign w:val="center"/>
                </w:tcPr>
                <w:p>
                  <w:pPr>
                    <w:pStyle w:val="28"/>
                    <w:rPr>
                      <w:color w:val="auto"/>
                    </w:rPr>
                  </w:pPr>
                  <w:r>
                    <w:rPr>
                      <w:rFonts w:hint="eastAsia"/>
                      <w:color w:val="auto"/>
                    </w:rPr>
                    <w:t>集中收集后定期拉运至</w:t>
                  </w:r>
                  <w:r>
                    <w:rPr>
                      <w:rFonts w:hint="eastAsia"/>
                      <w:color w:val="auto"/>
                      <w:lang w:val="en-US" w:eastAsia="zh-CN"/>
                    </w:rPr>
                    <w:t>吉木萨尔</w:t>
                  </w:r>
                  <w:r>
                    <w:rPr>
                      <w:rFonts w:hint="eastAsia"/>
                      <w:color w:val="auto"/>
                    </w:rPr>
                    <w:t>县生活垃圾填埋场</w:t>
                  </w:r>
                </w:p>
              </w:tc>
              <w:tc>
                <w:tcPr>
                  <w:tcW w:w="1464" w:type="pct"/>
                  <w:shd w:val="clear" w:color="auto" w:fill="auto"/>
                  <w:noWrap w:val="0"/>
                  <w:vAlign w:val="center"/>
                </w:tcPr>
                <w:p>
                  <w:pPr>
                    <w:pStyle w:val="28"/>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shd w:val="clear" w:color="auto" w:fill="auto"/>
                  <w:noWrap w:val="0"/>
                  <w:vAlign w:val="center"/>
                </w:tcPr>
                <w:p>
                  <w:pPr>
                    <w:pStyle w:val="28"/>
                    <w:rPr>
                      <w:color w:val="auto"/>
                    </w:rPr>
                  </w:pPr>
                  <w:r>
                    <w:rPr>
                      <w:color w:val="auto"/>
                    </w:rPr>
                    <w:t>生态</w:t>
                  </w:r>
                </w:p>
              </w:tc>
              <w:tc>
                <w:tcPr>
                  <w:tcW w:w="469" w:type="pct"/>
                  <w:vMerge w:val="restart"/>
                  <w:shd w:val="clear" w:color="auto" w:fill="auto"/>
                  <w:noWrap w:val="0"/>
                  <w:vAlign w:val="center"/>
                </w:tcPr>
                <w:p>
                  <w:pPr>
                    <w:pStyle w:val="28"/>
                    <w:rPr>
                      <w:color w:val="auto"/>
                    </w:rPr>
                  </w:pPr>
                  <w:r>
                    <w:rPr>
                      <w:color w:val="auto"/>
                    </w:rPr>
                    <w:t>井场、道路及生活营地</w:t>
                  </w:r>
                </w:p>
              </w:tc>
              <w:tc>
                <w:tcPr>
                  <w:tcW w:w="818" w:type="pct"/>
                  <w:shd w:val="clear" w:color="auto" w:fill="auto"/>
                  <w:noWrap w:val="0"/>
                  <w:vAlign w:val="center"/>
                </w:tcPr>
                <w:p>
                  <w:pPr>
                    <w:pStyle w:val="28"/>
                    <w:rPr>
                      <w:color w:val="auto"/>
                    </w:rPr>
                  </w:pPr>
                  <w:r>
                    <w:rPr>
                      <w:color w:val="auto"/>
                    </w:rPr>
                    <w:t>生态恢复</w:t>
                  </w:r>
                </w:p>
              </w:tc>
              <w:tc>
                <w:tcPr>
                  <w:tcW w:w="3269" w:type="pct"/>
                  <w:gridSpan w:val="2"/>
                  <w:shd w:val="clear" w:color="auto" w:fill="auto"/>
                  <w:noWrap w:val="0"/>
                  <w:vAlign w:val="center"/>
                </w:tcPr>
                <w:p>
                  <w:pPr>
                    <w:pStyle w:val="28"/>
                    <w:rPr>
                      <w:color w:val="auto"/>
                      <w:spacing w:val="-4"/>
                    </w:rPr>
                  </w:pPr>
                  <w:r>
                    <w:rPr>
                      <w:color w:val="auto"/>
                    </w:rPr>
                    <w:t>生态保护措施落实情况；</w:t>
                  </w:r>
                  <w:r>
                    <w:rPr>
                      <w:color w:val="auto"/>
                    </w:rPr>
                    <w:t>临时占地清理平整、恢复原有地貌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shd w:val="clear" w:color="auto" w:fill="auto"/>
                  <w:noWrap w:val="0"/>
                  <w:vAlign w:val="center"/>
                </w:tcPr>
                <w:p>
                  <w:pPr>
                    <w:pStyle w:val="28"/>
                    <w:rPr>
                      <w:color w:val="auto"/>
                    </w:rPr>
                  </w:pPr>
                </w:p>
              </w:tc>
              <w:tc>
                <w:tcPr>
                  <w:tcW w:w="469" w:type="pct"/>
                  <w:vMerge w:val="continue"/>
                  <w:shd w:val="clear" w:color="auto" w:fill="auto"/>
                  <w:noWrap w:val="0"/>
                  <w:vAlign w:val="center"/>
                </w:tcPr>
                <w:p>
                  <w:pPr>
                    <w:pStyle w:val="28"/>
                    <w:rPr>
                      <w:color w:val="auto"/>
                    </w:rPr>
                  </w:pPr>
                </w:p>
              </w:tc>
              <w:tc>
                <w:tcPr>
                  <w:tcW w:w="818" w:type="pct"/>
                  <w:shd w:val="clear" w:color="auto" w:fill="auto"/>
                  <w:noWrap w:val="0"/>
                  <w:vAlign w:val="center"/>
                </w:tcPr>
                <w:p>
                  <w:pPr>
                    <w:pStyle w:val="28"/>
                    <w:rPr>
                      <w:color w:val="auto"/>
                    </w:rPr>
                  </w:pPr>
                  <w:r>
                    <w:rPr>
                      <w:color w:val="auto"/>
                    </w:rPr>
                    <w:t>野生动物及植被</w:t>
                  </w:r>
                </w:p>
              </w:tc>
              <w:tc>
                <w:tcPr>
                  <w:tcW w:w="3269" w:type="pct"/>
                  <w:gridSpan w:val="2"/>
                  <w:shd w:val="clear" w:color="auto" w:fill="auto"/>
                  <w:noWrap w:val="0"/>
                  <w:vAlign w:val="center"/>
                </w:tcPr>
                <w:p>
                  <w:pPr>
                    <w:pStyle w:val="28"/>
                    <w:rPr>
                      <w:color w:val="auto"/>
                    </w:rPr>
                  </w:pPr>
                  <w:r>
                    <w:rPr>
                      <w:color w:val="auto"/>
                    </w:rPr>
                    <w:t>严禁滥捕保护动物，严禁乱碾乱轧，毁坏植被；禁止车辆离开道路行驶，保护野生动物生境和生物多样性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0" w:type="pct"/>
                  <w:gridSpan w:val="3"/>
                  <w:shd w:val="clear" w:color="auto" w:fill="auto"/>
                  <w:noWrap w:val="0"/>
                  <w:vAlign w:val="center"/>
                </w:tcPr>
                <w:p>
                  <w:pPr>
                    <w:pStyle w:val="28"/>
                    <w:rPr>
                      <w:color w:val="auto"/>
                    </w:rPr>
                  </w:pPr>
                  <w:r>
                    <w:rPr>
                      <w:color w:val="auto"/>
                    </w:rPr>
                    <w:t>环境管理</w:t>
                  </w:r>
                </w:p>
              </w:tc>
              <w:tc>
                <w:tcPr>
                  <w:tcW w:w="3269" w:type="pct"/>
                  <w:gridSpan w:val="2"/>
                  <w:shd w:val="clear" w:color="auto" w:fill="auto"/>
                  <w:noWrap w:val="0"/>
                  <w:vAlign w:val="center"/>
                </w:tcPr>
                <w:p>
                  <w:pPr>
                    <w:pStyle w:val="28"/>
                    <w:rPr>
                      <w:color w:val="auto"/>
                    </w:rPr>
                  </w:pPr>
                  <w:r>
                    <w:rPr>
                      <w:color w:val="auto"/>
                    </w:rPr>
                    <w:t>环境管理制度是否建立并完善，环保机构及人员是否设置到位；是否保留必要的影像资料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0" w:type="pct"/>
                  <w:gridSpan w:val="3"/>
                  <w:shd w:val="clear" w:color="auto" w:fill="auto"/>
                  <w:noWrap w:val="0"/>
                  <w:vAlign w:val="center"/>
                </w:tcPr>
                <w:p>
                  <w:pPr>
                    <w:pStyle w:val="28"/>
                    <w:rPr>
                      <w:color w:val="auto"/>
                    </w:rPr>
                  </w:pPr>
                  <w:r>
                    <w:rPr>
                      <w:color w:val="auto"/>
                    </w:rPr>
                    <w:t>环境风险措施</w:t>
                  </w:r>
                </w:p>
              </w:tc>
              <w:tc>
                <w:tcPr>
                  <w:tcW w:w="3269" w:type="pct"/>
                  <w:gridSpan w:val="2"/>
                  <w:shd w:val="clear" w:color="auto" w:fill="auto"/>
                  <w:noWrap w:val="0"/>
                  <w:vAlign w:val="center"/>
                </w:tcPr>
                <w:p>
                  <w:pPr>
                    <w:pStyle w:val="28"/>
                    <w:rPr>
                      <w:color w:val="auto"/>
                    </w:rPr>
                  </w:pPr>
                  <w:r>
                    <w:rPr>
                      <w:color w:val="auto"/>
                    </w:rPr>
                    <w:t>配备灭火装置、防喷器、应急点火系统等；尽量避免井喷事故的发生</w:t>
                  </w:r>
                  <w:r>
                    <w:rPr>
                      <w:rFonts w:hint="eastAsia"/>
                      <w:color w:val="auto"/>
                    </w:rPr>
                    <w:t>；</w:t>
                  </w:r>
                  <w:r>
                    <w:rPr>
                      <w:color w:val="auto"/>
                    </w:rPr>
                    <w:t>施工井队应配至少3套的便携式硫化氢监测仪，做好硫化氢检测工作，制定防硫化氢应急预案</w:t>
                  </w:r>
                  <w:r>
                    <w:rPr>
                      <w:rFonts w:hint="eastAsia"/>
                      <w:color w:val="auto"/>
                    </w:rPr>
                    <w:t>。</w:t>
                  </w:r>
                  <w:r>
                    <w:rPr>
                      <w:color w:val="auto"/>
                    </w:rPr>
                    <w:t>地上储罐建立围堰</w:t>
                  </w:r>
                  <w:r>
                    <w:rPr>
                      <w:rFonts w:hint="eastAsia"/>
                      <w:color w:val="auto"/>
                    </w:rPr>
                    <w:t>，加强储罐防腐。</w:t>
                  </w:r>
                </w:p>
              </w:tc>
            </w:tr>
            <w:bookmarkEnd w:id="98"/>
          </w:tbl>
          <w:p>
            <w:pPr>
              <w:pStyle w:val="3"/>
              <w:numPr>
                <w:ilvl w:val="1"/>
                <w:numId w:val="0"/>
              </w:numPr>
              <w:ind w:leftChars="0" w:right="0" w:rightChars="0"/>
              <w:rPr>
                <w:color w:val="auto"/>
              </w:rPr>
            </w:pPr>
          </w:p>
          <w:p>
            <w:pPr>
              <w:pStyle w:val="4"/>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8" w:hRule="atLeast"/>
          <w:jc w:val="center"/>
        </w:trPr>
        <w:tc>
          <w:tcPr>
            <w:tcW w:w="753" w:type="dxa"/>
            <w:noWrap w:val="0"/>
            <w:tcMar>
              <w:left w:w="28" w:type="dxa"/>
              <w:right w:w="28" w:type="dxa"/>
            </w:tcMar>
            <w:vAlign w:val="center"/>
          </w:tcPr>
          <w:p>
            <w:pPr>
              <w:rPr>
                <w:bCs/>
                <w:color w:val="auto"/>
                <w:spacing w:val="10"/>
                <w:szCs w:val="21"/>
              </w:rPr>
            </w:pPr>
            <w:r>
              <w:rPr>
                <w:bCs/>
                <w:color w:val="auto"/>
                <w:spacing w:val="10"/>
                <w:szCs w:val="21"/>
              </w:rPr>
              <w:t>运营期生态环境保护措施</w:t>
            </w:r>
          </w:p>
        </w:tc>
        <w:tc>
          <w:tcPr>
            <w:tcW w:w="8457" w:type="dxa"/>
            <w:noWrap w:val="0"/>
            <w:vAlign w:val="center"/>
          </w:tcPr>
          <w:p>
            <w:pPr>
              <w:pStyle w:val="4"/>
              <w:rPr>
                <w:color w:val="auto"/>
              </w:rPr>
            </w:pPr>
            <w:r>
              <w:rPr>
                <w:rFonts w:hint="eastAsia"/>
                <w:color w:val="auto"/>
              </w:rPr>
              <w:t>本项目无营运期，试油结束后视试油结果决定是否转为生产井，若可转为生产井，则应当在产能开发建设前开展其环境影响评价工作。如发现该井不具开发价值或目的层不含油，则进行封井拆除井口装置，清理场地，清除各种固体废物，恢复至相对自然的地貌。</w:t>
            </w:r>
          </w:p>
          <w:p>
            <w:pPr>
              <w:pStyle w:val="4"/>
              <w:rPr>
                <w:color w:val="auto"/>
              </w:rPr>
            </w:pPr>
            <w:r>
              <w:rPr>
                <w:color w:val="auto"/>
              </w:rPr>
              <w:t>封井需拆除井口装置，截去地下1m内管头，最后进行场地清理，清除各种固体废物，清除井场及临时道路砂砾石铺垫，对井场、进场道路等临时占地进行平整，恢复原有地貌，对地表植被进行恢复，恢复后的植被覆盖度不应低于区域范围内同类型土地植被覆盖度，植被类型应与原有类型相似、并与周边自然景观协调。不得使用外来有害物种进行植被恢复。</w:t>
            </w:r>
          </w:p>
          <w:p>
            <w:pPr>
              <w:pStyle w:val="4"/>
              <w:rPr>
                <w:rFonts w:hint="eastAsia"/>
                <w:color w:val="auto"/>
              </w:rPr>
            </w:pPr>
            <w:r>
              <w:rPr>
                <w:color w:val="auto"/>
              </w:rPr>
              <w:t>在封井施工操作中应注意采取降尘措施，文明施工，防止水泥等的洒落与飘散，同时在清理井场时防止产生飞灰、扬尘的产生，尽可能降低对周边大气环境的影响。另外，井场清理等工作还会产生部分废弃建筑残渣等固体废物，对这些残渣应进行集中清理收集，外运至指定处理场填埋处理。固体废物的妥善处理，可以有效控制对区域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noWrap w:val="0"/>
            <w:vAlign w:val="center"/>
          </w:tcPr>
          <w:p>
            <w:pPr>
              <w:rPr>
                <w:bCs/>
                <w:color w:val="auto"/>
                <w:spacing w:val="10"/>
                <w:szCs w:val="21"/>
              </w:rPr>
            </w:pPr>
            <w:r>
              <w:rPr>
                <w:bCs/>
                <w:color w:val="auto"/>
                <w:szCs w:val="21"/>
              </w:rPr>
              <w:t>其他</w:t>
            </w:r>
          </w:p>
        </w:tc>
        <w:tc>
          <w:tcPr>
            <w:tcW w:w="8457" w:type="dxa"/>
            <w:noWrap w:val="0"/>
            <w:vAlign w:val="center"/>
          </w:tcPr>
          <w:p>
            <w:pPr>
              <w:rPr>
                <w:color w:val="auto"/>
              </w:rPr>
            </w:pPr>
          </w:p>
          <w:p>
            <w:pPr>
              <w:rPr>
                <w:color w:val="auto"/>
              </w:rPr>
            </w:pPr>
            <w:r>
              <w:rPr>
                <w:color w:val="auto"/>
              </w:rPr>
              <w:t>无</w:t>
            </w:r>
          </w:p>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3" w:hRule="atLeast"/>
          <w:jc w:val="center"/>
        </w:trPr>
        <w:tc>
          <w:tcPr>
            <w:tcW w:w="753" w:type="dxa"/>
            <w:noWrap w:val="0"/>
            <w:vAlign w:val="center"/>
          </w:tcPr>
          <w:p>
            <w:pPr>
              <w:rPr>
                <w:bCs/>
                <w:color w:val="auto"/>
                <w:spacing w:val="10"/>
                <w:szCs w:val="21"/>
              </w:rPr>
            </w:pPr>
            <w:r>
              <w:rPr>
                <w:bCs/>
                <w:color w:val="auto"/>
                <w:szCs w:val="21"/>
              </w:rPr>
              <w:t>环保投资</w:t>
            </w:r>
          </w:p>
        </w:tc>
        <w:tc>
          <w:tcPr>
            <w:tcW w:w="8457" w:type="dxa"/>
            <w:noWrap w:val="0"/>
            <w:vAlign w:val="top"/>
          </w:tcPr>
          <w:p>
            <w:pPr>
              <w:pStyle w:val="4"/>
              <w:rPr>
                <w:color w:val="auto"/>
              </w:rPr>
            </w:pPr>
            <w:bookmarkStart w:id="99" w:name="_Hlk85714405"/>
            <w:r>
              <w:rPr>
                <w:rFonts w:hint="eastAsia"/>
                <w:color w:val="auto"/>
              </w:rPr>
              <w:t>本项目总投资</w:t>
            </w:r>
            <w:r>
              <w:rPr>
                <w:rFonts w:hint="eastAsia"/>
                <w:color w:val="auto"/>
                <w:lang w:val="en-US" w:eastAsia="zh-CN"/>
              </w:rPr>
              <w:t>800</w:t>
            </w:r>
            <w:r>
              <w:rPr>
                <w:rFonts w:hint="eastAsia"/>
                <w:color w:val="auto"/>
              </w:rPr>
              <w:t>万元，</w:t>
            </w:r>
            <w:r>
              <w:rPr>
                <w:rFonts w:hint="eastAsia"/>
                <w:color w:val="auto"/>
              </w:rPr>
              <w:t>估算环保投资为</w:t>
            </w:r>
            <w:r>
              <w:rPr>
                <w:rFonts w:hint="eastAsia"/>
                <w:color w:val="auto"/>
                <w:lang w:val="en-US" w:eastAsia="zh-CN"/>
              </w:rPr>
              <w:t>51.6</w:t>
            </w:r>
            <w:r>
              <w:rPr>
                <w:rFonts w:hint="eastAsia"/>
                <w:color w:val="auto"/>
              </w:rPr>
              <w:t>万元，占总投资的</w:t>
            </w:r>
            <w:r>
              <w:rPr>
                <w:rFonts w:hint="eastAsia"/>
                <w:color w:val="auto"/>
                <w:lang w:val="en-US" w:eastAsia="zh-CN"/>
              </w:rPr>
              <w:t>6.45</w:t>
            </w:r>
            <w:r>
              <w:rPr>
                <w:rFonts w:hint="eastAsia"/>
                <w:color w:val="auto"/>
              </w:rPr>
              <w:t>%。</w:t>
            </w:r>
            <w:r>
              <w:rPr>
                <w:rFonts w:hint="eastAsia"/>
                <w:color w:val="auto"/>
              </w:rPr>
              <w:t>本项目环保投资估算见表</w:t>
            </w:r>
            <w:r>
              <w:rPr>
                <w:color w:val="auto"/>
              </w:rPr>
              <w:t>5</w:t>
            </w:r>
            <w:r>
              <w:rPr>
                <w:rFonts w:hint="eastAsia"/>
                <w:color w:val="auto"/>
              </w:rPr>
              <w:t>-</w:t>
            </w:r>
            <w:r>
              <w:rPr>
                <w:rFonts w:hint="eastAsia"/>
                <w:color w:val="auto"/>
                <w:lang w:val="en-US" w:eastAsia="zh-CN"/>
              </w:rPr>
              <w:t>8</w:t>
            </w:r>
            <w:r>
              <w:rPr>
                <w:rFonts w:hint="eastAsia"/>
                <w:color w:val="auto"/>
              </w:rPr>
              <w:t>。</w:t>
            </w:r>
          </w:p>
          <w:p>
            <w:pPr>
              <w:overflowPunct w:val="0"/>
              <w:adjustRightInd/>
              <w:ind w:firstLine="422" w:firstLineChars="200"/>
              <w:rPr>
                <w:b/>
                <w:color w:val="auto"/>
                <w:sz w:val="21"/>
                <w:szCs w:val="21"/>
              </w:rPr>
            </w:pPr>
            <w:r>
              <w:rPr>
                <w:rFonts w:hint="eastAsia" w:ascii="宋体" w:hAnsi="宋体"/>
                <w:b/>
                <w:color w:val="auto"/>
                <w:sz w:val="21"/>
                <w:szCs w:val="21"/>
              </w:rPr>
              <w:t>表</w:t>
            </w:r>
            <w:r>
              <w:rPr>
                <w:b/>
                <w:color w:val="auto"/>
                <w:sz w:val="21"/>
                <w:szCs w:val="21"/>
              </w:rPr>
              <w:t>5</w:t>
            </w:r>
            <w:r>
              <w:rPr>
                <w:rFonts w:hint="eastAsia"/>
                <w:b/>
                <w:color w:val="auto"/>
                <w:sz w:val="21"/>
                <w:szCs w:val="21"/>
              </w:rPr>
              <w:t>-</w:t>
            </w:r>
            <w:r>
              <w:rPr>
                <w:rFonts w:hint="eastAsia"/>
                <w:b/>
                <w:color w:val="auto"/>
                <w:sz w:val="21"/>
                <w:szCs w:val="21"/>
                <w:lang w:val="en-US" w:eastAsia="zh-CN"/>
              </w:rPr>
              <w:t>8</w:t>
            </w:r>
            <w:r>
              <w:rPr>
                <w:rFonts w:hint="eastAsia"/>
                <w:b/>
                <w:color w:val="auto"/>
                <w:sz w:val="21"/>
                <w:szCs w:val="21"/>
              </w:rPr>
              <w:t xml:space="preserve">  </w:t>
            </w:r>
            <w:r>
              <w:rPr>
                <w:rFonts w:hint="eastAsia" w:ascii="宋体" w:hAnsi="宋体"/>
                <w:b/>
                <w:color w:val="auto"/>
                <w:sz w:val="21"/>
                <w:szCs w:val="21"/>
              </w:rPr>
              <w:t>工程环保投资估算</w:t>
            </w:r>
          </w:p>
          <w:tbl>
            <w:tblPr>
              <w:tblStyle w:val="17"/>
              <w:tblW w:w="497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68"/>
              <w:gridCol w:w="3754"/>
              <w:gridCol w:w="1263"/>
              <w:gridCol w:w="1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noWrap w:val="0"/>
                  <w:vAlign w:val="center"/>
                </w:tcPr>
                <w:p>
                  <w:pPr>
                    <w:pStyle w:val="28"/>
                    <w:rPr>
                      <w:color w:val="auto"/>
                    </w:rPr>
                  </w:pPr>
                  <w:bookmarkStart w:id="100" w:name="_Hlk48510648"/>
                  <w:bookmarkEnd w:id="100"/>
                  <w:r>
                    <w:rPr>
                      <w:rFonts w:hint="eastAsia"/>
                      <w:color w:val="auto"/>
                    </w:rPr>
                    <w:t>序号</w:t>
                  </w:r>
                </w:p>
              </w:tc>
              <w:tc>
                <w:tcPr>
                  <w:tcW w:w="1268" w:type="dxa"/>
                  <w:noWrap w:val="0"/>
                  <w:vAlign w:val="center"/>
                </w:tcPr>
                <w:p>
                  <w:pPr>
                    <w:pStyle w:val="28"/>
                    <w:rPr>
                      <w:color w:val="auto"/>
                    </w:rPr>
                  </w:pPr>
                  <w:r>
                    <w:rPr>
                      <w:rFonts w:hint="eastAsia"/>
                      <w:color w:val="auto"/>
                    </w:rPr>
                    <w:t>环保项目</w:t>
                  </w:r>
                </w:p>
              </w:tc>
              <w:tc>
                <w:tcPr>
                  <w:tcW w:w="3754" w:type="dxa"/>
                  <w:noWrap w:val="0"/>
                  <w:vAlign w:val="center"/>
                </w:tcPr>
                <w:p>
                  <w:pPr>
                    <w:pStyle w:val="28"/>
                    <w:rPr>
                      <w:color w:val="auto"/>
                    </w:rPr>
                  </w:pPr>
                  <w:r>
                    <w:rPr>
                      <w:rFonts w:hint="eastAsia"/>
                      <w:color w:val="auto"/>
                    </w:rPr>
                    <w:t>主要内容</w:t>
                  </w:r>
                </w:p>
              </w:tc>
              <w:tc>
                <w:tcPr>
                  <w:tcW w:w="1263" w:type="dxa"/>
                  <w:noWrap w:val="0"/>
                  <w:vAlign w:val="center"/>
                </w:tcPr>
                <w:p>
                  <w:pPr>
                    <w:pStyle w:val="28"/>
                    <w:rPr>
                      <w:color w:val="auto"/>
                    </w:rPr>
                  </w:pPr>
                  <w:r>
                    <w:rPr>
                      <w:rFonts w:hint="eastAsia"/>
                      <w:color w:val="auto"/>
                    </w:rPr>
                    <w:t>投资（万元）</w:t>
                  </w:r>
                </w:p>
              </w:tc>
              <w:tc>
                <w:tcPr>
                  <w:tcW w:w="1393" w:type="dxa"/>
                  <w:noWrap w:val="0"/>
                  <w:vAlign w:val="center"/>
                </w:tcPr>
                <w:p>
                  <w:pPr>
                    <w:pStyle w:val="28"/>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noWrap w:val="0"/>
                  <w:vAlign w:val="center"/>
                </w:tcPr>
                <w:p>
                  <w:pPr>
                    <w:pStyle w:val="28"/>
                    <w:rPr>
                      <w:color w:val="auto"/>
                    </w:rPr>
                  </w:pPr>
                  <w:r>
                    <w:rPr>
                      <w:color w:val="auto"/>
                    </w:rPr>
                    <w:t>1</w:t>
                  </w:r>
                </w:p>
              </w:tc>
              <w:tc>
                <w:tcPr>
                  <w:tcW w:w="1268" w:type="dxa"/>
                  <w:noWrap w:val="0"/>
                  <w:vAlign w:val="center"/>
                </w:tcPr>
                <w:p>
                  <w:pPr>
                    <w:pStyle w:val="28"/>
                    <w:rPr>
                      <w:color w:val="auto"/>
                    </w:rPr>
                  </w:pPr>
                  <w:r>
                    <w:rPr>
                      <w:rFonts w:hint="eastAsia"/>
                      <w:color w:val="auto"/>
                    </w:rPr>
                    <w:t>废气处理</w:t>
                  </w:r>
                </w:p>
              </w:tc>
              <w:tc>
                <w:tcPr>
                  <w:tcW w:w="3754" w:type="dxa"/>
                  <w:noWrap w:val="0"/>
                  <w:vAlign w:val="center"/>
                </w:tcPr>
                <w:p>
                  <w:pPr>
                    <w:pStyle w:val="28"/>
                    <w:rPr>
                      <w:b/>
                      <w:bCs/>
                      <w:color w:val="auto"/>
                    </w:rPr>
                  </w:pPr>
                  <w:r>
                    <w:rPr>
                      <w:color w:val="auto"/>
                    </w:rPr>
                    <w:t>施工期定时洒水</w:t>
                  </w:r>
                  <w:r>
                    <w:rPr>
                      <w:rFonts w:hint="eastAsia"/>
                      <w:color w:val="auto"/>
                    </w:rPr>
                    <w:t>、钻井材料加盖篷布</w:t>
                  </w:r>
                  <w:r>
                    <w:rPr>
                      <w:color w:val="auto"/>
                    </w:rPr>
                    <w:t>等</w:t>
                  </w:r>
                </w:p>
              </w:tc>
              <w:tc>
                <w:tcPr>
                  <w:tcW w:w="1263" w:type="dxa"/>
                  <w:noWrap w:val="0"/>
                  <w:vAlign w:val="center"/>
                </w:tcPr>
                <w:p>
                  <w:pPr>
                    <w:pStyle w:val="28"/>
                    <w:rPr>
                      <w:rFonts w:hint="eastAsia" w:eastAsia="宋体"/>
                      <w:color w:val="auto"/>
                      <w:lang w:eastAsia="zh-CN"/>
                    </w:rPr>
                  </w:pPr>
                  <w:r>
                    <w:rPr>
                      <w:rFonts w:hint="eastAsia"/>
                      <w:color w:val="auto"/>
                      <w:lang w:val="en-US" w:eastAsia="zh-CN"/>
                    </w:rPr>
                    <w:t>1</w:t>
                  </w:r>
                </w:p>
              </w:tc>
              <w:tc>
                <w:tcPr>
                  <w:tcW w:w="1393" w:type="dxa"/>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noWrap w:val="0"/>
                  <w:vAlign w:val="center"/>
                </w:tcPr>
                <w:p>
                  <w:pPr>
                    <w:pStyle w:val="28"/>
                    <w:rPr>
                      <w:color w:val="auto"/>
                    </w:rPr>
                  </w:pPr>
                  <w:r>
                    <w:rPr>
                      <w:rFonts w:hint="eastAsia"/>
                      <w:color w:val="auto"/>
                    </w:rPr>
                    <w:t>2</w:t>
                  </w:r>
                </w:p>
              </w:tc>
              <w:tc>
                <w:tcPr>
                  <w:tcW w:w="1268" w:type="dxa"/>
                  <w:noWrap w:val="0"/>
                  <w:vAlign w:val="center"/>
                </w:tcPr>
                <w:p>
                  <w:pPr>
                    <w:pStyle w:val="28"/>
                    <w:rPr>
                      <w:color w:val="auto"/>
                    </w:rPr>
                  </w:pPr>
                  <w:r>
                    <w:rPr>
                      <w:rFonts w:hint="eastAsia"/>
                      <w:color w:val="auto"/>
                    </w:rPr>
                    <w:t>废水处理</w:t>
                  </w:r>
                </w:p>
              </w:tc>
              <w:tc>
                <w:tcPr>
                  <w:tcW w:w="3754" w:type="dxa"/>
                  <w:noWrap w:val="0"/>
                  <w:vAlign w:val="center"/>
                </w:tcPr>
                <w:p>
                  <w:pPr>
                    <w:pStyle w:val="28"/>
                    <w:rPr>
                      <w:color w:val="auto"/>
                    </w:rPr>
                  </w:pPr>
                  <w:r>
                    <w:rPr>
                      <w:rFonts w:hint="eastAsia"/>
                      <w:color w:val="auto"/>
                    </w:rPr>
                    <w:t>井下带罐作业；生活营地设置防渗污水收集池，生活污水拉运</w:t>
                  </w:r>
                </w:p>
              </w:tc>
              <w:tc>
                <w:tcPr>
                  <w:tcW w:w="1263" w:type="dxa"/>
                  <w:noWrap w:val="0"/>
                  <w:vAlign w:val="center"/>
                </w:tcPr>
                <w:p>
                  <w:pPr>
                    <w:pStyle w:val="28"/>
                    <w:rPr>
                      <w:rFonts w:hint="eastAsia" w:eastAsia="宋体"/>
                      <w:color w:val="auto"/>
                      <w:lang w:eastAsia="zh-CN"/>
                    </w:rPr>
                  </w:pPr>
                  <w:r>
                    <w:rPr>
                      <w:rFonts w:hint="eastAsia"/>
                      <w:color w:val="auto"/>
                      <w:lang w:val="en-US" w:eastAsia="zh-CN"/>
                    </w:rPr>
                    <w:t>1</w:t>
                  </w:r>
                </w:p>
              </w:tc>
              <w:tc>
                <w:tcPr>
                  <w:tcW w:w="1393" w:type="dxa"/>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noWrap w:val="0"/>
                  <w:vAlign w:val="center"/>
                </w:tcPr>
                <w:p>
                  <w:pPr>
                    <w:pStyle w:val="28"/>
                    <w:rPr>
                      <w:rFonts w:hint="eastAsia" w:eastAsia="宋体"/>
                      <w:color w:val="auto"/>
                      <w:lang w:val="en-US" w:eastAsia="zh-CN"/>
                    </w:rPr>
                  </w:pPr>
                  <w:r>
                    <w:rPr>
                      <w:rFonts w:hint="eastAsia"/>
                      <w:color w:val="auto"/>
                      <w:lang w:val="en-US" w:eastAsia="zh-CN"/>
                    </w:rPr>
                    <w:t>3</w:t>
                  </w:r>
                </w:p>
              </w:tc>
              <w:tc>
                <w:tcPr>
                  <w:tcW w:w="1268" w:type="dxa"/>
                  <w:noWrap w:val="0"/>
                  <w:vAlign w:val="center"/>
                </w:tcPr>
                <w:p>
                  <w:pPr>
                    <w:pStyle w:val="28"/>
                    <w:rPr>
                      <w:rFonts w:hint="eastAsia" w:eastAsia="宋体"/>
                      <w:color w:val="auto"/>
                      <w:lang w:val="en-US" w:eastAsia="zh-CN"/>
                    </w:rPr>
                  </w:pPr>
                  <w:r>
                    <w:rPr>
                      <w:rFonts w:hint="eastAsia"/>
                      <w:color w:val="auto"/>
                      <w:lang w:val="en-US" w:eastAsia="zh-CN"/>
                    </w:rPr>
                    <w:t>噪声</w:t>
                  </w:r>
                </w:p>
              </w:tc>
              <w:tc>
                <w:tcPr>
                  <w:tcW w:w="3754" w:type="dxa"/>
                  <w:noWrap w:val="0"/>
                  <w:vAlign w:val="center"/>
                </w:tcPr>
                <w:p>
                  <w:pPr>
                    <w:pStyle w:val="28"/>
                    <w:rPr>
                      <w:rFonts w:hint="eastAsia"/>
                      <w:color w:val="auto"/>
                    </w:rPr>
                  </w:pPr>
                  <w:r>
                    <w:rPr>
                      <w:color w:val="auto"/>
                      <w:kern w:val="0"/>
                      <w:szCs w:val="21"/>
                    </w:rPr>
                    <w:t>发电机、泥浆泵等设置隔声；为柴油机安装消声器和减震基础等</w:t>
                  </w:r>
                </w:p>
              </w:tc>
              <w:tc>
                <w:tcPr>
                  <w:tcW w:w="1263" w:type="dxa"/>
                  <w:noWrap w:val="0"/>
                  <w:vAlign w:val="center"/>
                </w:tcPr>
                <w:p>
                  <w:pPr>
                    <w:pStyle w:val="28"/>
                    <w:rPr>
                      <w:rFonts w:hint="default"/>
                      <w:color w:val="auto"/>
                      <w:lang w:val="en-US" w:eastAsia="zh-CN"/>
                    </w:rPr>
                  </w:pPr>
                  <w:r>
                    <w:rPr>
                      <w:rFonts w:hint="eastAsia"/>
                      <w:color w:val="auto"/>
                      <w:lang w:val="en-US" w:eastAsia="zh-CN"/>
                    </w:rPr>
                    <w:t>1</w:t>
                  </w:r>
                </w:p>
              </w:tc>
              <w:tc>
                <w:tcPr>
                  <w:tcW w:w="1393" w:type="dxa"/>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27" w:type="dxa"/>
                  <w:noWrap w:val="0"/>
                  <w:vAlign w:val="center"/>
                </w:tcPr>
                <w:p>
                  <w:pPr>
                    <w:pStyle w:val="28"/>
                    <w:rPr>
                      <w:rFonts w:hint="eastAsia" w:eastAsia="宋体"/>
                      <w:color w:val="auto"/>
                      <w:lang w:eastAsia="zh-CN"/>
                    </w:rPr>
                  </w:pPr>
                  <w:r>
                    <w:rPr>
                      <w:rFonts w:hint="eastAsia"/>
                      <w:color w:val="auto"/>
                      <w:lang w:val="en-US" w:eastAsia="zh-CN"/>
                    </w:rPr>
                    <w:t>4</w:t>
                  </w:r>
                </w:p>
              </w:tc>
              <w:tc>
                <w:tcPr>
                  <w:tcW w:w="1268" w:type="dxa"/>
                  <w:noWrap w:val="0"/>
                  <w:vAlign w:val="center"/>
                </w:tcPr>
                <w:p>
                  <w:pPr>
                    <w:pStyle w:val="28"/>
                    <w:rPr>
                      <w:color w:val="auto"/>
                    </w:rPr>
                  </w:pPr>
                  <w:r>
                    <w:rPr>
                      <w:rFonts w:hint="eastAsia"/>
                      <w:color w:val="auto"/>
                    </w:rPr>
                    <w:t>风险措施</w:t>
                  </w:r>
                </w:p>
              </w:tc>
              <w:tc>
                <w:tcPr>
                  <w:tcW w:w="3754" w:type="dxa"/>
                  <w:noWrap w:val="0"/>
                  <w:vAlign w:val="center"/>
                </w:tcPr>
                <w:p>
                  <w:pPr>
                    <w:pStyle w:val="28"/>
                    <w:rPr>
                      <w:color w:val="auto"/>
                    </w:rPr>
                  </w:pPr>
                  <w:r>
                    <w:rPr>
                      <w:rFonts w:hint="eastAsia"/>
                      <w:color w:val="auto"/>
                    </w:rPr>
                    <w:t>井口防喷器</w:t>
                  </w:r>
                </w:p>
              </w:tc>
              <w:tc>
                <w:tcPr>
                  <w:tcW w:w="1263" w:type="dxa"/>
                  <w:noWrap w:val="0"/>
                  <w:vAlign w:val="center"/>
                </w:tcPr>
                <w:p>
                  <w:pPr>
                    <w:pStyle w:val="28"/>
                    <w:rPr>
                      <w:rFonts w:hint="default" w:eastAsia="宋体"/>
                      <w:color w:val="auto"/>
                      <w:lang w:val="en-US" w:eastAsia="zh-CN"/>
                    </w:rPr>
                  </w:pPr>
                  <w:r>
                    <w:rPr>
                      <w:rFonts w:hint="eastAsia"/>
                      <w:color w:val="auto"/>
                      <w:highlight w:val="none"/>
                      <w:lang w:val="en-US" w:eastAsia="zh-CN"/>
                    </w:rPr>
                    <w:t>10.1</w:t>
                  </w:r>
                </w:p>
              </w:tc>
              <w:tc>
                <w:tcPr>
                  <w:tcW w:w="1393" w:type="dxa"/>
                  <w:noWrap w:val="0"/>
                  <w:vAlign w:val="center"/>
                </w:tcPr>
                <w:p>
                  <w:pPr>
                    <w:pStyle w:val="28"/>
                    <w:rPr>
                      <w:color w:val="auto"/>
                    </w:rPr>
                  </w:pPr>
                  <w:r>
                    <w:rPr>
                      <w:color w:val="auto"/>
                    </w:rPr>
                    <w:t>8000</w:t>
                  </w:r>
                  <w:r>
                    <w:rPr>
                      <w:rFonts w:hint="eastAsia"/>
                      <w:color w:val="auto"/>
                    </w:rPr>
                    <w:t>元×钻井天数×</w:t>
                  </w:r>
                  <w:r>
                    <w:rPr>
                      <w:color w:val="auto"/>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restart"/>
                  <w:noWrap w:val="0"/>
                  <w:vAlign w:val="center"/>
                </w:tcPr>
                <w:p>
                  <w:pPr>
                    <w:pStyle w:val="28"/>
                    <w:rPr>
                      <w:rFonts w:hint="eastAsia" w:eastAsia="宋体"/>
                      <w:color w:val="auto"/>
                      <w:lang w:eastAsia="zh-CN"/>
                    </w:rPr>
                  </w:pPr>
                  <w:r>
                    <w:rPr>
                      <w:rFonts w:hint="eastAsia"/>
                      <w:color w:val="auto"/>
                      <w:lang w:val="en-US" w:eastAsia="zh-CN"/>
                    </w:rPr>
                    <w:t>5</w:t>
                  </w:r>
                </w:p>
              </w:tc>
              <w:tc>
                <w:tcPr>
                  <w:tcW w:w="1268" w:type="dxa"/>
                  <w:vMerge w:val="restart"/>
                  <w:noWrap w:val="0"/>
                  <w:vAlign w:val="center"/>
                </w:tcPr>
                <w:p>
                  <w:pPr>
                    <w:pStyle w:val="28"/>
                    <w:rPr>
                      <w:color w:val="auto"/>
                    </w:rPr>
                  </w:pPr>
                  <w:r>
                    <w:rPr>
                      <w:rFonts w:hint="eastAsia"/>
                      <w:color w:val="auto"/>
                    </w:rPr>
                    <w:t>固体废弃物</w:t>
                  </w:r>
                </w:p>
              </w:tc>
              <w:tc>
                <w:tcPr>
                  <w:tcW w:w="3754" w:type="dxa"/>
                  <w:noWrap w:val="0"/>
                  <w:vAlign w:val="center"/>
                </w:tcPr>
                <w:p>
                  <w:pPr>
                    <w:pStyle w:val="28"/>
                    <w:rPr>
                      <w:color w:val="auto"/>
                    </w:rPr>
                  </w:pPr>
                  <w:r>
                    <w:rPr>
                      <w:rFonts w:hint="eastAsia"/>
                      <w:color w:val="auto"/>
                    </w:rPr>
                    <w:t>钻井泥浆不落地技术</w:t>
                  </w:r>
                </w:p>
              </w:tc>
              <w:tc>
                <w:tcPr>
                  <w:tcW w:w="1263" w:type="dxa"/>
                  <w:noWrap w:val="0"/>
                  <w:vAlign w:val="center"/>
                </w:tcPr>
                <w:p>
                  <w:pPr>
                    <w:pStyle w:val="28"/>
                    <w:rPr>
                      <w:rFonts w:hint="default" w:eastAsia="宋体"/>
                      <w:color w:val="auto"/>
                      <w:lang w:val="en-US" w:eastAsia="zh-CN"/>
                    </w:rPr>
                  </w:pPr>
                  <w:r>
                    <w:rPr>
                      <w:rFonts w:hint="eastAsia"/>
                      <w:color w:val="auto"/>
                      <w:lang w:val="en-US" w:eastAsia="zh-CN"/>
                    </w:rPr>
                    <w:t>30</w:t>
                  </w:r>
                </w:p>
              </w:tc>
              <w:tc>
                <w:tcPr>
                  <w:tcW w:w="1393" w:type="dxa"/>
                  <w:noWrap w:val="0"/>
                  <w:vAlign w:val="center"/>
                </w:tcPr>
                <w:p>
                  <w:pPr>
                    <w:pStyle w:val="28"/>
                    <w:rPr>
                      <w:color w:val="auto"/>
                    </w:rPr>
                  </w:pPr>
                  <w:r>
                    <w:rPr>
                      <w:rFonts w:hint="eastAsia"/>
                      <w:color w:val="auto"/>
                    </w:rPr>
                    <w:t>3</w:t>
                  </w:r>
                  <w:r>
                    <w:rPr>
                      <w:color w:val="auto"/>
                    </w:rPr>
                    <w:t>0</w:t>
                  </w:r>
                  <w:r>
                    <w:rPr>
                      <w:rFonts w:hint="eastAsia"/>
                      <w:color w:val="auto"/>
                    </w:rPr>
                    <w:t>万/口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pPr>
                    <w:pStyle w:val="28"/>
                    <w:rPr>
                      <w:color w:val="auto"/>
                    </w:rPr>
                  </w:pPr>
                </w:p>
              </w:tc>
              <w:tc>
                <w:tcPr>
                  <w:tcW w:w="1268" w:type="dxa"/>
                  <w:vMerge w:val="continue"/>
                  <w:noWrap w:val="0"/>
                  <w:vAlign w:val="center"/>
                </w:tcPr>
                <w:p>
                  <w:pPr>
                    <w:pStyle w:val="28"/>
                    <w:rPr>
                      <w:color w:val="auto"/>
                    </w:rPr>
                  </w:pPr>
                </w:p>
              </w:tc>
              <w:tc>
                <w:tcPr>
                  <w:tcW w:w="3754" w:type="dxa"/>
                  <w:noWrap w:val="0"/>
                  <w:vAlign w:val="top"/>
                </w:tcPr>
                <w:p>
                  <w:pPr>
                    <w:pStyle w:val="28"/>
                    <w:rPr>
                      <w:color w:val="auto"/>
                    </w:rPr>
                  </w:pPr>
                  <w:r>
                    <w:rPr>
                      <w:rFonts w:hint="eastAsia"/>
                      <w:color w:val="auto"/>
                    </w:rPr>
                    <w:t>废液、岩屑拉运、处理，落地油回收，废弃防渗膜</w:t>
                  </w:r>
                  <w:r>
                    <w:rPr>
                      <w:color w:val="auto"/>
                    </w:rPr>
                    <w:t>回收</w:t>
                  </w:r>
                  <w:r>
                    <w:rPr>
                      <w:rFonts w:hint="eastAsia"/>
                      <w:color w:val="auto"/>
                    </w:rPr>
                    <w:t>；井场施工作业区地面铺设防渗膜</w:t>
                  </w:r>
                </w:p>
              </w:tc>
              <w:tc>
                <w:tcPr>
                  <w:tcW w:w="1263" w:type="dxa"/>
                  <w:noWrap w:val="0"/>
                  <w:vAlign w:val="center"/>
                </w:tcPr>
                <w:p>
                  <w:pPr>
                    <w:pStyle w:val="28"/>
                    <w:rPr>
                      <w:rFonts w:hint="eastAsia" w:eastAsia="宋体"/>
                      <w:color w:val="auto"/>
                      <w:lang w:eastAsia="zh-CN"/>
                    </w:rPr>
                  </w:pPr>
                  <w:r>
                    <w:rPr>
                      <w:rFonts w:hint="eastAsia"/>
                      <w:color w:val="auto"/>
                      <w:lang w:val="en-US" w:eastAsia="zh-CN"/>
                    </w:rPr>
                    <w:t>2</w:t>
                  </w:r>
                </w:p>
              </w:tc>
              <w:tc>
                <w:tcPr>
                  <w:tcW w:w="1393" w:type="dxa"/>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pPr>
                    <w:pStyle w:val="28"/>
                    <w:rPr>
                      <w:color w:val="auto"/>
                    </w:rPr>
                  </w:pPr>
                </w:p>
              </w:tc>
              <w:tc>
                <w:tcPr>
                  <w:tcW w:w="1268" w:type="dxa"/>
                  <w:vMerge w:val="continue"/>
                  <w:noWrap w:val="0"/>
                  <w:vAlign w:val="center"/>
                </w:tcPr>
                <w:p>
                  <w:pPr>
                    <w:pStyle w:val="28"/>
                    <w:rPr>
                      <w:color w:val="auto"/>
                    </w:rPr>
                  </w:pPr>
                </w:p>
              </w:tc>
              <w:tc>
                <w:tcPr>
                  <w:tcW w:w="3754" w:type="dxa"/>
                  <w:noWrap w:val="0"/>
                  <w:vAlign w:val="top"/>
                </w:tcPr>
                <w:p>
                  <w:pPr>
                    <w:pStyle w:val="28"/>
                    <w:rPr>
                      <w:color w:val="auto"/>
                    </w:rPr>
                  </w:pPr>
                  <w:r>
                    <w:rPr>
                      <w:rFonts w:hint="eastAsia"/>
                      <w:color w:val="auto"/>
                    </w:rPr>
                    <w:t>岩屑临时堆放场地防渗</w:t>
                  </w:r>
                </w:p>
              </w:tc>
              <w:tc>
                <w:tcPr>
                  <w:tcW w:w="1263" w:type="dxa"/>
                  <w:noWrap w:val="0"/>
                  <w:vAlign w:val="top"/>
                </w:tcPr>
                <w:p>
                  <w:pPr>
                    <w:pStyle w:val="28"/>
                    <w:rPr>
                      <w:rFonts w:hint="eastAsia" w:eastAsia="宋体"/>
                      <w:color w:val="auto"/>
                      <w:lang w:eastAsia="zh-CN"/>
                    </w:rPr>
                  </w:pPr>
                  <w:r>
                    <w:rPr>
                      <w:rFonts w:hint="eastAsia"/>
                      <w:color w:val="auto"/>
                      <w:lang w:val="en-US" w:eastAsia="zh-CN"/>
                    </w:rPr>
                    <w:t>1</w:t>
                  </w:r>
                </w:p>
              </w:tc>
              <w:tc>
                <w:tcPr>
                  <w:tcW w:w="1393" w:type="dxa"/>
                  <w:noWrap w:val="0"/>
                  <w:vAlign w:val="top"/>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pPr>
                    <w:pStyle w:val="28"/>
                    <w:rPr>
                      <w:color w:val="auto"/>
                    </w:rPr>
                  </w:pPr>
                </w:p>
              </w:tc>
              <w:tc>
                <w:tcPr>
                  <w:tcW w:w="1268" w:type="dxa"/>
                  <w:vMerge w:val="continue"/>
                  <w:noWrap w:val="0"/>
                  <w:vAlign w:val="center"/>
                </w:tcPr>
                <w:p>
                  <w:pPr>
                    <w:pStyle w:val="28"/>
                    <w:rPr>
                      <w:color w:val="auto"/>
                    </w:rPr>
                  </w:pPr>
                </w:p>
              </w:tc>
              <w:tc>
                <w:tcPr>
                  <w:tcW w:w="3754" w:type="dxa"/>
                  <w:noWrap w:val="0"/>
                  <w:vAlign w:val="top"/>
                </w:tcPr>
                <w:p>
                  <w:pPr>
                    <w:pStyle w:val="28"/>
                    <w:rPr>
                      <w:color w:val="auto"/>
                    </w:rPr>
                  </w:pPr>
                  <w:r>
                    <w:rPr>
                      <w:rFonts w:hint="eastAsia"/>
                      <w:color w:val="auto"/>
                    </w:rPr>
                    <w:t>生活垃圾清运</w:t>
                  </w:r>
                </w:p>
              </w:tc>
              <w:tc>
                <w:tcPr>
                  <w:tcW w:w="1263" w:type="dxa"/>
                  <w:noWrap w:val="0"/>
                  <w:vAlign w:val="top"/>
                </w:tcPr>
                <w:p>
                  <w:pPr>
                    <w:pStyle w:val="28"/>
                    <w:rPr>
                      <w:rFonts w:hint="default" w:eastAsia="宋体"/>
                      <w:color w:val="auto"/>
                      <w:lang w:val="en-US" w:eastAsia="zh-CN"/>
                    </w:rPr>
                  </w:pPr>
                  <w:r>
                    <w:rPr>
                      <w:rFonts w:hint="eastAsia"/>
                      <w:color w:val="auto"/>
                      <w:lang w:val="en-US" w:eastAsia="zh-CN"/>
                    </w:rPr>
                    <w:t>0.5</w:t>
                  </w:r>
                </w:p>
              </w:tc>
              <w:tc>
                <w:tcPr>
                  <w:tcW w:w="1393" w:type="dxa"/>
                  <w:noWrap w:val="0"/>
                  <w:vAlign w:val="top"/>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27" w:type="dxa"/>
                  <w:noWrap w:val="0"/>
                  <w:vAlign w:val="center"/>
                </w:tcPr>
                <w:p>
                  <w:pPr>
                    <w:pStyle w:val="28"/>
                    <w:rPr>
                      <w:rFonts w:hint="eastAsia" w:eastAsia="宋体"/>
                      <w:color w:val="auto"/>
                      <w:lang w:eastAsia="zh-CN"/>
                    </w:rPr>
                  </w:pPr>
                  <w:r>
                    <w:rPr>
                      <w:rFonts w:hint="eastAsia"/>
                      <w:color w:val="auto"/>
                      <w:lang w:val="en-US" w:eastAsia="zh-CN"/>
                    </w:rPr>
                    <w:t>6</w:t>
                  </w:r>
                </w:p>
              </w:tc>
              <w:tc>
                <w:tcPr>
                  <w:tcW w:w="1268" w:type="dxa"/>
                  <w:noWrap w:val="0"/>
                  <w:vAlign w:val="center"/>
                </w:tcPr>
                <w:p>
                  <w:pPr>
                    <w:pStyle w:val="28"/>
                    <w:rPr>
                      <w:color w:val="auto"/>
                    </w:rPr>
                  </w:pPr>
                  <w:r>
                    <w:rPr>
                      <w:rFonts w:hint="eastAsia"/>
                      <w:color w:val="auto"/>
                    </w:rPr>
                    <w:t>生态措施</w:t>
                  </w:r>
                </w:p>
              </w:tc>
              <w:tc>
                <w:tcPr>
                  <w:tcW w:w="3754" w:type="dxa"/>
                  <w:noWrap w:val="0"/>
                  <w:vAlign w:val="center"/>
                </w:tcPr>
                <w:p>
                  <w:pPr>
                    <w:pStyle w:val="28"/>
                    <w:rPr>
                      <w:color w:val="auto"/>
                    </w:rPr>
                  </w:pPr>
                  <w:r>
                    <w:rPr>
                      <w:rFonts w:hint="eastAsia"/>
                      <w:color w:val="auto"/>
                      <w:lang w:val="en-US" w:eastAsia="zh-CN"/>
                    </w:rPr>
                    <w:t>临时占地补偿；</w:t>
                  </w:r>
                  <w:r>
                    <w:rPr>
                      <w:color w:val="auto"/>
                    </w:rPr>
                    <w:t>井场、入场道路、施工营地等临时占地清理平整</w:t>
                  </w:r>
                </w:p>
              </w:tc>
              <w:tc>
                <w:tcPr>
                  <w:tcW w:w="1263" w:type="dxa"/>
                  <w:noWrap w:val="0"/>
                  <w:vAlign w:val="center"/>
                </w:tcPr>
                <w:p>
                  <w:pPr>
                    <w:pStyle w:val="28"/>
                    <w:rPr>
                      <w:rFonts w:hint="eastAsia" w:eastAsia="宋体"/>
                      <w:color w:val="auto"/>
                      <w:lang w:eastAsia="zh-CN"/>
                    </w:rPr>
                  </w:pPr>
                  <w:r>
                    <w:rPr>
                      <w:rFonts w:hint="eastAsia"/>
                      <w:color w:val="auto"/>
                      <w:lang w:val="en-US" w:eastAsia="zh-CN"/>
                    </w:rPr>
                    <w:t>5</w:t>
                  </w:r>
                </w:p>
              </w:tc>
              <w:tc>
                <w:tcPr>
                  <w:tcW w:w="1393" w:type="dxa"/>
                  <w:noWrap w:val="0"/>
                  <w:vAlign w:val="center"/>
                </w:tcPr>
                <w:p>
                  <w:pPr>
                    <w:pStyle w:val="28"/>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49" w:type="dxa"/>
                  <w:gridSpan w:val="3"/>
                  <w:noWrap w:val="0"/>
                  <w:vAlign w:val="center"/>
                </w:tcPr>
                <w:p>
                  <w:pPr>
                    <w:pStyle w:val="28"/>
                    <w:rPr>
                      <w:color w:val="auto"/>
                    </w:rPr>
                  </w:pPr>
                  <w:r>
                    <w:rPr>
                      <w:rFonts w:hint="eastAsia"/>
                      <w:color w:val="auto"/>
                    </w:rPr>
                    <w:t>总计</w:t>
                  </w:r>
                </w:p>
              </w:tc>
              <w:tc>
                <w:tcPr>
                  <w:tcW w:w="1263" w:type="dxa"/>
                  <w:noWrap w:val="0"/>
                  <w:vAlign w:val="center"/>
                </w:tcPr>
                <w:p>
                  <w:pPr>
                    <w:pStyle w:val="28"/>
                    <w:rPr>
                      <w:rFonts w:hint="default" w:eastAsia="宋体"/>
                      <w:color w:val="auto"/>
                      <w:lang w:val="en-US" w:eastAsia="zh-CN"/>
                    </w:rPr>
                  </w:pPr>
                  <w:r>
                    <w:rPr>
                      <w:rFonts w:hint="eastAsia"/>
                      <w:color w:val="auto"/>
                      <w:lang w:val="en-US" w:eastAsia="zh-CN"/>
                    </w:rPr>
                    <w:t>51.6</w:t>
                  </w:r>
                </w:p>
              </w:tc>
              <w:tc>
                <w:tcPr>
                  <w:tcW w:w="1393" w:type="dxa"/>
                  <w:noWrap w:val="0"/>
                  <w:vAlign w:val="center"/>
                </w:tcPr>
                <w:p>
                  <w:pPr>
                    <w:pStyle w:val="28"/>
                    <w:rPr>
                      <w:color w:val="auto"/>
                    </w:rPr>
                  </w:pPr>
                </w:p>
              </w:tc>
            </w:tr>
            <w:bookmarkEnd w:id="99"/>
          </w:tbl>
          <w:p>
            <w:pPr>
              <w:rPr>
                <w:bCs/>
                <w:color w:val="auto"/>
                <w:spacing w:val="10"/>
                <w:szCs w:val="21"/>
              </w:rPr>
            </w:pPr>
          </w:p>
        </w:tc>
      </w:tr>
    </w:tbl>
    <w:p>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1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六、生态环境保护措施监督检查清单</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235"/>
        <w:gridCol w:w="2237"/>
        <w:gridCol w:w="1512"/>
        <w:gridCol w:w="1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3" w:type="pct"/>
            <w:vMerge w:val="restart"/>
            <w:tcBorders>
              <w:tl2br w:val="single" w:color="auto" w:sz="4" w:space="0"/>
            </w:tcBorders>
            <w:noWrap w:val="0"/>
            <w:vAlign w:val="top"/>
          </w:tcPr>
          <w:p>
            <w:pPr>
              <w:pStyle w:val="15"/>
              <w:spacing w:before="72" w:beforeLines="3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内容</w:t>
            </w:r>
          </w:p>
          <w:p>
            <w:pPr>
              <w:pStyle w:val="15"/>
              <w:spacing w:before="72" w:beforeLines="30" w:beforeAutospacing="0" w:after="0" w:afterAutospacing="0"/>
              <w:jc w:val="center"/>
              <w:outlineLvl w:val="0"/>
              <w:rPr>
                <w:rFonts w:hint="eastAsia" w:ascii="Times New Roman" w:hAnsi="Times New Roman" w:eastAsia="黑体"/>
                <w:color w:val="auto"/>
                <w:kern w:val="2"/>
                <w:sz w:val="21"/>
                <w:szCs w:val="21"/>
              </w:rPr>
            </w:pPr>
          </w:p>
          <w:p>
            <w:pPr>
              <w:pStyle w:val="15"/>
              <w:spacing w:before="0" w:beforeAutospacing="0" w:after="0" w:afterAutospacing="0"/>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pPr>
              <w:pStyle w:val="15"/>
              <w:spacing w:before="0" w:beforeAutospacing="0" w:after="0" w:afterAutospacing="0"/>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要素</w:t>
            </w:r>
          </w:p>
        </w:tc>
        <w:tc>
          <w:tcPr>
            <w:tcW w:w="2623" w:type="pct"/>
            <w:gridSpan w:val="2"/>
            <w:noWrap w:val="0"/>
            <w:vAlign w:val="center"/>
          </w:tcPr>
          <w:p>
            <w:pPr>
              <w:pStyle w:val="15"/>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施工期</w:t>
            </w:r>
          </w:p>
        </w:tc>
        <w:tc>
          <w:tcPr>
            <w:tcW w:w="1553" w:type="pct"/>
            <w:gridSpan w:val="2"/>
            <w:noWrap w:val="0"/>
            <w:vAlign w:val="center"/>
          </w:tcPr>
          <w:p>
            <w:pPr>
              <w:pStyle w:val="15"/>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3" w:type="pct"/>
            <w:vMerge w:val="continue"/>
            <w:noWrap w:val="0"/>
            <w:vAlign w:val="top"/>
          </w:tcPr>
          <w:p>
            <w:pPr>
              <w:pStyle w:val="15"/>
              <w:spacing w:before="0" w:beforeAutospacing="0" w:after="0" w:afterAutospacing="0"/>
              <w:jc w:val="center"/>
              <w:outlineLvl w:val="0"/>
              <w:rPr>
                <w:rFonts w:ascii="Times New Roman" w:hAnsi="Times New Roman" w:eastAsia="黑体"/>
                <w:color w:val="auto"/>
                <w:kern w:val="2"/>
                <w:sz w:val="21"/>
                <w:szCs w:val="21"/>
              </w:rPr>
            </w:pPr>
          </w:p>
        </w:tc>
        <w:tc>
          <w:tcPr>
            <w:tcW w:w="1311" w:type="pct"/>
            <w:noWrap w:val="0"/>
            <w:vAlign w:val="center"/>
          </w:tcPr>
          <w:p>
            <w:pPr>
              <w:pStyle w:val="15"/>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环境保护措施</w:t>
            </w:r>
          </w:p>
        </w:tc>
        <w:tc>
          <w:tcPr>
            <w:tcW w:w="1312" w:type="pct"/>
            <w:noWrap w:val="0"/>
            <w:vAlign w:val="center"/>
          </w:tcPr>
          <w:p>
            <w:pPr>
              <w:pStyle w:val="15"/>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验收要求</w:t>
            </w:r>
          </w:p>
        </w:tc>
        <w:tc>
          <w:tcPr>
            <w:tcW w:w="887" w:type="pct"/>
            <w:noWrap w:val="0"/>
            <w:vAlign w:val="center"/>
          </w:tcPr>
          <w:p>
            <w:pPr>
              <w:pStyle w:val="15"/>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环境保护措施</w:t>
            </w:r>
          </w:p>
        </w:tc>
        <w:tc>
          <w:tcPr>
            <w:tcW w:w="665" w:type="pct"/>
            <w:noWrap w:val="0"/>
            <w:vAlign w:val="center"/>
          </w:tcPr>
          <w:p>
            <w:pPr>
              <w:pStyle w:val="15"/>
              <w:spacing w:before="0" w:beforeAutospacing="0" w:after="0" w:afterAutospacing="0"/>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noWrap w:val="0"/>
            <w:vAlign w:val="center"/>
          </w:tcPr>
          <w:p>
            <w:pPr>
              <w:rPr>
                <w:color w:val="auto"/>
                <w:sz w:val="21"/>
                <w:szCs w:val="21"/>
              </w:rPr>
            </w:pPr>
            <w:r>
              <w:rPr>
                <w:color w:val="auto"/>
                <w:sz w:val="21"/>
                <w:szCs w:val="21"/>
              </w:rPr>
              <w:t>陆生生态</w:t>
            </w:r>
          </w:p>
        </w:tc>
        <w:tc>
          <w:tcPr>
            <w:tcW w:w="1311" w:type="pct"/>
            <w:noWrap w:val="0"/>
            <w:vAlign w:val="center"/>
          </w:tcPr>
          <w:p>
            <w:pPr>
              <w:rPr>
                <w:color w:val="auto"/>
                <w:sz w:val="21"/>
                <w:szCs w:val="21"/>
              </w:rPr>
            </w:pPr>
            <w:r>
              <w:rPr>
                <w:color w:val="auto"/>
                <w:kern w:val="0"/>
                <w:sz w:val="21"/>
                <w:szCs w:val="21"/>
              </w:rPr>
              <w:t>临时占地清理平整，植被自然恢复</w:t>
            </w:r>
          </w:p>
        </w:tc>
        <w:tc>
          <w:tcPr>
            <w:tcW w:w="1312" w:type="pct"/>
            <w:noWrap w:val="0"/>
            <w:vAlign w:val="center"/>
          </w:tcPr>
          <w:p>
            <w:pPr>
              <w:rPr>
                <w:color w:val="auto"/>
                <w:sz w:val="21"/>
                <w:szCs w:val="21"/>
              </w:rPr>
            </w:pPr>
            <w:r>
              <w:rPr>
                <w:color w:val="auto"/>
                <w:kern w:val="0"/>
                <w:sz w:val="21"/>
                <w:szCs w:val="21"/>
              </w:rPr>
              <w:t>临时占地清理平整，植被自然恢复</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noWrap w:val="0"/>
            <w:vAlign w:val="center"/>
          </w:tcPr>
          <w:p>
            <w:pPr>
              <w:rPr>
                <w:color w:val="auto"/>
                <w:sz w:val="21"/>
                <w:szCs w:val="21"/>
              </w:rPr>
            </w:pPr>
            <w:r>
              <w:rPr>
                <w:color w:val="auto"/>
                <w:sz w:val="21"/>
                <w:szCs w:val="21"/>
              </w:rPr>
              <w:t>水生生态</w:t>
            </w:r>
          </w:p>
        </w:tc>
        <w:tc>
          <w:tcPr>
            <w:tcW w:w="1311" w:type="pct"/>
            <w:noWrap w:val="0"/>
            <w:vAlign w:val="center"/>
          </w:tcPr>
          <w:p>
            <w:pPr>
              <w:rPr>
                <w:color w:val="auto"/>
                <w:sz w:val="21"/>
                <w:szCs w:val="21"/>
              </w:rPr>
            </w:pPr>
            <w:r>
              <w:rPr>
                <w:color w:val="auto"/>
                <w:sz w:val="21"/>
                <w:szCs w:val="21"/>
              </w:rPr>
              <w:t>-</w:t>
            </w:r>
          </w:p>
        </w:tc>
        <w:tc>
          <w:tcPr>
            <w:tcW w:w="1312" w:type="pct"/>
            <w:noWrap w:val="0"/>
            <w:vAlign w:val="center"/>
          </w:tcPr>
          <w:p>
            <w:pPr>
              <w:rPr>
                <w:color w:val="auto"/>
                <w:sz w:val="21"/>
                <w:szCs w:val="21"/>
              </w:rPr>
            </w:pPr>
            <w:r>
              <w:rPr>
                <w:color w:val="auto"/>
                <w:sz w:val="21"/>
                <w:szCs w:val="21"/>
              </w:rPr>
              <w:t>-</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noWrap w:val="0"/>
            <w:vAlign w:val="center"/>
          </w:tcPr>
          <w:p>
            <w:pPr>
              <w:rPr>
                <w:color w:val="auto"/>
                <w:sz w:val="21"/>
                <w:szCs w:val="21"/>
              </w:rPr>
            </w:pPr>
            <w:r>
              <w:rPr>
                <w:color w:val="auto"/>
                <w:sz w:val="21"/>
                <w:szCs w:val="21"/>
              </w:rPr>
              <w:t>地表水环境</w:t>
            </w:r>
          </w:p>
        </w:tc>
        <w:tc>
          <w:tcPr>
            <w:tcW w:w="1311" w:type="pct"/>
            <w:noWrap w:val="0"/>
            <w:vAlign w:val="center"/>
          </w:tcPr>
          <w:p>
            <w:pPr>
              <w:rPr>
                <w:color w:val="auto"/>
                <w:sz w:val="21"/>
                <w:szCs w:val="21"/>
              </w:rPr>
            </w:pPr>
            <w:r>
              <w:rPr>
                <w:color w:val="auto"/>
                <w:sz w:val="21"/>
                <w:szCs w:val="21"/>
              </w:rPr>
              <w:t>-</w:t>
            </w:r>
          </w:p>
        </w:tc>
        <w:tc>
          <w:tcPr>
            <w:tcW w:w="1312" w:type="pct"/>
            <w:noWrap w:val="0"/>
            <w:vAlign w:val="center"/>
          </w:tcPr>
          <w:p>
            <w:pPr>
              <w:rPr>
                <w:color w:val="auto"/>
                <w:sz w:val="21"/>
                <w:szCs w:val="21"/>
              </w:rPr>
            </w:pPr>
            <w:r>
              <w:rPr>
                <w:color w:val="auto"/>
                <w:sz w:val="21"/>
                <w:szCs w:val="21"/>
              </w:rPr>
              <w:t>-</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vMerge w:val="restart"/>
            <w:noWrap w:val="0"/>
            <w:vAlign w:val="center"/>
          </w:tcPr>
          <w:p>
            <w:pPr>
              <w:rPr>
                <w:color w:val="auto"/>
                <w:sz w:val="21"/>
                <w:szCs w:val="21"/>
              </w:rPr>
            </w:pPr>
            <w:r>
              <w:rPr>
                <w:color w:val="auto"/>
                <w:sz w:val="21"/>
                <w:szCs w:val="21"/>
              </w:rPr>
              <w:t>地下水及土壤环境</w:t>
            </w:r>
          </w:p>
        </w:tc>
        <w:tc>
          <w:tcPr>
            <w:tcW w:w="1311" w:type="pct"/>
            <w:noWrap w:val="0"/>
            <w:vAlign w:val="center"/>
          </w:tcPr>
          <w:p>
            <w:pPr>
              <w:rPr>
                <w:color w:val="auto"/>
                <w:sz w:val="21"/>
                <w:szCs w:val="21"/>
              </w:rPr>
            </w:pPr>
            <w:r>
              <w:rPr>
                <w:color w:val="auto"/>
                <w:sz w:val="21"/>
                <w:szCs w:val="21"/>
              </w:rPr>
              <w:t>井下作业废水：作业单位自带回收罐回收，拉运至</w:t>
            </w:r>
            <w:r>
              <w:rPr>
                <w:rFonts w:hint="eastAsia"/>
                <w:color w:val="auto"/>
                <w:sz w:val="21"/>
                <w:szCs w:val="21"/>
              </w:rPr>
              <w:t>吉祥联合站</w:t>
            </w:r>
            <w:r>
              <w:rPr>
                <w:color w:val="auto"/>
                <w:sz w:val="21"/>
                <w:szCs w:val="21"/>
              </w:rPr>
              <w:t>处理</w:t>
            </w:r>
          </w:p>
        </w:tc>
        <w:tc>
          <w:tcPr>
            <w:tcW w:w="1312" w:type="pct"/>
            <w:noWrap w:val="0"/>
            <w:vAlign w:val="center"/>
          </w:tcPr>
          <w:p>
            <w:pPr>
              <w:rPr>
                <w:color w:val="auto"/>
                <w:sz w:val="21"/>
                <w:szCs w:val="21"/>
              </w:rPr>
            </w:pPr>
            <w:r>
              <w:rPr>
                <w:color w:val="auto"/>
                <w:sz w:val="21"/>
                <w:szCs w:val="21"/>
              </w:rPr>
              <w:t>井下作业废水：作业单位自带回收罐回收，拉运至</w:t>
            </w:r>
            <w:r>
              <w:rPr>
                <w:rFonts w:hint="eastAsia"/>
                <w:color w:val="auto"/>
                <w:sz w:val="21"/>
                <w:szCs w:val="21"/>
              </w:rPr>
              <w:t>吉祥联合站</w:t>
            </w:r>
            <w:r>
              <w:rPr>
                <w:color w:val="auto"/>
                <w:sz w:val="21"/>
                <w:szCs w:val="21"/>
              </w:rPr>
              <w:t>处理</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vMerge w:val="continue"/>
            <w:noWrap w:val="0"/>
            <w:vAlign w:val="center"/>
          </w:tcPr>
          <w:p>
            <w:pPr>
              <w:rPr>
                <w:color w:val="auto"/>
                <w:sz w:val="21"/>
                <w:szCs w:val="21"/>
              </w:rPr>
            </w:pPr>
          </w:p>
        </w:tc>
        <w:tc>
          <w:tcPr>
            <w:tcW w:w="1311" w:type="pct"/>
            <w:noWrap w:val="0"/>
            <w:vAlign w:val="center"/>
          </w:tcPr>
          <w:p>
            <w:pPr>
              <w:rPr>
                <w:color w:val="auto"/>
                <w:sz w:val="21"/>
                <w:szCs w:val="21"/>
              </w:rPr>
            </w:pPr>
            <w:r>
              <w:rPr>
                <w:color w:val="auto"/>
                <w:sz w:val="21"/>
                <w:szCs w:val="21"/>
              </w:rPr>
              <w:t>生活污水：排入防渗污水收集池，清运至生活</w:t>
            </w:r>
            <w:r>
              <w:rPr>
                <w:rFonts w:hint="eastAsia"/>
                <w:color w:val="auto"/>
                <w:sz w:val="21"/>
                <w:szCs w:val="21"/>
                <w:lang w:val="en-US" w:eastAsia="zh-CN"/>
              </w:rPr>
              <w:t>五彩湾生产服务区污水处理厂</w:t>
            </w:r>
            <w:r>
              <w:rPr>
                <w:color w:val="auto"/>
                <w:sz w:val="21"/>
                <w:szCs w:val="21"/>
              </w:rPr>
              <w:t>处理</w:t>
            </w:r>
          </w:p>
        </w:tc>
        <w:tc>
          <w:tcPr>
            <w:tcW w:w="1312" w:type="pct"/>
            <w:noWrap w:val="0"/>
            <w:vAlign w:val="center"/>
          </w:tcPr>
          <w:p>
            <w:pPr>
              <w:rPr>
                <w:color w:val="auto"/>
                <w:sz w:val="21"/>
                <w:szCs w:val="21"/>
              </w:rPr>
            </w:pPr>
            <w:r>
              <w:rPr>
                <w:color w:val="auto"/>
                <w:sz w:val="21"/>
                <w:szCs w:val="21"/>
              </w:rPr>
              <w:t>生活污水：排入防渗污水收集池，清运至生活</w:t>
            </w:r>
            <w:r>
              <w:rPr>
                <w:rFonts w:hint="eastAsia"/>
                <w:color w:val="auto"/>
                <w:sz w:val="21"/>
                <w:szCs w:val="21"/>
                <w:lang w:val="en-US" w:eastAsia="zh-CN"/>
              </w:rPr>
              <w:t>五彩湾生产服务区污水处理厂</w:t>
            </w:r>
            <w:r>
              <w:rPr>
                <w:color w:val="auto"/>
                <w:sz w:val="21"/>
                <w:szCs w:val="21"/>
              </w:rPr>
              <w:t>处理</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noWrap w:val="0"/>
            <w:vAlign w:val="center"/>
          </w:tcPr>
          <w:p>
            <w:pPr>
              <w:rPr>
                <w:color w:val="auto"/>
                <w:sz w:val="21"/>
                <w:szCs w:val="21"/>
              </w:rPr>
            </w:pPr>
            <w:r>
              <w:rPr>
                <w:color w:val="auto"/>
                <w:sz w:val="21"/>
                <w:szCs w:val="21"/>
              </w:rPr>
              <w:t>声环境</w:t>
            </w:r>
          </w:p>
        </w:tc>
        <w:tc>
          <w:tcPr>
            <w:tcW w:w="1311" w:type="pct"/>
            <w:noWrap w:val="0"/>
            <w:vAlign w:val="center"/>
          </w:tcPr>
          <w:p>
            <w:pPr>
              <w:rPr>
                <w:color w:val="auto"/>
                <w:sz w:val="21"/>
                <w:szCs w:val="21"/>
              </w:rPr>
            </w:pPr>
            <w:r>
              <w:rPr>
                <w:color w:val="auto"/>
                <w:sz w:val="21"/>
                <w:szCs w:val="21"/>
              </w:rPr>
              <w:t>高噪声设备采取基础减振、隔声措施</w:t>
            </w:r>
          </w:p>
        </w:tc>
        <w:tc>
          <w:tcPr>
            <w:tcW w:w="1312" w:type="pct"/>
            <w:noWrap w:val="0"/>
            <w:vAlign w:val="center"/>
          </w:tcPr>
          <w:p>
            <w:pPr>
              <w:rPr>
                <w:color w:val="auto"/>
                <w:sz w:val="21"/>
                <w:szCs w:val="21"/>
              </w:rPr>
            </w:pPr>
            <w:r>
              <w:rPr>
                <w:color w:val="auto"/>
                <w:sz w:val="21"/>
                <w:szCs w:val="21"/>
              </w:rPr>
              <w:t>高噪声设备采取基础减振、隔声措施</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noWrap w:val="0"/>
            <w:vAlign w:val="center"/>
          </w:tcPr>
          <w:p>
            <w:pPr>
              <w:rPr>
                <w:color w:val="auto"/>
                <w:sz w:val="21"/>
                <w:szCs w:val="21"/>
              </w:rPr>
            </w:pPr>
            <w:r>
              <w:rPr>
                <w:color w:val="auto"/>
                <w:sz w:val="21"/>
                <w:szCs w:val="21"/>
              </w:rPr>
              <w:t>振动</w:t>
            </w:r>
          </w:p>
        </w:tc>
        <w:tc>
          <w:tcPr>
            <w:tcW w:w="1311" w:type="pct"/>
            <w:noWrap w:val="0"/>
            <w:vAlign w:val="center"/>
          </w:tcPr>
          <w:p>
            <w:pPr>
              <w:rPr>
                <w:color w:val="auto"/>
                <w:sz w:val="21"/>
                <w:szCs w:val="21"/>
              </w:rPr>
            </w:pPr>
            <w:r>
              <w:rPr>
                <w:color w:val="auto"/>
                <w:sz w:val="21"/>
                <w:szCs w:val="21"/>
              </w:rPr>
              <w:t>-</w:t>
            </w:r>
          </w:p>
        </w:tc>
        <w:tc>
          <w:tcPr>
            <w:tcW w:w="1312" w:type="pct"/>
            <w:noWrap w:val="0"/>
            <w:vAlign w:val="center"/>
          </w:tcPr>
          <w:p>
            <w:pPr>
              <w:rPr>
                <w:color w:val="auto"/>
                <w:sz w:val="21"/>
                <w:szCs w:val="21"/>
              </w:rPr>
            </w:pPr>
            <w:r>
              <w:rPr>
                <w:color w:val="auto"/>
                <w:sz w:val="21"/>
                <w:szCs w:val="21"/>
              </w:rPr>
              <w:t>-</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pct"/>
            <w:noWrap w:val="0"/>
            <w:vAlign w:val="center"/>
          </w:tcPr>
          <w:p>
            <w:pPr>
              <w:rPr>
                <w:color w:val="auto"/>
                <w:sz w:val="21"/>
                <w:szCs w:val="21"/>
              </w:rPr>
            </w:pPr>
            <w:r>
              <w:rPr>
                <w:color w:val="auto"/>
                <w:sz w:val="21"/>
                <w:szCs w:val="21"/>
              </w:rPr>
              <w:t>大气环境</w:t>
            </w:r>
          </w:p>
        </w:tc>
        <w:tc>
          <w:tcPr>
            <w:tcW w:w="1311" w:type="pct"/>
            <w:noWrap w:val="0"/>
            <w:vAlign w:val="center"/>
          </w:tcPr>
          <w:p>
            <w:pPr>
              <w:rPr>
                <w:color w:val="auto"/>
                <w:sz w:val="21"/>
                <w:szCs w:val="21"/>
              </w:rPr>
            </w:pPr>
            <w:r>
              <w:rPr>
                <w:color w:val="auto"/>
                <w:sz w:val="21"/>
                <w:szCs w:val="21"/>
              </w:rPr>
              <w:t>柴油废气：使用达标柴油，加强设备维护；</w:t>
            </w:r>
          </w:p>
          <w:p>
            <w:pPr>
              <w:rPr>
                <w:color w:val="auto"/>
                <w:sz w:val="21"/>
                <w:szCs w:val="21"/>
              </w:rPr>
            </w:pPr>
            <w:r>
              <w:rPr>
                <w:color w:val="auto"/>
                <w:sz w:val="21"/>
                <w:szCs w:val="21"/>
              </w:rPr>
              <w:t>扬尘：对易起尘物料遮盖，加强车辆管理；</w:t>
            </w:r>
          </w:p>
          <w:p>
            <w:pPr>
              <w:rPr>
                <w:color w:val="auto"/>
                <w:sz w:val="21"/>
                <w:szCs w:val="21"/>
              </w:rPr>
            </w:pPr>
            <w:r>
              <w:rPr>
                <w:color w:val="auto"/>
                <w:sz w:val="21"/>
                <w:szCs w:val="21"/>
              </w:rPr>
              <w:t>伴生气</w:t>
            </w:r>
            <w:r>
              <w:rPr>
                <w:rFonts w:hint="eastAsia"/>
                <w:color w:val="auto"/>
                <w:sz w:val="21"/>
                <w:szCs w:val="21"/>
              </w:rPr>
              <w:t>量小、不具备回收条件时通过</w:t>
            </w:r>
            <w:r>
              <w:rPr>
                <w:color w:val="auto"/>
                <w:sz w:val="21"/>
                <w:szCs w:val="21"/>
              </w:rPr>
              <w:t>放散管燃放</w:t>
            </w:r>
          </w:p>
        </w:tc>
        <w:tc>
          <w:tcPr>
            <w:tcW w:w="1312" w:type="pct"/>
            <w:noWrap w:val="0"/>
            <w:vAlign w:val="center"/>
          </w:tcPr>
          <w:p>
            <w:pPr>
              <w:rPr>
                <w:color w:val="auto"/>
                <w:sz w:val="21"/>
                <w:szCs w:val="21"/>
              </w:rPr>
            </w:pPr>
            <w:r>
              <w:rPr>
                <w:color w:val="auto"/>
                <w:sz w:val="21"/>
                <w:szCs w:val="21"/>
              </w:rPr>
              <w:t>柴油废气：使用达标柴油，加强设备维护；</w:t>
            </w:r>
          </w:p>
          <w:p>
            <w:pPr>
              <w:rPr>
                <w:color w:val="auto"/>
                <w:sz w:val="21"/>
                <w:szCs w:val="21"/>
              </w:rPr>
            </w:pPr>
            <w:r>
              <w:rPr>
                <w:color w:val="auto"/>
                <w:sz w:val="21"/>
                <w:szCs w:val="21"/>
              </w:rPr>
              <w:t>扬尘：对易起尘物料遮盖，加强车辆管理；</w:t>
            </w:r>
          </w:p>
          <w:p>
            <w:pPr>
              <w:rPr>
                <w:color w:val="auto"/>
                <w:sz w:val="21"/>
                <w:szCs w:val="21"/>
              </w:rPr>
            </w:pPr>
            <w:r>
              <w:rPr>
                <w:color w:val="auto"/>
                <w:sz w:val="21"/>
                <w:szCs w:val="21"/>
              </w:rPr>
              <w:t>伴生气</w:t>
            </w:r>
            <w:r>
              <w:rPr>
                <w:rFonts w:hint="eastAsia"/>
                <w:color w:val="auto"/>
                <w:sz w:val="21"/>
                <w:szCs w:val="21"/>
              </w:rPr>
              <w:t>量小、不具备回收条件时通过</w:t>
            </w:r>
            <w:r>
              <w:rPr>
                <w:color w:val="auto"/>
                <w:sz w:val="21"/>
                <w:szCs w:val="21"/>
              </w:rPr>
              <w:t>放散管燃放</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23" w:type="pct"/>
            <w:vMerge w:val="restart"/>
            <w:noWrap w:val="0"/>
            <w:vAlign w:val="center"/>
          </w:tcPr>
          <w:p>
            <w:pPr>
              <w:rPr>
                <w:color w:val="auto"/>
                <w:sz w:val="21"/>
                <w:szCs w:val="21"/>
              </w:rPr>
            </w:pPr>
            <w:r>
              <w:rPr>
                <w:color w:val="auto"/>
                <w:sz w:val="21"/>
                <w:szCs w:val="21"/>
              </w:rPr>
              <w:t>固体废物</w:t>
            </w:r>
          </w:p>
        </w:tc>
        <w:tc>
          <w:tcPr>
            <w:tcW w:w="1311" w:type="pct"/>
            <w:noWrap w:val="0"/>
            <w:vAlign w:val="center"/>
          </w:tcPr>
          <w:p>
            <w:pPr>
              <w:rPr>
                <w:rFonts w:ascii="Times New Roman" w:hAnsi="Times New Roman" w:eastAsia="宋体" w:cs="Times New Roman"/>
                <w:color w:val="auto"/>
                <w:kern w:val="2"/>
                <w:sz w:val="21"/>
                <w:szCs w:val="21"/>
                <w:lang w:val="en-US" w:eastAsia="zh-CN" w:bidi="ar-SA"/>
              </w:rPr>
            </w:pPr>
            <w:r>
              <w:rPr>
                <w:color w:val="auto"/>
                <w:sz w:val="21"/>
                <w:szCs w:val="21"/>
              </w:rPr>
              <w:t>钻井泥浆：泥浆经“钻井泥浆不落地技术”处理后循环使用，完井后剩余泥浆由</w:t>
            </w:r>
            <w:r>
              <w:rPr>
                <w:rFonts w:hint="eastAsia"/>
                <w:color w:val="auto"/>
                <w:sz w:val="21"/>
                <w:szCs w:val="21"/>
                <w:lang w:eastAsia="zh-CN"/>
              </w:rPr>
              <w:t>钻井队</w:t>
            </w:r>
            <w:r>
              <w:rPr>
                <w:color w:val="auto"/>
                <w:sz w:val="21"/>
                <w:szCs w:val="21"/>
              </w:rPr>
              <w:t>回收利用</w:t>
            </w:r>
          </w:p>
        </w:tc>
        <w:tc>
          <w:tcPr>
            <w:tcW w:w="1312" w:type="pct"/>
            <w:noWrap w:val="0"/>
            <w:vAlign w:val="center"/>
          </w:tcPr>
          <w:p>
            <w:pPr>
              <w:rPr>
                <w:rFonts w:ascii="Times New Roman" w:hAnsi="Times New Roman" w:eastAsia="宋体" w:cs="Times New Roman"/>
                <w:color w:val="auto"/>
                <w:kern w:val="2"/>
                <w:sz w:val="21"/>
                <w:szCs w:val="21"/>
                <w:lang w:val="en-US" w:eastAsia="zh-CN" w:bidi="ar-SA"/>
              </w:rPr>
            </w:pPr>
            <w:r>
              <w:rPr>
                <w:color w:val="auto"/>
                <w:sz w:val="21"/>
                <w:szCs w:val="21"/>
              </w:rPr>
              <w:t>钻井泥浆：泥浆经“钻井泥浆不落地技术”处理后循环使用，完井后剩余泥浆由</w:t>
            </w:r>
            <w:r>
              <w:rPr>
                <w:rFonts w:hint="eastAsia"/>
                <w:color w:val="auto"/>
                <w:sz w:val="21"/>
                <w:szCs w:val="21"/>
                <w:lang w:eastAsia="zh-CN"/>
              </w:rPr>
              <w:t>钻井队</w:t>
            </w:r>
            <w:r>
              <w:rPr>
                <w:color w:val="auto"/>
                <w:sz w:val="21"/>
                <w:szCs w:val="21"/>
              </w:rPr>
              <w:t>回收利用</w:t>
            </w:r>
          </w:p>
        </w:tc>
        <w:tc>
          <w:tcPr>
            <w:tcW w:w="887" w:type="pct"/>
            <w:noWrap w:val="0"/>
            <w:vAlign w:val="center"/>
          </w:tcPr>
          <w:p>
            <w:pPr>
              <w:rPr>
                <w:rFonts w:hint="eastAsia"/>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pct"/>
            <w:vMerge w:val="continue"/>
            <w:noWrap w:val="0"/>
            <w:vAlign w:val="center"/>
          </w:tcPr>
          <w:p>
            <w:pPr>
              <w:rPr>
                <w:color w:val="auto"/>
              </w:rPr>
            </w:pPr>
          </w:p>
        </w:tc>
        <w:tc>
          <w:tcPr>
            <w:tcW w:w="1311" w:type="pct"/>
            <w:noWrap w:val="0"/>
            <w:vAlign w:val="center"/>
          </w:tcPr>
          <w:p>
            <w:pP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钻井岩屑：岩屑采用“泥浆不落地技术”，实现固液分离，分离出的岩屑</w:t>
            </w:r>
            <w:r>
              <w:rPr>
                <w:rFonts w:hint="eastAsia" w:ascii="Times New Roman" w:hAnsi="Times New Roman" w:eastAsia="宋体" w:cs="Times New Roman"/>
                <w:color w:val="auto"/>
                <w:sz w:val="21"/>
                <w:szCs w:val="21"/>
                <w:lang w:eastAsia="zh-CN"/>
              </w:rPr>
              <w:t>暂存于方形收集池</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委托第三方公司进行无害化处置。</w:t>
            </w:r>
            <w:r>
              <w:rPr>
                <w:rFonts w:ascii="Times New Roman" w:hAnsi="Times New Roman" w:eastAsia="宋体" w:cs="Times New Roman"/>
                <w:color w:val="auto"/>
                <w:sz w:val="21"/>
                <w:szCs w:val="21"/>
              </w:rPr>
              <w:t>经检测满足《油气田钻井固体废物综合利用污染控制要求》（DB65/T3997-2017）要求后，</w:t>
            </w:r>
            <w:r>
              <w:rPr>
                <w:rFonts w:hint="eastAsia" w:ascii="Times New Roman" w:hAnsi="Times New Roman" w:eastAsia="宋体" w:cs="Times New Roman"/>
                <w:color w:val="auto"/>
                <w:sz w:val="21"/>
                <w:szCs w:val="21"/>
                <w:lang w:eastAsia="zh-CN"/>
              </w:rPr>
              <w:t>自行利用</w:t>
            </w:r>
          </w:p>
        </w:tc>
        <w:tc>
          <w:tcPr>
            <w:tcW w:w="1312" w:type="pct"/>
            <w:noWrap w:val="0"/>
            <w:vAlign w:val="center"/>
          </w:tcPr>
          <w:p>
            <w:pP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 w:val="21"/>
                <w:szCs w:val="21"/>
              </w:rPr>
              <w:t>钻井岩屑：岩屑采用“泥浆不落地技术”，实现固液分离，分离出的岩屑</w:t>
            </w:r>
            <w:r>
              <w:rPr>
                <w:rFonts w:hint="eastAsia" w:ascii="Times New Roman" w:hAnsi="Times New Roman" w:eastAsia="宋体" w:cs="Times New Roman"/>
                <w:color w:val="auto"/>
                <w:sz w:val="21"/>
                <w:szCs w:val="21"/>
                <w:lang w:eastAsia="zh-CN"/>
              </w:rPr>
              <w:t>暂存于方形收集池</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委托第三方公司进行无害化处置。</w:t>
            </w:r>
            <w:r>
              <w:rPr>
                <w:rFonts w:ascii="Times New Roman" w:hAnsi="Times New Roman" w:eastAsia="宋体" w:cs="Times New Roman"/>
                <w:color w:val="auto"/>
                <w:sz w:val="21"/>
                <w:szCs w:val="21"/>
              </w:rPr>
              <w:t>经检测满足《油气田钻井固体废物综合利用污染控制要求》（DB65/T3997-2017）要求后，</w:t>
            </w:r>
            <w:r>
              <w:rPr>
                <w:rFonts w:hint="eastAsia" w:ascii="Times New Roman" w:hAnsi="Times New Roman" w:eastAsia="宋体" w:cs="Times New Roman"/>
                <w:color w:val="auto"/>
                <w:sz w:val="21"/>
                <w:szCs w:val="21"/>
                <w:lang w:eastAsia="zh-CN"/>
              </w:rPr>
              <w:t>自行利用</w:t>
            </w:r>
          </w:p>
        </w:tc>
        <w:tc>
          <w:tcPr>
            <w:tcW w:w="887" w:type="pct"/>
            <w:noWrap w:val="0"/>
            <w:vAlign w:val="center"/>
          </w:tcPr>
          <w:p>
            <w:pPr>
              <w:rPr>
                <w:rFonts w:hint="eastAsia"/>
                <w:color w:val="auto"/>
                <w:sz w:val="21"/>
                <w:szCs w:val="21"/>
              </w:rPr>
            </w:pPr>
          </w:p>
        </w:tc>
        <w:tc>
          <w:tcPr>
            <w:tcW w:w="665" w:type="pct"/>
            <w:noWrap w:val="0"/>
            <w:vAlign w:val="center"/>
          </w:tcPr>
          <w:p>
            <w:pPr>
              <w:rPr>
                <w:rFonts w:hint="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3" w:type="pct"/>
            <w:vMerge w:val="continue"/>
            <w:noWrap w:val="0"/>
            <w:vAlign w:val="center"/>
          </w:tcPr>
          <w:p>
            <w:pPr>
              <w:rPr>
                <w:color w:val="auto"/>
                <w:sz w:val="21"/>
                <w:szCs w:val="21"/>
              </w:rPr>
            </w:pPr>
          </w:p>
        </w:tc>
        <w:tc>
          <w:tcPr>
            <w:tcW w:w="1311" w:type="pct"/>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事故下落地油和废弃防渗膜收集后委托有危废处置资质单位处理</w:t>
            </w:r>
          </w:p>
        </w:tc>
        <w:tc>
          <w:tcPr>
            <w:tcW w:w="1312" w:type="pct"/>
            <w:noWrap w:val="0"/>
            <w:vAlign w:val="center"/>
          </w:tcPr>
          <w:p>
            <w:pPr>
              <w:rPr>
                <w:rFonts w:ascii="Times New Roman" w:hAnsi="Times New Roman" w:eastAsia="宋体" w:cs="Times New Roman"/>
                <w:color w:val="auto"/>
                <w:kern w:val="2"/>
                <w:sz w:val="21"/>
                <w:szCs w:val="21"/>
                <w:lang w:val="en-US" w:eastAsia="zh-CN" w:bidi="ar-SA"/>
              </w:rPr>
            </w:pPr>
            <w:r>
              <w:rPr>
                <w:rFonts w:hint="eastAsia"/>
                <w:color w:val="auto"/>
                <w:sz w:val="21"/>
                <w:szCs w:val="21"/>
              </w:rPr>
              <w:t>事故下落地油和废弃防渗膜收集后委托有危废处置资质单位处理</w:t>
            </w:r>
          </w:p>
        </w:tc>
        <w:tc>
          <w:tcPr>
            <w:tcW w:w="887" w:type="pct"/>
            <w:noWrap w:val="0"/>
            <w:vAlign w:val="center"/>
          </w:tcPr>
          <w:p>
            <w:pPr>
              <w:rPr>
                <w:color w:val="auto"/>
                <w:sz w:val="21"/>
                <w:szCs w:val="21"/>
              </w:rPr>
            </w:pPr>
            <w:r>
              <w:rPr>
                <w:rFonts w:hint="eastAsia"/>
                <w:color w:val="auto"/>
                <w:sz w:val="21"/>
                <w:szCs w:val="21"/>
              </w:rPr>
              <w:t>-</w:t>
            </w:r>
          </w:p>
        </w:tc>
        <w:tc>
          <w:tcPr>
            <w:tcW w:w="665" w:type="pct"/>
            <w:noWrap w:val="0"/>
            <w:vAlign w:val="center"/>
          </w:tcPr>
          <w:p>
            <w:pPr>
              <w:rPr>
                <w:color w:val="auto"/>
                <w:sz w:val="21"/>
                <w:szCs w:val="21"/>
              </w:rPr>
            </w:pPr>
            <w:r>
              <w:rPr>
                <w:rFonts w:hint="eastAsia"/>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23" w:type="pct"/>
            <w:vMerge w:val="continue"/>
            <w:noWrap w:val="0"/>
            <w:vAlign w:val="center"/>
          </w:tcPr>
          <w:p>
            <w:pPr>
              <w:rPr>
                <w:color w:val="auto"/>
                <w:sz w:val="21"/>
                <w:szCs w:val="21"/>
              </w:rPr>
            </w:pPr>
          </w:p>
        </w:tc>
        <w:tc>
          <w:tcPr>
            <w:tcW w:w="1311" w:type="pct"/>
            <w:noWrap w:val="0"/>
            <w:vAlign w:val="center"/>
          </w:tcPr>
          <w:p>
            <w:pPr>
              <w:pStyle w:val="4"/>
              <w:adjustRightInd/>
              <w:snapToGrid/>
              <w:spacing w:line="240" w:lineRule="auto"/>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压裂</w:t>
            </w:r>
            <w:r>
              <w:rPr>
                <w:rFonts w:hint="eastAsia" w:ascii="Times New Roman" w:hAnsi="Times New Roman" w:eastAsia="宋体" w:cs="Times New Roman"/>
                <w:color w:val="auto"/>
                <w:kern w:val="2"/>
                <w:sz w:val="21"/>
                <w:szCs w:val="21"/>
                <w:lang w:val="en-US" w:eastAsia="zh-CN" w:bidi="ar-SA"/>
              </w:rPr>
              <w:t>返排液：压裂返排液入方罐，拉运至吉祥联合站，上清液进入污水处理系统处理，</w:t>
            </w:r>
            <w:r>
              <w:rPr>
                <w:rFonts w:ascii="Times New Roman" w:hAnsi="Times New Roman" w:eastAsia="宋体" w:cs="Times New Roman"/>
                <w:color w:val="auto"/>
                <w:kern w:val="2"/>
                <w:sz w:val="21"/>
                <w:szCs w:val="21"/>
                <w:lang w:val="en-US" w:eastAsia="zh-CN" w:bidi="ar-SA"/>
              </w:rPr>
              <w:t>污水处理后达到《碎屑岩油藏注水水质推荐指标及分析方法》（SY/T5329-2012）中标准限值后回注</w:t>
            </w:r>
            <w:r>
              <w:rPr>
                <w:rFonts w:hint="eastAsia" w:ascii="Times New Roman" w:hAnsi="Times New Roman" w:eastAsia="宋体" w:cs="Times New Roman"/>
                <w:color w:val="auto"/>
                <w:kern w:val="2"/>
                <w:sz w:val="21"/>
                <w:szCs w:val="21"/>
                <w:lang w:val="en-US" w:eastAsia="zh-CN" w:bidi="ar-SA"/>
              </w:rPr>
              <w:t>油藏；油泥委托有资质单位合规处置</w:t>
            </w:r>
          </w:p>
        </w:tc>
        <w:tc>
          <w:tcPr>
            <w:tcW w:w="1312" w:type="pct"/>
            <w:noWrap w:val="0"/>
            <w:vAlign w:val="center"/>
          </w:tcPr>
          <w:p>
            <w:pPr>
              <w:jc w:val="both"/>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压裂返排液：</w:t>
            </w:r>
            <w:r>
              <w:rPr>
                <w:rFonts w:hint="eastAsia" w:ascii="Times New Roman" w:hAnsi="Times New Roman" w:eastAsia="宋体" w:cs="Times New Roman"/>
                <w:color w:val="auto"/>
                <w:sz w:val="21"/>
                <w:szCs w:val="21"/>
              </w:rPr>
              <w:t>压裂返排液入方罐，拉运至吉祥联合站</w:t>
            </w:r>
            <w:r>
              <w:rPr>
                <w:rFonts w:hint="eastAsia" w:ascii="Times New Roman" w:hAnsi="Times New Roman" w:eastAsia="宋体" w:cs="Times New Roman"/>
                <w:color w:val="auto"/>
                <w:sz w:val="21"/>
                <w:szCs w:val="21"/>
                <w:lang w:eastAsia="zh-CN"/>
              </w:rPr>
              <w:t>，上清液进入污水处理系统处理，</w:t>
            </w:r>
            <w:r>
              <w:rPr>
                <w:rFonts w:ascii="Times New Roman" w:hAnsi="Times New Roman" w:eastAsia="宋体" w:cs="Times New Roman"/>
                <w:color w:val="auto"/>
                <w:sz w:val="21"/>
                <w:szCs w:val="21"/>
              </w:rPr>
              <w:t>污水处理后达到《碎屑岩油藏注水水质推荐指标及分析方法》（SY/T5329-2012）中标准限值后回注</w:t>
            </w:r>
            <w:r>
              <w:rPr>
                <w:rFonts w:hint="eastAsia" w:ascii="Times New Roman" w:hAnsi="Times New Roman" w:eastAsia="宋体" w:cs="Times New Roman"/>
                <w:color w:val="auto"/>
                <w:sz w:val="21"/>
                <w:szCs w:val="21"/>
                <w:lang w:eastAsia="zh-CN"/>
              </w:rPr>
              <w:t>油藏；油泥委托有资质单位</w:t>
            </w:r>
            <w:r>
              <w:rPr>
                <w:rFonts w:hint="eastAsia" w:ascii="Times New Roman" w:hAnsi="Times New Roman" w:eastAsia="宋体" w:cs="Times New Roman"/>
                <w:color w:val="auto"/>
                <w:sz w:val="21"/>
                <w:szCs w:val="21"/>
              </w:rPr>
              <w:t>合规处置</w:t>
            </w:r>
          </w:p>
        </w:tc>
        <w:tc>
          <w:tcPr>
            <w:tcW w:w="887" w:type="pct"/>
            <w:noWrap w:val="0"/>
            <w:vAlign w:val="center"/>
          </w:tcPr>
          <w:p>
            <w:pPr>
              <w:rPr>
                <w:rFonts w:hint="eastAsia"/>
                <w:color w:val="auto"/>
                <w:sz w:val="21"/>
                <w:szCs w:val="21"/>
              </w:rPr>
            </w:pPr>
          </w:p>
        </w:tc>
        <w:tc>
          <w:tcPr>
            <w:tcW w:w="665" w:type="pct"/>
            <w:noWrap w:val="0"/>
            <w:vAlign w:val="center"/>
          </w:tcPr>
          <w:p>
            <w:pPr>
              <w:rPr>
                <w:rFonts w:hint="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23" w:type="pct"/>
            <w:vMerge w:val="continue"/>
            <w:noWrap w:val="0"/>
            <w:vAlign w:val="center"/>
          </w:tcPr>
          <w:p>
            <w:pPr>
              <w:rPr>
                <w:color w:val="auto"/>
                <w:sz w:val="21"/>
                <w:szCs w:val="21"/>
              </w:rPr>
            </w:pPr>
          </w:p>
        </w:tc>
        <w:tc>
          <w:tcPr>
            <w:tcW w:w="1311" w:type="pct"/>
            <w:noWrap w:val="0"/>
            <w:vAlign w:val="center"/>
          </w:tcPr>
          <w:p>
            <w:pPr>
              <w:rPr>
                <w:color w:val="auto"/>
                <w:sz w:val="21"/>
                <w:szCs w:val="21"/>
              </w:rPr>
            </w:pPr>
            <w:r>
              <w:rPr>
                <w:color w:val="auto"/>
                <w:sz w:val="21"/>
                <w:szCs w:val="21"/>
              </w:rPr>
              <w:t>生活垃圾</w:t>
            </w:r>
            <w:r>
              <w:rPr>
                <w:rFonts w:hint="eastAsia"/>
                <w:color w:val="auto"/>
                <w:sz w:val="21"/>
                <w:szCs w:val="21"/>
                <w:lang w:eastAsia="zh-CN"/>
              </w:rPr>
              <w:t>：</w:t>
            </w:r>
            <w:r>
              <w:rPr>
                <w:rFonts w:hint="eastAsia"/>
                <w:color w:val="auto"/>
                <w:sz w:val="21"/>
                <w:szCs w:val="21"/>
              </w:rPr>
              <w:t>集中收集后拉运至</w:t>
            </w:r>
            <w:r>
              <w:rPr>
                <w:rFonts w:hint="eastAsia"/>
                <w:color w:val="auto"/>
                <w:sz w:val="21"/>
                <w:szCs w:val="21"/>
                <w:lang w:val="en-US" w:eastAsia="zh-CN"/>
              </w:rPr>
              <w:t>吉木萨尔县</w:t>
            </w:r>
            <w:r>
              <w:rPr>
                <w:rFonts w:hint="eastAsia"/>
                <w:color w:val="auto"/>
                <w:sz w:val="21"/>
                <w:szCs w:val="21"/>
              </w:rPr>
              <w:t>垃圾填埋场处理</w:t>
            </w:r>
          </w:p>
        </w:tc>
        <w:tc>
          <w:tcPr>
            <w:tcW w:w="1312" w:type="pct"/>
            <w:noWrap w:val="0"/>
            <w:vAlign w:val="center"/>
          </w:tcPr>
          <w:p>
            <w:pPr>
              <w:rPr>
                <w:color w:val="auto"/>
                <w:sz w:val="21"/>
                <w:szCs w:val="21"/>
              </w:rPr>
            </w:pPr>
            <w:r>
              <w:rPr>
                <w:color w:val="auto"/>
                <w:sz w:val="21"/>
                <w:szCs w:val="21"/>
              </w:rPr>
              <w:t>生活垃圾</w:t>
            </w:r>
            <w:r>
              <w:rPr>
                <w:rFonts w:hint="eastAsia"/>
                <w:color w:val="auto"/>
                <w:sz w:val="21"/>
                <w:szCs w:val="21"/>
                <w:lang w:eastAsia="zh-CN"/>
              </w:rPr>
              <w:t>：</w:t>
            </w:r>
            <w:r>
              <w:rPr>
                <w:rFonts w:hint="eastAsia"/>
                <w:color w:val="auto"/>
                <w:sz w:val="21"/>
                <w:szCs w:val="21"/>
              </w:rPr>
              <w:t>集中收集后拉运至</w:t>
            </w:r>
            <w:r>
              <w:rPr>
                <w:rFonts w:hint="eastAsia"/>
                <w:color w:val="auto"/>
                <w:sz w:val="21"/>
                <w:szCs w:val="21"/>
                <w:lang w:val="en-US" w:eastAsia="zh-CN"/>
              </w:rPr>
              <w:t>吉木萨尔</w:t>
            </w:r>
            <w:r>
              <w:rPr>
                <w:rFonts w:hint="eastAsia"/>
                <w:color w:val="auto"/>
                <w:sz w:val="21"/>
                <w:szCs w:val="21"/>
              </w:rPr>
              <w:t>县生活垃圾填埋场处理</w:t>
            </w:r>
          </w:p>
        </w:tc>
        <w:tc>
          <w:tcPr>
            <w:tcW w:w="887" w:type="pct"/>
            <w:noWrap w:val="0"/>
            <w:vAlign w:val="center"/>
          </w:tcPr>
          <w:p>
            <w:pPr>
              <w:rPr>
                <w:color w:val="auto"/>
                <w:sz w:val="21"/>
                <w:szCs w:val="21"/>
              </w:rPr>
            </w:pPr>
            <w:r>
              <w:rPr>
                <w:rFonts w:hint="eastAsia"/>
                <w:color w:val="auto"/>
                <w:sz w:val="21"/>
                <w:szCs w:val="21"/>
              </w:rPr>
              <w:t>-</w:t>
            </w:r>
          </w:p>
        </w:tc>
        <w:tc>
          <w:tcPr>
            <w:tcW w:w="665" w:type="pct"/>
            <w:noWrap w:val="0"/>
            <w:vAlign w:val="center"/>
          </w:tcPr>
          <w:p>
            <w:pPr>
              <w:rPr>
                <w:color w:val="auto"/>
                <w:sz w:val="21"/>
                <w:szCs w:val="21"/>
              </w:rPr>
            </w:pPr>
            <w:r>
              <w:rPr>
                <w:rFonts w:hint="eastAsia"/>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23" w:type="pct"/>
            <w:noWrap w:val="0"/>
            <w:vAlign w:val="center"/>
          </w:tcPr>
          <w:p>
            <w:pPr>
              <w:rPr>
                <w:color w:val="auto"/>
                <w:sz w:val="21"/>
                <w:szCs w:val="21"/>
              </w:rPr>
            </w:pPr>
            <w:r>
              <w:rPr>
                <w:color w:val="auto"/>
                <w:sz w:val="21"/>
                <w:szCs w:val="21"/>
              </w:rPr>
              <w:t>电磁环境</w:t>
            </w:r>
          </w:p>
        </w:tc>
        <w:tc>
          <w:tcPr>
            <w:tcW w:w="1311" w:type="pct"/>
            <w:noWrap w:val="0"/>
            <w:vAlign w:val="center"/>
          </w:tcPr>
          <w:p>
            <w:pPr>
              <w:rPr>
                <w:color w:val="auto"/>
                <w:sz w:val="21"/>
                <w:szCs w:val="21"/>
              </w:rPr>
            </w:pPr>
            <w:r>
              <w:rPr>
                <w:color w:val="auto"/>
                <w:sz w:val="21"/>
                <w:szCs w:val="21"/>
              </w:rPr>
              <w:t>-</w:t>
            </w:r>
          </w:p>
        </w:tc>
        <w:tc>
          <w:tcPr>
            <w:tcW w:w="1312" w:type="pct"/>
            <w:noWrap w:val="0"/>
            <w:vAlign w:val="center"/>
          </w:tcPr>
          <w:p>
            <w:pPr>
              <w:rPr>
                <w:color w:val="auto"/>
                <w:sz w:val="21"/>
                <w:szCs w:val="21"/>
              </w:rPr>
            </w:pPr>
            <w:r>
              <w:rPr>
                <w:color w:val="auto"/>
                <w:sz w:val="21"/>
                <w:szCs w:val="21"/>
              </w:rPr>
              <w:t>-</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823" w:type="pct"/>
            <w:noWrap w:val="0"/>
            <w:vAlign w:val="center"/>
          </w:tcPr>
          <w:p>
            <w:pPr>
              <w:rPr>
                <w:color w:val="auto"/>
                <w:sz w:val="21"/>
                <w:szCs w:val="21"/>
              </w:rPr>
            </w:pPr>
            <w:r>
              <w:rPr>
                <w:color w:val="auto"/>
                <w:sz w:val="21"/>
                <w:szCs w:val="21"/>
              </w:rPr>
              <w:t>环境风险</w:t>
            </w:r>
          </w:p>
        </w:tc>
        <w:tc>
          <w:tcPr>
            <w:tcW w:w="1311" w:type="pct"/>
            <w:noWrap w:val="0"/>
            <w:vAlign w:val="center"/>
          </w:tcPr>
          <w:p>
            <w:pPr>
              <w:rPr>
                <w:color w:val="auto"/>
                <w:sz w:val="21"/>
                <w:szCs w:val="21"/>
              </w:rPr>
            </w:pPr>
            <w:r>
              <w:rPr>
                <w:color w:val="auto"/>
                <w:kern w:val="0"/>
                <w:sz w:val="21"/>
                <w:szCs w:val="21"/>
              </w:rPr>
              <w:t>配备灭火装置、应急点火系统等；尽量避免井喷事故的发生</w:t>
            </w:r>
          </w:p>
        </w:tc>
        <w:tc>
          <w:tcPr>
            <w:tcW w:w="1312" w:type="pct"/>
            <w:noWrap w:val="0"/>
            <w:vAlign w:val="center"/>
          </w:tcPr>
          <w:p>
            <w:pPr>
              <w:rPr>
                <w:color w:val="auto"/>
                <w:sz w:val="21"/>
                <w:szCs w:val="21"/>
              </w:rPr>
            </w:pPr>
            <w:r>
              <w:rPr>
                <w:color w:val="auto"/>
                <w:sz w:val="21"/>
                <w:szCs w:val="21"/>
              </w:rPr>
              <w:t>是否发生环境风险事故，针对环境风险制定应急方案</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23" w:type="pct"/>
            <w:noWrap w:val="0"/>
            <w:vAlign w:val="center"/>
          </w:tcPr>
          <w:p>
            <w:pPr>
              <w:rPr>
                <w:color w:val="auto"/>
                <w:sz w:val="21"/>
                <w:szCs w:val="21"/>
              </w:rPr>
            </w:pPr>
            <w:r>
              <w:rPr>
                <w:color w:val="auto"/>
                <w:sz w:val="21"/>
                <w:szCs w:val="21"/>
              </w:rPr>
              <w:t>环境监测</w:t>
            </w:r>
          </w:p>
        </w:tc>
        <w:tc>
          <w:tcPr>
            <w:tcW w:w="1311" w:type="pct"/>
            <w:noWrap w:val="0"/>
            <w:vAlign w:val="center"/>
          </w:tcPr>
          <w:p>
            <w:pPr>
              <w:rPr>
                <w:color w:val="auto"/>
                <w:sz w:val="21"/>
                <w:szCs w:val="21"/>
              </w:rPr>
            </w:pPr>
            <w:r>
              <w:rPr>
                <w:color w:val="auto"/>
                <w:sz w:val="21"/>
                <w:szCs w:val="21"/>
              </w:rPr>
              <w:t>-</w:t>
            </w:r>
          </w:p>
        </w:tc>
        <w:tc>
          <w:tcPr>
            <w:tcW w:w="1312" w:type="pct"/>
            <w:noWrap w:val="0"/>
            <w:vAlign w:val="center"/>
          </w:tcPr>
          <w:p>
            <w:pPr>
              <w:rPr>
                <w:color w:val="auto"/>
                <w:sz w:val="21"/>
                <w:szCs w:val="21"/>
              </w:rPr>
            </w:pPr>
            <w:r>
              <w:rPr>
                <w:color w:val="auto"/>
                <w:sz w:val="21"/>
                <w:szCs w:val="21"/>
              </w:rPr>
              <w:t>-</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23" w:type="pct"/>
            <w:noWrap w:val="0"/>
            <w:vAlign w:val="center"/>
          </w:tcPr>
          <w:p>
            <w:pPr>
              <w:rPr>
                <w:color w:val="auto"/>
                <w:sz w:val="21"/>
                <w:szCs w:val="21"/>
              </w:rPr>
            </w:pPr>
            <w:r>
              <w:rPr>
                <w:color w:val="auto"/>
                <w:sz w:val="21"/>
                <w:szCs w:val="21"/>
              </w:rPr>
              <w:t>其他</w:t>
            </w:r>
          </w:p>
        </w:tc>
        <w:tc>
          <w:tcPr>
            <w:tcW w:w="1311" w:type="pct"/>
            <w:noWrap w:val="0"/>
            <w:vAlign w:val="center"/>
          </w:tcPr>
          <w:p>
            <w:pPr>
              <w:rPr>
                <w:color w:val="auto"/>
                <w:sz w:val="21"/>
                <w:szCs w:val="21"/>
              </w:rPr>
            </w:pPr>
            <w:r>
              <w:rPr>
                <w:color w:val="auto"/>
                <w:sz w:val="21"/>
                <w:szCs w:val="21"/>
              </w:rPr>
              <w:t>-</w:t>
            </w:r>
          </w:p>
        </w:tc>
        <w:tc>
          <w:tcPr>
            <w:tcW w:w="1312" w:type="pct"/>
            <w:noWrap w:val="0"/>
            <w:vAlign w:val="center"/>
          </w:tcPr>
          <w:p>
            <w:pPr>
              <w:rPr>
                <w:color w:val="auto"/>
                <w:sz w:val="21"/>
                <w:szCs w:val="21"/>
              </w:rPr>
            </w:pPr>
            <w:r>
              <w:rPr>
                <w:color w:val="auto"/>
                <w:sz w:val="21"/>
                <w:szCs w:val="21"/>
              </w:rPr>
              <w:t>-</w:t>
            </w:r>
          </w:p>
        </w:tc>
        <w:tc>
          <w:tcPr>
            <w:tcW w:w="887" w:type="pct"/>
            <w:noWrap w:val="0"/>
            <w:vAlign w:val="center"/>
          </w:tcPr>
          <w:p>
            <w:pPr>
              <w:rPr>
                <w:color w:val="auto"/>
                <w:sz w:val="21"/>
                <w:szCs w:val="21"/>
              </w:rPr>
            </w:pPr>
            <w:r>
              <w:rPr>
                <w:color w:val="auto"/>
                <w:sz w:val="21"/>
                <w:szCs w:val="21"/>
              </w:rPr>
              <w:t>-</w:t>
            </w:r>
          </w:p>
        </w:tc>
        <w:tc>
          <w:tcPr>
            <w:tcW w:w="665" w:type="pct"/>
            <w:noWrap w:val="0"/>
            <w:vAlign w:val="center"/>
          </w:tcPr>
          <w:p>
            <w:pPr>
              <w:rPr>
                <w:color w:val="auto"/>
                <w:sz w:val="21"/>
                <w:szCs w:val="21"/>
              </w:rPr>
            </w:pPr>
            <w:r>
              <w:rPr>
                <w:color w:val="auto"/>
                <w:sz w:val="21"/>
                <w:szCs w:val="21"/>
              </w:rPr>
              <w:t>-</w:t>
            </w:r>
          </w:p>
        </w:tc>
      </w:tr>
    </w:tbl>
    <w:p>
      <w:pPr>
        <w:pStyle w:val="15"/>
        <w:spacing w:before="0" w:beforeAutospacing="0" w:line="14" w:lineRule="auto"/>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br w:type="page"/>
      </w:r>
    </w:p>
    <w:p>
      <w:pPr>
        <w:pStyle w:val="15"/>
        <w:spacing w:before="192" w:beforeLines="80" w:before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七、结论</w:t>
      </w:r>
    </w:p>
    <w:tbl>
      <w:tblPr>
        <w:tblStyle w:val="17"/>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center"/>
          </w:tcPr>
          <w:p>
            <w:pPr>
              <w:pStyle w:val="4"/>
              <w:adjustRightInd/>
              <w:snapToGrid/>
              <w:rPr>
                <w:color w:val="auto"/>
              </w:rPr>
            </w:pPr>
            <w:r>
              <w:rPr>
                <w:color w:val="auto"/>
              </w:rPr>
              <w:t>本项目符合国家有关产业政策，项目建设符合达标排放、总量控制及维持环境质量原则；符合风险防范措施要求。通过加强管理，污染物无害处理，及时恢复原貌等措施，在各项污染治理措施实施且确保全部污染物达标排放的前提下，本次项目的建设从环境影响角度而言，项目实施是可行的。</w:t>
            </w:r>
          </w:p>
          <w:p>
            <w:pPr>
              <w:pStyle w:val="4"/>
              <w:adjustRightInd/>
              <w:snapToGrid/>
              <w:rPr>
                <w:color w:val="auto"/>
              </w:rPr>
            </w:pPr>
          </w:p>
          <w:p>
            <w:pPr>
              <w:ind w:firstLine="315"/>
              <w:rPr>
                <w:color w:val="auto"/>
                <w:szCs w:val="21"/>
              </w:rPr>
            </w:pPr>
          </w:p>
        </w:tc>
      </w:tr>
    </w:tbl>
    <w:p>
      <w:pPr>
        <w:widowControl/>
        <w:spacing w:before="192" w:beforeLines="80"/>
        <w:jc w:val="left"/>
        <w:rPr>
          <w:color w:val="auto"/>
        </w:rPr>
      </w:pPr>
    </w:p>
    <w:p>
      <w:pPr>
        <w:rPr>
          <w:color w:val="auto"/>
        </w:rPr>
      </w:pPr>
    </w:p>
    <w:bookmarkEnd w:id="101"/>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Pr>
    </w:pPr>
    <w:r>
      <w:fldChar w:fldCharType="begin"/>
    </w:r>
    <w:r>
      <w:rPr>
        <w:rStyle w:val="20"/>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szCs w:val="20"/>
                            </w:rPr>
                            <w:t xml:space="preserve">  </w:t>
                          </w:r>
                          <w:r>
                            <w:rPr>
                              <w:rFonts w:ascii="宋体" w:hAnsi="宋体"/>
                              <w:sz w:val="26"/>
                              <w:szCs w:val="26"/>
                            </w:rPr>
                            <w:fldChar w:fldCharType="begin"/>
                          </w:r>
                          <w:r>
                            <w:rPr>
                              <w:rStyle w:val="20"/>
                              <w:rFonts w:ascii="宋体" w:hAnsi="宋体"/>
                              <w:sz w:val="26"/>
                              <w:szCs w:val="26"/>
                            </w:rPr>
                            <w:instrText xml:space="preserve">PAGE  </w:instrText>
                          </w:r>
                          <w:r>
                            <w:rPr>
                              <w:rFonts w:ascii="宋体" w:hAnsi="宋体"/>
                              <w:sz w:val="26"/>
                              <w:szCs w:val="26"/>
                            </w:rPr>
                            <w:fldChar w:fldCharType="separate"/>
                          </w:r>
                          <w:r>
                            <w:rPr>
                              <w:rStyle w:val="20"/>
                              <w:rFonts w:ascii="宋体" w:hAnsi="宋体"/>
                              <w:sz w:val="26"/>
                              <w:szCs w:val="26"/>
                            </w:rPr>
                            <w:t>34</w:t>
                          </w:r>
                          <w:r>
                            <w:rPr>
                              <w:rFonts w:ascii="宋体" w:hAnsi="宋体"/>
                              <w:sz w:val="26"/>
                              <w:szCs w:val="26"/>
                            </w:rPr>
                            <w:fldChar w:fldCharType="end"/>
                          </w:r>
                          <w:r>
                            <w:rPr>
                              <w:rStyle w:val="20"/>
                              <w:rFonts w:hint="eastAsia" w:ascii="宋体" w:hAnsi="宋体"/>
                              <w:sz w:val="20"/>
                              <w:szCs w:val="20"/>
                            </w:rPr>
                            <w:t xml:space="preserve">  </w:t>
                          </w:r>
                          <w:r>
                            <w:rPr>
                              <w:rStyle w:val="20"/>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szCs w:val="20"/>
                      </w:rPr>
                      <w:t xml:space="preserve">  </w:t>
                    </w:r>
                    <w:r>
                      <w:rPr>
                        <w:rFonts w:ascii="宋体" w:hAnsi="宋体"/>
                        <w:sz w:val="26"/>
                        <w:szCs w:val="26"/>
                      </w:rPr>
                      <w:fldChar w:fldCharType="begin"/>
                    </w:r>
                    <w:r>
                      <w:rPr>
                        <w:rStyle w:val="20"/>
                        <w:rFonts w:ascii="宋体" w:hAnsi="宋体"/>
                        <w:sz w:val="26"/>
                        <w:szCs w:val="26"/>
                      </w:rPr>
                      <w:instrText xml:space="preserve">PAGE  </w:instrText>
                    </w:r>
                    <w:r>
                      <w:rPr>
                        <w:rFonts w:ascii="宋体" w:hAnsi="宋体"/>
                        <w:sz w:val="26"/>
                        <w:szCs w:val="26"/>
                      </w:rPr>
                      <w:fldChar w:fldCharType="separate"/>
                    </w:r>
                    <w:r>
                      <w:rPr>
                        <w:rStyle w:val="20"/>
                        <w:rFonts w:ascii="宋体" w:hAnsi="宋体"/>
                        <w:sz w:val="26"/>
                        <w:szCs w:val="26"/>
                      </w:rPr>
                      <w:t>34</w:t>
                    </w:r>
                    <w:r>
                      <w:rPr>
                        <w:rFonts w:ascii="宋体" w:hAnsi="宋体"/>
                        <w:sz w:val="26"/>
                        <w:szCs w:val="26"/>
                      </w:rPr>
                      <w:fldChar w:fldCharType="end"/>
                    </w:r>
                    <w:r>
                      <w:rPr>
                        <w:rStyle w:val="20"/>
                        <w:rFonts w:hint="eastAsia" w:ascii="宋体" w:hAnsi="宋体"/>
                        <w:sz w:val="20"/>
                        <w:szCs w:val="20"/>
                      </w:rPr>
                      <w:t xml:space="preserve">  </w:t>
                    </w:r>
                    <w:r>
                      <w:rPr>
                        <w:rStyle w:val="20"/>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F7DF3"/>
    <w:multiLevelType w:val="multilevel"/>
    <w:tmpl w:val="538F7DF3"/>
    <w:lvl w:ilvl="0" w:tentative="0">
      <w:start w:val="1"/>
      <w:numFmt w:val="chineseCounting"/>
      <w:pStyle w:val="2"/>
      <w:suff w:val="nothing"/>
      <w:lvlText w:val="第%1章 "/>
      <w:lvlJc w:val="left"/>
      <w:pPr>
        <w:tabs>
          <w:tab w:val="left" w:pos="0"/>
        </w:tabs>
        <w:ind w:left="432" w:hanging="432"/>
      </w:pPr>
      <w:rPr>
        <w:rFonts w:hint="eastAsia"/>
      </w:rPr>
    </w:lvl>
    <w:lvl w:ilvl="1" w:tentative="0">
      <w:start w:val="1"/>
      <w:numFmt w:val="decimal"/>
      <w:pStyle w:val="3"/>
      <w:isLgl/>
      <w:lvlText w:val="%1.%2 "/>
      <w:lvlJc w:val="left"/>
      <w:pPr>
        <w:ind w:left="575" w:hanging="575"/>
      </w:pPr>
      <w:rPr>
        <w:rFonts w:hint="eastAsia" w:ascii="宋体" w:hAnsi="宋体" w:eastAsia="宋体" w:cs="宋体"/>
        <w:b/>
        <w:bCs/>
        <w:sz w:val="30"/>
        <w:szCs w:val="30"/>
      </w:rPr>
    </w:lvl>
    <w:lvl w:ilvl="2" w:tentative="0">
      <w:start w:val="1"/>
      <w:numFmt w:val="decimal"/>
      <w:pStyle w:val="5"/>
      <w:isLgl/>
      <w:lvlText w:val="%1.%2.%3 "/>
      <w:lvlJc w:val="left"/>
      <w:pPr>
        <w:ind w:left="720" w:hanging="720"/>
      </w:pPr>
      <w:rPr>
        <w:rFonts w:hint="eastAsia" w:ascii="Times New Roman" w:hAnsi="Times New Roman" w:eastAsia="宋体" w:cs="Times New Roman"/>
        <w:b/>
        <w:bCs/>
        <w:sz w:val="28"/>
        <w:szCs w:val="28"/>
      </w:rPr>
    </w:lvl>
    <w:lvl w:ilvl="3" w:tentative="0">
      <w:start w:val="1"/>
      <w:numFmt w:val="decimal"/>
      <w:pStyle w:val="6"/>
      <w:isLgl/>
      <w:lvlText w:val="%1.%2.%3.%4 "/>
      <w:lvlJc w:val="left"/>
      <w:pPr>
        <w:ind w:left="864" w:hanging="864"/>
      </w:pPr>
      <w:rPr>
        <w:rFonts w:hint="eastAsia" w:ascii="Times New Roman" w:hAnsi="Times New Roman" w:eastAsia="宋体" w:cs="Times New Roman"/>
        <w:b/>
        <w:bCs/>
        <w:iCs w:val="0"/>
        <w:sz w:val="24"/>
        <w:szCs w:val="24"/>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D2355"/>
    <w:rsid w:val="000F5645"/>
    <w:rsid w:val="00861BAA"/>
    <w:rsid w:val="018858E5"/>
    <w:rsid w:val="02756169"/>
    <w:rsid w:val="03E82B05"/>
    <w:rsid w:val="03FE7CC1"/>
    <w:rsid w:val="058163FA"/>
    <w:rsid w:val="06EB1AB6"/>
    <w:rsid w:val="06F4079C"/>
    <w:rsid w:val="073312BA"/>
    <w:rsid w:val="07926EBE"/>
    <w:rsid w:val="07C24E03"/>
    <w:rsid w:val="08460AD9"/>
    <w:rsid w:val="08B864ED"/>
    <w:rsid w:val="0912485D"/>
    <w:rsid w:val="09E743B7"/>
    <w:rsid w:val="0ADA462C"/>
    <w:rsid w:val="0B533C79"/>
    <w:rsid w:val="0BC72610"/>
    <w:rsid w:val="0C436DA2"/>
    <w:rsid w:val="0C516C14"/>
    <w:rsid w:val="0D0C53E6"/>
    <w:rsid w:val="0D563E4C"/>
    <w:rsid w:val="0EEA7BB1"/>
    <w:rsid w:val="0F636693"/>
    <w:rsid w:val="108E0327"/>
    <w:rsid w:val="10DA4930"/>
    <w:rsid w:val="110E327D"/>
    <w:rsid w:val="123508B4"/>
    <w:rsid w:val="129A5723"/>
    <w:rsid w:val="12D64DAF"/>
    <w:rsid w:val="12E9710D"/>
    <w:rsid w:val="14BC7AAD"/>
    <w:rsid w:val="15A10714"/>
    <w:rsid w:val="16476715"/>
    <w:rsid w:val="16571101"/>
    <w:rsid w:val="166339B3"/>
    <w:rsid w:val="16836C1A"/>
    <w:rsid w:val="16976668"/>
    <w:rsid w:val="17190E2C"/>
    <w:rsid w:val="17A87EA8"/>
    <w:rsid w:val="185C2EB3"/>
    <w:rsid w:val="18624A54"/>
    <w:rsid w:val="18C96881"/>
    <w:rsid w:val="190475D2"/>
    <w:rsid w:val="191072D9"/>
    <w:rsid w:val="1A2D2F4F"/>
    <w:rsid w:val="1B2D785E"/>
    <w:rsid w:val="1B501363"/>
    <w:rsid w:val="1B7C7D51"/>
    <w:rsid w:val="1CAD2355"/>
    <w:rsid w:val="1DD6651A"/>
    <w:rsid w:val="1E31278D"/>
    <w:rsid w:val="1E432470"/>
    <w:rsid w:val="1EC11E8C"/>
    <w:rsid w:val="1EDC6F15"/>
    <w:rsid w:val="1F022AED"/>
    <w:rsid w:val="1FC81641"/>
    <w:rsid w:val="202329B7"/>
    <w:rsid w:val="202E4111"/>
    <w:rsid w:val="208E288A"/>
    <w:rsid w:val="21325FDD"/>
    <w:rsid w:val="215B0293"/>
    <w:rsid w:val="221363B1"/>
    <w:rsid w:val="23302E6C"/>
    <w:rsid w:val="23C31589"/>
    <w:rsid w:val="25820095"/>
    <w:rsid w:val="259B5C26"/>
    <w:rsid w:val="25B517AB"/>
    <w:rsid w:val="26792BAA"/>
    <w:rsid w:val="26B00453"/>
    <w:rsid w:val="270F5DA7"/>
    <w:rsid w:val="271A7276"/>
    <w:rsid w:val="27353013"/>
    <w:rsid w:val="27B626C7"/>
    <w:rsid w:val="27C85EC7"/>
    <w:rsid w:val="27CB1CC0"/>
    <w:rsid w:val="291724DF"/>
    <w:rsid w:val="2919379E"/>
    <w:rsid w:val="29EB7319"/>
    <w:rsid w:val="29FD4B63"/>
    <w:rsid w:val="2A6E4A34"/>
    <w:rsid w:val="2B984C21"/>
    <w:rsid w:val="2CF73E18"/>
    <w:rsid w:val="2E884F06"/>
    <w:rsid w:val="2F3740ED"/>
    <w:rsid w:val="2FC82F97"/>
    <w:rsid w:val="30723206"/>
    <w:rsid w:val="30A532D8"/>
    <w:rsid w:val="30B17BA0"/>
    <w:rsid w:val="30C56B52"/>
    <w:rsid w:val="30EB0F0A"/>
    <w:rsid w:val="32857DB4"/>
    <w:rsid w:val="32990233"/>
    <w:rsid w:val="33B91BEE"/>
    <w:rsid w:val="340C7E4F"/>
    <w:rsid w:val="34216FDA"/>
    <w:rsid w:val="34367069"/>
    <w:rsid w:val="357F7FEA"/>
    <w:rsid w:val="3609380E"/>
    <w:rsid w:val="361E7DB5"/>
    <w:rsid w:val="37294C63"/>
    <w:rsid w:val="375E101A"/>
    <w:rsid w:val="37B7378E"/>
    <w:rsid w:val="37D90CF0"/>
    <w:rsid w:val="392F2C4D"/>
    <w:rsid w:val="3ACC0305"/>
    <w:rsid w:val="3B3001F9"/>
    <w:rsid w:val="3B9C2BBA"/>
    <w:rsid w:val="3C131F6D"/>
    <w:rsid w:val="3C5162F9"/>
    <w:rsid w:val="3C8E62BB"/>
    <w:rsid w:val="3C9074D8"/>
    <w:rsid w:val="3CC078C7"/>
    <w:rsid w:val="3CEB3919"/>
    <w:rsid w:val="3E1535C5"/>
    <w:rsid w:val="3E24205F"/>
    <w:rsid w:val="3EBD4A26"/>
    <w:rsid w:val="3F6251B6"/>
    <w:rsid w:val="3FA67796"/>
    <w:rsid w:val="40784177"/>
    <w:rsid w:val="409B585E"/>
    <w:rsid w:val="40BE44F2"/>
    <w:rsid w:val="4208548C"/>
    <w:rsid w:val="435737E4"/>
    <w:rsid w:val="43A43D93"/>
    <w:rsid w:val="43BA282D"/>
    <w:rsid w:val="43CB351F"/>
    <w:rsid w:val="45B3156F"/>
    <w:rsid w:val="47CA7D9C"/>
    <w:rsid w:val="48292E8C"/>
    <w:rsid w:val="48734FBB"/>
    <w:rsid w:val="49AC61D5"/>
    <w:rsid w:val="49E45A62"/>
    <w:rsid w:val="4A236A28"/>
    <w:rsid w:val="4A3B1E99"/>
    <w:rsid w:val="4A590F64"/>
    <w:rsid w:val="4B0E3388"/>
    <w:rsid w:val="4B3B03A9"/>
    <w:rsid w:val="4B56481D"/>
    <w:rsid w:val="4BA32164"/>
    <w:rsid w:val="4C2E6B87"/>
    <w:rsid w:val="4C791976"/>
    <w:rsid w:val="4C865B8A"/>
    <w:rsid w:val="4C9725BC"/>
    <w:rsid w:val="4C9E2863"/>
    <w:rsid w:val="4CDD40CE"/>
    <w:rsid w:val="4DA173BA"/>
    <w:rsid w:val="4E0A4946"/>
    <w:rsid w:val="4E1D22DB"/>
    <w:rsid w:val="4EBF63D7"/>
    <w:rsid w:val="4F132029"/>
    <w:rsid w:val="50183432"/>
    <w:rsid w:val="50357D7D"/>
    <w:rsid w:val="50E87F9F"/>
    <w:rsid w:val="513E6BB0"/>
    <w:rsid w:val="51E46546"/>
    <w:rsid w:val="53142A66"/>
    <w:rsid w:val="532F4F57"/>
    <w:rsid w:val="53D1713C"/>
    <w:rsid w:val="54A032C0"/>
    <w:rsid w:val="555E44AB"/>
    <w:rsid w:val="556759BB"/>
    <w:rsid w:val="55DF47FC"/>
    <w:rsid w:val="56CE6835"/>
    <w:rsid w:val="59DF43F3"/>
    <w:rsid w:val="5B113B49"/>
    <w:rsid w:val="5BA432D9"/>
    <w:rsid w:val="5BFC27E4"/>
    <w:rsid w:val="5F5A335C"/>
    <w:rsid w:val="60057FB7"/>
    <w:rsid w:val="60196D73"/>
    <w:rsid w:val="60724A56"/>
    <w:rsid w:val="60D72D52"/>
    <w:rsid w:val="616F3F04"/>
    <w:rsid w:val="61A30FEA"/>
    <w:rsid w:val="625A628C"/>
    <w:rsid w:val="6296425A"/>
    <w:rsid w:val="62A057D8"/>
    <w:rsid w:val="639C1877"/>
    <w:rsid w:val="63E44F18"/>
    <w:rsid w:val="642720B9"/>
    <w:rsid w:val="64BA36C3"/>
    <w:rsid w:val="64FC2475"/>
    <w:rsid w:val="65DD6131"/>
    <w:rsid w:val="65FF155B"/>
    <w:rsid w:val="660C4E9E"/>
    <w:rsid w:val="67346B89"/>
    <w:rsid w:val="685F1821"/>
    <w:rsid w:val="68BF0C65"/>
    <w:rsid w:val="68D91796"/>
    <w:rsid w:val="693A3D3C"/>
    <w:rsid w:val="694F7CAA"/>
    <w:rsid w:val="698508F7"/>
    <w:rsid w:val="6A3D2EBF"/>
    <w:rsid w:val="6AE327BE"/>
    <w:rsid w:val="6C07239D"/>
    <w:rsid w:val="6C086C93"/>
    <w:rsid w:val="6C142268"/>
    <w:rsid w:val="6C1920A8"/>
    <w:rsid w:val="6C30791F"/>
    <w:rsid w:val="6C867EA1"/>
    <w:rsid w:val="6E273F5B"/>
    <w:rsid w:val="6E303309"/>
    <w:rsid w:val="6E6908BB"/>
    <w:rsid w:val="6F8F639C"/>
    <w:rsid w:val="6FE6736D"/>
    <w:rsid w:val="6FEC6252"/>
    <w:rsid w:val="700F122E"/>
    <w:rsid w:val="71007F79"/>
    <w:rsid w:val="716E224B"/>
    <w:rsid w:val="71D744D6"/>
    <w:rsid w:val="72096EC1"/>
    <w:rsid w:val="72A2709C"/>
    <w:rsid w:val="730748F8"/>
    <w:rsid w:val="731738A1"/>
    <w:rsid w:val="73D31A7F"/>
    <w:rsid w:val="74253AE1"/>
    <w:rsid w:val="746A1FEF"/>
    <w:rsid w:val="760C5D87"/>
    <w:rsid w:val="766E72CF"/>
    <w:rsid w:val="76DC5C43"/>
    <w:rsid w:val="7769557E"/>
    <w:rsid w:val="776C5B76"/>
    <w:rsid w:val="77B240A0"/>
    <w:rsid w:val="78B139B1"/>
    <w:rsid w:val="797E424D"/>
    <w:rsid w:val="7BCE4BC6"/>
    <w:rsid w:val="7D576929"/>
    <w:rsid w:val="7D610C2F"/>
    <w:rsid w:val="7D9B1AA8"/>
    <w:rsid w:val="7E0B7EBD"/>
    <w:rsid w:val="7EE6524E"/>
    <w:rsid w:val="7F1C5AC4"/>
    <w:rsid w:val="7FA7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center"/>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pageBreakBefore/>
      <w:numPr>
        <w:ilvl w:val="0"/>
        <w:numId w:val="1"/>
      </w:numPr>
      <w:spacing w:before="100" w:beforeLines="100" w:after="100" w:afterLines="100" w:line="360" w:lineRule="auto"/>
      <w:ind w:firstLineChars="0"/>
      <w:jc w:val="center"/>
      <w:outlineLvl w:val="0"/>
    </w:pPr>
    <w:rPr>
      <w:rFonts w:ascii="楷体_GB2312" w:hAnsi="楷体_GB2312" w:eastAsia="黑体" w:cs="Times New Roman"/>
      <w:b/>
      <w:kern w:val="2"/>
      <w:sz w:val="32"/>
      <w:szCs w:val="32"/>
      <w:lang w:val="zh-CN" w:eastAsia="zh-CN"/>
    </w:rPr>
  </w:style>
  <w:style w:type="paragraph" w:styleId="3">
    <w:name w:val="heading 2"/>
    <w:basedOn w:val="1"/>
    <w:next w:val="4"/>
    <w:link w:val="23"/>
    <w:semiHidden/>
    <w:unhideWhenUsed/>
    <w:qFormat/>
    <w:uiPriority w:val="0"/>
    <w:pPr>
      <w:keepNext/>
      <w:keepLines/>
      <w:numPr>
        <w:ilvl w:val="1"/>
        <w:numId w:val="1"/>
      </w:numPr>
      <w:tabs>
        <w:tab w:val="left" w:pos="0"/>
      </w:tabs>
      <w:spacing w:before="100" w:beforeLines="100" w:after="100" w:afterLines="100" w:line="360" w:lineRule="auto"/>
      <w:ind w:left="0" w:right="0" w:rightChars="0" w:firstLine="0" w:firstLineChars="0"/>
      <w:jc w:val="both"/>
      <w:outlineLvl w:val="1"/>
    </w:pPr>
    <w:rPr>
      <w:rFonts w:ascii="Times New Roman" w:hAnsi="Times New Roman" w:eastAsia="黑体" w:cstheme="minorBidi"/>
      <w:sz w:val="30"/>
      <w:szCs w:val="30"/>
    </w:rPr>
  </w:style>
  <w:style w:type="paragraph" w:styleId="5">
    <w:name w:val="heading 3"/>
    <w:basedOn w:val="1"/>
    <w:next w:val="1"/>
    <w:link w:val="21"/>
    <w:semiHidden/>
    <w:unhideWhenUsed/>
    <w:qFormat/>
    <w:uiPriority w:val="0"/>
    <w:pPr>
      <w:keepNext/>
      <w:keepLines/>
      <w:numPr>
        <w:ilvl w:val="2"/>
        <w:numId w:val="1"/>
      </w:numPr>
      <w:adjustRightInd w:val="0"/>
      <w:snapToGrid w:val="0"/>
      <w:spacing w:before="50" w:beforeLines="50" w:after="50" w:afterLines="50" w:line="360" w:lineRule="auto"/>
      <w:ind w:left="720" w:hanging="720" w:firstLineChars="0"/>
      <w:jc w:val="both"/>
      <w:outlineLvl w:val="2"/>
    </w:pPr>
    <w:rPr>
      <w:rFonts w:ascii="Times New Roman" w:hAnsi="Times New Roman" w:eastAsia="宋体" w:cs="Times New Roman"/>
      <w:b/>
      <w:sz w:val="28"/>
      <w:szCs w:val="28"/>
      <w:lang w:eastAsia="zh-TW"/>
    </w:rPr>
  </w:style>
  <w:style w:type="paragraph" w:styleId="6">
    <w:name w:val="heading 4"/>
    <w:basedOn w:val="1"/>
    <w:next w:val="1"/>
    <w:link w:val="24"/>
    <w:semiHidden/>
    <w:unhideWhenUsed/>
    <w:qFormat/>
    <w:uiPriority w:val="0"/>
    <w:pPr>
      <w:keepNext/>
      <w:keepLines/>
      <w:numPr>
        <w:ilvl w:val="3"/>
        <w:numId w:val="1"/>
      </w:numPr>
      <w:spacing w:line="360" w:lineRule="auto"/>
      <w:ind w:left="864" w:hanging="864"/>
      <w:jc w:val="both"/>
      <w:outlineLvl w:val="3"/>
    </w:pPr>
    <w:rPr>
      <w:rFonts w:ascii="Times New Roman" w:hAnsi="Times New Roman" w:eastAsia="宋体" w:cstheme="minorBidi"/>
      <w:b/>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4">
    <w:name w:val="文本"/>
    <w:basedOn w:val="1"/>
    <w:qFormat/>
    <w:uiPriority w:val="0"/>
    <w:pPr>
      <w:adjustRightInd w:val="0"/>
      <w:snapToGrid w:val="0"/>
      <w:spacing w:line="360" w:lineRule="auto"/>
      <w:ind w:firstLine="480" w:firstLineChars="200"/>
      <w:jc w:val="left"/>
    </w:pPr>
  </w:style>
  <w:style w:type="paragraph" w:styleId="7">
    <w:name w:val="Normal Indent"/>
    <w:basedOn w:val="1"/>
    <w:link w:val="25"/>
    <w:qFormat/>
    <w:uiPriority w:val="0"/>
    <w:pPr>
      <w:ind w:firstLine="420" w:firstLineChars="200"/>
    </w:pPr>
    <w:rPr>
      <w:rFonts w:ascii="宋体" w:hAnsi="宋体" w:eastAsiaTheme="minorEastAsia" w:cstheme="minorBidi"/>
      <w:sz w:val="24"/>
      <w:szCs w:val="22"/>
    </w:rPr>
  </w:style>
  <w:style w:type="paragraph" w:styleId="8">
    <w:name w:val="caption"/>
    <w:basedOn w:val="1"/>
    <w:next w:val="1"/>
    <w:qFormat/>
    <w:uiPriority w:val="99"/>
    <w:pPr>
      <w:jc w:val="center"/>
    </w:pPr>
    <w:rPr>
      <w:b/>
      <w:sz w:val="24"/>
    </w:rPr>
  </w:style>
  <w:style w:type="paragraph" w:styleId="9">
    <w:name w:val="annotation text"/>
    <w:basedOn w:val="1"/>
    <w:qFormat/>
    <w:uiPriority w:val="0"/>
    <w:pPr>
      <w:jc w:val="left"/>
    </w:pPr>
  </w:style>
  <w:style w:type="paragraph" w:styleId="10">
    <w:name w:val="Body Text"/>
    <w:basedOn w:val="1"/>
    <w:qFormat/>
    <w:uiPriority w:val="0"/>
    <w:pPr>
      <w:spacing w:after="120" w:afterLines="0" w:afterAutospacing="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List"/>
    <w:basedOn w:val="1"/>
    <w:next w:val="1"/>
    <w:qFormat/>
    <w:uiPriority w:val="0"/>
    <w:pPr>
      <w:adjustRightInd w:val="0"/>
      <w:snapToGrid w:val="0"/>
      <w:spacing w:line="240" w:lineRule="auto"/>
      <w:ind w:left="198" w:hanging="198" w:firstLineChars="0"/>
      <w:contextualSpacing/>
    </w:pPr>
    <w:rPr>
      <w:sz w:val="21"/>
    </w:rPr>
  </w:style>
  <w:style w:type="paragraph" w:styleId="13">
    <w:name w:val="Body Text Indent 3"/>
    <w:basedOn w:val="1"/>
    <w:qFormat/>
    <w:uiPriority w:val="0"/>
    <w:pPr>
      <w:spacing w:line="480" w:lineRule="exact"/>
      <w:ind w:firstLine="720" w:firstLineChars="300"/>
    </w:pPr>
    <w:rPr>
      <w:sz w:val="24"/>
      <w:szCs w:val="24"/>
    </w:rPr>
  </w:style>
  <w:style w:type="paragraph" w:styleId="14">
    <w:name w:val="toc 2"/>
    <w:basedOn w:val="1"/>
    <w:next w:val="1"/>
    <w:unhideWhenUsed/>
    <w:qFormat/>
    <w:uiPriority w:val="39"/>
    <w:pPr>
      <w:spacing w:before="120"/>
      <w:ind w:left="210"/>
      <w:jc w:val="left"/>
    </w:pPr>
    <w:rPr>
      <w:rFonts w:ascii="Calibri" w:hAnsi="Calibri" w:cs="Calibri"/>
      <w:i/>
      <w:iCs/>
      <w:sz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10"/>
    <w:qFormat/>
    <w:uiPriority w:val="0"/>
    <w:pPr>
      <w:widowControl w:val="0"/>
      <w:spacing w:before="0" w:after="120" w:line="240" w:lineRule="auto"/>
      <w:ind w:right="0" w:firstLine="420" w:firstLineChars="100"/>
    </w:pPr>
    <w:rPr>
      <w:kern w:val="2"/>
      <w:sz w:val="24"/>
      <w:szCs w:val="24"/>
      <w:lang w:val="en-US" w:eastAsia="zh-C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customStyle="1" w:styleId="21">
    <w:name w:val="标题 3 Char"/>
    <w:link w:val="5"/>
    <w:qFormat/>
    <w:uiPriority w:val="0"/>
    <w:rPr>
      <w:rFonts w:ascii="Times New Roman" w:hAnsi="Times New Roman" w:eastAsia="宋体" w:cs="Times New Roman"/>
      <w:b/>
      <w:bCs/>
      <w:sz w:val="28"/>
      <w:szCs w:val="28"/>
      <w:lang w:eastAsia="zh-TW"/>
    </w:rPr>
  </w:style>
  <w:style w:type="paragraph" w:customStyle="1" w:styleId="22">
    <w:name w:val="表格1"/>
    <w:qFormat/>
    <w:uiPriority w:val="0"/>
    <w:pPr>
      <w:widowControl w:val="0"/>
      <w:spacing w:line="240" w:lineRule="auto"/>
      <w:ind w:firstLine="0" w:firstLineChars="0"/>
      <w:jc w:val="center"/>
    </w:pPr>
    <w:rPr>
      <w:rFonts w:ascii="Times New Roman" w:hAnsi="Times New Roman" w:eastAsia="仿宋_GB2312" w:cstheme="minorBidi"/>
      <w:kern w:val="0"/>
      <w:sz w:val="24"/>
      <w:szCs w:val="24"/>
    </w:rPr>
  </w:style>
  <w:style w:type="character" w:customStyle="1" w:styleId="23">
    <w:name w:val="标题 2 Char"/>
    <w:link w:val="3"/>
    <w:qFormat/>
    <w:uiPriority w:val="0"/>
    <w:rPr>
      <w:rFonts w:ascii="Times New Roman" w:hAnsi="Times New Roman" w:eastAsia="黑体"/>
      <w:b/>
      <w:sz w:val="30"/>
      <w:szCs w:val="30"/>
    </w:rPr>
  </w:style>
  <w:style w:type="character" w:customStyle="1" w:styleId="24">
    <w:name w:val="标题 4 Char"/>
    <w:link w:val="6"/>
    <w:qFormat/>
    <w:uiPriority w:val="0"/>
    <w:rPr>
      <w:rFonts w:ascii="Times New Roman" w:hAnsi="Times New Roman" w:eastAsia="宋体"/>
      <w:b/>
      <w:sz w:val="28"/>
      <w:szCs w:val="28"/>
      <w:lang w:eastAsia="zh-CN"/>
    </w:rPr>
  </w:style>
  <w:style w:type="character" w:customStyle="1" w:styleId="25">
    <w:name w:val="正文缩进 Char"/>
    <w:link w:val="7"/>
    <w:qFormat/>
    <w:uiPriority w:val="0"/>
    <w:rPr>
      <w:rFonts w:ascii="宋体" w:hAnsi="宋体" w:eastAsiaTheme="minorEastAsia"/>
      <w:sz w:val="24"/>
    </w:rPr>
  </w:style>
  <w:style w:type="paragraph" w:customStyle="1" w:styleId="26">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27">
    <w:name w:val="表头"/>
    <w:basedOn w:val="7"/>
    <w:next w:val="1"/>
    <w:qFormat/>
    <w:uiPriority w:val="0"/>
    <w:pPr>
      <w:overflowPunct w:val="0"/>
      <w:ind w:firstLine="0" w:firstLineChars="0"/>
      <w:jc w:val="center"/>
    </w:pPr>
    <w:rPr>
      <w:rFonts w:ascii="Times New Roman" w:hAnsi="Times New Roman"/>
      <w:b/>
      <w:sz w:val="21"/>
    </w:rPr>
  </w:style>
  <w:style w:type="paragraph" w:customStyle="1" w:styleId="28">
    <w:name w:val="表格"/>
    <w:basedOn w:val="12"/>
    <w:next w:val="1"/>
    <w:qFormat/>
    <w:uiPriority w:val="0"/>
    <w:pPr>
      <w:ind w:left="0" w:firstLine="0"/>
      <w:jc w:val="center"/>
    </w:pPr>
    <w:rPr>
      <w:kern w:val="0"/>
      <w:szCs w:val="21"/>
    </w:rPr>
  </w:style>
  <w:style w:type="paragraph" w:customStyle="1" w:styleId="29">
    <w:name w:val="图名、表名"/>
    <w:next w:val="1"/>
    <w:qFormat/>
    <w:uiPriority w:val="0"/>
    <w:pPr>
      <w:spacing w:line="360" w:lineRule="auto"/>
      <w:contextualSpacing/>
      <w:jc w:val="center"/>
    </w:pPr>
    <w:rPr>
      <w:rFonts w:ascii="Times New Roman" w:hAnsi="Times New Roman" w:eastAsia="宋体" w:cs="Times New Roman"/>
      <w:b/>
      <w:bCs/>
      <w:snapToGrid w:val="0"/>
      <w:color w:val="000000"/>
      <w:sz w:val="21"/>
      <w:szCs w:val="24"/>
      <w:lang w:val="en-US" w:eastAsia="zh-CN" w:bidi="ar-SA"/>
    </w:rPr>
  </w:style>
  <w:style w:type="paragraph" w:customStyle="1" w:styleId="30">
    <w:name w:val="表格内容"/>
    <w:basedOn w:val="1"/>
    <w:qFormat/>
    <w:uiPriority w:val="0"/>
    <w:pPr>
      <w:jc w:val="center"/>
    </w:pPr>
    <w:rPr>
      <w:rFonts w:ascii="Calibri" w:hAnsi="Calibri" w:eastAsia="宋体" w:cs="Times New Roman"/>
      <w:szCs w:val="22"/>
    </w:rPr>
  </w:style>
  <w:style w:type="paragraph" w:customStyle="1" w:styleId="31">
    <w:name w:val="A-z正文"/>
    <w:basedOn w:val="1"/>
    <w:qFormat/>
    <w:uiPriority w:val="99"/>
    <w:pPr>
      <w:spacing w:line="360" w:lineRule="auto"/>
      <w:ind w:firstLine="200" w:firstLineChars="200"/>
    </w:pPr>
    <w:rPr>
      <w:rFonts w:cs="宋体"/>
      <w:sz w:val="24"/>
      <w:szCs w:val="20"/>
    </w:rPr>
  </w:style>
  <w:style w:type="paragraph" w:customStyle="1" w:styleId="32">
    <w:name w:val="A-题注-表"/>
    <w:basedOn w:val="8"/>
    <w:qFormat/>
    <w:uiPriority w:val="99"/>
  </w:style>
  <w:style w:type="paragraph" w:customStyle="1" w:styleId="33">
    <w:name w:val="A-表格文字"/>
    <w:basedOn w:val="1"/>
    <w:next w:val="1"/>
    <w:qFormat/>
    <w:uiPriority w:val="99"/>
    <w:pPr>
      <w:autoSpaceDE w:val="0"/>
      <w:autoSpaceDN w:val="0"/>
      <w:adjustRightInd w:val="0"/>
      <w:jc w:val="center"/>
      <w:textAlignment w:val="center"/>
    </w:pPr>
    <w:rPr>
      <w:kern w:val="0"/>
      <w:szCs w:val="21"/>
    </w:rPr>
  </w:style>
  <w:style w:type="paragraph" w:customStyle="1" w:styleId="34">
    <w:name w:val="正文(首行缩进)"/>
    <w:basedOn w:val="1"/>
    <w:next w:val="1"/>
    <w:qFormat/>
    <w:uiPriority w:val="0"/>
    <w:pPr>
      <w:tabs>
        <w:tab w:val="left" w:pos="4380"/>
      </w:tabs>
      <w:adjustRightInd w:val="0"/>
      <w:snapToGrid w:val="0"/>
      <w:spacing w:line="520" w:lineRule="exact"/>
      <w:ind w:firstLine="529" w:firstLineChars="228"/>
    </w:pPr>
    <w:rPr>
      <w:rFonts w:ascii="Calibri" w:hAnsi="Calibri" w:eastAsia="宋体" w:cs="Times New Roman"/>
      <w:color w:val="000000"/>
      <w:spacing w:val="-4"/>
      <w:sz w:val="24"/>
      <w:szCs w:val="24"/>
    </w:rPr>
  </w:style>
  <w:style w:type="paragraph" w:customStyle="1" w:styleId="35">
    <w:name w:val="缩进"/>
    <w:basedOn w:val="1"/>
    <w:qFormat/>
    <w:uiPriority w:val="0"/>
    <w:pPr>
      <w:spacing w:line="360" w:lineRule="auto"/>
      <w:ind w:firstLine="200" w:firstLineChars="200"/>
    </w:pPr>
    <w:rPr>
      <w:rFonts w:ascii="Calibri" w:hAnsi="Calibri" w:eastAsia="宋体" w:cs="Times New Roman"/>
      <w:sz w:val="24"/>
      <w:szCs w:val="24"/>
    </w:rPr>
  </w:style>
  <w:style w:type="paragraph" w:customStyle="1" w:styleId="36">
    <w:name w:val="样式 表字居左X2 + 首行缩进:  2 字符"/>
    <w:basedOn w:val="37"/>
    <w:qFormat/>
    <w:uiPriority w:val="0"/>
    <w:pPr>
      <w:ind w:firstLine="420"/>
    </w:pPr>
    <w:rPr>
      <w:szCs w:val="20"/>
    </w:rPr>
  </w:style>
  <w:style w:type="paragraph" w:customStyle="1" w:styleId="37">
    <w:name w:val="表字居左X2"/>
    <w:basedOn w:val="38"/>
    <w:qFormat/>
    <w:uiPriority w:val="0"/>
    <w:pPr>
      <w:spacing w:line="331" w:lineRule="auto"/>
      <w:ind w:firstLine="200" w:firstLineChars="200"/>
      <w:jc w:val="both"/>
    </w:pPr>
    <w:rPr>
      <w:rFonts w:hAnsi="宋体" w:cs="宋体"/>
    </w:rPr>
  </w:style>
  <w:style w:type="paragraph" w:customStyle="1" w:styleId="38">
    <w:name w:val="SSEC 表字居中"/>
    <w:qFormat/>
    <w:uiPriority w:val="0"/>
    <w:pPr>
      <w:widowControl w:val="0"/>
      <w:adjustRightInd w:val="0"/>
      <w:snapToGrid w:val="0"/>
      <w:jc w:val="center"/>
      <w:textAlignment w:val="center"/>
    </w:pPr>
    <w:rPr>
      <w:rFonts w:ascii="宋体" w:hAnsi="Times New Roman" w:eastAsia="宋体" w:cs="Times New Roman"/>
      <w:kern w:val="2"/>
      <w:sz w:val="21"/>
      <w:szCs w:val="21"/>
      <w:lang w:val="en-US" w:eastAsia="zh-CN" w:bidi="ar-SA"/>
    </w:rPr>
  </w:style>
  <w:style w:type="paragraph" w:styleId="39">
    <w:name w:val="List Paragraph"/>
    <w:basedOn w:val="1"/>
    <w:qFormat/>
    <w:uiPriority w:val="99"/>
    <w:pPr>
      <w:ind w:firstLine="420" w:firstLineChars="200"/>
    </w:pPr>
  </w:style>
  <w:style w:type="paragraph" w:customStyle="1" w:styleId="40">
    <w:name w:val="0文本"/>
    <w:basedOn w:val="1"/>
    <w:qFormat/>
    <w:uiPriority w:val="0"/>
    <w:pPr>
      <w:spacing w:line="360" w:lineRule="auto"/>
      <w:ind w:firstLine="200" w:firstLineChars="200"/>
      <w:contextualSpacing/>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bmp"/><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oleObject" Target="embeddings/oleObject1.bin"/><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2021-11-12T06:52:00Z</dcterms:created>
  <dc:creator>A</dc:creator>
  <cp:lastModifiedBy>asus</cp:lastModifiedBy>
  <dcterms:modified xsi:type="dcterms:W3CDTF">2021-12-28T08:06:32Z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C1B61B468A7A444D92318E25668D9CF8</vt:lpwstr>
  </property>
</Properties>
</file>